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0.xml" ContentType="application/vnd.openxmlformats-officedocument.themeOverride+xml"/>
  <Override PartName="/word/drawings/drawing1.xml" ContentType="application/vnd.openxmlformats-officedocument.drawingml.chartshapes+xml"/>
  <Override PartName="/word/charts/chart21.xml" ContentType="application/vnd.openxmlformats-officedocument.drawingml.chart+xml"/>
  <Override PartName="/word/theme/themeOverride21.xml" ContentType="application/vnd.openxmlformats-officedocument.themeOverride+xml"/>
  <Override PartName="/word/drawings/drawing2.xml" ContentType="application/vnd.openxmlformats-officedocument.drawingml.chartshapes+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4.xml" ContentType="application/vnd.openxmlformats-officedocument.themeOverrid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8.xml" ContentType="application/vnd.openxmlformats-officedocument.themeOverride+xml"/>
  <Override PartName="/word/charts/chart29.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drawings/drawing3.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82B6EA" w14:textId="184DEF49" w:rsidR="00AE4268" w:rsidRPr="00FD1578" w:rsidRDefault="00AE4268" w:rsidP="008349F0">
      <w:pPr>
        <w:pStyle w:val="Heading1"/>
        <w:rPr>
          <w:sz w:val="44"/>
          <w:szCs w:val="40"/>
        </w:rPr>
      </w:pPr>
      <w:bookmarkStart w:id="0" w:name="_Toc179356061"/>
      <w:r w:rsidRPr="00FD1578">
        <w:rPr>
          <w:sz w:val="44"/>
          <w:szCs w:val="40"/>
        </w:rPr>
        <w:t>I. B</w:t>
      </w:r>
      <w:r w:rsidR="00D66612" w:rsidRPr="00FD1578">
        <w:rPr>
          <w:sz w:val="44"/>
          <w:szCs w:val="40"/>
        </w:rPr>
        <w:t xml:space="preserve">UDŽETA IETVARS </w:t>
      </w:r>
      <w:r w:rsidRPr="00FD1578">
        <w:rPr>
          <w:sz w:val="44"/>
          <w:szCs w:val="40"/>
        </w:rPr>
        <w:t>202</w:t>
      </w:r>
      <w:r w:rsidR="006C309F" w:rsidRPr="00FD1578">
        <w:rPr>
          <w:sz w:val="44"/>
          <w:szCs w:val="40"/>
        </w:rPr>
        <w:t>5</w:t>
      </w:r>
      <w:r w:rsidRPr="00FD1578">
        <w:rPr>
          <w:sz w:val="44"/>
          <w:szCs w:val="40"/>
        </w:rPr>
        <w:t>., 202</w:t>
      </w:r>
      <w:r w:rsidR="006C309F" w:rsidRPr="00FD1578">
        <w:rPr>
          <w:sz w:val="44"/>
          <w:szCs w:val="40"/>
        </w:rPr>
        <w:t>6</w:t>
      </w:r>
      <w:r w:rsidRPr="00FD1578">
        <w:rPr>
          <w:sz w:val="44"/>
          <w:szCs w:val="40"/>
        </w:rPr>
        <w:t xml:space="preserve">. </w:t>
      </w:r>
      <w:r w:rsidR="00D66612" w:rsidRPr="00FD1578">
        <w:rPr>
          <w:sz w:val="44"/>
          <w:szCs w:val="40"/>
        </w:rPr>
        <w:t>UN</w:t>
      </w:r>
      <w:r w:rsidRPr="00FD1578">
        <w:rPr>
          <w:sz w:val="44"/>
          <w:szCs w:val="40"/>
        </w:rPr>
        <w:t xml:space="preserve"> 202</w:t>
      </w:r>
      <w:r w:rsidR="006C309F" w:rsidRPr="00FD1578">
        <w:rPr>
          <w:sz w:val="44"/>
          <w:szCs w:val="40"/>
        </w:rPr>
        <w:t>7</w:t>
      </w:r>
      <w:r w:rsidRPr="00FD1578">
        <w:rPr>
          <w:sz w:val="44"/>
          <w:szCs w:val="40"/>
        </w:rPr>
        <w:t xml:space="preserve">. </w:t>
      </w:r>
      <w:r w:rsidR="00D66612" w:rsidRPr="00FD1578">
        <w:rPr>
          <w:sz w:val="44"/>
          <w:szCs w:val="40"/>
        </w:rPr>
        <w:t>GADAM</w:t>
      </w:r>
      <w:bookmarkEnd w:id="0"/>
    </w:p>
    <w:p w14:paraId="7CE825E4" w14:textId="7591BDCC" w:rsidR="0070161D" w:rsidRPr="00FD1578" w:rsidRDefault="0070161D" w:rsidP="008349F0">
      <w:pPr>
        <w:pStyle w:val="Heading1"/>
        <w:rPr>
          <w:rFonts w:eastAsia="Times New Roman"/>
        </w:rPr>
      </w:pPr>
      <w:bookmarkStart w:id="1" w:name="_Toc178763473"/>
      <w:bookmarkStart w:id="2" w:name="_Toc179356062"/>
      <w:r w:rsidRPr="00FD1578">
        <w:rPr>
          <w:rFonts w:eastAsia="Times New Roman"/>
        </w:rPr>
        <w:t>1. Makroekonomiskās attīstības apraksts</w:t>
      </w:r>
      <w:r w:rsidRPr="00FD1578">
        <w:rPr>
          <w:rFonts w:eastAsia="Times New Roman"/>
          <w:szCs w:val="44"/>
          <w:vertAlign w:val="superscript"/>
        </w:rPr>
        <w:footnoteReference w:id="1"/>
      </w:r>
      <w:bookmarkEnd w:id="1"/>
      <w:bookmarkEnd w:id="2"/>
    </w:p>
    <w:p w14:paraId="7102962F" w14:textId="77777777" w:rsidR="0070161D" w:rsidRPr="00FD1578" w:rsidRDefault="0070161D" w:rsidP="008349F0">
      <w:pPr>
        <w:keepNext/>
        <w:keepLines/>
        <w:spacing w:before="360" w:after="240"/>
        <w:ind w:firstLine="0"/>
        <w:jc w:val="center"/>
        <w:outlineLvl w:val="1"/>
        <w:rPr>
          <w:rFonts w:eastAsiaTheme="majorEastAsia" w:cstheme="majorBidi"/>
          <w:b/>
          <w:bCs/>
          <w:color w:val="000000" w:themeColor="text1"/>
          <w:sz w:val="36"/>
          <w:szCs w:val="28"/>
        </w:rPr>
      </w:pPr>
      <w:bookmarkStart w:id="3" w:name="_Toc178763474"/>
      <w:bookmarkStart w:id="4" w:name="_Toc179356063"/>
      <w:r w:rsidRPr="00FD1578">
        <w:rPr>
          <w:rFonts w:eastAsiaTheme="majorEastAsia" w:cstheme="majorBidi"/>
          <w:b/>
          <w:bCs/>
          <w:color w:val="000000" w:themeColor="text1"/>
          <w:sz w:val="36"/>
          <w:szCs w:val="28"/>
        </w:rPr>
        <w:t>1.1. Ārējā ekonomiskā vide</w:t>
      </w:r>
      <w:bookmarkEnd w:id="3"/>
      <w:bookmarkEnd w:id="4"/>
    </w:p>
    <w:p w14:paraId="0B487ABE"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2023. gadā pasaules ekonomika uzrādīja negaidīti pozitīvus rezultātus, pieaugot par 3,1%, kas ir tikai nedaudz lēnāk nekā 2022. gadā (3,3%). Neskatoties uz stingrākiem monetārajiem nosacījumiem un preču tirdzniecības palēnināšanos, galvenie globālās ekonomikas dzinējspēki, piemēram, ASV, Ķīna, Japāna un Indija, piedzīvoja ekonomikas izaugsmi, kas kompensēja palēninājumu ES un Apvienotajā Karalistē. Lai gan procentu likmju paaugstinājumi turpināja ierobežot ekonomisko aktivitāti, tiek prognozēta pasaules tirdzniecības atgūšanās, īpaši 2025. gadā, kad paredzams, ka monetārie nosacījumi kļūs vieglāki, centrālajām bankām sākot samazināt likmes.</w:t>
      </w:r>
    </w:p>
    <w:p w14:paraId="769993A0"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ES izaugsme saglabājas mērena, ar 1,0% iekšzemes kopprodukta (IKP) pieauguma prognozi 2024. gadam un nelielu uzlabošanos līdz 1,6% 2025. gadā. </w:t>
      </w:r>
      <w:proofErr w:type="spellStart"/>
      <w:r w:rsidRPr="00FD1578">
        <w:rPr>
          <w:rFonts w:eastAsia="Calibri" w:cs="Times New Roman"/>
          <w:i/>
          <w:iCs/>
          <w:szCs w:val="20"/>
          <w:lang w:eastAsia="en-US"/>
        </w:rPr>
        <w:t>Euro</w:t>
      </w:r>
      <w:proofErr w:type="spellEnd"/>
      <w:r w:rsidRPr="00FD1578">
        <w:rPr>
          <w:rFonts w:eastAsia="Calibri" w:cs="Times New Roman"/>
          <w:szCs w:val="20"/>
          <w:lang w:eastAsia="en-US"/>
        </w:rPr>
        <w:t xml:space="preserve"> zonā izaugsmes temps tiek lēsts līdzīgi: 0,8% 2024. gadā un 1,4% 2025. gadā. Šīs prognozes norāda uz stabilu, bet salīdzinoši vāju izaugsmi Latvijas galvenajās tirdzniecības partnervalstīs. Lietuvas, Igaunijas, Vācijas un Somijas izaugsmes prognozes 2024. gadam ir samazinātas, savukārt Zviedrijai, Polijai, Dānijai un Nīderlandei izaugsmes perspektīvas ir uzlabojušās. Latvijas galvenajām tirdzniecības partneriem vidējā izaugsme tiek lēsta 1,1% apmērā 2024. gadā, bet straujāka izaugsme gaidāma 2025. gadā - 2,3%.</w:t>
      </w:r>
    </w:p>
    <w:p w14:paraId="7CC161B3"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Uzņēmēju un patērētāju konfidences rādītāji 2023. gadā bija stabili, un </w:t>
      </w:r>
      <w:proofErr w:type="spellStart"/>
      <w:r w:rsidRPr="00FD1578">
        <w:rPr>
          <w:rFonts w:eastAsia="Calibri" w:cs="Times New Roman"/>
          <w:i/>
          <w:iCs/>
          <w:szCs w:val="20"/>
          <w:lang w:eastAsia="en-US"/>
        </w:rPr>
        <w:t>euro</w:t>
      </w:r>
      <w:proofErr w:type="spellEnd"/>
      <w:r w:rsidRPr="00FD1578">
        <w:rPr>
          <w:rFonts w:eastAsia="Calibri" w:cs="Times New Roman"/>
          <w:szCs w:val="20"/>
          <w:lang w:eastAsia="en-US"/>
        </w:rPr>
        <w:t xml:space="preserve"> zonas iepirkumu vadītāju indekss 2024. gada sākumā sasniedza augstāko līmeni pēdējo desmit mēnešu laikā. Tomēr kopš šī laikā būtiski konfidences uzlabojumi nav sekojuši, ekonomiskās pārliecības indekss saglabājies sasniegtajā līmenī, bet iepirkuma vadītāju indekss ir pasliktinājies, septembrī atkal norādot uz ekonomikas lejupslīdi.</w:t>
      </w:r>
    </w:p>
    <w:p w14:paraId="21CE048B"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Inflācijas spiediens Eiropā pakāpeniski mazināsies. </w:t>
      </w:r>
      <w:proofErr w:type="spellStart"/>
      <w:r w:rsidRPr="00FD1578">
        <w:rPr>
          <w:rFonts w:eastAsia="Calibri" w:cs="Times New Roman"/>
          <w:i/>
          <w:iCs/>
          <w:szCs w:val="20"/>
          <w:lang w:eastAsia="en-US"/>
        </w:rPr>
        <w:t>Euro</w:t>
      </w:r>
      <w:proofErr w:type="spellEnd"/>
      <w:r w:rsidRPr="00FD1578">
        <w:rPr>
          <w:rFonts w:eastAsia="Calibri" w:cs="Times New Roman"/>
          <w:szCs w:val="20"/>
          <w:lang w:eastAsia="en-US"/>
        </w:rPr>
        <w:t xml:space="preserve"> zonas inflācija 2024. gadā tiek prognozēta 2,5% apmērā, ar turpmāku samazinājumu līdz 2,1% 2025. gadā. Šī samazināšanās būs iespējama, pateicoties </w:t>
      </w:r>
      <w:proofErr w:type="spellStart"/>
      <w:r w:rsidRPr="00FD1578">
        <w:rPr>
          <w:rFonts w:eastAsia="Calibri" w:cs="Times New Roman"/>
          <w:szCs w:val="20"/>
          <w:lang w:eastAsia="en-US"/>
        </w:rPr>
        <w:t>energoatbalsta</w:t>
      </w:r>
      <w:proofErr w:type="spellEnd"/>
      <w:r w:rsidRPr="00FD1578">
        <w:rPr>
          <w:rFonts w:eastAsia="Calibri" w:cs="Times New Roman"/>
          <w:szCs w:val="20"/>
          <w:lang w:eastAsia="en-US"/>
        </w:rPr>
        <w:t xml:space="preserve"> pasākumu termiņu beigām un bāzes efektiem. ES kopumā inflācija 2024. gadā būs 2,7%, bet 2025. gadā – 2,2%, tuvojoties Eiropas Centrālās bankas (ECB) noteiktajam mērķim 2% apmērā.</w:t>
      </w:r>
    </w:p>
    <w:p w14:paraId="77910D5A"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Latvijai šīs ārējās ekonomiskās vides izmaiņas ir nozīmīgas, jo tās tieši ietekmēs valsts tirdzniecības un investīciju apjomus. Vājā izaugsme ES valstīs, īpaši galvenajos tirdzniecības partneros, rada riskus eksporta noieta tirgiem. Tajā pašā laikā pozitīvie signāli no Ziemeļvalstīm un Polijas sniedz iespējas palielināt tirdzniecību ar šīm valstīm. Pasaules, </w:t>
      </w:r>
      <w:proofErr w:type="spellStart"/>
      <w:r w:rsidRPr="00FD1578">
        <w:rPr>
          <w:rFonts w:eastAsia="Calibri" w:cs="Times New Roman"/>
          <w:i/>
          <w:iCs/>
          <w:szCs w:val="20"/>
          <w:lang w:eastAsia="en-US"/>
        </w:rPr>
        <w:t>euro</w:t>
      </w:r>
      <w:proofErr w:type="spellEnd"/>
      <w:r w:rsidRPr="00FD1578">
        <w:rPr>
          <w:rFonts w:eastAsia="Calibri" w:cs="Times New Roman"/>
          <w:szCs w:val="20"/>
          <w:lang w:eastAsia="en-US"/>
        </w:rPr>
        <w:t xml:space="preserve"> zonas un Latvijas galveno ārējās tirdzniecības partnervalstu izaugsmes prognozes apkopotas 1.1. tabulā.</w:t>
      </w:r>
    </w:p>
    <w:p w14:paraId="0C482F2A" w14:textId="77777777" w:rsidR="0070161D" w:rsidRDefault="0070161D" w:rsidP="009B278A">
      <w:pPr>
        <w:ind w:firstLine="0"/>
        <w:rPr>
          <w:rFonts w:eastAsia="Calibri" w:cs="Times New Roman"/>
          <w:szCs w:val="20"/>
          <w:lang w:eastAsia="en-US"/>
        </w:rPr>
      </w:pPr>
    </w:p>
    <w:p w14:paraId="5137BDF8" w14:textId="77777777" w:rsidR="009B278A" w:rsidRPr="00FD1578" w:rsidRDefault="009B278A" w:rsidP="009B278A">
      <w:pPr>
        <w:ind w:firstLine="0"/>
        <w:rPr>
          <w:rFonts w:eastAsia="Calibri" w:cs="Times New Roman"/>
          <w:szCs w:val="20"/>
          <w:lang w:eastAsia="en-US"/>
        </w:rPr>
      </w:pPr>
    </w:p>
    <w:p w14:paraId="48461E3F" w14:textId="77777777" w:rsidR="0070161D" w:rsidRPr="00FD1578" w:rsidRDefault="0070161D" w:rsidP="00F87D38">
      <w:pPr>
        <w:widowControl w:val="0"/>
        <w:numPr>
          <w:ilvl w:val="1"/>
          <w:numId w:val="15"/>
        </w:numPr>
        <w:spacing w:after="160"/>
        <w:contextualSpacing/>
        <w:jc w:val="right"/>
        <w:rPr>
          <w:rFonts w:eastAsia="Times New Roman" w:cs="Times New Roman"/>
          <w:b/>
          <w:i/>
          <w:iCs/>
          <w:szCs w:val="24"/>
        </w:rPr>
      </w:pPr>
      <w:r w:rsidRPr="00FD1578">
        <w:rPr>
          <w:rFonts w:eastAsia="Times New Roman" w:cs="Times New Roman"/>
          <w:b/>
          <w:i/>
          <w:iCs/>
          <w:szCs w:val="24"/>
        </w:rPr>
        <w:lastRenderedPageBreak/>
        <w:t xml:space="preserve">tabula. Latvijas galveno tirdzniecības partnervalstu IKP </w:t>
      </w:r>
      <w:r w:rsidRPr="00FD1578">
        <w:rPr>
          <w:rFonts w:eastAsia="Times New Roman" w:cs="Times New Roman"/>
          <w:b/>
          <w:i/>
          <w:color w:val="000000"/>
        </w:rPr>
        <w:t>pieauguma</w:t>
      </w:r>
      <w:r w:rsidRPr="00FD1578">
        <w:rPr>
          <w:rFonts w:eastAsia="Times New Roman" w:cs="Times New Roman"/>
          <w:b/>
          <w:i/>
          <w:iCs/>
          <w:szCs w:val="24"/>
        </w:rPr>
        <w:t xml:space="preserve"> prognozes 2024. un 2025. gadam</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559"/>
        <w:gridCol w:w="1331"/>
        <w:gridCol w:w="1332"/>
        <w:gridCol w:w="1331"/>
        <w:gridCol w:w="1332"/>
      </w:tblGrid>
      <w:tr w:rsidR="0070161D" w:rsidRPr="00FD1578" w14:paraId="540873F8" w14:textId="77777777" w:rsidTr="0073287C">
        <w:trPr>
          <w:trHeight w:val="839"/>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4503355F" w14:textId="77777777" w:rsidR="0070161D" w:rsidRPr="00FD1578" w:rsidRDefault="0070161D" w:rsidP="008349F0">
            <w:pPr>
              <w:spacing w:after="0"/>
              <w:ind w:firstLine="0"/>
              <w:jc w:val="center"/>
              <w:rPr>
                <w:rFonts w:eastAsia="Calibri" w:cs="Times New Roman"/>
                <w:b/>
                <w:sz w:val="20"/>
                <w:szCs w:val="20"/>
              </w:rPr>
            </w:pPr>
            <w:r w:rsidRPr="00FD1578">
              <w:rPr>
                <w:rFonts w:eastAsia="Calibri" w:cs="Times New Roman"/>
                <w:b/>
                <w:sz w:val="20"/>
                <w:szCs w:val="20"/>
              </w:rPr>
              <w:t xml:space="preserve">Valsts </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BDD6EE"/>
            <w:vAlign w:val="center"/>
            <w:hideMark/>
          </w:tcPr>
          <w:p w14:paraId="2723593A" w14:textId="77777777" w:rsidR="0070161D" w:rsidRPr="00FD1578" w:rsidRDefault="0070161D" w:rsidP="008349F0">
            <w:pPr>
              <w:spacing w:after="0"/>
              <w:ind w:firstLine="0"/>
              <w:jc w:val="center"/>
              <w:rPr>
                <w:rFonts w:eastAsia="Calibri" w:cs="Times New Roman"/>
                <w:b/>
                <w:sz w:val="20"/>
                <w:szCs w:val="20"/>
              </w:rPr>
            </w:pPr>
            <w:r w:rsidRPr="00FD1578">
              <w:rPr>
                <w:rFonts w:eastAsia="Calibri" w:cs="Times New Roman"/>
                <w:b/>
                <w:sz w:val="20"/>
                <w:szCs w:val="20"/>
              </w:rPr>
              <w:t>Īpatsvars kopējā Latvijas preču eksportā 2023. gadā</w:t>
            </w:r>
          </w:p>
        </w:tc>
        <w:tc>
          <w:tcPr>
            <w:tcW w:w="2665"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1222C623" w14:textId="77777777" w:rsidR="0070161D" w:rsidRPr="00FD1578" w:rsidRDefault="0070161D" w:rsidP="008349F0">
            <w:pPr>
              <w:spacing w:after="0"/>
              <w:ind w:firstLine="0"/>
              <w:jc w:val="center"/>
              <w:rPr>
                <w:rFonts w:eastAsia="Calibri" w:cs="Times New Roman"/>
                <w:b/>
                <w:sz w:val="20"/>
                <w:szCs w:val="20"/>
              </w:rPr>
            </w:pPr>
            <w:r w:rsidRPr="00FD1578">
              <w:rPr>
                <w:rFonts w:eastAsia="Calibri" w:cs="Times New Roman"/>
                <w:b/>
                <w:sz w:val="20"/>
                <w:szCs w:val="20"/>
              </w:rPr>
              <w:t xml:space="preserve">IKP pieauguma prognoze salīdzināmās cenās, g/g, %, </w:t>
            </w:r>
          </w:p>
          <w:p w14:paraId="5B17EBCE" w14:textId="77777777" w:rsidR="0070161D" w:rsidRPr="00FD1578" w:rsidRDefault="0070161D" w:rsidP="008349F0">
            <w:pPr>
              <w:spacing w:after="0"/>
              <w:ind w:firstLine="0"/>
              <w:jc w:val="center"/>
              <w:rPr>
                <w:rFonts w:eastAsia="Calibri" w:cs="Times New Roman"/>
                <w:b/>
                <w:sz w:val="20"/>
                <w:szCs w:val="20"/>
              </w:rPr>
            </w:pPr>
            <w:r w:rsidRPr="00FD1578">
              <w:rPr>
                <w:rFonts w:eastAsia="Calibri" w:cs="Times New Roman"/>
                <w:b/>
                <w:sz w:val="20"/>
                <w:szCs w:val="20"/>
              </w:rPr>
              <w:t>EK, 2024. gada maijs</w:t>
            </w:r>
          </w:p>
          <w:p w14:paraId="3FBE156D" w14:textId="77777777" w:rsidR="0070161D" w:rsidRPr="00FD1578" w:rsidRDefault="0070161D" w:rsidP="008349F0">
            <w:pPr>
              <w:spacing w:after="0"/>
              <w:ind w:firstLine="0"/>
              <w:jc w:val="center"/>
              <w:rPr>
                <w:rFonts w:eastAsia="Calibri" w:cs="Times New Roman"/>
                <w:b/>
                <w:sz w:val="20"/>
                <w:szCs w:val="20"/>
              </w:rPr>
            </w:pPr>
            <w:r w:rsidRPr="00FD1578">
              <w:rPr>
                <w:rFonts w:eastAsia="Calibri" w:cs="Times New Roman"/>
                <w:b/>
                <w:sz w:val="20"/>
                <w:szCs w:val="20"/>
              </w:rPr>
              <w:t>* SVF, 2024. gada jūlijs</w:t>
            </w:r>
          </w:p>
        </w:tc>
        <w:tc>
          <w:tcPr>
            <w:tcW w:w="2665"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7A48DD65" w14:textId="77777777" w:rsidR="0070161D" w:rsidRPr="00FD1578" w:rsidRDefault="0070161D" w:rsidP="008349F0">
            <w:pPr>
              <w:spacing w:after="0"/>
              <w:ind w:firstLine="0"/>
              <w:jc w:val="center"/>
              <w:rPr>
                <w:rFonts w:eastAsia="Calibri" w:cs="Times New Roman"/>
                <w:b/>
                <w:sz w:val="20"/>
                <w:szCs w:val="20"/>
              </w:rPr>
            </w:pPr>
            <w:r w:rsidRPr="00FD1578">
              <w:rPr>
                <w:rFonts w:eastAsia="Calibri" w:cs="Times New Roman"/>
                <w:b/>
                <w:sz w:val="20"/>
                <w:szCs w:val="20"/>
              </w:rPr>
              <w:t xml:space="preserve">Izmaiņas pret EK 2023. gada novembra prognozēm, </w:t>
            </w:r>
            <w:proofErr w:type="spellStart"/>
            <w:r w:rsidRPr="00FD1578">
              <w:rPr>
                <w:rFonts w:eastAsia="Calibri" w:cs="Times New Roman"/>
                <w:b/>
                <w:sz w:val="20"/>
                <w:szCs w:val="20"/>
              </w:rPr>
              <w:t>pp</w:t>
            </w:r>
            <w:proofErr w:type="spellEnd"/>
          </w:p>
          <w:p w14:paraId="586273FC" w14:textId="77777777" w:rsidR="0070161D" w:rsidRPr="00FD1578" w:rsidRDefault="0070161D" w:rsidP="008349F0">
            <w:pPr>
              <w:spacing w:after="0"/>
              <w:ind w:firstLine="0"/>
              <w:jc w:val="center"/>
              <w:rPr>
                <w:rFonts w:eastAsia="Calibri" w:cs="Times New Roman"/>
                <w:b/>
                <w:sz w:val="20"/>
                <w:szCs w:val="20"/>
              </w:rPr>
            </w:pPr>
            <w:r w:rsidRPr="00FD1578">
              <w:rPr>
                <w:rFonts w:eastAsia="Calibri" w:cs="Times New Roman"/>
                <w:b/>
                <w:sz w:val="20"/>
                <w:szCs w:val="20"/>
              </w:rPr>
              <w:t>*pret SVF 2024. gada janvāra prognozēm</w:t>
            </w:r>
          </w:p>
        </w:tc>
      </w:tr>
      <w:tr w:rsidR="0070161D" w:rsidRPr="00FD1578" w14:paraId="5ED77688" w14:textId="77777777" w:rsidTr="008E1E6C">
        <w:trPr>
          <w:trHeight w:val="268"/>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6355E0BC" w14:textId="77777777" w:rsidR="0070161D" w:rsidRPr="00FD1578" w:rsidRDefault="0070161D" w:rsidP="008349F0">
            <w:pPr>
              <w:spacing w:after="0"/>
              <w:ind w:firstLine="0"/>
              <w:jc w:val="left"/>
              <w:rPr>
                <w:rFonts w:eastAsia="Calibri" w:cs="Times New Roman"/>
                <w:b/>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09B7EDC" w14:textId="77777777" w:rsidR="0070161D" w:rsidRPr="00FD1578" w:rsidRDefault="0070161D" w:rsidP="008349F0">
            <w:pPr>
              <w:spacing w:after="0"/>
              <w:ind w:firstLine="0"/>
              <w:jc w:val="left"/>
              <w:rPr>
                <w:rFonts w:eastAsia="Calibri" w:cs="Times New Roman"/>
                <w:b/>
                <w:sz w:val="20"/>
                <w:szCs w:val="20"/>
              </w:rPr>
            </w:pPr>
          </w:p>
        </w:tc>
        <w:tc>
          <w:tcPr>
            <w:tcW w:w="133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85EB3B6" w14:textId="77777777" w:rsidR="0070161D" w:rsidRPr="00FD1578" w:rsidRDefault="0070161D" w:rsidP="008349F0">
            <w:pPr>
              <w:spacing w:after="0"/>
              <w:ind w:firstLine="0"/>
              <w:jc w:val="center"/>
              <w:rPr>
                <w:rFonts w:eastAsia="Calibri" w:cs="Times New Roman"/>
                <w:b/>
                <w:bCs/>
                <w:sz w:val="20"/>
                <w:szCs w:val="20"/>
              </w:rPr>
            </w:pPr>
            <w:r w:rsidRPr="00FD1578">
              <w:rPr>
                <w:rFonts w:eastAsia="Calibri" w:cs="Times New Roman"/>
                <w:b/>
                <w:bCs/>
                <w:sz w:val="20"/>
                <w:szCs w:val="20"/>
              </w:rPr>
              <w:t>2024.</w:t>
            </w:r>
          </w:p>
        </w:tc>
        <w:tc>
          <w:tcPr>
            <w:tcW w:w="1333"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04211547" w14:textId="77777777" w:rsidR="0070161D" w:rsidRPr="00FD1578" w:rsidRDefault="0070161D" w:rsidP="008349F0">
            <w:pPr>
              <w:spacing w:after="0"/>
              <w:ind w:firstLine="0"/>
              <w:jc w:val="center"/>
              <w:rPr>
                <w:rFonts w:eastAsia="Calibri" w:cs="Times New Roman"/>
                <w:b/>
                <w:bCs/>
                <w:sz w:val="20"/>
                <w:szCs w:val="20"/>
              </w:rPr>
            </w:pPr>
            <w:r w:rsidRPr="00FD1578">
              <w:rPr>
                <w:rFonts w:eastAsia="Calibri" w:cs="Times New Roman"/>
                <w:b/>
                <w:bCs/>
                <w:sz w:val="20"/>
                <w:szCs w:val="20"/>
              </w:rPr>
              <w:t>2025.</w:t>
            </w:r>
          </w:p>
        </w:tc>
        <w:tc>
          <w:tcPr>
            <w:tcW w:w="133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0439F533" w14:textId="77777777" w:rsidR="0070161D" w:rsidRPr="00FD1578" w:rsidRDefault="0070161D" w:rsidP="008349F0">
            <w:pPr>
              <w:spacing w:after="0"/>
              <w:ind w:firstLine="0"/>
              <w:jc w:val="center"/>
              <w:rPr>
                <w:rFonts w:eastAsia="Calibri" w:cs="Times New Roman"/>
                <w:b/>
                <w:bCs/>
                <w:sz w:val="20"/>
                <w:szCs w:val="20"/>
              </w:rPr>
            </w:pPr>
            <w:r w:rsidRPr="00FD1578">
              <w:rPr>
                <w:rFonts w:eastAsia="Calibri" w:cs="Times New Roman"/>
                <w:b/>
                <w:bCs/>
                <w:sz w:val="20"/>
                <w:szCs w:val="20"/>
              </w:rPr>
              <w:t>2024.</w:t>
            </w:r>
          </w:p>
        </w:tc>
        <w:tc>
          <w:tcPr>
            <w:tcW w:w="1333"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E80660B" w14:textId="77777777" w:rsidR="0070161D" w:rsidRPr="00FD1578" w:rsidRDefault="0070161D" w:rsidP="008349F0">
            <w:pPr>
              <w:spacing w:after="0"/>
              <w:ind w:firstLine="0"/>
              <w:jc w:val="center"/>
              <w:rPr>
                <w:rFonts w:eastAsia="Calibri" w:cs="Times New Roman"/>
                <w:b/>
                <w:bCs/>
                <w:sz w:val="20"/>
                <w:szCs w:val="20"/>
              </w:rPr>
            </w:pPr>
            <w:r w:rsidRPr="00FD1578">
              <w:rPr>
                <w:rFonts w:eastAsia="Calibri" w:cs="Times New Roman"/>
                <w:b/>
                <w:bCs/>
                <w:sz w:val="20"/>
                <w:szCs w:val="20"/>
              </w:rPr>
              <w:t>2025.</w:t>
            </w:r>
          </w:p>
        </w:tc>
      </w:tr>
      <w:tr w:rsidR="0070161D" w:rsidRPr="00FD1578" w14:paraId="2AA51714"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AEB24A3" w14:textId="77777777" w:rsidR="0070161D" w:rsidRPr="00FD1578" w:rsidRDefault="0070161D" w:rsidP="008349F0">
            <w:pPr>
              <w:spacing w:after="0"/>
              <w:ind w:firstLine="0"/>
              <w:jc w:val="left"/>
              <w:rPr>
                <w:rFonts w:eastAsia="Calibri" w:cs="Times New Roman"/>
                <w:sz w:val="20"/>
                <w:szCs w:val="20"/>
                <w:lang w:eastAsia="en-US"/>
              </w:rPr>
            </w:pPr>
            <w:r w:rsidRPr="00FD1578">
              <w:rPr>
                <w:rFonts w:eastAsia="Calibri" w:cs="Times New Roman"/>
                <w:sz w:val="20"/>
                <w:szCs w:val="20"/>
              </w:rPr>
              <w:t>Lietuva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79E943E6" w14:textId="77777777" w:rsidR="0070161D" w:rsidRPr="00FD1578" w:rsidRDefault="0070161D" w:rsidP="008349F0">
            <w:pPr>
              <w:spacing w:after="0"/>
              <w:ind w:firstLine="0"/>
              <w:jc w:val="center"/>
              <w:rPr>
                <w:rFonts w:eastAsia="Calibri" w:cs="Times New Roman"/>
                <w:sz w:val="20"/>
                <w:szCs w:val="20"/>
              </w:rPr>
            </w:pPr>
            <w:r w:rsidRPr="00FD1578">
              <w:rPr>
                <w:rFonts w:eastAsia="Calibri" w:cs="Times New Roman"/>
                <w:sz w:val="20"/>
                <w:szCs w:val="20"/>
              </w:rPr>
              <w:t>18,1%</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04DEC1B9" w14:textId="77777777" w:rsidR="0070161D" w:rsidRPr="00FD1578" w:rsidRDefault="0070161D" w:rsidP="008349F0">
            <w:pPr>
              <w:spacing w:after="0"/>
              <w:ind w:firstLine="0"/>
              <w:jc w:val="center"/>
              <w:rPr>
                <w:rFonts w:eastAsia="Calibri" w:cs="Times New Roman"/>
                <w:sz w:val="20"/>
                <w:szCs w:val="20"/>
              </w:rPr>
            </w:pPr>
            <w:r w:rsidRPr="00FD1578">
              <w:rPr>
                <w:rFonts w:eastAsia="Calibri" w:cs="Times New Roman"/>
                <w:sz w:val="20"/>
                <w:szCs w:val="20"/>
              </w:rPr>
              <w:t>2,0</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70BA90B9" w14:textId="77777777" w:rsidR="0070161D" w:rsidRPr="00FD1578" w:rsidRDefault="0070161D" w:rsidP="008349F0">
            <w:pPr>
              <w:spacing w:after="0"/>
              <w:ind w:firstLine="0"/>
              <w:jc w:val="center"/>
              <w:rPr>
                <w:rFonts w:eastAsia="Calibri" w:cs="Times New Roman"/>
                <w:sz w:val="20"/>
                <w:szCs w:val="20"/>
              </w:rPr>
            </w:pPr>
            <w:r w:rsidRPr="00FD1578">
              <w:rPr>
                <w:rFonts w:eastAsia="Calibri" w:cs="Times New Roman"/>
                <w:sz w:val="20"/>
                <w:szCs w:val="20"/>
              </w:rPr>
              <w:t>2,9</w:t>
            </w:r>
          </w:p>
        </w:tc>
        <w:tc>
          <w:tcPr>
            <w:tcW w:w="1332"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404F0417" w14:textId="77777777" w:rsidR="0070161D" w:rsidRPr="00FD1578" w:rsidRDefault="0070161D" w:rsidP="008349F0">
            <w:pPr>
              <w:spacing w:after="0"/>
              <w:ind w:firstLine="0"/>
              <w:jc w:val="center"/>
              <w:rPr>
                <w:rFonts w:eastAsia="Calibri" w:cs="Times New Roman"/>
                <w:sz w:val="20"/>
                <w:szCs w:val="20"/>
              </w:rPr>
            </w:pPr>
            <w:r w:rsidRPr="00FD1578">
              <w:rPr>
                <w:rFonts w:eastAsia="Calibri" w:cs="Times New Roman"/>
                <w:sz w:val="20"/>
                <w:szCs w:val="20"/>
              </w:rPr>
              <w:t>-0,5</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25CBC00" w14:textId="77777777" w:rsidR="0070161D" w:rsidRPr="00FD1578" w:rsidRDefault="0070161D" w:rsidP="008349F0">
            <w:pPr>
              <w:spacing w:after="0"/>
              <w:ind w:firstLine="0"/>
              <w:jc w:val="center"/>
              <w:rPr>
                <w:rFonts w:eastAsia="Calibri" w:cs="Times New Roman"/>
                <w:sz w:val="20"/>
                <w:szCs w:val="20"/>
              </w:rPr>
            </w:pPr>
            <w:r w:rsidRPr="00FD1578">
              <w:rPr>
                <w:rFonts w:eastAsia="Calibri" w:cs="Times New Roman"/>
                <w:sz w:val="20"/>
                <w:szCs w:val="20"/>
              </w:rPr>
              <w:t>-0,5</w:t>
            </w:r>
          </w:p>
        </w:tc>
      </w:tr>
      <w:tr w:rsidR="0070161D" w:rsidRPr="007F32BC" w14:paraId="442662F9"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A733442"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Igaunija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0A88139"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11,5%</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6B7238DA"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-0,5</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17FBF889"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3,1</w:t>
            </w:r>
          </w:p>
        </w:tc>
        <w:tc>
          <w:tcPr>
            <w:tcW w:w="1332"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387A64A1"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-2,4</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A734B8E"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0,4</w:t>
            </w:r>
          </w:p>
        </w:tc>
      </w:tr>
      <w:tr w:rsidR="0070161D" w:rsidRPr="007F32BC" w14:paraId="6C6CB0CE"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FAFC2E0"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Vācija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4D3CBBD"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6,8%</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2C3BECA0"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0,1</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11F17D3C"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1,0</w:t>
            </w:r>
          </w:p>
        </w:tc>
        <w:tc>
          <w:tcPr>
            <w:tcW w:w="1332"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785E28BB"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-0,7</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F4D8824"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-0,2</w:t>
            </w:r>
          </w:p>
        </w:tc>
      </w:tr>
      <w:tr w:rsidR="0070161D" w:rsidRPr="007F32BC" w14:paraId="23BE135A"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C7C5F9"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Zviedrija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2B02B41B"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5,9%</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21C430B3"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0,2</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7E8D020A"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2,1</w:t>
            </w:r>
          </w:p>
        </w:tc>
        <w:tc>
          <w:tcPr>
            <w:tcW w:w="1332"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0294309F"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0,4</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A1A0853"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0,8</w:t>
            </w:r>
          </w:p>
        </w:tc>
      </w:tr>
      <w:tr w:rsidR="0070161D" w:rsidRPr="007F32BC" w14:paraId="2B2E5783"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4DF91AD5"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Krievija*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8874258"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5,9%</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28090DC6"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3,2</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7E623CAB"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1,5</w:t>
            </w:r>
          </w:p>
        </w:tc>
        <w:tc>
          <w:tcPr>
            <w:tcW w:w="1332"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19BE60DD"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0,6</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796B1C3"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0,4</w:t>
            </w:r>
          </w:p>
        </w:tc>
      </w:tr>
      <w:tr w:rsidR="0070161D" w:rsidRPr="007F32BC" w14:paraId="7398180F" w14:textId="77777777" w:rsidTr="0073287C">
        <w:trPr>
          <w:trHeight w:val="347"/>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BE015FB"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Apvienotā Karaliste*</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B80C68"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4,8%</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05C0E3E7"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0,7</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53F3BA88"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1,5</w:t>
            </w:r>
          </w:p>
        </w:tc>
        <w:tc>
          <w:tcPr>
            <w:tcW w:w="1332"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4847D44A"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0,1</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6A7EF68"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-0,1</w:t>
            </w:r>
          </w:p>
        </w:tc>
      </w:tr>
      <w:tr w:rsidR="0070161D" w:rsidRPr="007F32BC" w14:paraId="1E818EF1"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CDFE8E4"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Dānija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24F64CF8"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4,2%</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17F38D47"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2,6</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757FA5B2"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1,4</w:t>
            </w:r>
          </w:p>
        </w:tc>
        <w:tc>
          <w:tcPr>
            <w:tcW w:w="1332"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3D0493C0"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1,2</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3A510C7"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-0,2</w:t>
            </w:r>
          </w:p>
        </w:tc>
      </w:tr>
      <w:tr w:rsidR="0070161D" w:rsidRPr="007F32BC" w14:paraId="6EAA74CF"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5575B6"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Polija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891AFDE"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3,9%</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1814AF18"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2,8</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6C8DDE38"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3,4</w:t>
            </w:r>
          </w:p>
        </w:tc>
        <w:tc>
          <w:tcPr>
            <w:tcW w:w="1332"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1992F485"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0,1</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5BB54A1"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0,2</w:t>
            </w:r>
          </w:p>
        </w:tc>
      </w:tr>
      <w:tr w:rsidR="0070161D" w:rsidRPr="007F32BC" w14:paraId="3487EFF8"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C501E9D"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Somija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8B338CA"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3,6%</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1E96695D"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0,0</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0B54CF4F"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1,4</w:t>
            </w:r>
          </w:p>
        </w:tc>
        <w:tc>
          <w:tcPr>
            <w:tcW w:w="1332"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4FA1B7DB"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-0,8</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A172235"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-0,1</w:t>
            </w:r>
          </w:p>
        </w:tc>
      </w:tr>
      <w:tr w:rsidR="0070161D" w:rsidRPr="007F32BC" w14:paraId="2E23B5E5"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E0DD715"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Nīderlande</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401203D"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3,0%</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4A3E954F"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0,8</w:t>
            </w:r>
          </w:p>
        </w:tc>
        <w:tc>
          <w:tcPr>
            <w:tcW w:w="1333" w:type="dxa"/>
            <w:tcBorders>
              <w:top w:val="single" w:sz="4" w:space="0" w:color="auto"/>
              <w:left w:val="single" w:sz="4" w:space="0" w:color="auto"/>
              <w:bottom w:val="single" w:sz="4" w:space="0" w:color="auto"/>
              <w:right w:val="single" w:sz="4" w:space="0" w:color="auto"/>
            </w:tcBorders>
            <w:noWrap/>
            <w:vAlign w:val="bottom"/>
            <w:hideMark/>
          </w:tcPr>
          <w:p w14:paraId="5DF2C6AC"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1,5</w:t>
            </w:r>
          </w:p>
        </w:tc>
        <w:tc>
          <w:tcPr>
            <w:tcW w:w="1332" w:type="dxa"/>
            <w:tcBorders>
              <w:top w:val="single" w:sz="4" w:space="0" w:color="auto"/>
              <w:left w:val="single" w:sz="4" w:space="0" w:color="auto"/>
              <w:bottom w:val="single" w:sz="4" w:space="0" w:color="auto"/>
              <w:right w:val="single" w:sz="4" w:space="0" w:color="auto"/>
            </w:tcBorders>
            <w:noWrap/>
            <w:vAlign w:val="bottom"/>
            <w:hideMark/>
          </w:tcPr>
          <w:p w14:paraId="45BC9F8F"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0,4</w:t>
            </w:r>
          </w:p>
        </w:tc>
        <w:tc>
          <w:tcPr>
            <w:tcW w:w="1333" w:type="dxa"/>
            <w:tcBorders>
              <w:top w:val="single" w:sz="4" w:space="0" w:color="auto"/>
              <w:left w:val="single" w:sz="4" w:space="0" w:color="auto"/>
              <w:bottom w:val="single" w:sz="4" w:space="0" w:color="auto"/>
              <w:right w:val="single" w:sz="4" w:space="0" w:color="auto"/>
            </w:tcBorders>
            <w:vAlign w:val="bottom"/>
            <w:hideMark/>
          </w:tcPr>
          <w:p w14:paraId="7041FA14"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1,6</w:t>
            </w:r>
          </w:p>
        </w:tc>
      </w:tr>
      <w:tr w:rsidR="0070161D" w:rsidRPr="007F32BC" w14:paraId="391090B4" w14:textId="77777777" w:rsidTr="0073287C">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B05E9EF" w14:textId="77777777" w:rsidR="0070161D" w:rsidRPr="007F32BC" w:rsidRDefault="0070161D" w:rsidP="008349F0">
            <w:pPr>
              <w:spacing w:after="0"/>
              <w:ind w:firstLine="0"/>
              <w:jc w:val="left"/>
              <w:rPr>
                <w:rFonts w:eastAsia="Calibri" w:cs="Times New Roman"/>
                <w:b/>
                <w:bCs/>
                <w:sz w:val="20"/>
                <w:szCs w:val="20"/>
              </w:rPr>
            </w:pPr>
            <w:r w:rsidRPr="007F32BC">
              <w:rPr>
                <w:rFonts w:eastAsia="Calibri" w:cs="Times New Roman"/>
                <w:b/>
                <w:bCs/>
                <w:sz w:val="20"/>
                <w:szCs w:val="20"/>
              </w:rPr>
              <w:t>Kopā vidēji svērtais 10 valstīm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EC4434" w14:textId="77777777" w:rsidR="0070161D" w:rsidRPr="007F32BC" w:rsidRDefault="0070161D" w:rsidP="008349F0">
            <w:pPr>
              <w:spacing w:after="0"/>
              <w:ind w:firstLine="0"/>
              <w:jc w:val="center"/>
              <w:rPr>
                <w:rFonts w:eastAsia="Calibri" w:cs="Times New Roman"/>
                <w:b/>
                <w:bCs/>
                <w:sz w:val="20"/>
                <w:szCs w:val="20"/>
              </w:rPr>
            </w:pPr>
            <w:r w:rsidRPr="007F32BC">
              <w:rPr>
                <w:rFonts w:eastAsia="Calibri" w:cs="Times New Roman"/>
                <w:b/>
                <w:bCs/>
                <w:sz w:val="20"/>
                <w:szCs w:val="20"/>
              </w:rPr>
              <w:t>67,8%</w:t>
            </w:r>
          </w:p>
        </w:tc>
        <w:tc>
          <w:tcPr>
            <w:tcW w:w="1332" w:type="dxa"/>
            <w:tcBorders>
              <w:top w:val="single" w:sz="4" w:space="0" w:color="auto"/>
              <w:left w:val="single" w:sz="4" w:space="0" w:color="auto"/>
              <w:bottom w:val="single" w:sz="4" w:space="0" w:color="auto"/>
              <w:right w:val="single" w:sz="4" w:space="0" w:color="auto"/>
            </w:tcBorders>
            <w:noWrap/>
            <w:vAlign w:val="center"/>
            <w:hideMark/>
          </w:tcPr>
          <w:p w14:paraId="2F013238" w14:textId="77777777" w:rsidR="0070161D" w:rsidRPr="007F32BC" w:rsidRDefault="0070161D" w:rsidP="008349F0">
            <w:pPr>
              <w:spacing w:after="0"/>
              <w:ind w:firstLine="0"/>
              <w:jc w:val="center"/>
              <w:rPr>
                <w:rFonts w:eastAsia="Calibri" w:cs="Times New Roman"/>
                <w:b/>
                <w:bCs/>
                <w:sz w:val="20"/>
                <w:szCs w:val="20"/>
              </w:rPr>
            </w:pPr>
            <w:r w:rsidRPr="007F32BC">
              <w:rPr>
                <w:rFonts w:eastAsia="Calibri" w:cs="Times New Roman"/>
                <w:b/>
                <w:bCs/>
                <w:sz w:val="20"/>
                <w:szCs w:val="20"/>
              </w:rPr>
              <w:t>1,1</w:t>
            </w:r>
          </w:p>
        </w:tc>
        <w:tc>
          <w:tcPr>
            <w:tcW w:w="1333" w:type="dxa"/>
            <w:tcBorders>
              <w:top w:val="single" w:sz="4" w:space="0" w:color="auto"/>
              <w:left w:val="single" w:sz="4" w:space="0" w:color="auto"/>
              <w:bottom w:val="single" w:sz="4" w:space="0" w:color="auto"/>
              <w:right w:val="single" w:sz="4" w:space="0" w:color="auto"/>
            </w:tcBorders>
            <w:noWrap/>
            <w:vAlign w:val="center"/>
            <w:hideMark/>
          </w:tcPr>
          <w:p w14:paraId="5BF05214" w14:textId="77777777" w:rsidR="0070161D" w:rsidRPr="007F32BC" w:rsidRDefault="0070161D" w:rsidP="008349F0">
            <w:pPr>
              <w:spacing w:after="0"/>
              <w:ind w:firstLine="0"/>
              <w:jc w:val="center"/>
              <w:rPr>
                <w:rFonts w:eastAsia="Calibri" w:cs="Times New Roman"/>
                <w:b/>
                <w:bCs/>
                <w:sz w:val="20"/>
                <w:szCs w:val="20"/>
              </w:rPr>
            </w:pPr>
            <w:r w:rsidRPr="007F32BC">
              <w:rPr>
                <w:rFonts w:eastAsia="Calibri" w:cs="Times New Roman"/>
                <w:b/>
                <w:bCs/>
                <w:sz w:val="20"/>
                <w:szCs w:val="20"/>
              </w:rPr>
              <w:t>2,3</w:t>
            </w:r>
          </w:p>
        </w:tc>
        <w:tc>
          <w:tcPr>
            <w:tcW w:w="1332" w:type="dxa"/>
            <w:tcBorders>
              <w:top w:val="single" w:sz="4" w:space="0" w:color="auto"/>
              <w:left w:val="single" w:sz="4" w:space="0" w:color="auto"/>
              <w:bottom w:val="single" w:sz="4" w:space="0" w:color="auto"/>
              <w:right w:val="single" w:sz="4" w:space="0" w:color="auto"/>
            </w:tcBorders>
            <w:noWrap/>
            <w:vAlign w:val="center"/>
            <w:hideMark/>
          </w:tcPr>
          <w:p w14:paraId="2D89AAE6" w14:textId="77777777" w:rsidR="0070161D" w:rsidRPr="007F32BC" w:rsidRDefault="0070161D" w:rsidP="008349F0">
            <w:pPr>
              <w:spacing w:after="0"/>
              <w:ind w:firstLine="0"/>
              <w:jc w:val="center"/>
              <w:rPr>
                <w:rFonts w:eastAsia="Calibri" w:cs="Times New Roman"/>
                <w:b/>
                <w:bCs/>
                <w:sz w:val="20"/>
                <w:szCs w:val="20"/>
              </w:rPr>
            </w:pPr>
            <w:r w:rsidRPr="007F32BC">
              <w:rPr>
                <w:rFonts w:eastAsia="Calibri" w:cs="Times New Roman"/>
                <w:b/>
                <w:bCs/>
                <w:sz w:val="20"/>
                <w:szCs w:val="20"/>
              </w:rPr>
              <w:t>-0,5</w:t>
            </w:r>
          </w:p>
        </w:tc>
        <w:tc>
          <w:tcPr>
            <w:tcW w:w="1333" w:type="dxa"/>
            <w:tcBorders>
              <w:top w:val="single" w:sz="4" w:space="0" w:color="auto"/>
              <w:left w:val="single" w:sz="4" w:space="0" w:color="auto"/>
              <w:bottom w:val="single" w:sz="4" w:space="0" w:color="auto"/>
              <w:right w:val="single" w:sz="4" w:space="0" w:color="auto"/>
            </w:tcBorders>
            <w:vAlign w:val="center"/>
            <w:hideMark/>
          </w:tcPr>
          <w:p w14:paraId="156E0709" w14:textId="77777777" w:rsidR="0070161D" w:rsidRPr="007F32BC" w:rsidRDefault="0070161D" w:rsidP="008349F0">
            <w:pPr>
              <w:spacing w:after="0"/>
              <w:ind w:firstLine="0"/>
              <w:jc w:val="center"/>
              <w:rPr>
                <w:rFonts w:eastAsia="Calibri" w:cs="Times New Roman"/>
                <w:b/>
                <w:bCs/>
                <w:sz w:val="20"/>
                <w:szCs w:val="20"/>
              </w:rPr>
            </w:pPr>
            <w:r w:rsidRPr="007F32BC">
              <w:rPr>
                <w:rFonts w:eastAsia="Calibri" w:cs="Times New Roman"/>
                <w:b/>
                <w:bCs/>
                <w:sz w:val="20"/>
                <w:szCs w:val="20"/>
              </w:rPr>
              <w:t>0,0</w:t>
            </w:r>
          </w:p>
        </w:tc>
      </w:tr>
      <w:tr w:rsidR="0070161D" w:rsidRPr="007F32BC" w14:paraId="0DDF1261"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4B8C1837" w14:textId="7DA22006" w:rsidR="0070161D" w:rsidRPr="007F32BC" w:rsidRDefault="0070161D" w:rsidP="008349F0">
            <w:pPr>
              <w:spacing w:after="0"/>
              <w:ind w:firstLine="0"/>
              <w:jc w:val="left"/>
              <w:rPr>
                <w:rFonts w:eastAsia="Calibri" w:cs="Times New Roman"/>
                <w:sz w:val="20"/>
                <w:szCs w:val="20"/>
              </w:rPr>
            </w:pPr>
            <w:proofErr w:type="spellStart"/>
            <w:r w:rsidRPr="007F32BC">
              <w:rPr>
                <w:rFonts w:eastAsia="Calibri" w:cs="Times New Roman"/>
                <w:i/>
                <w:iCs/>
                <w:sz w:val="20"/>
                <w:szCs w:val="20"/>
              </w:rPr>
              <w:t>E</w:t>
            </w:r>
            <w:r w:rsidR="007F32BC" w:rsidRPr="007F32BC">
              <w:rPr>
                <w:rFonts w:eastAsia="Calibri" w:cs="Times New Roman"/>
                <w:i/>
                <w:iCs/>
                <w:sz w:val="20"/>
                <w:szCs w:val="20"/>
              </w:rPr>
              <w:t>u</w:t>
            </w:r>
            <w:r w:rsidRPr="007F32BC">
              <w:rPr>
                <w:rFonts w:eastAsia="Calibri" w:cs="Times New Roman"/>
                <w:i/>
                <w:iCs/>
                <w:sz w:val="20"/>
                <w:szCs w:val="20"/>
              </w:rPr>
              <w:t>ro</w:t>
            </w:r>
            <w:proofErr w:type="spellEnd"/>
            <w:r w:rsidR="007F32BC" w:rsidRPr="007F32BC">
              <w:rPr>
                <w:rFonts w:eastAsia="Calibri" w:cs="Times New Roman"/>
                <w:sz w:val="20"/>
                <w:szCs w:val="20"/>
              </w:rPr>
              <w:t xml:space="preserve"> </w:t>
            </w:r>
            <w:r w:rsidRPr="007F32BC">
              <w:rPr>
                <w:rFonts w:eastAsia="Calibri" w:cs="Times New Roman"/>
                <w:sz w:val="20"/>
                <w:szCs w:val="20"/>
              </w:rPr>
              <w:t>zona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89D31D"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52,4%</w:t>
            </w:r>
          </w:p>
        </w:tc>
        <w:tc>
          <w:tcPr>
            <w:tcW w:w="1332" w:type="dxa"/>
            <w:tcBorders>
              <w:top w:val="single" w:sz="4" w:space="0" w:color="auto"/>
              <w:left w:val="single" w:sz="4" w:space="0" w:color="auto"/>
              <w:bottom w:val="single" w:sz="4" w:space="0" w:color="auto"/>
              <w:right w:val="single" w:sz="4" w:space="0" w:color="auto"/>
            </w:tcBorders>
            <w:noWrap/>
            <w:vAlign w:val="center"/>
            <w:hideMark/>
          </w:tcPr>
          <w:p w14:paraId="3A74F745"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0,8</w:t>
            </w:r>
          </w:p>
        </w:tc>
        <w:tc>
          <w:tcPr>
            <w:tcW w:w="1333" w:type="dxa"/>
            <w:tcBorders>
              <w:top w:val="single" w:sz="4" w:space="0" w:color="auto"/>
              <w:left w:val="single" w:sz="4" w:space="0" w:color="auto"/>
              <w:bottom w:val="single" w:sz="4" w:space="0" w:color="auto"/>
              <w:right w:val="single" w:sz="4" w:space="0" w:color="auto"/>
            </w:tcBorders>
            <w:noWrap/>
            <w:vAlign w:val="center"/>
            <w:hideMark/>
          </w:tcPr>
          <w:p w14:paraId="343EF5F2"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1,4</w:t>
            </w:r>
          </w:p>
        </w:tc>
        <w:tc>
          <w:tcPr>
            <w:tcW w:w="1332" w:type="dxa"/>
            <w:tcBorders>
              <w:top w:val="single" w:sz="4" w:space="0" w:color="auto"/>
              <w:left w:val="single" w:sz="4" w:space="0" w:color="auto"/>
              <w:bottom w:val="single" w:sz="4" w:space="0" w:color="auto"/>
              <w:right w:val="single" w:sz="4" w:space="0" w:color="auto"/>
            </w:tcBorders>
            <w:noWrap/>
            <w:vAlign w:val="center"/>
            <w:hideMark/>
          </w:tcPr>
          <w:p w14:paraId="6E6E239F"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-0,4</w:t>
            </w:r>
          </w:p>
        </w:tc>
        <w:tc>
          <w:tcPr>
            <w:tcW w:w="1333" w:type="dxa"/>
            <w:tcBorders>
              <w:top w:val="single" w:sz="4" w:space="0" w:color="auto"/>
              <w:left w:val="single" w:sz="4" w:space="0" w:color="auto"/>
              <w:bottom w:val="single" w:sz="4" w:space="0" w:color="auto"/>
              <w:right w:val="single" w:sz="4" w:space="0" w:color="auto"/>
            </w:tcBorders>
            <w:vAlign w:val="center"/>
            <w:hideMark/>
          </w:tcPr>
          <w:p w14:paraId="12597B62"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-0,2</w:t>
            </w:r>
          </w:p>
        </w:tc>
      </w:tr>
      <w:tr w:rsidR="0070161D" w:rsidRPr="007F32BC" w14:paraId="3E15487B" w14:textId="77777777" w:rsidTr="0073287C">
        <w:trPr>
          <w:trHeight w:val="31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41D0DA6C" w14:textId="77777777" w:rsidR="0070161D" w:rsidRPr="007F32BC" w:rsidRDefault="0070161D" w:rsidP="008349F0">
            <w:pPr>
              <w:spacing w:after="0"/>
              <w:ind w:firstLine="0"/>
              <w:jc w:val="left"/>
              <w:rPr>
                <w:rFonts w:eastAsia="Calibri" w:cs="Times New Roman"/>
                <w:sz w:val="20"/>
                <w:szCs w:val="20"/>
              </w:rPr>
            </w:pPr>
            <w:r w:rsidRPr="007F32BC">
              <w:rPr>
                <w:rFonts w:eastAsia="Calibri" w:cs="Times New Roman"/>
                <w:sz w:val="20"/>
                <w:szCs w:val="20"/>
              </w:rPr>
              <w:t>Pasaule*</w:t>
            </w:r>
          </w:p>
        </w:tc>
        <w:tc>
          <w:tcPr>
            <w:tcW w:w="1559" w:type="dxa"/>
            <w:tcBorders>
              <w:top w:val="single" w:sz="4" w:space="0" w:color="auto"/>
              <w:left w:val="single" w:sz="4" w:space="0" w:color="auto"/>
              <w:bottom w:val="single" w:sz="4" w:space="0" w:color="auto"/>
              <w:right w:val="single" w:sz="4" w:space="0" w:color="auto"/>
            </w:tcBorders>
            <w:vAlign w:val="center"/>
          </w:tcPr>
          <w:p w14:paraId="04582A25" w14:textId="77777777" w:rsidR="0070161D" w:rsidRPr="007F32BC" w:rsidRDefault="0070161D" w:rsidP="008349F0">
            <w:pPr>
              <w:spacing w:after="0"/>
              <w:ind w:firstLine="0"/>
              <w:jc w:val="center"/>
              <w:rPr>
                <w:rFonts w:eastAsia="Calibri" w:cs="Times New Roman"/>
                <w:sz w:val="20"/>
                <w:szCs w:val="20"/>
              </w:rPr>
            </w:pPr>
          </w:p>
        </w:tc>
        <w:tc>
          <w:tcPr>
            <w:tcW w:w="1332" w:type="dxa"/>
            <w:tcBorders>
              <w:top w:val="single" w:sz="4" w:space="0" w:color="auto"/>
              <w:left w:val="single" w:sz="4" w:space="0" w:color="auto"/>
              <w:bottom w:val="single" w:sz="4" w:space="0" w:color="auto"/>
              <w:right w:val="single" w:sz="4" w:space="0" w:color="auto"/>
            </w:tcBorders>
            <w:noWrap/>
            <w:vAlign w:val="center"/>
            <w:hideMark/>
          </w:tcPr>
          <w:p w14:paraId="455576CD"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3,2</w:t>
            </w:r>
          </w:p>
        </w:tc>
        <w:tc>
          <w:tcPr>
            <w:tcW w:w="1333" w:type="dxa"/>
            <w:tcBorders>
              <w:top w:val="single" w:sz="4" w:space="0" w:color="auto"/>
              <w:left w:val="single" w:sz="4" w:space="0" w:color="auto"/>
              <w:bottom w:val="single" w:sz="4" w:space="0" w:color="auto"/>
              <w:right w:val="single" w:sz="4" w:space="0" w:color="auto"/>
            </w:tcBorders>
            <w:noWrap/>
            <w:vAlign w:val="center"/>
            <w:hideMark/>
          </w:tcPr>
          <w:p w14:paraId="7ABB7A80"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3,3</w:t>
            </w:r>
          </w:p>
        </w:tc>
        <w:tc>
          <w:tcPr>
            <w:tcW w:w="1332" w:type="dxa"/>
            <w:tcBorders>
              <w:top w:val="single" w:sz="4" w:space="0" w:color="auto"/>
              <w:left w:val="single" w:sz="4" w:space="0" w:color="auto"/>
              <w:bottom w:val="single" w:sz="4" w:space="0" w:color="auto"/>
              <w:right w:val="single" w:sz="4" w:space="0" w:color="auto"/>
            </w:tcBorders>
            <w:noWrap/>
            <w:vAlign w:val="center"/>
            <w:hideMark/>
          </w:tcPr>
          <w:p w14:paraId="05576D26"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0,1</w:t>
            </w:r>
          </w:p>
        </w:tc>
        <w:tc>
          <w:tcPr>
            <w:tcW w:w="1333" w:type="dxa"/>
            <w:tcBorders>
              <w:top w:val="single" w:sz="4" w:space="0" w:color="auto"/>
              <w:left w:val="single" w:sz="4" w:space="0" w:color="auto"/>
              <w:bottom w:val="single" w:sz="4" w:space="0" w:color="auto"/>
              <w:right w:val="single" w:sz="4" w:space="0" w:color="auto"/>
            </w:tcBorders>
            <w:vAlign w:val="center"/>
            <w:hideMark/>
          </w:tcPr>
          <w:p w14:paraId="06030CF8" w14:textId="77777777" w:rsidR="0070161D" w:rsidRPr="007F32BC" w:rsidRDefault="0070161D" w:rsidP="008349F0">
            <w:pPr>
              <w:spacing w:after="0"/>
              <w:ind w:firstLine="0"/>
              <w:jc w:val="center"/>
              <w:rPr>
                <w:rFonts w:eastAsia="Calibri" w:cs="Times New Roman"/>
                <w:sz w:val="20"/>
                <w:szCs w:val="20"/>
              </w:rPr>
            </w:pPr>
            <w:r w:rsidRPr="007F32BC">
              <w:rPr>
                <w:rFonts w:eastAsia="Calibri" w:cs="Times New Roman"/>
                <w:sz w:val="20"/>
                <w:szCs w:val="20"/>
              </w:rPr>
              <w:t>0,1</w:t>
            </w:r>
          </w:p>
        </w:tc>
      </w:tr>
    </w:tbl>
    <w:p w14:paraId="518A6DF9" w14:textId="77777777" w:rsidR="0070161D" w:rsidRPr="00FD1578" w:rsidRDefault="0070161D" w:rsidP="008349F0">
      <w:pPr>
        <w:keepNext/>
        <w:keepLines/>
        <w:spacing w:before="240" w:after="240"/>
        <w:ind w:firstLine="0"/>
        <w:jc w:val="center"/>
        <w:outlineLvl w:val="1"/>
        <w:rPr>
          <w:rFonts w:eastAsia="Times New Roman" w:cs="Times New Roman"/>
          <w:b/>
          <w:bCs/>
          <w:color w:val="000000"/>
          <w:sz w:val="36"/>
          <w:szCs w:val="28"/>
        </w:rPr>
      </w:pPr>
      <w:bookmarkStart w:id="5" w:name="_Toc178763475"/>
      <w:bookmarkStart w:id="6" w:name="_Toc179356064"/>
      <w:r w:rsidRPr="007F32BC">
        <w:rPr>
          <w:rFonts w:eastAsia="Times New Roman" w:cs="Times New Roman"/>
          <w:b/>
          <w:bCs/>
          <w:color w:val="000000"/>
          <w:sz w:val="36"/>
          <w:szCs w:val="28"/>
        </w:rPr>
        <w:t>1.2. Latvijas tauts</w:t>
      </w:r>
      <w:r w:rsidRPr="00FD1578">
        <w:rPr>
          <w:rFonts w:eastAsia="Times New Roman" w:cs="Times New Roman"/>
          <w:b/>
          <w:bCs/>
          <w:color w:val="000000"/>
          <w:sz w:val="36"/>
          <w:szCs w:val="28"/>
        </w:rPr>
        <w:t>aimniecības attīstība</w:t>
      </w:r>
      <w:bookmarkEnd w:id="5"/>
      <w:bookmarkEnd w:id="6"/>
    </w:p>
    <w:p w14:paraId="46A9DAC0"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Līdz 2022. gadam Latvijas ekonomika gan Covid-19 pandēmijas, gan Krievijas uzsāktā kara radītās problēmas bija pārvarējusi labāk nekā prognozēts, taču 2023. gadā ārējās vides negatīvā ietekme kļuva jūtamāka un Latvijas iekšzemes kopprodukts (IKP), salīdzinot ar iepriekšējo gadu, samazinājās par 0,3%.</w:t>
      </w:r>
    </w:p>
    <w:p w14:paraId="7D39C3CC"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Ekonomikas lejupslīdi pērn noteica galvenokārt zemā ekonomikas izaugsme pasaulē un galvenajās Latvijas ārējās tirdzniecības partnervalstīs, kur attīstības tempus bremzēja gan Krievijas uzsāktais karš Ukrainā un energoresursu cenu kāpums, gan procentu likmju pieaugums, centrālajām bankām cenšoties ierobežot inflāciju. Tā rezultātā Latvijas preču un pakalpojumu eksports pērn kritās par 5,9%, īpaši tas atspoguļojās uz eksportu orientētajā apstrādes rūpniecības nozarē, kas samazinājās par 5,2%, kā arī transporta un uzglabāšanas nozarē (-7,8%), kuru vēl papildus ietekmēja Krievijas kravu tranzīta zaudēšana.</w:t>
      </w:r>
    </w:p>
    <w:p w14:paraId="2C197753"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Tajā pašā laikā iekšzemes pieprasījums saglabājās salīdzinoši spēcīgs, īpaši strauji augot investīcijām un būvniecības nozarei, attiecīgi par 8,2% un 18,6%. Sabiedriskais patēriņš palielinājās par 7,0%, nozaru griezumā tas visvairāk saistās ar izglītības, kā arī mākslas, izklaides un atpūtas nozaru pieaugumu par attiecīgi 7,8% un 11,7%. Arī privātā patēriņa samazinājums 1,3% apmērā vērtējams kā salīdzinoši mērens, ņemot vērā krasi pieaugušo cenu līmeni, ko iedzīvotājiem palīdzēja kompensēt gan Covid-19 pandēmijas laikā izveidojušies uzkrājumi, gan valsts </w:t>
      </w:r>
      <w:proofErr w:type="spellStart"/>
      <w:r w:rsidRPr="00FD1578">
        <w:rPr>
          <w:rFonts w:eastAsia="Calibri" w:cs="Times New Roman"/>
          <w:szCs w:val="20"/>
          <w:lang w:eastAsia="en-US"/>
        </w:rPr>
        <w:t>energoatbalsta</w:t>
      </w:r>
      <w:proofErr w:type="spellEnd"/>
      <w:r w:rsidRPr="00FD1578">
        <w:rPr>
          <w:rFonts w:eastAsia="Calibri" w:cs="Times New Roman"/>
          <w:szCs w:val="20"/>
          <w:lang w:eastAsia="en-US"/>
        </w:rPr>
        <w:t xml:space="preserve"> pasākumi un straujāka pensiju indeksācija 2022. gada otrajā pusē.</w:t>
      </w:r>
    </w:p>
    <w:p w14:paraId="68037BB3" w14:textId="05A36B2C"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Pēc </w:t>
      </w:r>
      <w:r w:rsidR="00BD225C">
        <w:rPr>
          <w:rFonts w:eastAsia="Calibri" w:cs="Times New Roman"/>
          <w:szCs w:val="20"/>
          <w:lang w:eastAsia="en-US"/>
        </w:rPr>
        <w:t>2023. gadā</w:t>
      </w:r>
      <w:r w:rsidR="00BD225C" w:rsidRPr="00FD1578">
        <w:rPr>
          <w:rFonts w:eastAsia="Calibri" w:cs="Times New Roman"/>
          <w:szCs w:val="20"/>
          <w:lang w:eastAsia="en-US"/>
        </w:rPr>
        <w:t xml:space="preserve"> </w:t>
      </w:r>
      <w:r w:rsidRPr="00FD1578">
        <w:rPr>
          <w:rFonts w:eastAsia="Calibri" w:cs="Times New Roman"/>
          <w:szCs w:val="20"/>
          <w:lang w:eastAsia="en-US"/>
        </w:rPr>
        <w:t xml:space="preserve">piedzīvotā nelielā krituma šogad Latvijas ekonomikas izaugsme ir atjaunojusies, bet pagaidām ir vāja - IKP pirmajā pusgadā pret pagājušā gada pirmo pusgadu palielinājies par 0,3%. Nelielo pieaugumu nodrošinājis iekšzemes pieprasījums, īpaši sabiedriskais sektors un ar to saistītās nozares – valsts pārvalde, izglītība un veselība, kā arī </w:t>
      </w:r>
      <w:r w:rsidRPr="00FD1578">
        <w:rPr>
          <w:rFonts w:eastAsia="Calibri" w:cs="Times New Roman"/>
          <w:szCs w:val="20"/>
          <w:lang w:eastAsia="en-US"/>
        </w:rPr>
        <w:lastRenderedPageBreak/>
        <w:t>produktu nodokļu pieaugums un subsīdiju samazinājums, kamēr ārējā sektora un biznesa nozaru attīstība pagaidām bijusi vāja. Produktu nodokļi mīnus subsīdijas gada pirmajā pusē auguši par 3,9%, kamēr ražojošās nozares - rūpniecība, būvniecība un lauksaimniecība -</w:t>
      </w:r>
      <w:r w:rsidR="005735FB">
        <w:rPr>
          <w:rFonts w:eastAsia="Calibri" w:cs="Times New Roman"/>
          <w:szCs w:val="20"/>
          <w:lang w:eastAsia="en-US"/>
        </w:rPr>
        <w:t xml:space="preserve"> </w:t>
      </w:r>
      <w:r w:rsidRPr="00FD1578">
        <w:rPr>
          <w:rFonts w:eastAsia="Calibri" w:cs="Times New Roman"/>
          <w:szCs w:val="20"/>
          <w:lang w:eastAsia="en-US"/>
        </w:rPr>
        <w:t>kopā kritušās par 1,2%, bet pakalpojumu nozares palielinājušās tikai par 0,2%.</w:t>
      </w:r>
    </w:p>
    <w:p w14:paraId="68AD65FB" w14:textId="7A33204A"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Lielāko pozitīvo devumu ekonomikas izaugsmē </w:t>
      </w:r>
      <w:r w:rsidR="00482747">
        <w:rPr>
          <w:rFonts w:eastAsia="Calibri" w:cs="Times New Roman"/>
          <w:szCs w:val="20"/>
          <w:lang w:eastAsia="en-US"/>
        </w:rPr>
        <w:t xml:space="preserve">2024. </w:t>
      </w:r>
      <w:r w:rsidRPr="00FD1578">
        <w:rPr>
          <w:rFonts w:eastAsia="Calibri" w:cs="Times New Roman"/>
          <w:szCs w:val="20"/>
          <w:lang w:eastAsia="en-US"/>
        </w:rPr>
        <w:t xml:space="preserve">gada pirmajā pusē deva valsts pārvaldes un aizsardzības nozare, kas pieauga par 7,1%, izglītības nozare (+6,9%) un veselības nozare (+6,9%), bet no biznesa nozarēm pieaugums fiksēts lauksaimniecības, enerģētikas, kā arī informācijas un komunikācijas pakalpojumu nozarēs. Savukārt lielākā negatīvā ietekme bijusi kritumam transportā par 8,4% un apstrādes rūpniecībā par 3,7%. IKP izmaiņas no izlietojuma puses un nozaru griezumā 2023. gadā un 2024. gada pirmajā pusē apkopotas </w:t>
      </w:r>
      <w:r w:rsidRPr="00FD1578">
        <w:rPr>
          <w:rFonts w:eastAsia="Times New Roman" w:cs="Times New Roman"/>
          <w:szCs w:val="24"/>
          <w:lang w:eastAsia="en-US"/>
        </w:rPr>
        <w:t>1.1. attēlā.</w:t>
      </w:r>
    </w:p>
    <w:tbl>
      <w:tblPr>
        <w:tblStyle w:val="TableGrid17"/>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Look w:val="04A0" w:firstRow="1" w:lastRow="0" w:firstColumn="1" w:lastColumn="0" w:noHBand="0" w:noVBand="1"/>
      </w:tblPr>
      <w:tblGrid>
        <w:gridCol w:w="4656"/>
        <w:gridCol w:w="4415"/>
      </w:tblGrid>
      <w:tr w:rsidR="0070161D" w:rsidRPr="00FD1578" w14:paraId="2E8DC250" w14:textId="77777777" w:rsidTr="0073287C">
        <w:tc>
          <w:tcPr>
            <w:tcW w:w="4263" w:type="dxa"/>
            <w:shd w:val="clear" w:color="auto" w:fill="auto"/>
            <w:hideMark/>
          </w:tcPr>
          <w:p w14:paraId="5F2E33DC" w14:textId="77777777" w:rsidR="0070161D" w:rsidRPr="00FD1578" w:rsidRDefault="0070161D" w:rsidP="008349F0">
            <w:pPr>
              <w:spacing w:before="120" w:after="0"/>
              <w:ind w:firstLine="0"/>
              <w:rPr>
                <w:rFonts w:ascii="Calibri" w:eastAsia="Calibri" w:hAnsi="Calibri"/>
                <w:sz w:val="22"/>
              </w:rPr>
            </w:pPr>
            <w:r w:rsidRPr="00FD1578">
              <w:rPr>
                <w:rFonts w:ascii="Calibri" w:hAnsi="Calibri"/>
                <w:noProof/>
                <w:sz w:val="22"/>
              </w:rPr>
              <w:drawing>
                <wp:inline distT="0" distB="0" distL="0" distR="0" wp14:anchorId="665B7252" wp14:editId="5D3D938C">
                  <wp:extent cx="3041650" cy="4565650"/>
                  <wp:effectExtent l="0" t="0" r="6350" b="6350"/>
                  <wp:docPr id="829355182" name="Object 1">
                    <a:extLst xmlns:a="http://schemas.openxmlformats.org/drawingml/2006/main">
                      <a:ext uri="{FF2B5EF4-FFF2-40B4-BE49-F238E27FC236}">
                        <a16:creationId xmlns:a16="http://schemas.microsoft.com/office/drawing/2014/main" id="{95718DDC-74B7-4D4E-AA70-1028CC0DDE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c>
          <w:tcPr>
            <w:tcW w:w="4043" w:type="dxa"/>
            <w:shd w:val="clear" w:color="auto" w:fill="auto"/>
            <w:hideMark/>
          </w:tcPr>
          <w:p w14:paraId="0A886B6C" w14:textId="77777777" w:rsidR="0070161D" w:rsidRPr="00FD1578" w:rsidRDefault="0070161D" w:rsidP="008349F0">
            <w:pPr>
              <w:spacing w:before="120" w:after="0"/>
              <w:ind w:firstLine="0"/>
              <w:rPr>
                <w:rFonts w:ascii="Calibri" w:eastAsia="Calibri" w:hAnsi="Calibri"/>
                <w:sz w:val="22"/>
              </w:rPr>
            </w:pPr>
            <w:r w:rsidRPr="00FD1578">
              <w:rPr>
                <w:rFonts w:ascii="Calibri" w:hAnsi="Calibri"/>
                <w:noProof/>
                <w:sz w:val="22"/>
              </w:rPr>
              <w:drawing>
                <wp:inline distT="0" distB="0" distL="0" distR="0" wp14:anchorId="1E5240F2" wp14:editId="54924AA5">
                  <wp:extent cx="2882900" cy="4572000"/>
                  <wp:effectExtent l="0" t="0" r="0" b="0"/>
                  <wp:docPr id="777749787" name="Object 2">
                    <a:extLst xmlns:a="http://schemas.openxmlformats.org/drawingml/2006/main">
                      <a:ext uri="{FF2B5EF4-FFF2-40B4-BE49-F238E27FC236}">
                        <a16:creationId xmlns:a16="http://schemas.microsoft.com/office/drawing/2014/main" id="{BE87C5C9-ED45-43F3-B953-B4DA89754C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70161D" w:rsidRPr="00FD1578" w14:paraId="122251E7" w14:textId="77777777" w:rsidTr="0073287C">
        <w:tc>
          <w:tcPr>
            <w:tcW w:w="8306" w:type="dxa"/>
            <w:gridSpan w:val="2"/>
            <w:shd w:val="clear" w:color="auto" w:fill="auto"/>
            <w:hideMark/>
          </w:tcPr>
          <w:p w14:paraId="0F6433C2" w14:textId="77777777" w:rsidR="0070161D" w:rsidRPr="00FD1578" w:rsidRDefault="0070161D" w:rsidP="008349F0">
            <w:pPr>
              <w:spacing w:before="120" w:after="0"/>
              <w:ind w:firstLine="0"/>
              <w:jc w:val="center"/>
              <w:rPr>
                <w:rFonts w:eastAsia="Calibri"/>
                <w:szCs w:val="24"/>
              </w:rPr>
            </w:pPr>
            <w:r w:rsidRPr="00FD1578">
              <w:rPr>
                <w:rFonts w:eastAsia="Calibri"/>
                <w:b/>
                <w:i/>
                <w:szCs w:val="24"/>
              </w:rPr>
              <w:t>1.1. att. IKP izmaiņas no izlietojuma puses un IKP pievienotās vērtības izmaiņas tautsaimniecības nozarēs, salīdzinot ar iepriekšējā gada attiecīgo periodu, %</w:t>
            </w:r>
          </w:p>
        </w:tc>
      </w:tr>
    </w:tbl>
    <w:p w14:paraId="49ACB5C7" w14:textId="77777777" w:rsidR="0070161D" w:rsidRPr="00FD1578" w:rsidRDefault="0070161D" w:rsidP="008349F0">
      <w:pPr>
        <w:spacing w:before="120"/>
        <w:rPr>
          <w:rFonts w:ascii="Calibri" w:eastAsia="Calibri" w:hAnsi="Calibri" w:cs="Times New Roman"/>
          <w:sz w:val="22"/>
          <w:lang w:eastAsia="en-US"/>
        </w:rPr>
      </w:pPr>
      <w:r w:rsidRPr="00FD1578">
        <w:rPr>
          <w:rFonts w:eastAsia="Calibri" w:cs="Times New Roman"/>
          <w:szCs w:val="20"/>
          <w:lang w:eastAsia="en-US"/>
        </w:rPr>
        <w:t xml:space="preserve">2024. gada otrajā pusē, ekonomiskajai situācijai Latvijas ārējos tirgos pakāpeniski uzlabojoties, kad izaugsmes paātrināšanos sekmēs arī ECB jūnijā uzsāktā procentu likmju pazemināšana, ārējais sektors, tajā skaitā apstrādes rūpniecība un eksports sāks dot būtiskāku devumu Latvijas ekonomikas izaugsmē. Vienlaikus gaidāma arī spēcīgāka privātā patēriņa atjaunošanās, cenu līmenim stabilizējoties, kamēr iedzīvotāju ienākumi turpina strauji augt. Nākamajos ceturkšņos izaugsmi spēcīgāk veicinās arī investīciju pieaugums, tajā skaitā straujāka ES fondu investīciju izmantošana. Līdz ar to ekonomikas izaugsme nākamajos ceturkšņos paātrināsies, un 2024. gadā kopumā IKP pieaugums, atbilstoši FM jūnija sākumā izstrādātajām makroekonomisko rādītāju prognozēm, sasniegs 1,4%, bet 2025. gadā </w:t>
      </w:r>
      <w:r w:rsidRPr="00FD1578">
        <w:rPr>
          <w:rFonts w:eastAsia="Calibri" w:cs="Times New Roman"/>
          <w:szCs w:val="20"/>
          <w:lang w:eastAsia="en-US"/>
        </w:rPr>
        <w:lastRenderedPageBreak/>
        <w:t>paātrināsies līdz 2,9%. Nākamajos trīs gados sagaidāms, ka ekonomikas izaugsme stabilizēsies ap 2,5% līmenī.</w:t>
      </w:r>
    </w:p>
    <w:p w14:paraId="01C6693D" w14:textId="77777777" w:rsidR="0070161D" w:rsidRPr="00FD1578" w:rsidRDefault="0070161D" w:rsidP="008349F0">
      <w:pPr>
        <w:spacing w:before="240" w:after="240"/>
        <w:ind w:firstLine="0"/>
        <w:jc w:val="center"/>
        <w:outlineLvl w:val="2"/>
        <w:rPr>
          <w:rFonts w:eastAsia="Times New Roman" w:cs="Times New Roman"/>
          <w:b/>
          <w:sz w:val="32"/>
          <w:szCs w:val="20"/>
          <w:lang w:eastAsia="en-US"/>
        </w:rPr>
      </w:pPr>
      <w:bookmarkStart w:id="7" w:name="_Toc178763476"/>
      <w:bookmarkStart w:id="8" w:name="_Toc179356065"/>
      <w:r w:rsidRPr="00FD1578">
        <w:rPr>
          <w:rFonts w:eastAsia="Times New Roman" w:cs="Times New Roman"/>
          <w:b/>
          <w:sz w:val="32"/>
          <w:szCs w:val="20"/>
          <w:lang w:eastAsia="en-US"/>
        </w:rPr>
        <w:t>1.2.1. Tautsaimniecības nozaru attīstība</w:t>
      </w:r>
      <w:bookmarkEnd w:id="7"/>
      <w:bookmarkEnd w:id="8"/>
    </w:p>
    <w:p w14:paraId="33C009C0" w14:textId="77777777" w:rsidR="0070161D" w:rsidRPr="00FD1578" w:rsidRDefault="0070161D" w:rsidP="008349F0">
      <w:pPr>
        <w:rPr>
          <w:rFonts w:eastAsia="Calibri" w:cs="Arial"/>
          <w:b/>
          <w:bCs/>
          <w:szCs w:val="24"/>
        </w:rPr>
      </w:pPr>
      <w:r w:rsidRPr="00FD1578">
        <w:rPr>
          <w:rFonts w:eastAsia="Calibri" w:cs="Arial"/>
          <w:b/>
          <w:bCs/>
          <w:szCs w:val="24"/>
        </w:rPr>
        <w:t>Rūpniecība</w:t>
      </w:r>
    </w:p>
    <w:p w14:paraId="6942D441"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Latvijas rūpniecības nozare saskaras ar ilglaicīgiem izaicinājumiem, ražošanas apjomiem pret iepriekšējo gadu samazinoties gan 2023. gadā, gan 2024. gada pirmajā pusgadā.</w:t>
      </w:r>
    </w:p>
    <w:p w14:paraId="43D5B9B9"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Rūpniecības pievienotās vērtības īpatsvars Latvijas tautsaimniecībā 2023. gadā salīdzināmās cenās bija 16,0%, kas ir par 0,7 </w:t>
      </w:r>
      <w:proofErr w:type="spellStart"/>
      <w:r w:rsidRPr="00FD1578">
        <w:rPr>
          <w:rFonts w:eastAsia="Calibri" w:cs="Times New Roman"/>
          <w:szCs w:val="20"/>
          <w:lang w:eastAsia="en-US"/>
        </w:rPr>
        <w:t>pp</w:t>
      </w:r>
      <w:proofErr w:type="spellEnd"/>
      <w:r w:rsidRPr="00FD1578">
        <w:rPr>
          <w:rFonts w:eastAsia="Calibri" w:cs="Times New Roman"/>
          <w:szCs w:val="20"/>
          <w:lang w:eastAsia="en-US"/>
        </w:rPr>
        <w:t xml:space="preserve"> mazāk nekā 2022. gadā. Savukārt 2024. gada pirmajā pusgadā nozares pievienotās vērtības īpatsvars bijis 16,2%, kas ir par 0,6 </w:t>
      </w:r>
      <w:proofErr w:type="spellStart"/>
      <w:r w:rsidRPr="00FD1578">
        <w:rPr>
          <w:rFonts w:eastAsia="Calibri" w:cs="Times New Roman"/>
          <w:szCs w:val="20"/>
          <w:lang w:eastAsia="en-US"/>
        </w:rPr>
        <w:t>pp</w:t>
      </w:r>
      <w:proofErr w:type="spellEnd"/>
      <w:r w:rsidRPr="00FD1578">
        <w:rPr>
          <w:rFonts w:eastAsia="Calibri" w:cs="Times New Roman"/>
          <w:szCs w:val="20"/>
          <w:lang w:eastAsia="en-US"/>
        </w:rPr>
        <w:t xml:space="preserve"> mazāk nekā pērnā gada pirmajā pusgadā. Rūpniecības nozare 2023. gadā nodarbinājusi 15,0% no visiem tautsaimniecībā strādājošajiem iedzīvotājiem, kas ir par 0,5% mazāk nekā 2022. gadā. Rūpniecības lielākā </w:t>
      </w:r>
      <w:proofErr w:type="spellStart"/>
      <w:r w:rsidRPr="00FD1578">
        <w:rPr>
          <w:rFonts w:eastAsia="Calibri" w:cs="Times New Roman"/>
          <w:szCs w:val="20"/>
          <w:lang w:eastAsia="en-US"/>
        </w:rPr>
        <w:t>apakšnozare</w:t>
      </w:r>
      <w:proofErr w:type="spellEnd"/>
      <w:r w:rsidRPr="00FD1578">
        <w:rPr>
          <w:rFonts w:eastAsia="Calibri" w:cs="Times New Roman"/>
          <w:szCs w:val="20"/>
          <w:lang w:eastAsia="en-US"/>
        </w:rPr>
        <w:t xml:space="preserve"> ir apstrādes rūpniecība, kas aizņem 77,1% no visas rūpniecības. Otra lielākā </w:t>
      </w:r>
      <w:proofErr w:type="spellStart"/>
      <w:r w:rsidRPr="00FD1578">
        <w:rPr>
          <w:rFonts w:eastAsia="Calibri" w:cs="Times New Roman"/>
          <w:szCs w:val="20"/>
          <w:lang w:eastAsia="en-US"/>
        </w:rPr>
        <w:t>apakšnozare</w:t>
      </w:r>
      <w:proofErr w:type="spellEnd"/>
      <w:r w:rsidRPr="00FD1578">
        <w:rPr>
          <w:rFonts w:eastAsia="Calibri" w:cs="Times New Roman"/>
          <w:szCs w:val="20"/>
          <w:lang w:eastAsia="en-US"/>
        </w:rPr>
        <w:t xml:space="preserve"> ir elektroenerģijas un gāzes apgāde (19,8%), bet mazākā no trīs </w:t>
      </w:r>
      <w:proofErr w:type="spellStart"/>
      <w:r w:rsidRPr="00FD1578">
        <w:rPr>
          <w:rFonts w:eastAsia="Calibri" w:cs="Times New Roman"/>
          <w:szCs w:val="20"/>
          <w:lang w:eastAsia="en-US"/>
        </w:rPr>
        <w:t>apakšnozarēm</w:t>
      </w:r>
      <w:proofErr w:type="spellEnd"/>
      <w:r w:rsidRPr="00FD1578">
        <w:rPr>
          <w:rFonts w:eastAsia="Calibri" w:cs="Times New Roman"/>
          <w:szCs w:val="20"/>
          <w:lang w:eastAsia="en-US"/>
        </w:rPr>
        <w:t xml:space="preserve"> ir ieguves rūpniecība un karjeru izstrāde (3,1%). </w:t>
      </w:r>
    </w:p>
    <w:p w14:paraId="7942CE90"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Rūpniecības kopējie apjomi 2023. gadā pret iepriekšējo gadu samazinājās par 5,4%, kas ir lielākais kritums kopš 2009. gada. Samazinājumu noteica ekonomiskās izaugsmes palēnināšanās ES, kas ietekmēja arī būvniecības un apstrādes rūpniecības nozares, kas, savukārt izraisīja pieprasījuma samazināšanos pēc Latvijas rūpnieku ražojumiem. Zemāku pieprasījumu Latvijas rūpniecības nozarē sāka izjust 2022. gada otrajā pusē, attiecīgi sākot sarukt arī ražošanas apjomiem (1.2. attēls). Arī 2024. gada vidū zemo pieprasījumu ražotāji joprojām norāda kā galveno ierobežojošo faktoru, turpinoties arī ražošanas apjomu sarukumam. Tādi faktori kā izejvielu trūkums un ražošanas izmaksu pieaugums vairs būtiski neietekmē Latvijas rūpniekus, kā tas bija novērots 2022. gadā. Ražošanas cenas sāka samazināties 2023. gada vidū un turpina samazināties arī 2024. gada jūlijā, bet izejvielu imports pēc Krievijas iebrukuma Ukrainā ir pārorientēts uz alternatīviem tirgiem.</w:t>
      </w:r>
    </w:p>
    <w:p w14:paraId="12FB5AC8" w14:textId="77777777" w:rsidR="0070161D" w:rsidRPr="00FD1578" w:rsidRDefault="0070161D" w:rsidP="008349F0">
      <w:pPr>
        <w:spacing w:after="0"/>
        <w:ind w:firstLine="0"/>
        <w:jc w:val="center"/>
        <w:rPr>
          <w:rFonts w:eastAsia="Calibri" w:cs="Times New Roman"/>
          <w:sz w:val="18"/>
          <w:szCs w:val="18"/>
          <w:lang w:eastAsia="en-US"/>
        </w:rPr>
      </w:pPr>
      <w:r w:rsidRPr="00FD1578">
        <w:rPr>
          <w:rFonts w:ascii="Calibri" w:eastAsia="Calibri" w:hAnsi="Calibri" w:cs="Times New Roman"/>
          <w:noProof/>
          <w:sz w:val="22"/>
          <w:lang w:eastAsia="en-US"/>
        </w:rPr>
        <w:drawing>
          <wp:inline distT="0" distB="0" distL="0" distR="0" wp14:anchorId="0B4687C4" wp14:editId="2BD32C4B">
            <wp:extent cx="5276850" cy="2279650"/>
            <wp:effectExtent l="0" t="0" r="0" b="6350"/>
            <wp:docPr id="1246349704" name="Object 3">
              <a:extLst xmlns:a="http://schemas.openxmlformats.org/drawingml/2006/main">
                <a:ext uri="{FF2B5EF4-FFF2-40B4-BE49-F238E27FC236}">
                  <a16:creationId xmlns:a16="http://schemas.microsoft.com/office/drawing/2014/main" id="{00000000-0008-0000-13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FD676DC" w14:textId="77777777" w:rsidR="0070161D" w:rsidRPr="00FD1578" w:rsidRDefault="0070161D" w:rsidP="00F87D38">
      <w:pPr>
        <w:numPr>
          <w:ilvl w:val="1"/>
          <w:numId w:val="16"/>
        </w:numPr>
        <w:spacing w:after="0"/>
        <w:contextualSpacing/>
        <w:jc w:val="center"/>
        <w:rPr>
          <w:rFonts w:eastAsia="Calibri" w:cs="Times New Roman"/>
          <w:b/>
          <w:i/>
          <w:szCs w:val="24"/>
        </w:rPr>
      </w:pPr>
      <w:r w:rsidRPr="00FD1578">
        <w:rPr>
          <w:rFonts w:eastAsia="Calibri" w:cs="Times New Roman"/>
          <w:b/>
          <w:i/>
          <w:szCs w:val="24"/>
        </w:rPr>
        <w:t>att. Rūpniecības</w:t>
      </w:r>
      <w:r w:rsidRPr="00FD1578">
        <w:rPr>
          <w:rFonts w:eastAsia="Times New Roman" w:cs="Times New Roman"/>
          <w:b/>
          <w:i/>
          <w:szCs w:val="24"/>
        </w:rPr>
        <w:t xml:space="preserve"> </w:t>
      </w:r>
      <w:r w:rsidRPr="00FD1578">
        <w:rPr>
          <w:rFonts w:eastAsia="Calibri" w:cs="Times New Roman"/>
          <w:b/>
          <w:i/>
          <w:szCs w:val="24"/>
        </w:rPr>
        <w:t xml:space="preserve">produkcijas apjoma indekss </w:t>
      </w:r>
      <w:r w:rsidRPr="00FD1578">
        <w:rPr>
          <w:rFonts w:eastAsia="Calibri" w:cs="Times New Roman"/>
          <w:b/>
          <w:i/>
          <w:szCs w:val="24"/>
        </w:rPr>
        <w:br/>
        <w:t>(sezonāli izlīdzināti dati, 2021 = 100)</w:t>
      </w:r>
    </w:p>
    <w:p w14:paraId="719AA558" w14:textId="65885A82" w:rsidR="0070161D" w:rsidRPr="00FD1578" w:rsidRDefault="0070161D" w:rsidP="008349F0">
      <w:pPr>
        <w:spacing w:before="120"/>
        <w:rPr>
          <w:rFonts w:eastAsia="Calibri" w:cs="Times New Roman"/>
          <w:bCs/>
          <w:iCs/>
          <w:szCs w:val="24"/>
          <w:lang w:eastAsia="en-US"/>
        </w:rPr>
      </w:pPr>
      <w:r w:rsidRPr="00FD1578">
        <w:rPr>
          <w:rFonts w:eastAsia="Calibri" w:cs="Times New Roman"/>
          <w:bCs/>
          <w:iCs/>
          <w:szCs w:val="24"/>
          <w:lang w:eastAsia="en-US"/>
        </w:rPr>
        <w:t xml:space="preserve">Apstrādes rūpniecības struktūrā 2023. gadā divas lielākās nozares bija kokrūpniecība un pārtikas un dzērienu ražošana, kam seko mašīnbūve un metālapstrāde (1.3. attēls). Salīdzinot ar 2022. gadu, par 3,8 </w:t>
      </w:r>
      <w:proofErr w:type="spellStart"/>
      <w:r w:rsidRPr="00FD1578">
        <w:rPr>
          <w:rFonts w:eastAsia="Calibri" w:cs="Times New Roman"/>
          <w:bCs/>
          <w:iCs/>
          <w:szCs w:val="24"/>
          <w:lang w:eastAsia="en-US"/>
        </w:rPr>
        <w:t>pp</w:t>
      </w:r>
      <w:proofErr w:type="spellEnd"/>
      <w:r w:rsidRPr="00FD1578">
        <w:rPr>
          <w:rFonts w:eastAsia="Calibri" w:cs="Times New Roman"/>
          <w:bCs/>
          <w:iCs/>
          <w:szCs w:val="24"/>
          <w:lang w:eastAsia="en-US"/>
        </w:rPr>
        <w:t xml:space="preserve"> samazinājies kokrūpniecības nozares īpatsvars, bet pārtikas un dzērienu ražošanas īpatsvars palielinājies par 2,7</w:t>
      </w:r>
      <w:r w:rsidR="007A0CD2">
        <w:rPr>
          <w:rFonts w:eastAsia="Calibri" w:cs="Times New Roman"/>
          <w:bCs/>
          <w:iCs/>
          <w:szCs w:val="24"/>
          <w:lang w:eastAsia="en-US"/>
        </w:rPr>
        <w:t>pp</w:t>
      </w:r>
      <w:r w:rsidRPr="00FD1578">
        <w:rPr>
          <w:rFonts w:eastAsia="Calibri" w:cs="Times New Roman"/>
          <w:bCs/>
          <w:iCs/>
          <w:szCs w:val="24"/>
          <w:lang w:eastAsia="en-US"/>
        </w:rPr>
        <w:t xml:space="preserve">, jo pieprasījuma sarukums nozarē bija vērojams mazākā apmērā. Par 1,4 </w:t>
      </w:r>
      <w:proofErr w:type="spellStart"/>
      <w:r w:rsidRPr="00FD1578">
        <w:rPr>
          <w:rFonts w:eastAsia="Calibri" w:cs="Times New Roman"/>
          <w:bCs/>
          <w:iCs/>
          <w:szCs w:val="24"/>
          <w:lang w:eastAsia="en-US"/>
        </w:rPr>
        <w:t>pp</w:t>
      </w:r>
      <w:proofErr w:type="spellEnd"/>
      <w:r w:rsidRPr="00FD1578">
        <w:rPr>
          <w:rFonts w:eastAsia="Calibri" w:cs="Times New Roman"/>
          <w:bCs/>
          <w:iCs/>
          <w:szCs w:val="24"/>
          <w:lang w:eastAsia="en-US"/>
        </w:rPr>
        <w:t xml:space="preserve"> pieaudzis arī datoru un elektronikas ražošanas īpatsvars, nozarei aizvadot sekmīgu 2023. gadu. Turpretī ķīmijas un to produktu īpatsvars apstrādes rūpniecības struktūrā pērn samazinājies par 0,8 </w:t>
      </w:r>
      <w:proofErr w:type="spellStart"/>
      <w:r w:rsidRPr="00FD1578">
        <w:rPr>
          <w:rFonts w:eastAsia="Calibri" w:cs="Times New Roman"/>
          <w:bCs/>
          <w:iCs/>
          <w:szCs w:val="24"/>
          <w:lang w:eastAsia="en-US"/>
        </w:rPr>
        <w:t>pp</w:t>
      </w:r>
      <w:proofErr w:type="spellEnd"/>
      <w:r w:rsidRPr="00FD1578">
        <w:rPr>
          <w:rFonts w:eastAsia="Calibri" w:cs="Times New Roman"/>
          <w:bCs/>
          <w:iCs/>
          <w:szCs w:val="24"/>
          <w:lang w:eastAsia="en-US"/>
        </w:rPr>
        <w:t>.</w:t>
      </w:r>
    </w:p>
    <w:p w14:paraId="54C60F7D" w14:textId="77777777" w:rsidR="0070161D" w:rsidRPr="00FD1578" w:rsidRDefault="0070161D" w:rsidP="008349F0">
      <w:pPr>
        <w:spacing w:after="0"/>
        <w:ind w:firstLine="0"/>
        <w:jc w:val="center"/>
        <w:rPr>
          <w:rFonts w:eastAsia="Calibri" w:cs="Times New Roman"/>
          <w:szCs w:val="24"/>
          <w:lang w:eastAsia="en-US"/>
        </w:rPr>
      </w:pPr>
      <w:r w:rsidRPr="00FD1578">
        <w:rPr>
          <w:rFonts w:ascii="Calibri" w:eastAsia="Calibri" w:hAnsi="Calibri" w:cs="Times New Roman"/>
          <w:noProof/>
          <w:sz w:val="22"/>
          <w:lang w:eastAsia="en-US"/>
        </w:rPr>
        <w:lastRenderedPageBreak/>
        <w:drawing>
          <wp:inline distT="0" distB="0" distL="0" distR="0" wp14:anchorId="5F56F4AA" wp14:editId="25F4F92C">
            <wp:extent cx="5276850" cy="2654300"/>
            <wp:effectExtent l="0" t="0" r="0" b="0"/>
            <wp:docPr id="1136274654" name="Object 4">
              <a:extLst xmlns:a="http://schemas.openxmlformats.org/drawingml/2006/main">
                <a:ext uri="{FF2B5EF4-FFF2-40B4-BE49-F238E27FC236}">
                  <a16:creationId xmlns:a16="http://schemas.microsoft.com/office/drawing/2014/main" id="{B008CE21-02CD-40C0-A858-0B1647221E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D4D0540" w14:textId="77777777" w:rsidR="0070161D" w:rsidRPr="00FD1578" w:rsidRDefault="0070161D" w:rsidP="008349F0">
      <w:pPr>
        <w:keepNext/>
        <w:spacing w:before="120"/>
        <w:ind w:firstLine="0"/>
        <w:jc w:val="center"/>
        <w:rPr>
          <w:rFonts w:eastAsia="Times New Roman" w:cs="Times New Roman"/>
          <w:b/>
          <w:i/>
          <w:color w:val="000000"/>
          <w:szCs w:val="24"/>
          <w:lang w:eastAsia="en-US"/>
        </w:rPr>
      </w:pPr>
      <w:r w:rsidRPr="00FD1578">
        <w:rPr>
          <w:rFonts w:eastAsia="Times New Roman" w:cs="Times New Roman"/>
          <w:b/>
          <w:i/>
          <w:color w:val="000000"/>
          <w:szCs w:val="24"/>
          <w:lang w:eastAsia="en-US"/>
        </w:rPr>
        <w:t>1.3. att. Apstrādes rūpniecības nozaru izlaides struktūra 2023. gadā (faktiskajās cenās, %)</w:t>
      </w:r>
    </w:p>
    <w:p w14:paraId="1ECF5619"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Lielākā rūpniecības </w:t>
      </w:r>
      <w:proofErr w:type="spellStart"/>
      <w:r w:rsidRPr="00FD1578">
        <w:rPr>
          <w:rFonts w:eastAsia="Calibri" w:cs="Times New Roman"/>
          <w:szCs w:val="20"/>
          <w:lang w:eastAsia="en-US"/>
        </w:rPr>
        <w:t>apakšnozare</w:t>
      </w:r>
      <w:proofErr w:type="spellEnd"/>
      <w:r w:rsidRPr="00FD1578">
        <w:rPr>
          <w:rFonts w:eastAsia="Calibri" w:cs="Times New Roman"/>
          <w:szCs w:val="20"/>
          <w:lang w:eastAsia="en-US"/>
        </w:rPr>
        <w:t xml:space="preserve"> – apstrādes rūpniecība – 2023. gadā saruka par 4,6%, bet elektroenerģijas un gāzes apgāde pēc 11,5% samazinājuma 2022. gadā, pērn palielinājās vien par 0,7%. Savukārt ieguves rūpniecības apjomi 2023. gadā saruka par 19%. </w:t>
      </w:r>
    </w:p>
    <w:p w14:paraId="1326BB80" w14:textId="59F66337" w:rsidR="0070161D" w:rsidRPr="00FD1578" w:rsidRDefault="00482747" w:rsidP="008349F0">
      <w:pPr>
        <w:rPr>
          <w:rFonts w:eastAsia="Calibri" w:cs="Times New Roman"/>
          <w:szCs w:val="20"/>
          <w:lang w:eastAsia="en-US"/>
        </w:rPr>
      </w:pPr>
      <w:r>
        <w:rPr>
          <w:rFonts w:eastAsia="Calibri" w:cs="Times New Roman"/>
          <w:szCs w:val="20"/>
          <w:lang w:eastAsia="en-US"/>
        </w:rPr>
        <w:t>2024.</w:t>
      </w:r>
      <w:r w:rsidRPr="00FD1578">
        <w:rPr>
          <w:rFonts w:eastAsia="Calibri" w:cs="Times New Roman"/>
          <w:szCs w:val="20"/>
          <w:lang w:eastAsia="en-US"/>
        </w:rPr>
        <w:t xml:space="preserve"> </w:t>
      </w:r>
      <w:r w:rsidR="0070161D" w:rsidRPr="00FD1578">
        <w:rPr>
          <w:rFonts w:eastAsia="Calibri" w:cs="Times New Roman"/>
          <w:szCs w:val="20"/>
          <w:lang w:eastAsia="en-US"/>
        </w:rPr>
        <w:t>gada janvārī-jūlijā rūpniecības nozare pret pērnā gada janvāri-jūliju samazinājusies par 2%, saglabājoties zemam gan iekšējam, gan ārējam pieprasījumam. Apstrādes rūpniecība septiņos mēnešos sarukusi par 4,4%, bet elektroenerģijas uz gāzes apgāde pieaugusi par 6,8%.</w:t>
      </w:r>
    </w:p>
    <w:p w14:paraId="4FF3DCBD" w14:textId="52687F10" w:rsidR="0070161D" w:rsidRPr="00FD1578" w:rsidRDefault="0070161D" w:rsidP="008349F0">
      <w:pPr>
        <w:rPr>
          <w:rFonts w:eastAsia="Calibri" w:cs="Times New Roman"/>
          <w:szCs w:val="20"/>
          <w:lang w:eastAsia="en-US"/>
        </w:rPr>
      </w:pPr>
      <w:r w:rsidRPr="00FD1578">
        <w:rPr>
          <w:rFonts w:eastAsia="Calibri" w:cs="Times New Roman"/>
          <w:szCs w:val="20"/>
          <w:lang w:eastAsia="en-US"/>
        </w:rPr>
        <w:t>Apstrādes rūpniecības apjomi sāka samazināties 2022. gada vidū un 2024. gada jūlijā tie ir sarukuši līdz 2020. gada jūnija zemajam līmenim, kad nozare sāka atgūties pēc Covid</w:t>
      </w:r>
      <w:r w:rsidRPr="00FD1578">
        <w:rPr>
          <w:rFonts w:eastAsia="Calibri" w:cs="Times New Roman"/>
          <w:szCs w:val="20"/>
          <w:lang w:eastAsia="en-US"/>
        </w:rPr>
        <w:noBreakHyphen/>
        <w:t xml:space="preserve">19 pandēmijas sākuma. No divdesmit apstrādes rūpniecības </w:t>
      </w:r>
      <w:proofErr w:type="spellStart"/>
      <w:r w:rsidRPr="00FD1578">
        <w:rPr>
          <w:rFonts w:eastAsia="Calibri" w:cs="Times New Roman"/>
          <w:szCs w:val="20"/>
          <w:lang w:eastAsia="en-US"/>
        </w:rPr>
        <w:t>apakšnozarēm</w:t>
      </w:r>
      <w:proofErr w:type="spellEnd"/>
      <w:r w:rsidRPr="00FD1578">
        <w:rPr>
          <w:rFonts w:eastAsia="Calibri" w:cs="Times New Roman"/>
          <w:szCs w:val="20"/>
          <w:lang w:eastAsia="en-US"/>
        </w:rPr>
        <w:t xml:space="preserve"> </w:t>
      </w:r>
      <w:r w:rsidR="00A66038">
        <w:rPr>
          <w:rFonts w:eastAsia="Calibri" w:cs="Times New Roman"/>
          <w:szCs w:val="20"/>
          <w:lang w:eastAsia="en-US"/>
        </w:rPr>
        <w:t>2024.</w:t>
      </w:r>
      <w:r w:rsidR="00A66038" w:rsidRPr="00FD1578">
        <w:rPr>
          <w:rFonts w:eastAsia="Calibri" w:cs="Times New Roman"/>
          <w:szCs w:val="20"/>
          <w:lang w:eastAsia="en-US"/>
        </w:rPr>
        <w:t xml:space="preserve"> </w:t>
      </w:r>
      <w:r w:rsidRPr="00FD1578">
        <w:rPr>
          <w:rFonts w:eastAsia="Calibri" w:cs="Times New Roman"/>
          <w:szCs w:val="20"/>
          <w:lang w:eastAsia="en-US"/>
        </w:rPr>
        <w:t>gada pirmajos septiņos mēnešos izaugsmi uzrāda vien sešas, turklāt no nozīmīgākajām nozarēm pieaugumu gada griezumā uzrāda tikai pārtikas ražošana (+1%). No mazākām nozarēm pieauga arī papīra un tā izstrādājumu ražošana (+0,5%), poligrāfija un ierakstu reproducēšana (+3,6%), ķīmisko vielu un produktu ražošana (+9,3%), iekārtu un ierīču remonts un uzstādīšana (+10,3%), kā arī nelielā metālu ražošanas nozare (+17,2%). Turpretī visas pārējās lielās nozares, izņemot pārtikas rūpniecību, tajā skaitā kokrūpniecība, nemetālisko minerālu ražošana un metālizstrādājumu ražošana samazinājās attiecīgi par 2,2%, 1,3% un 10%. Arī</w:t>
      </w:r>
      <w:r w:rsidR="003C09F9">
        <w:rPr>
          <w:rFonts w:eastAsia="Calibri" w:cs="Times New Roman"/>
          <w:szCs w:val="20"/>
          <w:lang w:eastAsia="en-US"/>
        </w:rPr>
        <w:t xml:space="preserve"> </w:t>
      </w:r>
      <w:r w:rsidRPr="00FD1578">
        <w:rPr>
          <w:rFonts w:eastAsia="Calibri" w:cs="Times New Roman"/>
          <w:szCs w:val="20"/>
          <w:lang w:eastAsia="en-US"/>
        </w:rPr>
        <w:t xml:space="preserve"> </w:t>
      </w:r>
      <w:r w:rsidR="003C09F9">
        <w:rPr>
          <w:rFonts w:eastAsia="Calibri" w:cs="Times New Roman"/>
          <w:szCs w:val="20"/>
          <w:lang w:eastAsia="en-US"/>
        </w:rPr>
        <w:t>2023. gada</w:t>
      </w:r>
      <w:r w:rsidRPr="00FD1578">
        <w:rPr>
          <w:rFonts w:eastAsia="Calibri" w:cs="Times New Roman"/>
          <w:szCs w:val="20"/>
          <w:lang w:eastAsia="en-US"/>
        </w:rPr>
        <w:t xml:space="preserve"> labus rezultātus uzrādījusī datoru un elektronikas ražošana šā gada septiņos mēnešos sarukusi par 13,7% (1.4. attēls), bet elektriskās iekārtas ražotas par 2,4% mazāk, nekā pērnā gada pirmajos septiņos mēnešos.</w:t>
      </w:r>
    </w:p>
    <w:p w14:paraId="59682430" w14:textId="77777777" w:rsidR="0070161D" w:rsidRPr="00FD1578" w:rsidRDefault="0070161D" w:rsidP="008349F0">
      <w:pPr>
        <w:spacing w:after="0"/>
        <w:ind w:firstLine="0"/>
        <w:jc w:val="center"/>
        <w:rPr>
          <w:rFonts w:eastAsia="Calibri" w:cs="Times New Roman"/>
          <w:sz w:val="18"/>
          <w:szCs w:val="18"/>
          <w:lang w:eastAsia="en-US"/>
        </w:rPr>
      </w:pPr>
      <w:r w:rsidRPr="00FD1578">
        <w:rPr>
          <w:rFonts w:ascii="Calibri" w:eastAsia="Calibri" w:hAnsi="Calibri" w:cs="Times New Roman"/>
          <w:noProof/>
          <w:sz w:val="22"/>
          <w:lang w:eastAsia="en-US"/>
        </w:rPr>
        <w:lastRenderedPageBreak/>
        <w:drawing>
          <wp:inline distT="0" distB="0" distL="0" distR="0" wp14:anchorId="4207D78A" wp14:editId="41E498B5">
            <wp:extent cx="5001371" cy="3299792"/>
            <wp:effectExtent l="0" t="0" r="8890" b="0"/>
            <wp:docPr id="1742454780" name="Picture 5">
              <a:extLst xmlns:a="http://schemas.openxmlformats.org/drawingml/2006/main">
                <a:ext uri="{FF2B5EF4-FFF2-40B4-BE49-F238E27FC236}">
                  <a16:creationId xmlns:a16="http://schemas.microsoft.com/office/drawing/2014/main" id="{4977069F-C375-46F3-9786-241E514449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B412400" w14:textId="77777777" w:rsidR="0070161D" w:rsidRPr="00FD1578" w:rsidRDefault="0070161D" w:rsidP="008349F0">
      <w:pPr>
        <w:spacing w:after="0"/>
        <w:ind w:firstLine="0"/>
        <w:jc w:val="center"/>
        <w:rPr>
          <w:rFonts w:eastAsia="Times New Roman" w:cs="Times New Roman"/>
          <w:b/>
          <w:i/>
          <w:szCs w:val="24"/>
          <w:lang w:eastAsia="en-US"/>
        </w:rPr>
      </w:pPr>
      <w:r w:rsidRPr="00FD1578">
        <w:rPr>
          <w:rFonts w:eastAsia="Times New Roman" w:cs="Times New Roman"/>
          <w:b/>
          <w:i/>
          <w:szCs w:val="24"/>
          <w:lang w:eastAsia="en-US"/>
        </w:rPr>
        <w:t xml:space="preserve">1.4. att. Rūpniecības nozaru izlaides apjoma izmaiņas 2023. gadā un </w:t>
      </w:r>
      <w:r w:rsidRPr="00FD1578">
        <w:rPr>
          <w:rFonts w:eastAsia="Times New Roman" w:cs="Times New Roman"/>
          <w:b/>
          <w:i/>
          <w:szCs w:val="24"/>
          <w:lang w:eastAsia="en-US"/>
        </w:rPr>
        <w:br/>
        <w:t xml:space="preserve">2024. gada </w:t>
      </w:r>
      <w:r w:rsidRPr="00FD1578">
        <w:rPr>
          <w:rFonts w:eastAsia="Times New Roman" w:cs="Times New Roman"/>
          <w:b/>
          <w:i/>
          <w:color w:val="000000"/>
          <w:szCs w:val="24"/>
          <w:lang w:eastAsia="en-US"/>
        </w:rPr>
        <w:t xml:space="preserve">septiņos mēnešos, </w:t>
      </w:r>
      <w:r w:rsidRPr="00FD1578">
        <w:rPr>
          <w:rFonts w:eastAsia="Times New Roman" w:cs="Times New Roman"/>
          <w:b/>
          <w:i/>
          <w:szCs w:val="24"/>
          <w:lang w:eastAsia="en-US"/>
        </w:rPr>
        <w:t>salīdzinot ar iepriekšējā gada attiecīgo laika periodu (kalendāri izlīdzināti dati,%)</w:t>
      </w:r>
    </w:p>
    <w:p w14:paraId="5D0ED051" w14:textId="128638FC" w:rsidR="0070161D" w:rsidRPr="00FD1578" w:rsidRDefault="0070161D" w:rsidP="008349F0">
      <w:pPr>
        <w:spacing w:before="120"/>
        <w:rPr>
          <w:rFonts w:eastAsia="Calibri" w:cs="Times New Roman"/>
          <w:szCs w:val="20"/>
          <w:lang w:eastAsia="en-US"/>
        </w:rPr>
      </w:pPr>
      <w:r w:rsidRPr="00FD1578">
        <w:rPr>
          <w:rFonts w:eastAsia="Calibri" w:cs="Times New Roman"/>
          <w:szCs w:val="20"/>
          <w:lang w:eastAsia="en-US"/>
        </w:rPr>
        <w:t xml:space="preserve">Elektroenerģijas un gāzes apgāde </w:t>
      </w:r>
      <w:r w:rsidR="009F4DB7">
        <w:rPr>
          <w:rFonts w:eastAsia="Calibri" w:cs="Times New Roman"/>
          <w:szCs w:val="20"/>
          <w:lang w:eastAsia="en-US"/>
        </w:rPr>
        <w:t>2024.</w:t>
      </w:r>
      <w:r w:rsidR="009F4DB7" w:rsidRPr="00FD1578">
        <w:rPr>
          <w:rFonts w:eastAsia="Calibri" w:cs="Times New Roman"/>
          <w:szCs w:val="20"/>
          <w:lang w:eastAsia="en-US"/>
        </w:rPr>
        <w:t xml:space="preserve"> </w:t>
      </w:r>
      <w:r w:rsidRPr="00FD1578">
        <w:rPr>
          <w:rFonts w:eastAsia="Calibri" w:cs="Times New Roman"/>
          <w:szCs w:val="20"/>
          <w:lang w:eastAsia="en-US"/>
        </w:rPr>
        <w:t xml:space="preserve">gada septiņos mēnešos pieaugusi par 6,8%, ko noteica bruto elektroenerģijas ražošanas pieaugums par 6,3% un dabasgāzes patēriņa pieaugums par 19,9%. Elektroenerģijas ražošanas pieaugumu noteica galvenokārt koģenerācijas staciju izlaides pieaugums par 24,8%, ko ietekmē zemākas gāzes un citu kurināmo izmaksas. Savukārt hidroelektrostacijas šā gada septiņos mēnešos ražojušas elektroenerģiju par 7,7% mazāk nekā gadu iepriekš attiecīgajā periodā. Elektroenerģijas ražošanā arvien lielāki kļūst no saules enerģijas saražotie apjomi. Pērnā gada janvārī-jūlijā no saules enerģijas tika saražotas 23 milj. </w:t>
      </w:r>
      <w:proofErr w:type="spellStart"/>
      <w:r w:rsidRPr="00FD1578">
        <w:rPr>
          <w:rFonts w:eastAsia="Calibri" w:cs="Times New Roman"/>
          <w:szCs w:val="20"/>
          <w:lang w:eastAsia="en-US"/>
        </w:rPr>
        <w:t>kWh</w:t>
      </w:r>
      <w:proofErr w:type="spellEnd"/>
      <w:r w:rsidRPr="00FD1578">
        <w:rPr>
          <w:rFonts w:eastAsia="Calibri" w:cs="Times New Roman"/>
          <w:szCs w:val="20"/>
          <w:lang w:eastAsia="en-US"/>
        </w:rPr>
        <w:t xml:space="preserve">, bet </w:t>
      </w:r>
      <w:r w:rsidR="003C09F9">
        <w:rPr>
          <w:rFonts w:eastAsia="Calibri" w:cs="Times New Roman"/>
          <w:szCs w:val="20"/>
          <w:lang w:eastAsia="en-US"/>
        </w:rPr>
        <w:t xml:space="preserve">2024. </w:t>
      </w:r>
      <w:r w:rsidRPr="00FD1578">
        <w:rPr>
          <w:rFonts w:eastAsia="Calibri" w:cs="Times New Roman"/>
          <w:szCs w:val="20"/>
          <w:lang w:eastAsia="en-US"/>
        </w:rPr>
        <w:t xml:space="preserve">gada attiecīgajā periodā saražoti 244 milj. </w:t>
      </w:r>
      <w:proofErr w:type="spellStart"/>
      <w:r w:rsidRPr="00FD1578">
        <w:rPr>
          <w:rFonts w:eastAsia="Calibri" w:cs="Times New Roman"/>
          <w:szCs w:val="20"/>
          <w:lang w:eastAsia="en-US"/>
        </w:rPr>
        <w:t>kWh</w:t>
      </w:r>
      <w:proofErr w:type="spellEnd"/>
      <w:r w:rsidRPr="00FD1578">
        <w:rPr>
          <w:rFonts w:eastAsia="Calibri" w:cs="Times New Roman"/>
          <w:szCs w:val="20"/>
          <w:lang w:eastAsia="en-US"/>
        </w:rPr>
        <w:t>, kas šā gada septiņos mēnešos sastāda 5,5% no kopējiem saražotajiem elektroenerģijas apjomiem.</w:t>
      </w:r>
    </w:p>
    <w:p w14:paraId="1C5A95BC" w14:textId="76DB5D43"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Rūpniecības apgrozījums faktiskajās cenās </w:t>
      </w:r>
      <w:r w:rsidR="009F4DB7">
        <w:rPr>
          <w:rFonts w:eastAsia="Calibri" w:cs="Times New Roman"/>
          <w:szCs w:val="20"/>
          <w:lang w:eastAsia="en-US"/>
        </w:rPr>
        <w:t>2024.</w:t>
      </w:r>
      <w:r w:rsidR="009F4DB7" w:rsidRPr="00FD1578">
        <w:rPr>
          <w:rFonts w:eastAsia="Calibri" w:cs="Times New Roman"/>
          <w:szCs w:val="20"/>
          <w:lang w:eastAsia="en-US"/>
        </w:rPr>
        <w:t xml:space="preserve"> </w:t>
      </w:r>
      <w:r w:rsidRPr="00FD1578">
        <w:rPr>
          <w:rFonts w:eastAsia="Calibri" w:cs="Times New Roman"/>
          <w:szCs w:val="20"/>
          <w:lang w:eastAsia="en-US"/>
        </w:rPr>
        <w:t xml:space="preserve">gada janvārī-jūlijā samazinājās par 4,1%, bet apstrādes rūpniecībā par 4,7%. Tostarp vietējā tirgū attiecīgi par 3,1% un 3,7%, bet eksporta tirgū attiecīgi par 4,7% un 5,2%. Eksporta apgrozījums samazinājies straujāk par apgrozījumu vietējā tirgū, kas apliecina sarežģīto situāciju ārējos tirgos un pieprasījuma samazināšanos. </w:t>
      </w:r>
    </w:p>
    <w:p w14:paraId="5A2F0CC3" w14:textId="77777777" w:rsidR="0070161D" w:rsidRPr="00FD1578" w:rsidRDefault="0070161D" w:rsidP="008349F0">
      <w:pPr>
        <w:spacing w:after="0"/>
        <w:ind w:firstLine="0"/>
        <w:jc w:val="center"/>
        <w:rPr>
          <w:rFonts w:eastAsia="Calibri" w:cs="Times New Roman"/>
          <w:sz w:val="18"/>
          <w:szCs w:val="18"/>
          <w:lang w:eastAsia="en-US"/>
        </w:rPr>
      </w:pPr>
      <w:r w:rsidRPr="00FD1578">
        <w:rPr>
          <w:rFonts w:ascii="Calibri" w:eastAsia="Calibri" w:hAnsi="Calibri" w:cs="Times New Roman"/>
          <w:noProof/>
          <w:sz w:val="22"/>
          <w:lang w:eastAsia="en-US"/>
        </w:rPr>
        <w:drawing>
          <wp:inline distT="0" distB="0" distL="0" distR="0" wp14:anchorId="79C32DD8" wp14:editId="5C0FAEB9">
            <wp:extent cx="5080959" cy="1854679"/>
            <wp:effectExtent l="0" t="0" r="5715" b="12700"/>
            <wp:docPr id="6" name="Object 6">
              <a:extLst xmlns:a="http://schemas.openxmlformats.org/drawingml/2006/main">
                <a:ext uri="{FF2B5EF4-FFF2-40B4-BE49-F238E27FC236}">
                  <a16:creationId xmlns:a16="http://schemas.microsoft.com/office/drawing/2014/main" id="{00000000-0008-0000-06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A0968E8" w14:textId="77777777" w:rsidR="0070161D" w:rsidRPr="00FD1578" w:rsidRDefault="0070161D" w:rsidP="008349F0">
      <w:pPr>
        <w:spacing w:after="0"/>
        <w:ind w:firstLine="0"/>
        <w:jc w:val="center"/>
        <w:rPr>
          <w:rFonts w:eastAsia="Calibri" w:cs="Times New Roman"/>
          <w:b/>
          <w:i/>
          <w:szCs w:val="24"/>
          <w:lang w:eastAsia="en-US"/>
        </w:rPr>
      </w:pPr>
      <w:r w:rsidRPr="00FD1578">
        <w:rPr>
          <w:rFonts w:eastAsia="Calibri" w:cs="Times New Roman"/>
          <w:b/>
          <w:i/>
          <w:szCs w:val="24"/>
          <w:lang w:eastAsia="en-US"/>
        </w:rPr>
        <w:t>1.5. att. Apstrādes rūpniecības apgrozījuma pārmaiņas</w:t>
      </w:r>
      <w:r w:rsidRPr="00FD1578">
        <w:rPr>
          <w:rFonts w:eastAsia="Calibri" w:cs="Times New Roman"/>
          <w:b/>
          <w:i/>
          <w:szCs w:val="24"/>
          <w:lang w:eastAsia="en-US"/>
        </w:rPr>
        <w:br/>
        <w:t>pret iepriekšējā gada attiecīgo mēnesi (kalendāri izlīdzināti dati, %)</w:t>
      </w:r>
    </w:p>
    <w:p w14:paraId="360A84D8" w14:textId="240CFB01" w:rsidR="0070161D" w:rsidRPr="00FD1578" w:rsidRDefault="0070161D" w:rsidP="008349F0">
      <w:pPr>
        <w:spacing w:before="120"/>
        <w:rPr>
          <w:rFonts w:eastAsia="Calibri" w:cs="Times New Roman"/>
          <w:szCs w:val="20"/>
          <w:lang w:eastAsia="en-US"/>
        </w:rPr>
      </w:pPr>
      <w:r w:rsidRPr="00FD1578">
        <w:rPr>
          <w:rFonts w:eastAsia="Calibri" w:cs="Times New Roman"/>
          <w:szCs w:val="20"/>
          <w:lang w:eastAsia="en-US"/>
        </w:rPr>
        <w:lastRenderedPageBreak/>
        <w:t xml:space="preserve">EK apkopotie apstrādes rūpniecības konfidenču indeksi gan Eiropā, gan Latvijā joprojām ir zemā līmenī, tomēr </w:t>
      </w:r>
      <w:r w:rsidR="009F4DB7">
        <w:rPr>
          <w:rFonts w:eastAsia="Calibri" w:cs="Times New Roman"/>
          <w:szCs w:val="20"/>
          <w:lang w:eastAsia="en-US"/>
        </w:rPr>
        <w:t>2024.</w:t>
      </w:r>
      <w:r w:rsidR="009F4DB7" w:rsidRPr="00FD1578">
        <w:rPr>
          <w:rFonts w:eastAsia="Calibri" w:cs="Times New Roman"/>
          <w:szCs w:val="20"/>
          <w:lang w:eastAsia="en-US"/>
        </w:rPr>
        <w:t xml:space="preserve"> </w:t>
      </w:r>
      <w:r w:rsidRPr="00FD1578">
        <w:rPr>
          <w:rFonts w:eastAsia="Calibri" w:cs="Times New Roman"/>
          <w:szCs w:val="20"/>
          <w:lang w:eastAsia="en-US"/>
        </w:rPr>
        <w:t>gada jūlija dati liecina par nelieliem uzlabojumiem. Kā galveno iemeslu konfidences zemajam līmenim rūpnieki aptaujās norāda zemo pasūtījumu skaitu, tikmēr preču apjomi noliktavās ir augstā līmenī un gaidas par turpmākajiem ražošanas apjomiem vērtējamas kā vidējas. Dinamika ekonomikas kopējā konfidencē gan Latvijā, gan Eiropā ir ar nedaudz pozitīvāku tendenci nekā rūpniecības nozarē, ko nosaka labāka situācija pakalpojumu nozarē un mazumtirdzniecībā.</w:t>
      </w:r>
    </w:p>
    <w:p w14:paraId="4C970FE9"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Latvijas apstrādes rūpniecības nozare 2023. gadā eksportējusi 65,9% no saražotajiem apjomiem, tādējādi nozari nozīmīgi ietekmē ekonomiskā situācija eksporta partnervalstīs. Eiropas institūcijas savas IKP pieauguma prognozes Latvijas eksporta partnervalstīm 2024. gadam pārsvarā koriģējušas uz leju un </w:t>
      </w:r>
      <w:proofErr w:type="spellStart"/>
      <w:r w:rsidRPr="00FD1578">
        <w:rPr>
          <w:rFonts w:eastAsia="Calibri" w:cs="Times New Roman"/>
          <w:i/>
          <w:iCs/>
          <w:szCs w:val="20"/>
          <w:lang w:eastAsia="en-US"/>
        </w:rPr>
        <w:t>euro</w:t>
      </w:r>
      <w:proofErr w:type="spellEnd"/>
      <w:r w:rsidRPr="00FD1578">
        <w:rPr>
          <w:rFonts w:eastAsia="Calibri" w:cs="Times New Roman"/>
          <w:szCs w:val="20"/>
          <w:lang w:eastAsia="en-US"/>
        </w:rPr>
        <w:t xml:space="preserve"> zonas izaugsmi prognozē zem 1% atzīmes, kas neliecina par sagaidāmiem nozīmīgiem uzlabojumiem Latvijas apstrādes rūpniecībā šā gada laikā, izaugsmes iespējas atstājot uz 2025. gadu.</w:t>
      </w:r>
    </w:p>
    <w:p w14:paraId="5A4A3562" w14:textId="77777777" w:rsidR="0070161D" w:rsidRPr="00FD1578" w:rsidRDefault="0070161D" w:rsidP="008349F0">
      <w:pPr>
        <w:rPr>
          <w:rFonts w:eastAsia="Calibri" w:cs="Arial"/>
          <w:b/>
          <w:bCs/>
          <w:szCs w:val="24"/>
        </w:rPr>
      </w:pPr>
      <w:r w:rsidRPr="00FD1578">
        <w:rPr>
          <w:rFonts w:eastAsia="Calibri" w:cs="Arial"/>
          <w:b/>
          <w:bCs/>
          <w:szCs w:val="24"/>
        </w:rPr>
        <w:t>Tirdzniecība</w:t>
      </w:r>
    </w:p>
    <w:p w14:paraId="6BEEE556" w14:textId="77777777" w:rsidR="0070161D" w:rsidRPr="00FD1578" w:rsidRDefault="0070161D" w:rsidP="008349F0">
      <w:pPr>
        <w:rPr>
          <w:rFonts w:eastAsia="Calibri" w:cs="Times New Roman"/>
          <w:bCs/>
          <w:szCs w:val="24"/>
        </w:rPr>
      </w:pPr>
      <w:r w:rsidRPr="00FD1578">
        <w:rPr>
          <w:rFonts w:eastAsia="Calibri" w:cs="Times New Roman"/>
          <w:bCs/>
          <w:szCs w:val="24"/>
        </w:rPr>
        <w:t xml:space="preserve">Tirdzniecības nozare sastāv no mazumtirdzniecības, vairumtirdzniecības un automobiļu un motociklu tirdzniecības, kas 2023. gadā aizņēma attiecīgi 44%, 42% un 14% no visas tirdzniecības. Nozares īpatsvars kopējā tautsaimniecībā 2022. gadā bija 15,6%, bet 2023. gadā tas samazinājās par 0,8 </w:t>
      </w:r>
      <w:proofErr w:type="spellStart"/>
      <w:r w:rsidRPr="00FD1578">
        <w:rPr>
          <w:rFonts w:eastAsia="Calibri" w:cs="Times New Roman"/>
          <w:bCs/>
          <w:szCs w:val="24"/>
        </w:rPr>
        <w:t>pp</w:t>
      </w:r>
      <w:proofErr w:type="spellEnd"/>
      <w:r w:rsidRPr="00FD1578">
        <w:rPr>
          <w:rFonts w:eastAsia="Calibri" w:cs="Times New Roman"/>
          <w:bCs/>
          <w:szCs w:val="24"/>
        </w:rPr>
        <w:t xml:space="preserve"> un veido 14,8% īpatsvaru.</w:t>
      </w:r>
    </w:p>
    <w:p w14:paraId="46E1144B" w14:textId="45E0E48F" w:rsidR="0070161D" w:rsidRPr="00FD1578" w:rsidRDefault="0070161D" w:rsidP="008349F0">
      <w:pPr>
        <w:rPr>
          <w:rFonts w:eastAsia="Calibri" w:cs="Times New Roman"/>
          <w:bCs/>
          <w:color w:val="FF0000"/>
          <w:szCs w:val="24"/>
        </w:rPr>
      </w:pPr>
      <w:r w:rsidRPr="00FD1578">
        <w:rPr>
          <w:rFonts w:eastAsia="Calibri" w:cs="Times New Roman"/>
          <w:bCs/>
          <w:szCs w:val="24"/>
        </w:rPr>
        <w:t xml:space="preserve">Mazumtirdzniecības apjomi Latvijā 2023. gadā saruka par 1,9% pret 2022. gadu, ko noteica galvenokārt augstais cenu līmenis, bet </w:t>
      </w:r>
      <w:r w:rsidR="00A60727">
        <w:rPr>
          <w:rFonts w:eastAsia="Calibri" w:cs="Times New Roman"/>
          <w:bCs/>
          <w:szCs w:val="24"/>
        </w:rPr>
        <w:t>2024.</w:t>
      </w:r>
      <w:r w:rsidR="00A60727" w:rsidRPr="00FD1578">
        <w:rPr>
          <w:rFonts w:eastAsia="Calibri" w:cs="Times New Roman"/>
          <w:bCs/>
          <w:szCs w:val="24"/>
        </w:rPr>
        <w:t xml:space="preserve"> </w:t>
      </w:r>
      <w:r w:rsidRPr="00FD1578">
        <w:rPr>
          <w:rFonts w:eastAsia="Calibri" w:cs="Times New Roman"/>
          <w:bCs/>
          <w:szCs w:val="24"/>
        </w:rPr>
        <w:t xml:space="preserve">gada pirmajos septiņos mēnešos apjomi nav būtiski mainījušies (+0,1%). Inflācija 2023. gadā sāka samazināties, tomēr straujais cenu pieaugums 2022. gadā joprojām iespaido iedzīvotāju finanšu tēriņu paradumus arī 2024. gada pirmajā pusgadā. Algu pieaugumam </w:t>
      </w:r>
      <w:r w:rsidR="00A60727">
        <w:rPr>
          <w:rFonts w:eastAsia="Calibri" w:cs="Times New Roman"/>
          <w:bCs/>
          <w:szCs w:val="24"/>
        </w:rPr>
        <w:t>2024. gadā</w:t>
      </w:r>
      <w:r w:rsidR="00A60727" w:rsidRPr="00FD1578">
        <w:rPr>
          <w:rFonts w:eastAsia="Calibri" w:cs="Times New Roman"/>
          <w:bCs/>
          <w:szCs w:val="24"/>
        </w:rPr>
        <w:t xml:space="preserve"> </w:t>
      </w:r>
      <w:r w:rsidRPr="00FD1578">
        <w:rPr>
          <w:rFonts w:eastAsia="Calibri" w:cs="Times New Roman"/>
          <w:bCs/>
          <w:szCs w:val="24"/>
        </w:rPr>
        <w:t>pārsniedzot iepriekšējo straujo cenu kāpumu, gada otrajā pusē strādājošo iedzīvotāju pirktspējas atjaunošanās kļūs jūtamāka, kas pozitīvi ietekmēs mazumtirdzniecības nozari. Vienlaikus Latvijas Bankas (LB) maksājumu karšu dati liecina, ka maksājumu pieaugums ārvalstīs pašlaik ir būtiski straujāks nekā Latvijā, kas nepaātrina Latvijas mazumtirdzniecības nozares attīstību.</w:t>
      </w:r>
    </w:p>
    <w:p w14:paraId="43D46B6B" w14:textId="77777777" w:rsidR="0070161D" w:rsidRPr="00FD1578" w:rsidRDefault="0070161D" w:rsidP="008349F0">
      <w:pPr>
        <w:rPr>
          <w:rFonts w:eastAsia="Calibri" w:cs="Times New Roman"/>
          <w:bCs/>
          <w:szCs w:val="24"/>
        </w:rPr>
      </w:pPr>
      <w:r w:rsidRPr="00FD1578">
        <w:rPr>
          <w:rFonts w:eastAsia="Calibri" w:cs="Times New Roman"/>
          <w:bCs/>
          <w:szCs w:val="24"/>
        </w:rPr>
        <w:t>Mazumtirdzniecības sarukumu 2023. gadā noteica pārtikas mazumtirdzniecības samazinājums par 4,7% pret 2022. gadu, tai sarūkot jau trešo gadu pēc kārtas. Nepārtikas preces (bez degvielas) pērn tirgotas par 1,7% mazāk, bet degvielas tirdzniecības apjomi pēc samazinājuma divus gadus pēc kārtas 2023. gadā pieauga par 4%. Šā gada pirmajos septiņos mēnešos salīdzinājumā ar pērnā gada attiecīgo periodu kopējie mazumtirdzniecības apjomi nav būtiski mainījušies, saglabājot zemu līmeni. Turpina samazināties pārtikas mazumtirdzniecības apjomi (</w:t>
      </w:r>
      <w:r w:rsidRPr="00FD1578">
        <w:rPr>
          <w:rFonts w:eastAsia="Calibri" w:cs="Times New Roman"/>
          <w:bCs/>
          <w:szCs w:val="24"/>
        </w:rPr>
        <w:noBreakHyphen/>
        <w:t>1,2%), nepārtikas preču mazumtirdzniecība pieaugusi par 0,8%, bet degviela tirgota par 2,5% vairāk nekā 2023. gada septiņos mēnešos.</w:t>
      </w:r>
    </w:p>
    <w:p w14:paraId="4729D079" w14:textId="77777777" w:rsidR="0070161D" w:rsidRPr="00FD1578" w:rsidRDefault="0070161D" w:rsidP="008349F0">
      <w:pPr>
        <w:spacing w:after="0"/>
        <w:ind w:firstLine="0"/>
        <w:jc w:val="center"/>
        <w:rPr>
          <w:rFonts w:ascii="Calibri" w:eastAsia="Calibri" w:hAnsi="Calibri" w:cs="Times New Roman"/>
          <w:sz w:val="22"/>
          <w:lang w:eastAsia="en-US"/>
        </w:rPr>
      </w:pPr>
      <w:r w:rsidRPr="00FD1578">
        <w:rPr>
          <w:rFonts w:ascii="Calibri" w:eastAsia="Calibri" w:hAnsi="Calibri" w:cs="Times New Roman"/>
          <w:noProof/>
          <w:sz w:val="22"/>
          <w:lang w:eastAsia="en-US"/>
        </w:rPr>
        <w:lastRenderedPageBreak/>
        <w:drawing>
          <wp:inline distT="0" distB="0" distL="0" distR="0" wp14:anchorId="7A5B06AE" wp14:editId="111C496F">
            <wp:extent cx="5365750" cy="2832100"/>
            <wp:effectExtent l="0" t="0" r="6350" b="6350"/>
            <wp:docPr id="7" name="Object 7">
              <a:extLst xmlns:a="http://schemas.openxmlformats.org/drawingml/2006/main">
                <a:ext uri="{FF2B5EF4-FFF2-40B4-BE49-F238E27FC236}">
                  <a16:creationId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A2F7B50" w14:textId="77777777" w:rsidR="0070161D" w:rsidRPr="00FD1578" w:rsidRDefault="0070161D" w:rsidP="008349F0">
      <w:pPr>
        <w:spacing w:after="160"/>
        <w:ind w:firstLine="0"/>
        <w:jc w:val="center"/>
        <w:rPr>
          <w:rFonts w:eastAsia="Calibri" w:cs="Times New Roman"/>
          <w:b/>
          <w:i/>
          <w:szCs w:val="24"/>
          <w:lang w:eastAsia="en-US"/>
        </w:rPr>
      </w:pPr>
      <w:r w:rsidRPr="00FD1578">
        <w:rPr>
          <w:rFonts w:eastAsia="Calibri" w:cs="Times New Roman"/>
          <w:b/>
          <w:i/>
          <w:szCs w:val="24"/>
          <w:lang w:eastAsia="en-US"/>
        </w:rPr>
        <w:t xml:space="preserve">1.6. att. Mazumtirdzniecības apgrozījuma pārmaiņas </w:t>
      </w:r>
      <w:r w:rsidRPr="00FD1578">
        <w:rPr>
          <w:rFonts w:eastAsia="Calibri" w:cs="Times New Roman"/>
          <w:b/>
          <w:i/>
          <w:szCs w:val="24"/>
          <w:lang w:eastAsia="en-US"/>
        </w:rPr>
        <w:br/>
        <w:t>pret iepriekšējā gada attiecīgo mēnesi (%); salīdzināmās cenas</w:t>
      </w:r>
    </w:p>
    <w:p w14:paraId="7A9A7F3B" w14:textId="77777777" w:rsidR="0070161D" w:rsidRPr="00FD1578" w:rsidRDefault="0070161D" w:rsidP="008349F0">
      <w:pPr>
        <w:ind w:firstLine="709"/>
        <w:rPr>
          <w:rFonts w:eastAsia="Calibri" w:cs="Times New Roman"/>
          <w:bCs/>
          <w:iCs/>
          <w:color w:val="FF0000"/>
          <w:szCs w:val="24"/>
          <w:lang w:eastAsia="en-US"/>
        </w:rPr>
      </w:pPr>
      <w:r w:rsidRPr="00FD1578">
        <w:rPr>
          <w:rFonts w:eastAsia="Calibri" w:cs="Times New Roman"/>
          <w:bCs/>
          <w:iCs/>
          <w:szCs w:val="24"/>
          <w:lang w:eastAsia="en-US"/>
        </w:rPr>
        <w:t xml:space="preserve">Vairumtirdzniecības uzņēmumu apgrozījums samazinājās gan 2022., gan 2023. gadā, attiecīgi par 9,2% un 11,1%, kam seko sarukums arī 2024. gada pirmajā pusgadā par 3,2%. Vairumtirdzniecības nozare cieši saistīta ar rūpniecību un vājo ekonomikas izaugsmi ES, kā arī Krievijas iebrukuma Ukrainā dēļ ir strauji samazināta tirdzniecība ar Krieviju un Baltkrieviju. Tomēr vairumtirdzniecības nozarē lielāko daļu tirdzniecībā ar </w:t>
      </w:r>
      <w:proofErr w:type="spellStart"/>
      <w:r w:rsidRPr="00FD1578">
        <w:rPr>
          <w:rFonts w:eastAsia="Calibri" w:cs="Times New Roman"/>
          <w:bCs/>
          <w:iCs/>
          <w:szCs w:val="24"/>
          <w:lang w:eastAsia="en-US"/>
        </w:rPr>
        <w:t>agresorvalstīm</w:t>
      </w:r>
      <w:proofErr w:type="spellEnd"/>
      <w:r w:rsidRPr="00FD1578">
        <w:rPr>
          <w:rFonts w:eastAsia="Calibri" w:cs="Times New Roman"/>
          <w:bCs/>
          <w:iCs/>
          <w:szCs w:val="24"/>
          <w:lang w:eastAsia="en-US"/>
        </w:rPr>
        <w:t xml:space="preserve"> veidojuši reeksporta darījumi, tādējādi tiešu ietekmi uz pārējām tautsaimniecības nozarēm apjomu samazinājumi nerada.</w:t>
      </w:r>
    </w:p>
    <w:p w14:paraId="140FEC1A" w14:textId="77777777" w:rsidR="0070161D" w:rsidRPr="00FD1578" w:rsidRDefault="0070161D" w:rsidP="008349F0">
      <w:pPr>
        <w:ind w:firstLine="709"/>
        <w:rPr>
          <w:rFonts w:eastAsia="Calibri" w:cs="Times New Roman"/>
          <w:bCs/>
          <w:iCs/>
          <w:color w:val="000000"/>
          <w:szCs w:val="24"/>
          <w:lang w:eastAsia="en-US"/>
        </w:rPr>
      </w:pPr>
      <w:r w:rsidRPr="00FD1578">
        <w:rPr>
          <w:rFonts w:eastAsia="Calibri" w:cs="Times New Roman"/>
          <w:bCs/>
          <w:iCs/>
          <w:color w:val="000000"/>
          <w:szCs w:val="24"/>
          <w:lang w:eastAsia="en-US"/>
        </w:rPr>
        <w:t>Automobiļu un motociklu tirdzniecības nozare, kas ir mazākā no tirdzniecības nozarēm, no 2021. līdz 2023. gadam uzrādīja labus rezultātus, dodot pozitīvu pienesumu kopējai tirdzniecības nozarei. Tomēr 2024. gada pirmajā pusē straujā izaugsme ir apstājusies un tirdzniecības apjomi pret 2023. gada pirmo pusgadu ir samazinājušies par 5,4%.</w:t>
      </w:r>
    </w:p>
    <w:p w14:paraId="41E16A0D" w14:textId="77777777" w:rsidR="0070161D" w:rsidRPr="00FD1578" w:rsidRDefault="0070161D" w:rsidP="008349F0">
      <w:pPr>
        <w:ind w:firstLine="709"/>
        <w:rPr>
          <w:rFonts w:eastAsia="Calibri" w:cs="Times New Roman"/>
          <w:bCs/>
          <w:iCs/>
          <w:color w:val="000000"/>
          <w:szCs w:val="24"/>
          <w:lang w:eastAsia="en-US"/>
        </w:rPr>
      </w:pPr>
      <w:r w:rsidRPr="00FD1578">
        <w:rPr>
          <w:rFonts w:eastAsia="Calibri" w:cs="Times New Roman"/>
          <w:bCs/>
          <w:iCs/>
          <w:color w:val="000000"/>
          <w:szCs w:val="24"/>
          <w:lang w:eastAsia="en-US"/>
        </w:rPr>
        <w:t>EK apkopotais konfidenču indekss norāda, ka Latvijas mazumtirgotāju noskaņojums kopš 2023. gada vidus kļūst arvien pesimistiskāks, tirgotājiem nerealizējot iecerētos pārdošanas apjomus un neparedzot būtisku situācijas uzlabošanos. Turpretim patērētāju konfidence ir augstā līmenī, patērētājiem paredzot savas personīgās finansiālās un valsts ekonomiskās situācijas uzlabošanos nākamā gada laikā, kas ir pozitīvs faktors mazumtirdzniecības nozares potenciālai izaugsmei.</w:t>
      </w:r>
    </w:p>
    <w:p w14:paraId="7FAE4EEF" w14:textId="77777777" w:rsidR="0070161D" w:rsidRPr="00FD1578" w:rsidRDefault="0070161D" w:rsidP="008349F0">
      <w:pPr>
        <w:ind w:firstLine="709"/>
        <w:rPr>
          <w:rFonts w:eastAsia="Calibri" w:cs="Arial"/>
          <w:bCs/>
          <w:iCs/>
          <w:color w:val="000000"/>
          <w:szCs w:val="24"/>
          <w:lang w:eastAsia="en-US"/>
        </w:rPr>
      </w:pPr>
      <w:r w:rsidRPr="00FD1578">
        <w:rPr>
          <w:rFonts w:eastAsia="Calibri" w:cs="Arial"/>
          <w:bCs/>
          <w:iCs/>
          <w:color w:val="000000"/>
          <w:szCs w:val="24"/>
          <w:lang w:eastAsia="en-US"/>
        </w:rPr>
        <w:t>Turpinoties algu pieaugumam un zemai inflācijai, sagaidāma iedzīvotāju pirktspējas uzlabošanās, pozitīvi ietekmējot mazumtirdzniecības nozari, tomēr šā gada mazumtirdzniecības apjomi sagaidāmi tikai nedaudz augstāki nekā pērn. Turpretim vairumtirdzniecības nozarē izaugsme gaidāma tikai 2025. gadā līdz ar situācijas uzlabošanos ES ekonomikā un Latvijas rūpniecības nozarē.</w:t>
      </w:r>
    </w:p>
    <w:p w14:paraId="5D171B56" w14:textId="77777777" w:rsidR="0070161D" w:rsidRPr="00FD1578" w:rsidRDefault="0070161D" w:rsidP="008349F0">
      <w:pPr>
        <w:rPr>
          <w:rFonts w:eastAsia="Calibri" w:cs="Arial"/>
          <w:b/>
          <w:bCs/>
          <w:szCs w:val="24"/>
        </w:rPr>
      </w:pPr>
      <w:r w:rsidRPr="00FD1578">
        <w:rPr>
          <w:rFonts w:eastAsia="Calibri" w:cs="Arial"/>
          <w:b/>
          <w:bCs/>
          <w:szCs w:val="24"/>
        </w:rPr>
        <w:t>Transporta un uzglabāšanas nozare</w:t>
      </w:r>
    </w:p>
    <w:p w14:paraId="5A809D77" w14:textId="1953D607" w:rsidR="0070161D" w:rsidRPr="00FD1578" w:rsidRDefault="0070161D" w:rsidP="008349F0">
      <w:pPr>
        <w:rPr>
          <w:rFonts w:eastAsia="Aptos" w:cs="Times New Roman"/>
          <w:bCs/>
          <w:szCs w:val="24"/>
          <w:lang w:eastAsia="en-US"/>
          <w14:ligatures w14:val="standardContextual"/>
        </w:rPr>
      </w:pPr>
      <w:r w:rsidRPr="00FD1578">
        <w:rPr>
          <w:rFonts w:eastAsia="Aptos" w:cs="Times New Roman"/>
          <w:bCs/>
          <w:szCs w:val="24"/>
          <w:lang w:eastAsia="en-US"/>
          <w14:ligatures w14:val="standardContextual"/>
        </w:rPr>
        <w:t xml:space="preserve">Transporta un uzglabāšanas nozare, kurai vēsturiski bijusi būtiska loma Latvijas ekonomikas attīstībā, bija viena no pandēmijas smagāk skartajām nozarēm un to arī vissmagāk skāra Krievijas uzsāktais karš Ukrainā un biznesa sakaru saraušana ar </w:t>
      </w:r>
      <w:proofErr w:type="spellStart"/>
      <w:r w:rsidRPr="00FD1578">
        <w:rPr>
          <w:rFonts w:eastAsia="Aptos" w:cs="Times New Roman"/>
          <w:bCs/>
          <w:szCs w:val="24"/>
          <w:lang w:eastAsia="en-US"/>
          <w14:ligatures w14:val="standardContextual"/>
        </w:rPr>
        <w:t>agresorvalstīm</w:t>
      </w:r>
      <w:proofErr w:type="spellEnd"/>
      <w:r w:rsidRPr="00FD1578">
        <w:rPr>
          <w:rFonts w:eastAsia="Aptos" w:cs="Times New Roman"/>
          <w:bCs/>
          <w:szCs w:val="24"/>
          <w:lang w:eastAsia="en-US"/>
          <w14:ligatures w14:val="standardContextual"/>
        </w:rPr>
        <w:t xml:space="preserve">. Attiecīgi nozares īpatsvars kopējā pievienotajā vērtībā ir samazinājies no vidēji 10% pēdējo divdesmit gadu laikā līdz 8,0% 2020. gadā un 7,4% 2023. gadā. </w:t>
      </w:r>
      <w:r w:rsidR="00A60727">
        <w:rPr>
          <w:rFonts w:eastAsia="Aptos" w:cs="Times New Roman"/>
          <w:bCs/>
          <w:szCs w:val="24"/>
          <w:lang w:eastAsia="en-US"/>
          <w14:ligatures w14:val="standardContextual"/>
        </w:rPr>
        <w:t>2024.</w:t>
      </w:r>
      <w:r w:rsidR="00A60727" w:rsidRPr="00FD1578">
        <w:rPr>
          <w:rFonts w:eastAsia="Aptos" w:cs="Times New Roman"/>
          <w:bCs/>
          <w:szCs w:val="24"/>
          <w:lang w:eastAsia="en-US"/>
          <w14:ligatures w14:val="standardContextual"/>
        </w:rPr>
        <w:t xml:space="preserve"> </w:t>
      </w:r>
      <w:r w:rsidRPr="00FD1578">
        <w:rPr>
          <w:rFonts w:eastAsia="Aptos" w:cs="Times New Roman"/>
          <w:bCs/>
          <w:szCs w:val="24"/>
          <w:lang w:eastAsia="en-US"/>
          <w14:ligatures w14:val="standardContextual"/>
        </w:rPr>
        <w:t>gada pirmajā pusē, nozares lejupslīdei turpinoties, transporta nozares īpatsvars ir noslīdējis līdz 6,8% no kopējās pievienotās vērtības.</w:t>
      </w:r>
    </w:p>
    <w:p w14:paraId="1325B54D" w14:textId="77777777" w:rsidR="0070161D" w:rsidRPr="00FD1578" w:rsidRDefault="0070161D" w:rsidP="008349F0">
      <w:pPr>
        <w:rPr>
          <w:rFonts w:eastAsia="Aptos" w:cs="Times New Roman"/>
          <w:bCs/>
          <w:szCs w:val="24"/>
          <w:lang w:eastAsia="en-US"/>
          <w14:ligatures w14:val="standardContextual"/>
        </w:rPr>
      </w:pPr>
      <w:r w:rsidRPr="00FD1578">
        <w:rPr>
          <w:rFonts w:eastAsia="Aptos" w:cs="Times New Roman"/>
          <w:bCs/>
          <w:szCs w:val="24"/>
          <w:lang w:eastAsia="en-US"/>
          <w14:ligatures w14:val="standardContextual"/>
        </w:rPr>
        <w:lastRenderedPageBreak/>
        <w:t>Atgūstoties no Covid-19, 2022. gadā transporta nozares pieaugums sasniedza 3,0%, ko nodrošināja pasažieru pārvadājumu atjaunošanās pēc pandēmijas laikā noteiktajiem ierobežojumiem, bet 2023. gadā nozare piedzīvoja 7,8% kritumu, pasažieru pārvadājumu pieaugumam vairs nespējot kompensēt zaudējumus kravu transportā, īpaši krītoties Krievijas kravu tranzītam dzelzceļā un ostās. Līdzīga situācija saglabājās arī 2024. gada pirmajā pusē, kad pasažieru pārvadājumos turpinājās pieaugums, bet nozares ietvaros tas nekompensēja kravu tranzīta kritumu. 2024. gada pirmajā pusē transporta nozares kopējā pievienotā vērtība, salīdzinot ar 2023. gada pirmo pusi samazinājās par 8,4%.</w:t>
      </w:r>
    </w:p>
    <w:p w14:paraId="28A900FF" w14:textId="77777777" w:rsidR="0070161D" w:rsidRPr="00FD1578" w:rsidRDefault="0070161D" w:rsidP="008349F0">
      <w:pPr>
        <w:rPr>
          <w:rFonts w:eastAsia="Aptos" w:cs="Times New Roman"/>
          <w:bCs/>
          <w:szCs w:val="24"/>
          <w:lang w:eastAsia="en-US"/>
          <w14:ligatures w14:val="standardContextual"/>
        </w:rPr>
      </w:pPr>
      <w:r w:rsidRPr="00FD1578">
        <w:rPr>
          <w:rFonts w:eastAsia="Aptos" w:cs="Times New Roman"/>
          <w:bCs/>
          <w:szCs w:val="24"/>
          <w:lang w:eastAsia="en-US"/>
          <w14:ligatures w14:val="standardContextual"/>
        </w:rPr>
        <w:t xml:space="preserve">Pasažieru skaits lidostā “Rīga” 2023. gadā, salīdzinot ar iepriekšējo gadu, palielinājās par 23,2% un sasniedza 6,6 milj., tomēr vēl joprojām atpalika no 2018.-2019. gada līmeņa, kad pasažieru skaits lidostā bija pārsniedzis septiņus milj. Pasažieru skaits sauszemes transportā pieauga par 15,4% un jūras ostās tika apkalpots par 1,4% vairāk pasažieru nekā 2022. gadā. </w:t>
      </w:r>
    </w:p>
    <w:p w14:paraId="76980F0D" w14:textId="49FE358C" w:rsidR="0070161D" w:rsidRPr="00FD1578" w:rsidRDefault="0070161D" w:rsidP="008349F0">
      <w:pPr>
        <w:rPr>
          <w:rFonts w:eastAsia="Aptos" w:cs="Times New Roman"/>
          <w:bCs/>
          <w:szCs w:val="24"/>
          <w:lang w:eastAsia="en-US"/>
          <w14:ligatures w14:val="standardContextual"/>
        </w:rPr>
      </w:pPr>
      <w:r w:rsidRPr="00FD1578">
        <w:rPr>
          <w:rFonts w:eastAsia="Aptos" w:cs="Times New Roman"/>
          <w:bCs/>
          <w:szCs w:val="24"/>
          <w:lang w:eastAsia="en-US"/>
          <w14:ligatures w14:val="standardContextual"/>
        </w:rPr>
        <w:t xml:space="preserve">Tajā pašā laikā kravu apgrozījums ostās </w:t>
      </w:r>
      <w:r w:rsidR="00A60727">
        <w:rPr>
          <w:rFonts w:eastAsia="Aptos" w:cs="Times New Roman"/>
          <w:bCs/>
          <w:szCs w:val="24"/>
          <w:lang w:eastAsia="en-US"/>
          <w14:ligatures w14:val="standardContextual"/>
        </w:rPr>
        <w:t>2023. gadā</w:t>
      </w:r>
      <w:r w:rsidR="00A60727" w:rsidRPr="00FD1578">
        <w:rPr>
          <w:rFonts w:eastAsia="Aptos" w:cs="Times New Roman"/>
          <w:bCs/>
          <w:szCs w:val="24"/>
          <w:lang w:eastAsia="en-US"/>
          <w14:ligatures w14:val="standardContextual"/>
        </w:rPr>
        <w:t xml:space="preserve"> </w:t>
      </w:r>
      <w:r w:rsidRPr="00FD1578">
        <w:rPr>
          <w:rFonts w:eastAsia="Aptos" w:cs="Times New Roman"/>
          <w:bCs/>
          <w:szCs w:val="24"/>
          <w:lang w:eastAsia="en-US"/>
          <w14:ligatures w14:val="standardContextual"/>
        </w:rPr>
        <w:t xml:space="preserve">saruka par 19,6% un kravu pārvadājumi dzelzceļā kritās par 27,5%. Kravu apjoma kritumu noteica galvenokārt Krievijas </w:t>
      </w:r>
      <w:proofErr w:type="spellStart"/>
      <w:r w:rsidRPr="00FD1578">
        <w:rPr>
          <w:rFonts w:eastAsia="Aptos" w:cs="Times New Roman"/>
          <w:bCs/>
          <w:szCs w:val="24"/>
          <w:lang w:eastAsia="en-US"/>
          <w14:ligatures w14:val="standardContextual"/>
        </w:rPr>
        <w:t>energoproduktu</w:t>
      </w:r>
      <w:proofErr w:type="spellEnd"/>
      <w:r w:rsidRPr="00FD1578">
        <w:rPr>
          <w:rFonts w:eastAsia="Aptos" w:cs="Times New Roman"/>
          <w:bCs/>
          <w:szCs w:val="24"/>
          <w:lang w:eastAsia="en-US"/>
          <w14:ligatures w14:val="standardContextual"/>
        </w:rPr>
        <w:t xml:space="preserve"> tranzīta zaudēšana, un kravu apgrozījums ostās ar 38,7 milj. tonnu veidoja vairs tikai pusi no 2012. gada līmeņa, kad pārkrauto kravu apjoms bija vislielākais. Dzelzceļā pārvadāto kravu apjoms saruka līdz 15,4 milj. tonnu, kas atbilda vairs tikai vienai ceturtdaļai no 2012. gada līmeņa. Kravu apgrozība autopārvadājumos 2023. gadā samazinājās par 3,5%, samazinoties starptautisko pārvadājumu apjomiem, kamēr iekšzemē kravu pārvadājumi turpināja pieaugt.</w:t>
      </w:r>
    </w:p>
    <w:p w14:paraId="42864C73" w14:textId="77777777" w:rsidR="0070161D" w:rsidRPr="00FD1578" w:rsidRDefault="0070161D" w:rsidP="008349F0">
      <w:pPr>
        <w:rPr>
          <w:rFonts w:eastAsia="Aptos" w:cs="Times New Roman"/>
          <w:bCs/>
          <w:szCs w:val="24"/>
          <w:lang w:eastAsia="en-US"/>
          <w14:ligatures w14:val="standardContextual"/>
        </w:rPr>
      </w:pPr>
      <w:r w:rsidRPr="00FD1578">
        <w:rPr>
          <w:rFonts w:eastAsia="Aptos" w:cs="Times New Roman"/>
          <w:bCs/>
          <w:szCs w:val="24"/>
          <w:lang w:eastAsia="en-US"/>
          <w14:ligatures w14:val="standardContextual"/>
        </w:rPr>
        <w:t>Līdzīga situācija saglabājas arī 2024. gadā, kad pasažieru pārvadājumi turpina atjaunoties, bet kravu tranzīta apjomi krītas. Nozare kopumā 2024. gadā nevarēs izvairīties no krituma, jo pozitīvu dinamiku pašlaik nodrošina tikai iekšzemes pieprasījums un pasažieru pārvadājumu apjoma pieaugums. Latvijas ekonomikas straujāka attīstība, kā arī augstāks pieprasījums pēc kravu pārvadājumiem straujāk augošajos Eiropas tirgos arī būs galvenie faktori, kas varēs nodrošināt transporta un uzglabāšanas nozares mērenu pieaugumu 2025. un nākamajos gados, kad Krievijas kravu tranzīts būs pilnībā izsīcis.</w:t>
      </w:r>
    </w:p>
    <w:p w14:paraId="352FB2D1" w14:textId="77777777" w:rsidR="0070161D" w:rsidRPr="00FD1578" w:rsidRDefault="0070161D" w:rsidP="008349F0">
      <w:pPr>
        <w:rPr>
          <w:rFonts w:eastAsia="Aptos" w:cs="Times New Roman"/>
          <w:bCs/>
          <w:szCs w:val="24"/>
          <w:lang w:eastAsia="en-US"/>
          <w14:ligatures w14:val="standardContextual"/>
        </w:rPr>
      </w:pPr>
      <w:r w:rsidRPr="00FD1578">
        <w:rPr>
          <w:rFonts w:eastAsia="Aptos" w:cs="Times New Roman"/>
          <w:bCs/>
          <w:szCs w:val="24"/>
          <w:lang w:eastAsia="en-US"/>
          <w14:ligatures w14:val="standardContextual"/>
        </w:rPr>
        <w:t>2024. gada pirmajos astoņos mēnešos, salīdzinot ar pagājušā gada attiecīgo periodu, kravu apgrozījums ostās samazinājās par 9,7%, būtiskāko kritumu piedzīvojot naftas produktu (-20,7%) un ogļu kravām (-76,7%), kamēr pārējo kravu apjomi saglabājās salīdzinoši stabili, pret pagājušā gada attiecīgo periodu kopumā pieaugot par 1,0%. Dzelzceļā pārvadāto kravu apjoms 2024. gada pirmajos astoņos mēnešos kritās par 25,7%, pēc CSP datiem. Kravu apjomu dinamika Latvijas ostās un dzelzceļā apkopota 1.7. attēlā.</w:t>
      </w:r>
    </w:p>
    <w:p w14:paraId="01EBCA01" w14:textId="77777777" w:rsidR="0070161D" w:rsidRPr="00FD1578" w:rsidRDefault="0070161D" w:rsidP="008349F0">
      <w:pPr>
        <w:spacing w:before="60" w:after="60"/>
        <w:ind w:firstLine="0"/>
        <w:jc w:val="center"/>
        <w:rPr>
          <w:rFonts w:eastAsia="Aptos" w:cs="Times New Roman"/>
          <w:bCs/>
          <w:szCs w:val="24"/>
          <w:lang w:eastAsia="en-US"/>
          <w14:ligatures w14:val="standardContextual"/>
        </w:rPr>
      </w:pPr>
      <w:r w:rsidRPr="00FD1578">
        <w:rPr>
          <w:rFonts w:ascii="Calibri" w:eastAsia="Calibri" w:hAnsi="Calibri" w:cs="Times New Roman"/>
          <w:noProof/>
          <w:sz w:val="22"/>
          <w:lang w:eastAsia="en-US"/>
        </w:rPr>
        <w:drawing>
          <wp:inline distT="0" distB="0" distL="0" distR="0" wp14:anchorId="0539E37F" wp14:editId="18D92D25">
            <wp:extent cx="4946650" cy="2413000"/>
            <wp:effectExtent l="0" t="0" r="6350" b="6350"/>
            <wp:docPr id="8" name="Chart 5086510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DB1462E" w14:textId="77777777" w:rsidR="0070161D" w:rsidRPr="00FD1578" w:rsidRDefault="0070161D" w:rsidP="008349F0">
      <w:pPr>
        <w:spacing w:after="0"/>
        <w:ind w:firstLine="0"/>
        <w:jc w:val="center"/>
        <w:rPr>
          <w:rFonts w:eastAsia="Times New Roman" w:cs="Times New Roman"/>
          <w:b/>
          <w:i/>
          <w:szCs w:val="24"/>
          <w:lang w:eastAsia="en-US"/>
        </w:rPr>
      </w:pPr>
      <w:r w:rsidRPr="00FD1578">
        <w:rPr>
          <w:rFonts w:eastAsia="Times New Roman" w:cs="Times New Roman"/>
          <w:b/>
          <w:i/>
          <w:szCs w:val="24"/>
          <w:lang w:eastAsia="en-US"/>
        </w:rPr>
        <w:t>1.7. att. Kravu apgrozījums Latvijas ostās un pārvadājumu apjoms dzelzceļā</w:t>
      </w:r>
    </w:p>
    <w:p w14:paraId="24DE26EF" w14:textId="77777777" w:rsidR="0070161D" w:rsidRPr="00FD1578" w:rsidRDefault="0070161D" w:rsidP="008349F0">
      <w:pPr>
        <w:spacing w:after="0"/>
        <w:ind w:firstLine="0"/>
        <w:jc w:val="center"/>
        <w:rPr>
          <w:rFonts w:eastAsia="Times New Roman" w:cs="Times New Roman"/>
          <w:b/>
          <w:i/>
          <w:szCs w:val="24"/>
          <w:lang w:eastAsia="en-US"/>
        </w:rPr>
      </w:pPr>
      <w:r w:rsidRPr="00FD1578">
        <w:rPr>
          <w:rFonts w:eastAsia="Times New Roman" w:cs="Times New Roman"/>
          <w:b/>
          <w:i/>
          <w:szCs w:val="24"/>
          <w:lang w:eastAsia="en-US"/>
        </w:rPr>
        <w:t xml:space="preserve"> (tūkst. tonnu), 2010.-2024. gada pirmajos astoņos mēnešos</w:t>
      </w:r>
    </w:p>
    <w:p w14:paraId="79886F98" w14:textId="77777777" w:rsidR="0070161D" w:rsidRPr="00FD1578" w:rsidRDefault="0070161D" w:rsidP="008349F0">
      <w:pPr>
        <w:spacing w:before="120"/>
        <w:rPr>
          <w:rFonts w:eastAsia="Aptos" w:cs="Times New Roman"/>
          <w:bCs/>
          <w:szCs w:val="24"/>
          <w:lang w:eastAsia="en-US"/>
          <w14:ligatures w14:val="standardContextual"/>
        </w:rPr>
      </w:pPr>
      <w:r w:rsidRPr="00FD1578">
        <w:rPr>
          <w:rFonts w:eastAsia="Aptos" w:cs="Times New Roman"/>
          <w:bCs/>
          <w:szCs w:val="24"/>
          <w:lang w:eastAsia="en-US"/>
          <w14:ligatures w14:val="standardContextual"/>
        </w:rPr>
        <w:lastRenderedPageBreak/>
        <w:t>Vienlaikus kravu apgrozība autotransportā 2024. gada pirmajā pusē, salīdzinot ar attiecīgo periodu pirms gada, palielinājās par 11,0%, spēcīgi pieaugot pārvadājumiem ārvalstīs, kamēr iekšzemē apjomi auguši lēnāk, bet neliels samazinājums bijis eksporta pārvadājumos.</w:t>
      </w:r>
    </w:p>
    <w:p w14:paraId="022E1315" w14:textId="77777777" w:rsidR="0070161D" w:rsidRPr="00FD1578" w:rsidRDefault="0070161D" w:rsidP="008349F0">
      <w:pPr>
        <w:rPr>
          <w:rFonts w:eastAsia="Aptos" w:cs="Times New Roman"/>
          <w:bCs/>
          <w:szCs w:val="24"/>
          <w:lang w:eastAsia="en-US"/>
          <w14:ligatures w14:val="standardContextual"/>
        </w:rPr>
      </w:pPr>
      <w:r w:rsidRPr="00FD1578">
        <w:rPr>
          <w:rFonts w:eastAsia="Aptos" w:cs="Times New Roman"/>
          <w:bCs/>
          <w:szCs w:val="24"/>
          <w:lang w:eastAsia="en-US"/>
          <w14:ligatures w14:val="standardContextual"/>
        </w:rPr>
        <w:t xml:space="preserve">Pasažieru skaits lidostā Rīgā 2024. gadā nedaudz pārsniedz pagājušā gada līmeni – gada pirmajos septiņos mēnešos apkalpoti 2,5 milj. pasažieru, kas ir par 4,2% vairāk nekā pirms gada. Pieauguma tempi pēc sabremzēšanās gada otrajā ceturksnī atkal ir kļuvuši straujāki, un jūlijā, salīdzinot ar pagājušā gada jūliju, pasažieru skaits lidostā Rīga bijis par 6,4% lielāks nekā pirms gada. Lai gan pasažieru pārvadājumi joprojām atpaliek no 2019. gadā sasniegtā </w:t>
      </w:r>
      <w:proofErr w:type="spellStart"/>
      <w:r w:rsidRPr="00FD1578">
        <w:rPr>
          <w:rFonts w:eastAsia="Aptos" w:cs="Times New Roman"/>
          <w:bCs/>
          <w:szCs w:val="24"/>
          <w:lang w:eastAsia="en-US"/>
          <w14:ligatures w14:val="standardContextual"/>
        </w:rPr>
        <w:t>rekordapjoma</w:t>
      </w:r>
      <w:proofErr w:type="spellEnd"/>
      <w:r w:rsidRPr="00FD1578">
        <w:rPr>
          <w:rFonts w:eastAsia="Aptos" w:cs="Times New Roman"/>
          <w:bCs/>
          <w:szCs w:val="24"/>
          <w:lang w:eastAsia="en-US"/>
          <w14:ligatures w14:val="standardContextual"/>
        </w:rPr>
        <w:t>, kad gadā kopā tika pārvadāti 7,8 milj. pasažieru, pašlaik pārvadāto pasažieru skaits jau ir atgriezies un pēdējos mēnešos pat pārsniedzis 2018. gada līmeni, kad bija fiksēts otrs augstākais pārvadājumu apjoms lidostas darbības vēsturē.</w:t>
      </w:r>
    </w:p>
    <w:p w14:paraId="3C9EBFA8" w14:textId="77777777" w:rsidR="0070161D" w:rsidRPr="00FD1578" w:rsidRDefault="0070161D" w:rsidP="008349F0">
      <w:pPr>
        <w:rPr>
          <w:rFonts w:eastAsia="Aptos" w:cs="Times New Roman"/>
          <w:bCs/>
          <w:szCs w:val="24"/>
          <w:lang w:eastAsia="en-US"/>
          <w14:ligatures w14:val="standardContextual"/>
        </w:rPr>
      </w:pPr>
      <w:r w:rsidRPr="00FD1578">
        <w:rPr>
          <w:rFonts w:eastAsia="Aptos" w:cs="Times New Roman"/>
          <w:bCs/>
          <w:szCs w:val="24"/>
          <w:lang w:eastAsia="en-US"/>
          <w14:ligatures w14:val="standardContextual"/>
        </w:rPr>
        <w:t xml:space="preserve"> Pasažieru skaits sauszemes transportā 2024. gada pirmajā pusē salīdzinājumā ar pagājušā gada pirmo pusi palielinājies par 1,6%, būtiski pieaugot pasažieru skaitam dzelzceļā (+9,7%) un pilsētas elektrotransportā (+7,1%), bet ar regulārās satiksmes autobusiem pārvadāto pasažieru skaits ir krities par 3,0%. Pasažieru skaits jūras ostās šā gada pirmajā pusē bijis par 10,7% mazāks nekā pirms gada un salīdzinājumā ar 2019. gadu ir krities vairāk nekā trīs reizes, ko noteikusi pirmām kārtām prāmju satiksmes neatjaunošana ar Stokholmu pēc pandēmijas ierobežojumu atcelšanas. </w:t>
      </w:r>
    </w:p>
    <w:p w14:paraId="312B5E43" w14:textId="77777777" w:rsidR="0070161D" w:rsidRPr="00FD1578" w:rsidRDefault="0070161D" w:rsidP="008349F0">
      <w:pPr>
        <w:rPr>
          <w:rFonts w:eastAsia="Calibri" w:cs="Arial"/>
          <w:b/>
          <w:bCs/>
          <w:szCs w:val="24"/>
        </w:rPr>
      </w:pPr>
      <w:r w:rsidRPr="00FD1578">
        <w:rPr>
          <w:rFonts w:eastAsia="Calibri" w:cs="Arial"/>
          <w:b/>
          <w:bCs/>
          <w:szCs w:val="24"/>
        </w:rPr>
        <w:t>Būvniecība</w:t>
      </w:r>
    </w:p>
    <w:p w14:paraId="67CBECBB" w14:textId="77777777" w:rsidR="0070161D" w:rsidRPr="00FD1578" w:rsidRDefault="0070161D" w:rsidP="008349F0">
      <w:pPr>
        <w:rPr>
          <w:rFonts w:eastAsia="Calibri" w:cs="Times New Roman"/>
          <w:bCs/>
          <w:szCs w:val="24"/>
        </w:rPr>
      </w:pPr>
      <w:r w:rsidRPr="00FD1578">
        <w:rPr>
          <w:rFonts w:eastAsia="Calibri" w:cs="Times New Roman"/>
          <w:bCs/>
          <w:szCs w:val="24"/>
        </w:rPr>
        <w:t>Būvniecības apjomi 2022. gadā pret iepriekšējo gadu samazinājās par 11,3%, ko noteica galvenokārt strauji augošās būvniecības izmaksas un atsevišķu būvmateriālu deficīts. 2023. gadā situācija nozarē uzlabojās un būvniecības apjomi pieauga par 18,9%, sasniedzot 2019./2020. gada līmeni, kad būvniecības apjomi līdz šim bijuši visaugstākie. Apjomu pieaugumu veicināja gan vairs ne tik strauji augošās būvniecības izmaksas, gan būvmateriālu pieejamība, gan apturēto būvdarbu pabeigšana, kā arī 2021.-2027. gada ES fondu cikla apguves sākums. Savukārt 2024. gada pirmajā pusgadā būvniecības apjomi sarukuši par 2,4%, kas vērtējams kā maznozīmīgs kritums, kopējam līmenim saglabājoties augstam.</w:t>
      </w:r>
    </w:p>
    <w:p w14:paraId="1545AB36" w14:textId="77777777" w:rsidR="0070161D" w:rsidRPr="00FD1578" w:rsidRDefault="0070161D" w:rsidP="008349F0">
      <w:pPr>
        <w:spacing w:before="240" w:after="240"/>
        <w:ind w:firstLine="0"/>
        <w:jc w:val="center"/>
        <w:rPr>
          <w:rFonts w:eastAsia="Calibri" w:cs="Times New Roman"/>
          <w:b/>
          <w:sz w:val="28"/>
          <w:szCs w:val="24"/>
        </w:rPr>
      </w:pPr>
      <w:r w:rsidRPr="00FD1578">
        <w:rPr>
          <w:rFonts w:ascii="Calibri" w:eastAsia="Calibri" w:hAnsi="Calibri" w:cs="Times New Roman"/>
          <w:noProof/>
          <w:sz w:val="22"/>
          <w:lang w:eastAsia="en-US"/>
        </w:rPr>
        <w:drawing>
          <wp:inline distT="0" distB="0" distL="0" distR="0" wp14:anchorId="5EA5AC25" wp14:editId="14CA0121">
            <wp:extent cx="5276850" cy="2171700"/>
            <wp:effectExtent l="0" t="0" r="0" b="0"/>
            <wp:docPr id="9" name="Object 9">
              <a:extLst xmlns:a="http://schemas.openxmlformats.org/drawingml/2006/main">
                <a:ext uri="{FF2B5EF4-FFF2-40B4-BE49-F238E27FC236}">
                  <a16:creationId xmlns:a16="http://schemas.microsoft.com/office/drawing/2014/main" id="{A32BEF18-A8B4-BF6C-BEB8-D1401FF66C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CC5F1F6" w14:textId="77777777" w:rsidR="0070161D" w:rsidRPr="00FD1578" w:rsidRDefault="0070161D" w:rsidP="008349F0">
      <w:pPr>
        <w:spacing w:after="0"/>
        <w:ind w:firstLine="0"/>
        <w:jc w:val="center"/>
        <w:rPr>
          <w:rFonts w:eastAsia="Times New Roman" w:cs="Times New Roman"/>
          <w:b/>
          <w:i/>
          <w:szCs w:val="24"/>
          <w:lang w:eastAsia="en-US"/>
        </w:rPr>
      </w:pPr>
      <w:r w:rsidRPr="00FD1578">
        <w:rPr>
          <w:rFonts w:eastAsia="Times New Roman" w:cs="Times New Roman"/>
          <w:b/>
          <w:i/>
          <w:szCs w:val="24"/>
          <w:lang w:eastAsia="en-US"/>
        </w:rPr>
        <w:t>1.8. att. Būvniecības nozares izlaides apjomu izmaiņas g/g; salīdzināmajās cenās</w:t>
      </w:r>
    </w:p>
    <w:p w14:paraId="40E03ED0" w14:textId="77777777" w:rsidR="0070161D" w:rsidRPr="00FD1578" w:rsidRDefault="0070161D" w:rsidP="008349F0">
      <w:pPr>
        <w:spacing w:before="120"/>
        <w:rPr>
          <w:rFonts w:eastAsia="Times New Roman" w:cs="Times New Roman"/>
          <w:bCs/>
          <w:iCs/>
          <w:szCs w:val="24"/>
          <w:lang w:eastAsia="en-US"/>
        </w:rPr>
      </w:pPr>
      <w:r w:rsidRPr="00FD1578">
        <w:rPr>
          <w:rFonts w:eastAsia="Times New Roman" w:cs="Times New Roman"/>
          <w:bCs/>
          <w:iCs/>
          <w:szCs w:val="24"/>
          <w:lang w:eastAsia="en-US"/>
        </w:rPr>
        <w:t xml:space="preserve">Būvniecības nozares </w:t>
      </w:r>
      <w:proofErr w:type="spellStart"/>
      <w:r w:rsidRPr="00FD1578">
        <w:rPr>
          <w:rFonts w:eastAsia="Times New Roman" w:cs="Times New Roman"/>
          <w:bCs/>
          <w:iCs/>
          <w:szCs w:val="24"/>
          <w:lang w:eastAsia="en-US"/>
        </w:rPr>
        <w:t>apakšpozīcijas</w:t>
      </w:r>
      <w:proofErr w:type="spellEnd"/>
      <w:r w:rsidRPr="00FD1578">
        <w:rPr>
          <w:rFonts w:eastAsia="Times New Roman" w:cs="Times New Roman"/>
          <w:bCs/>
          <w:iCs/>
          <w:szCs w:val="24"/>
          <w:lang w:eastAsia="en-US"/>
        </w:rPr>
        <w:t xml:space="preserve"> ietver ēku būvniecību, </w:t>
      </w:r>
      <w:proofErr w:type="spellStart"/>
      <w:r w:rsidRPr="00FD1578">
        <w:rPr>
          <w:rFonts w:eastAsia="Times New Roman" w:cs="Times New Roman"/>
          <w:bCs/>
          <w:iCs/>
          <w:szCs w:val="24"/>
          <w:lang w:eastAsia="en-US"/>
        </w:rPr>
        <w:t>inženierbūvniecību</w:t>
      </w:r>
      <w:proofErr w:type="spellEnd"/>
      <w:r w:rsidRPr="00FD1578">
        <w:rPr>
          <w:rFonts w:eastAsia="Times New Roman" w:cs="Times New Roman"/>
          <w:bCs/>
          <w:iCs/>
          <w:szCs w:val="24"/>
          <w:lang w:eastAsia="en-US"/>
        </w:rPr>
        <w:t xml:space="preserve"> un specializētos būvdarbus, visi sektori 2023. gadā sasniedza apjomu pieaugumus – attiecīgi par 26,8%, 10,8% un 17,8%. Savukārt 2024. gada pirmajā pusgadā dinamika būvniecības sektoros bija ar atšķirīgām tendencēm, ēku būvniecībai samazinoties par 18,1%, </w:t>
      </w:r>
      <w:proofErr w:type="spellStart"/>
      <w:r w:rsidRPr="00FD1578">
        <w:rPr>
          <w:rFonts w:eastAsia="Times New Roman" w:cs="Times New Roman"/>
          <w:bCs/>
          <w:iCs/>
          <w:szCs w:val="24"/>
          <w:lang w:eastAsia="en-US"/>
        </w:rPr>
        <w:t>inženierbūvniecībai</w:t>
      </w:r>
      <w:proofErr w:type="spellEnd"/>
      <w:r w:rsidRPr="00FD1578">
        <w:rPr>
          <w:rFonts w:eastAsia="Times New Roman" w:cs="Times New Roman"/>
          <w:bCs/>
          <w:iCs/>
          <w:szCs w:val="24"/>
          <w:lang w:eastAsia="en-US"/>
        </w:rPr>
        <w:t xml:space="preserve"> pieaugot par 19,1%, bet specializētajiem būvdarbiem palielinoties par 1,7% pret 2023. gada pirmo pusgadu. Ēku būvniecības samazinājumu ietekmē augstā bāze 2023. gada sākumā, kā arī būvdarbu atlikšana privātajā sektorā, saglabājoties augstai nenoteiktībai, tajā skaitā par </w:t>
      </w:r>
      <w:r w:rsidRPr="00FD1578">
        <w:rPr>
          <w:rFonts w:eastAsia="Times New Roman" w:cs="Times New Roman"/>
          <w:bCs/>
          <w:iCs/>
          <w:szCs w:val="24"/>
          <w:lang w:eastAsia="en-US"/>
        </w:rPr>
        <w:lastRenderedPageBreak/>
        <w:t xml:space="preserve">ģeopolitisko situāciju reģionā. Ēku būvniecība faktiskajās cenās šā gada pirmajā pusgadā dzīvojamo māju segmentā sarukusi par 41,7%, ko noteica daudzdzīvokļu namu būvniecības sarukums par 45,8%, bet viena dzīvokļa māju būvniecība pieaugusi par 1,3% pret pērnā gada pirmo pusgadu. Savukārt nedzīvojamo ēku būvniecība pieaugusi par 0,8%, tostarp lielākais pieaugums ir lauksaimniecībā izmantojamām ēkām, bet kritumi ir rūpniecības un biroju ēku būvniecībā. Ievērojamais pieaugums </w:t>
      </w:r>
      <w:proofErr w:type="spellStart"/>
      <w:r w:rsidRPr="00FD1578">
        <w:rPr>
          <w:rFonts w:eastAsia="Times New Roman" w:cs="Times New Roman"/>
          <w:bCs/>
          <w:iCs/>
          <w:szCs w:val="24"/>
          <w:lang w:eastAsia="en-US"/>
        </w:rPr>
        <w:t>inženierbūvniecībā</w:t>
      </w:r>
      <w:proofErr w:type="spellEnd"/>
      <w:r w:rsidRPr="00FD1578">
        <w:rPr>
          <w:rFonts w:eastAsia="Times New Roman" w:cs="Times New Roman"/>
          <w:bCs/>
          <w:iCs/>
          <w:szCs w:val="24"/>
          <w:lang w:eastAsia="en-US"/>
        </w:rPr>
        <w:t xml:space="preserve"> saistīts galvenokārt ar būvniecības apjomu pieaugumu publiskajā sektorā, kur ietilpst ceļu, dzelzceļu, tiltu u.c. būvniecība, tajā skaitā </w:t>
      </w:r>
      <w:proofErr w:type="spellStart"/>
      <w:r w:rsidRPr="00FD1578">
        <w:rPr>
          <w:rFonts w:eastAsia="Times New Roman" w:cs="Times New Roman"/>
          <w:bCs/>
          <w:i/>
          <w:szCs w:val="24"/>
          <w:lang w:eastAsia="en-US"/>
        </w:rPr>
        <w:t>RailBaltica</w:t>
      </w:r>
      <w:proofErr w:type="spellEnd"/>
      <w:r w:rsidRPr="00FD1578">
        <w:rPr>
          <w:rFonts w:eastAsia="Times New Roman" w:cs="Times New Roman"/>
          <w:bCs/>
          <w:i/>
          <w:szCs w:val="24"/>
          <w:lang w:eastAsia="en-US"/>
        </w:rPr>
        <w:t xml:space="preserve"> </w:t>
      </w:r>
      <w:r w:rsidRPr="00FD1578">
        <w:rPr>
          <w:rFonts w:eastAsia="Times New Roman" w:cs="Times New Roman"/>
          <w:bCs/>
          <w:iCs/>
          <w:szCs w:val="24"/>
          <w:lang w:eastAsia="en-US"/>
        </w:rPr>
        <w:t>projekts u.c. nozīmīgi projekti ar ES finansējuma piesaisti.</w:t>
      </w:r>
    </w:p>
    <w:p w14:paraId="75D6803C" w14:textId="77777777" w:rsidR="0070161D" w:rsidRPr="00FD1578" w:rsidRDefault="0070161D" w:rsidP="008349F0">
      <w:pPr>
        <w:rPr>
          <w:rFonts w:eastAsia="Times New Roman" w:cs="Times New Roman"/>
          <w:bCs/>
          <w:iCs/>
          <w:szCs w:val="24"/>
          <w:lang w:eastAsia="en-US"/>
        </w:rPr>
      </w:pPr>
      <w:r w:rsidRPr="00FD1578">
        <w:rPr>
          <w:rFonts w:eastAsia="Times New Roman" w:cs="Times New Roman"/>
          <w:bCs/>
          <w:iCs/>
          <w:szCs w:val="24"/>
          <w:lang w:eastAsia="en-US"/>
        </w:rPr>
        <w:t xml:space="preserve">Būvniecības nozarē joprojām jūtama 2022. gadā strauji pieaugušo </w:t>
      </w:r>
      <w:proofErr w:type="spellStart"/>
      <w:r w:rsidRPr="00FD1578">
        <w:rPr>
          <w:rFonts w:eastAsia="Times New Roman" w:cs="Times New Roman"/>
          <w:bCs/>
          <w:iCs/>
          <w:szCs w:val="24"/>
          <w:lang w:eastAsia="en-US"/>
        </w:rPr>
        <w:t>būvizmaksu</w:t>
      </w:r>
      <w:proofErr w:type="spellEnd"/>
      <w:r w:rsidRPr="00FD1578">
        <w:rPr>
          <w:rFonts w:eastAsia="Times New Roman" w:cs="Times New Roman"/>
          <w:bCs/>
          <w:iCs/>
          <w:szCs w:val="24"/>
          <w:lang w:eastAsia="en-US"/>
        </w:rPr>
        <w:t xml:space="preserve"> ietekme (1.9. attēls), jauno būvprojektu izmaksām ievērojami pārsniedzot cenu līmeni pirms trim gadiem. Arī 2023. gadā un 2024. gada pirmajā pusgadā būvniecības izmaksas nav samazinājušās, pieaugumam pēdējā gada laikā svārstoties 1-3% robežās. </w:t>
      </w:r>
    </w:p>
    <w:p w14:paraId="4102735C" w14:textId="77777777" w:rsidR="0070161D" w:rsidRPr="00FD1578" w:rsidRDefault="0070161D" w:rsidP="008349F0">
      <w:pPr>
        <w:spacing w:after="0"/>
        <w:ind w:firstLine="0"/>
        <w:jc w:val="center"/>
        <w:rPr>
          <w:rFonts w:eastAsia="Times New Roman" w:cs="Times New Roman"/>
          <w:b/>
          <w:i/>
          <w:szCs w:val="24"/>
          <w:lang w:eastAsia="en-US"/>
        </w:rPr>
      </w:pPr>
      <w:r w:rsidRPr="00FD1578">
        <w:rPr>
          <w:rFonts w:ascii="Calibri" w:eastAsia="Calibri" w:hAnsi="Calibri" w:cs="Times New Roman"/>
          <w:noProof/>
          <w:sz w:val="22"/>
          <w:lang w:eastAsia="en-US"/>
        </w:rPr>
        <w:drawing>
          <wp:inline distT="0" distB="0" distL="0" distR="0" wp14:anchorId="249A01DE" wp14:editId="434661F0">
            <wp:extent cx="5276850" cy="2114550"/>
            <wp:effectExtent l="0" t="0" r="0" b="0"/>
            <wp:docPr id="10" name="Object 10">
              <a:extLst xmlns:a="http://schemas.openxmlformats.org/drawingml/2006/main">
                <a:ext uri="{FF2B5EF4-FFF2-40B4-BE49-F238E27FC236}">
                  <a16:creationId xmlns:a16="http://schemas.microsoft.com/office/drawing/2014/main" id="{54D6DA49-86FA-32BB-1753-44CFB72E42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6106A1D" w14:textId="77777777" w:rsidR="0070161D" w:rsidRPr="00FD1578" w:rsidRDefault="0070161D" w:rsidP="008349F0">
      <w:pPr>
        <w:spacing w:after="0"/>
        <w:ind w:firstLine="0"/>
        <w:jc w:val="center"/>
        <w:rPr>
          <w:rFonts w:eastAsia="Calibri" w:cs="Times New Roman"/>
          <w:b/>
          <w:i/>
          <w:szCs w:val="24"/>
          <w:lang w:eastAsia="en-US"/>
        </w:rPr>
      </w:pPr>
      <w:r w:rsidRPr="00FD1578">
        <w:rPr>
          <w:rFonts w:eastAsia="Calibri" w:cs="Times New Roman"/>
          <w:b/>
          <w:i/>
          <w:szCs w:val="24"/>
          <w:lang w:eastAsia="en-US"/>
        </w:rPr>
        <w:t>1.9. att. Būvniecības izmaksu pārmaiņas pret iepriekšējā gada attiecīgo mēnesi (%)</w:t>
      </w:r>
    </w:p>
    <w:p w14:paraId="0EC39E46" w14:textId="77777777" w:rsidR="0070161D" w:rsidRPr="00FD1578" w:rsidRDefault="0070161D" w:rsidP="008349F0">
      <w:pPr>
        <w:spacing w:before="120"/>
        <w:ind w:firstLine="709"/>
        <w:rPr>
          <w:rFonts w:eastAsia="Times New Roman" w:cs="Times New Roman"/>
          <w:bCs/>
          <w:iCs/>
          <w:szCs w:val="24"/>
          <w:lang w:eastAsia="en-US"/>
        </w:rPr>
      </w:pPr>
      <w:r w:rsidRPr="00FD1578">
        <w:rPr>
          <w:rFonts w:eastAsia="Times New Roman" w:cs="Times New Roman"/>
          <w:bCs/>
          <w:iCs/>
          <w:szCs w:val="24"/>
          <w:lang w:eastAsia="en-US"/>
        </w:rPr>
        <w:t>Būvniecības atļaujās norādītā platība 2023. gadā augusi vien par 0,6% pret 2022. gadu, bet 2024. gada pirmajā pusgadā pieaugums bijis 2,1% apmērā, kas liecina par mērenu aktivitātes paaugstināšanos būvniecības nozarē. Pērnajā gadā visvairāk pieauga biroja ēku un tirdzniecības ēku būvatļaujās norādītās platības (1.10. attēls), bet lielākie samazinājumi bija publisko ēku (skolu, slimnīcu, teātru u.c.) un daudzdzīvokļu namu platībās. Savukārt šā gada pirmajā pusgadā ievērojami turpina pieaugt tirdzniecības ēku būvatļauju platības, bet mazāki pieaugumi ir gan viena dzīvokļa ēkām, gan daudzdzīvokļu namiem. Turpretim sākušas samazināties biroja ēku pieteiktās platības, kā arī turpina samazināties publisko ēku būvatļauju platības.</w:t>
      </w:r>
    </w:p>
    <w:p w14:paraId="019B9EB4" w14:textId="77777777" w:rsidR="0070161D" w:rsidRPr="00FD1578" w:rsidRDefault="0070161D" w:rsidP="008349F0">
      <w:pPr>
        <w:spacing w:after="160"/>
        <w:ind w:firstLine="0"/>
        <w:jc w:val="center"/>
        <w:rPr>
          <w:rFonts w:eastAsia="Calibri" w:cs="Times New Roman"/>
          <w:b/>
          <w:i/>
          <w:szCs w:val="24"/>
          <w:lang w:eastAsia="en-US"/>
        </w:rPr>
      </w:pPr>
      <w:r w:rsidRPr="00FD1578">
        <w:rPr>
          <w:rFonts w:ascii="Calibri" w:eastAsia="Calibri" w:hAnsi="Calibri" w:cs="Times New Roman"/>
          <w:noProof/>
          <w:sz w:val="22"/>
          <w:lang w:eastAsia="en-US"/>
        </w:rPr>
        <w:drawing>
          <wp:inline distT="0" distB="0" distL="0" distR="0" wp14:anchorId="7E28082E" wp14:editId="60CEBE4D">
            <wp:extent cx="5372100" cy="2012950"/>
            <wp:effectExtent l="0" t="0" r="0" b="6350"/>
            <wp:docPr id="11" name="Picture 11">
              <a:extLst xmlns:a="http://schemas.openxmlformats.org/drawingml/2006/main">
                <a:ext uri="{FF2B5EF4-FFF2-40B4-BE49-F238E27FC236}">
                  <a16:creationId xmlns:a16="http://schemas.microsoft.com/office/drawing/2014/main" id="{00000000-0008-0000-07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A240681" w14:textId="77777777" w:rsidR="0070161D" w:rsidRPr="00FD1578" w:rsidRDefault="0070161D" w:rsidP="008349F0">
      <w:pPr>
        <w:spacing w:after="0"/>
        <w:ind w:firstLine="0"/>
        <w:jc w:val="center"/>
        <w:rPr>
          <w:rFonts w:eastAsia="Calibri" w:cs="Times New Roman"/>
          <w:b/>
          <w:i/>
          <w:szCs w:val="24"/>
          <w:lang w:eastAsia="en-US"/>
        </w:rPr>
      </w:pPr>
      <w:r w:rsidRPr="00FD1578">
        <w:rPr>
          <w:rFonts w:eastAsia="Calibri" w:cs="Times New Roman"/>
          <w:b/>
          <w:i/>
          <w:szCs w:val="24"/>
          <w:lang w:eastAsia="en-US"/>
        </w:rPr>
        <w:t>1.10. att. Izdotajās būvatļaujās paredzamā platība pa ēku veidiem (tūkst. km</w:t>
      </w:r>
      <w:r w:rsidRPr="00FD1578">
        <w:rPr>
          <w:rFonts w:eastAsia="Calibri" w:cs="Times New Roman"/>
          <w:b/>
          <w:i/>
          <w:szCs w:val="24"/>
          <w:vertAlign w:val="superscript"/>
          <w:lang w:eastAsia="en-US"/>
        </w:rPr>
        <w:t>2</w:t>
      </w:r>
      <w:r w:rsidRPr="00FD1578">
        <w:rPr>
          <w:rFonts w:eastAsia="Calibri" w:cs="Times New Roman"/>
          <w:b/>
          <w:i/>
          <w:szCs w:val="24"/>
          <w:lang w:eastAsia="en-US"/>
        </w:rPr>
        <w:t>)</w:t>
      </w:r>
    </w:p>
    <w:p w14:paraId="631A55A9" w14:textId="77777777" w:rsidR="0070161D" w:rsidRPr="00FD1578" w:rsidRDefault="0070161D" w:rsidP="008349F0">
      <w:pPr>
        <w:spacing w:before="120"/>
        <w:ind w:firstLine="709"/>
        <w:rPr>
          <w:rFonts w:eastAsia="Times New Roman" w:cs="Times New Roman"/>
          <w:bCs/>
          <w:iCs/>
          <w:szCs w:val="24"/>
          <w:lang w:eastAsia="en-US"/>
        </w:rPr>
      </w:pPr>
      <w:r w:rsidRPr="00FD1578">
        <w:rPr>
          <w:rFonts w:eastAsia="Times New Roman" w:cs="Times New Roman"/>
          <w:bCs/>
          <w:iCs/>
          <w:szCs w:val="24"/>
          <w:lang w:eastAsia="en-US"/>
        </w:rPr>
        <w:t xml:space="preserve">Būvniecības nozares datos šā gada pirmajā pusgadā izteikti vērojamas atšķirības privātajā un publiskajā sektorā. Kamēr būvniecību publiskajā sektorā veicina ES finansējuma </w:t>
      </w:r>
      <w:r w:rsidRPr="00FD1578">
        <w:rPr>
          <w:rFonts w:eastAsia="Times New Roman" w:cs="Times New Roman"/>
          <w:bCs/>
          <w:iCs/>
          <w:szCs w:val="24"/>
          <w:lang w:eastAsia="en-US"/>
        </w:rPr>
        <w:lastRenderedPageBreak/>
        <w:t>apguve, tikmēr privātais sektors nogaida, līdz ģeopolitiskā situācija stabilizēsies un pieaugs iedzīvotāju pirktspēja. Pašlaik būvniecības aktivitāti kavē arī augstās kredītu procentu likmes, samazinot aizņemšanās iespējas, un līdz ar likmju mazināšanos prognozējams arī būvniecības aktivitātes pieaugums.</w:t>
      </w:r>
    </w:p>
    <w:p w14:paraId="04550EB0" w14:textId="77777777" w:rsidR="0070161D" w:rsidRPr="00FD1578" w:rsidRDefault="0070161D" w:rsidP="008349F0">
      <w:pPr>
        <w:rPr>
          <w:rFonts w:eastAsia="Calibri" w:cs="Arial"/>
          <w:b/>
          <w:bCs/>
          <w:szCs w:val="24"/>
        </w:rPr>
      </w:pPr>
      <w:r w:rsidRPr="00FD1578">
        <w:rPr>
          <w:rFonts w:eastAsia="Calibri" w:cs="Arial"/>
          <w:b/>
          <w:bCs/>
          <w:szCs w:val="24"/>
        </w:rPr>
        <w:t>Finanšu un apdrošināšanas nozare</w:t>
      </w:r>
    </w:p>
    <w:p w14:paraId="4E2124B1" w14:textId="16CD7A71" w:rsidR="0070161D" w:rsidRPr="00FD1578" w:rsidRDefault="0070161D" w:rsidP="008349F0">
      <w:pPr>
        <w:rPr>
          <w:rFonts w:eastAsia="Calibri" w:cs="Times New Roman"/>
          <w:szCs w:val="20"/>
          <w:lang w:eastAsia="en-US"/>
        </w:rPr>
      </w:pPr>
      <w:bookmarkStart w:id="9" w:name="_Hlk178157200"/>
      <w:r w:rsidRPr="00FD1578">
        <w:rPr>
          <w:rFonts w:eastAsia="Calibri" w:cs="Times New Roman"/>
          <w:szCs w:val="20"/>
          <w:lang w:eastAsia="en-US"/>
        </w:rPr>
        <w:t xml:space="preserve">Finanšu un apdrošināšanas nozarē, ņemot vērā </w:t>
      </w:r>
      <w:proofErr w:type="spellStart"/>
      <w:r w:rsidRPr="00FD1578">
        <w:rPr>
          <w:rFonts w:eastAsia="Calibri" w:cs="Times New Roman"/>
          <w:i/>
          <w:iCs/>
          <w:szCs w:val="20"/>
          <w:lang w:eastAsia="en-US"/>
        </w:rPr>
        <w:t>Euribor</w:t>
      </w:r>
      <w:proofErr w:type="spellEnd"/>
      <w:r w:rsidRPr="00FD1578">
        <w:rPr>
          <w:rFonts w:eastAsia="Calibri" w:cs="Times New Roman"/>
          <w:szCs w:val="20"/>
          <w:lang w:eastAsia="en-US"/>
        </w:rPr>
        <w:t xml:space="preserve"> likmju kāpumu 2023. gadā, bankas Latvijā pērn guva rekordlielus procentu ieņēmumus un gadu kopumā noslēdza ar peļņu 573,5 milj. </w:t>
      </w:r>
      <w:proofErr w:type="spellStart"/>
      <w:r w:rsidRPr="00FD1578">
        <w:rPr>
          <w:rFonts w:eastAsia="Calibri" w:cs="Times New Roman"/>
          <w:i/>
          <w:iCs/>
          <w:szCs w:val="20"/>
          <w:lang w:eastAsia="en-US"/>
        </w:rPr>
        <w:t>euro</w:t>
      </w:r>
      <w:proofErr w:type="spellEnd"/>
      <w:r w:rsidRPr="00FD1578">
        <w:rPr>
          <w:rFonts w:eastAsia="Calibri" w:cs="Times New Roman"/>
          <w:szCs w:val="20"/>
          <w:lang w:eastAsia="en-US"/>
        </w:rPr>
        <w:t xml:space="preserve"> apmērā, kas bija par aptuveni 75% vairāk nekā 2022. gadā. ECB prognozē, ka 2% inflācijas mērķis </w:t>
      </w:r>
      <w:proofErr w:type="spellStart"/>
      <w:r w:rsidRPr="00FD1578">
        <w:rPr>
          <w:rFonts w:eastAsia="Calibri" w:cs="Times New Roman"/>
          <w:i/>
          <w:iCs/>
          <w:szCs w:val="20"/>
          <w:lang w:eastAsia="en-US"/>
        </w:rPr>
        <w:t>euro</w:t>
      </w:r>
      <w:proofErr w:type="spellEnd"/>
      <w:r w:rsidRPr="00FD1578">
        <w:rPr>
          <w:rFonts w:eastAsia="Calibri" w:cs="Times New Roman"/>
          <w:szCs w:val="20"/>
          <w:lang w:eastAsia="en-US"/>
        </w:rPr>
        <w:t xml:space="preserve"> zonā tiks sasniegts </w:t>
      </w:r>
      <w:r w:rsidR="008F0751">
        <w:rPr>
          <w:rFonts w:eastAsia="Calibri" w:cs="Times New Roman"/>
          <w:szCs w:val="20"/>
          <w:lang w:eastAsia="en-US"/>
        </w:rPr>
        <w:t xml:space="preserve">2025. </w:t>
      </w:r>
      <w:r w:rsidRPr="00FD1578">
        <w:rPr>
          <w:rFonts w:eastAsia="Calibri" w:cs="Times New Roman"/>
          <w:szCs w:val="20"/>
          <w:lang w:eastAsia="en-US"/>
        </w:rPr>
        <w:t xml:space="preserve">gada otrajā pusē, un no 2024. gada jūnija jau divreiz ir samazinājusi noguldījumu likmes par 0,5 </w:t>
      </w:r>
      <w:proofErr w:type="spellStart"/>
      <w:r w:rsidRPr="00FD1578">
        <w:rPr>
          <w:rFonts w:eastAsia="Calibri" w:cs="Times New Roman"/>
          <w:szCs w:val="20"/>
          <w:lang w:eastAsia="en-US"/>
        </w:rPr>
        <w:t>pp</w:t>
      </w:r>
      <w:proofErr w:type="spellEnd"/>
      <w:r w:rsidRPr="00FD1578">
        <w:rPr>
          <w:rFonts w:eastAsia="Calibri" w:cs="Times New Roman"/>
          <w:szCs w:val="20"/>
          <w:lang w:eastAsia="en-US"/>
        </w:rPr>
        <w:t>, tādējādi aizsākot jaunu procentu likmju pazemināšanas biznesa ciklu.</w:t>
      </w:r>
    </w:p>
    <w:bookmarkEnd w:id="9"/>
    <w:p w14:paraId="68898153"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Latvijas banku peļņa 2024. gada pirmajos septiņos mēnešos jau ir nedaudz samazinājusies un ir par aptuveni 17% zemāka, salīdzinot ar 2023. gada attiecīgo periodu. Tāpat kopš 2024. gada aprīļa ir nedaudz aktivizējusies kreditēšana un jūlija beigās </w:t>
      </w:r>
      <w:proofErr w:type="spellStart"/>
      <w:r w:rsidRPr="00FD1578">
        <w:rPr>
          <w:rFonts w:eastAsia="Calibri" w:cs="Times New Roman"/>
          <w:szCs w:val="20"/>
          <w:lang w:eastAsia="en-US"/>
        </w:rPr>
        <w:t>jaunizsniegto</w:t>
      </w:r>
      <w:proofErr w:type="spellEnd"/>
      <w:r w:rsidRPr="00FD1578">
        <w:rPr>
          <w:rFonts w:eastAsia="Calibri" w:cs="Times New Roman"/>
          <w:szCs w:val="20"/>
          <w:lang w:eastAsia="en-US"/>
        </w:rPr>
        <w:t xml:space="preserve"> kredītu apjoms mājsaimniecībām, salīdzinot ar iepriekšējā gada attiecīgo periodu ir palielinājies vidēji aptuveni par 5%, tomēr tam var būt arī tikai sezonāls raksturs. Līdzīgi kreditēšanas pieauguma tempi kā iepriekšējos gados šogad ir turpinājušies arī Lietuvā un Igaunijā, un ņemot vērā daudz straujāko kreditēšanas attīstību mūsu kaimiņvalstīs iepriekšējos periodos, Latvija turpina būtiski iepalikt attiecībā pret kaimiņiem kreditēšanas jomā. </w:t>
      </w:r>
      <w:proofErr w:type="spellStart"/>
      <w:r w:rsidRPr="00FD1578">
        <w:rPr>
          <w:rFonts w:eastAsia="Calibri" w:cs="Times New Roman"/>
          <w:i/>
          <w:iCs/>
          <w:szCs w:val="20"/>
          <w:lang w:eastAsia="en-US"/>
        </w:rPr>
        <w:t>Euro</w:t>
      </w:r>
      <w:proofErr w:type="spellEnd"/>
      <w:r w:rsidRPr="00FD1578">
        <w:rPr>
          <w:rFonts w:eastAsia="Calibri" w:cs="Times New Roman"/>
          <w:szCs w:val="20"/>
          <w:lang w:eastAsia="en-US"/>
        </w:rPr>
        <w:t xml:space="preserve"> zonā vidēji banku kredītportfeļa kopējais apjoms veido ap 83,5% no IKP, savukārt Latvijā tas ir tikai 28,5% no IKP, Lietuvā 35,6%, bet Igaunijā 59,1% no IKP. </w:t>
      </w:r>
    </w:p>
    <w:p w14:paraId="7E3343FC" w14:textId="77777777" w:rsidR="0070161D" w:rsidRPr="00FD1578" w:rsidRDefault="0070161D" w:rsidP="008349F0">
      <w:pPr>
        <w:ind w:firstLine="0"/>
        <w:jc w:val="center"/>
        <w:rPr>
          <w:rFonts w:eastAsia="Calibri" w:cs="Times New Roman"/>
          <w:szCs w:val="20"/>
          <w:lang w:eastAsia="en-US"/>
        </w:rPr>
      </w:pPr>
      <w:r w:rsidRPr="00FD1578">
        <w:rPr>
          <w:rFonts w:ascii="Calibri" w:eastAsia="Calibri" w:hAnsi="Calibri" w:cs="Times New Roman"/>
          <w:noProof/>
          <w:sz w:val="22"/>
          <w:lang w:eastAsia="en-US"/>
        </w:rPr>
        <w:drawing>
          <wp:inline distT="0" distB="0" distL="0" distR="0" wp14:anchorId="766777E5" wp14:editId="7A6F89EB">
            <wp:extent cx="5276850" cy="3575050"/>
            <wp:effectExtent l="0" t="0" r="0" b="6350"/>
            <wp:docPr id="351270353" name="Object 12">
              <a:extLst xmlns:a="http://schemas.openxmlformats.org/drawingml/2006/main">
                <a:ext uri="{FF2B5EF4-FFF2-40B4-BE49-F238E27FC236}">
                  <a16:creationId xmlns:a16="http://schemas.microsoft.com/office/drawing/2014/main" id="{7A180801-A3B9-4FB1-B4B4-A786BFE4FA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FC41DE6" w14:textId="77777777" w:rsidR="0070161D" w:rsidRPr="00FD1578" w:rsidRDefault="0070161D" w:rsidP="008349F0">
      <w:pPr>
        <w:jc w:val="center"/>
        <w:rPr>
          <w:rFonts w:eastAsia="Calibri" w:cs="Times New Roman"/>
          <w:b/>
          <w:i/>
          <w:szCs w:val="20"/>
          <w:lang w:eastAsia="en-US"/>
        </w:rPr>
      </w:pPr>
      <w:r w:rsidRPr="00FD1578">
        <w:rPr>
          <w:rFonts w:eastAsia="Calibri" w:cs="Times New Roman"/>
          <w:b/>
          <w:i/>
          <w:szCs w:val="20"/>
          <w:lang w:eastAsia="en-US"/>
        </w:rPr>
        <w:t xml:space="preserve">1.11. att. Rezidentiem izsniegtie jaunie kredīti (bez refinansētiem kredītiem, milj. </w:t>
      </w:r>
      <w:proofErr w:type="spellStart"/>
      <w:r w:rsidRPr="00FD1578">
        <w:rPr>
          <w:rFonts w:eastAsia="Calibri" w:cs="Times New Roman"/>
          <w:b/>
          <w:i/>
          <w:iCs/>
          <w:szCs w:val="20"/>
          <w:lang w:eastAsia="en-US"/>
        </w:rPr>
        <w:t>euro</w:t>
      </w:r>
      <w:proofErr w:type="spellEnd"/>
      <w:r w:rsidRPr="00FD1578">
        <w:rPr>
          <w:rFonts w:eastAsia="Calibri" w:cs="Times New Roman"/>
          <w:b/>
          <w:i/>
          <w:szCs w:val="20"/>
          <w:lang w:eastAsia="en-US"/>
        </w:rPr>
        <w:t>)</w:t>
      </w:r>
    </w:p>
    <w:p w14:paraId="71BBC410" w14:textId="77777777" w:rsidR="0070161D" w:rsidRPr="00FD1578" w:rsidRDefault="0070161D" w:rsidP="008349F0">
      <w:pPr>
        <w:rPr>
          <w:rFonts w:eastAsia="Calibri" w:cs="Times New Roman"/>
          <w:bCs/>
          <w:kern w:val="2"/>
          <w:szCs w:val="24"/>
          <w14:ligatures w14:val="standardContextual"/>
        </w:rPr>
      </w:pPr>
      <w:r w:rsidRPr="00FD1578">
        <w:rPr>
          <w:rFonts w:eastAsia="Calibri" w:cs="Times New Roman"/>
          <w:bCs/>
          <w:kern w:val="2"/>
          <w:szCs w:val="24"/>
          <w14:ligatures w14:val="standardContextual"/>
        </w:rPr>
        <w:t>ECB veiktie likmju samazinājumi finanšu tirgos nostiprina pārliecību, ka kredītu likmju samazināšanās turpināsies, tādejādi nodrošinot, ka kredīti kļūs pieejamāki gan uzņēmējiem, gan mājsaimniecībām un kredītportfeļa kāpums turpināsies.</w:t>
      </w:r>
    </w:p>
    <w:p w14:paraId="4B5D8CE7" w14:textId="77777777" w:rsidR="0070161D" w:rsidRPr="00FD1578" w:rsidRDefault="0070161D" w:rsidP="008349F0">
      <w:pPr>
        <w:rPr>
          <w:rFonts w:eastAsia="Calibri" w:cs="Arial"/>
          <w:b/>
          <w:bCs/>
          <w:szCs w:val="24"/>
        </w:rPr>
      </w:pPr>
      <w:r w:rsidRPr="00FD1578">
        <w:rPr>
          <w:rFonts w:eastAsia="Calibri" w:cs="Arial"/>
          <w:b/>
          <w:bCs/>
          <w:szCs w:val="24"/>
        </w:rPr>
        <w:t>Lauksaimniecība</w:t>
      </w:r>
    </w:p>
    <w:p w14:paraId="5EF353C1" w14:textId="77777777" w:rsidR="0070161D" w:rsidRPr="00FD1578" w:rsidRDefault="0070161D" w:rsidP="008349F0">
      <w:pPr>
        <w:rPr>
          <w:rFonts w:eastAsia="Calibri" w:cs="Times New Roman"/>
          <w:bCs/>
          <w:kern w:val="2"/>
          <w:szCs w:val="24"/>
          <w14:ligatures w14:val="standardContextual"/>
        </w:rPr>
      </w:pPr>
      <w:r w:rsidRPr="00FD1578">
        <w:rPr>
          <w:rFonts w:eastAsia="Calibri" w:cs="Times New Roman"/>
          <w:bCs/>
          <w:kern w:val="2"/>
          <w:szCs w:val="24"/>
          <w14:ligatures w14:val="standardContextual"/>
        </w:rPr>
        <w:lastRenderedPageBreak/>
        <w:t xml:space="preserve">Lauksaimniecības nozare 2022. gadā veidoja 4,1% no visas Latvijas tautsaimniecības, bet 2023. gadā nozares īpatsvars saruka par 0,3 </w:t>
      </w:r>
      <w:proofErr w:type="spellStart"/>
      <w:r w:rsidRPr="00FD1578">
        <w:rPr>
          <w:rFonts w:eastAsia="Calibri" w:cs="Times New Roman"/>
          <w:bCs/>
          <w:kern w:val="2"/>
          <w:szCs w:val="24"/>
          <w14:ligatures w14:val="standardContextual"/>
        </w:rPr>
        <w:t>pp</w:t>
      </w:r>
      <w:proofErr w:type="spellEnd"/>
      <w:r w:rsidRPr="00FD1578">
        <w:rPr>
          <w:rFonts w:eastAsia="Calibri" w:cs="Times New Roman"/>
          <w:bCs/>
          <w:kern w:val="2"/>
          <w:szCs w:val="24"/>
          <w14:ligatures w14:val="standardContextual"/>
        </w:rPr>
        <w:t xml:space="preserve"> līdz 3,8%. </w:t>
      </w:r>
      <w:bookmarkStart w:id="10" w:name="_Hlk178160826"/>
      <w:r w:rsidRPr="00FD1578">
        <w:rPr>
          <w:rFonts w:eastAsia="Calibri" w:cs="Times New Roman"/>
          <w:bCs/>
          <w:kern w:val="2"/>
          <w:szCs w:val="24"/>
          <w14:ligatures w14:val="standardContextual"/>
        </w:rPr>
        <w:t xml:space="preserve">Nozari veido lauksaimniecība (lopkopība un augkopība), mežsaimniecība un mežizstrāde, kā arī zivsaimniecība, šīm trim </w:t>
      </w:r>
      <w:proofErr w:type="spellStart"/>
      <w:r w:rsidRPr="00FD1578">
        <w:rPr>
          <w:rFonts w:eastAsia="Calibri" w:cs="Times New Roman"/>
          <w:bCs/>
          <w:kern w:val="2"/>
          <w:szCs w:val="24"/>
          <w14:ligatures w14:val="standardContextual"/>
        </w:rPr>
        <w:t>apakšnozarēm</w:t>
      </w:r>
      <w:proofErr w:type="spellEnd"/>
      <w:r w:rsidRPr="00FD1578">
        <w:rPr>
          <w:rFonts w:eastAsia="Calibri" w:cs="Times New Roman"/>
          <w:bCs/>
          <w:kern w:val="2"/>
          <w:szCs w:val="24"/>
          <w14:ligatures w14:val="standardContextual"/>
        </w:rPr>
        <w:t xml:space="preserve"> 2023. gadā attiecīgi aizņemot 45%, 50% un 5%</w:t>
      </w:r>
      <w:bookmarkEnd w:id="10"/>
      <w:r w:rsidRPr="00FD1578">
        <w:rPr>
          <w:rFonts w:eastAsia="Calibri" w:cs="Times New Roman"/>
          <w:bCs/>
          <w:kern w:val="2"/>
          <w:szCs w:val="24"/>
          <w14:ligatures w14:val="standardContextual"/>
        </w:rPr>
        <w:t xml:space="preserve"> kopējās lauksaimniecības nozares.</w:t>
      </w:r>
    </w:p>
    <w:p w14:paraId="37E10B26" w14:textId="77777777" w:rsidR="0070161D" w:rsidRPr="00FD1578" w:rsidRDefault="0070161D" w:rsidP="008349F0">
      <w:pPr>
        <w:rPr>
          <w:rFonts w:eastAsia="Calibri" w:cs="Times New Roman"/>
          <w:bCs/>
          <w:kern w:val="2"/>
          <w:szCs w:val="24"/>
          <w14:ligatures w14:val="standardContextual"/>
        </w:rPr>
      </w:pPr>
      <w:r w:rsidRPr="00FD1578">
        <w:rPr>
          <w:rFonts w:eastAsia="Calibri" w:cs="Times New Roman"/>
          <w:bCs/>
          <w:kern w:val="2"/>
          <w:szCs w:val="24"/>
          <w14:ligatures w14:val="standardContextual"/>
        </w:rPr>
        <w:t>Lopkopības produkcijas apjomi 2023. gadā bijuši līdzīgi kā gadu iepriekš (+0,1%), bet augkopības produkcija samazinājās par 11,2%, ko ietekmēja sausā vasara, kad no aprīļa līdz septembrim nolija tikai 85% nokrišņu no šo mēnešu kopējās normas. Uz ražas novākšanas laiku 2023. gadā laikapstākļi pasliktinājās, vētrām vēl jo vairāk samazinot novācamās ražas apjomus. Tādējādi kopējā lauksaimniecības (augkopība un lopkopība) produkcija 2023. gadā sarukusi par 6,9% (1.12. attēls). 2024. gada vasara ir bijusi ar vairāk nokrišņiem kā ierasts, tādējādi graudu, kartupeļu u.c. kultūraugu raža ir laba, tomēr kvalitātes rādītāji reģionos ir atšķirīgi.</w:t>
      </w:r>
    </w:p>
    <w:p w14:paraId="4F758A32" w14:textId="77777777" w:rsidR="0070161D" w:rsidRPr="00FD1578" w:rsidRDefault="0070161D" w:rsidP="008349F0">
      <w:pPr>
        <w:spacing w:before="240" w:after="240"/>
        <w:ind w:firstLine="0"/>
        <w:jc w:val="center"/>
        <w:rPr>
          <w:rFonts w:eastAsia="Calibri" w:cs="Times New Roman"/>
          <w:b/>
          <w:kern w:val="2"/>
          <w:sz w:val="28"/>
          <w:szCs w:val="24"/>
          <w14:ligatures w14:val="standardContextual"/>
        </w:rPr>
      </w:pPr>
      <w:r w:rsidRPr="00FD1578">
        <w:rPr>
          <w:rFonts w:ascii="Calibri" w:eastAsia="Calibri" w:hAnsi="Calibri" w:cs="Times New Roman"/>
          <w:noProof/>
          <w:kern w:val="2"/>
          <w:sz w:val="22"/>
          <w:lang w:eastAsia="en-US"/>
        </w:rPr>
        <w:drawing>
          <wp:inline distT="0" distB="0" distL="0" distR="0" wp14:anchorId="240AF4C8" wp14:editId="535D7299">
            <wp:extent cx="5283200" cy="2654300"/>
            <wp:effectExtent l="0" t="0" r="0" b="0"/>
            <wp:docPr id="13" name="Object 13">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B436E63" w14:textId="77777777" w:rsidR="0070161D" w:rsidRPr="00FD1578" w:rsidRDefault="0070161D" w:rsidP="008349F0">
      <w:pPr>
        <w:spacing w:before="120" w:after="0"/>
        <w:ind w:firstLine="0"/>
        <w:jc w:val="center"/>
        <w:rPr>
          <w:rFonts w:eastAsia="Calibri" w:cs="Times New Roman"/>
          <w:b/>
          <w:i/>
          <w:szCs w:val="24"/>
          <w:lang w:eastAsia="en-US"/>
        </w:rPr>
      </w:pPr>
      <w:r w:rsidRPr="00FD1578">
        <w:rPr>
          <w:rFonts w:eastAsia="Calibri" w:cs="Times New Roman"/>
          <w:b/>
          <w:i/>
          <w:szCs w:val="24"/>
          <w:lang w:eastAsia="en-US"/>
        </w:rPr>
        <w:t>1.12. att. Lauksaimniecības produkcijas indeksi (salīdzināmajās cenās, 2015=100)</w:t>
      </w:r>
    </w:p>
    <w:p w14:paraId="14EEBE15" w14:textId="77777777" w:rsidR="0070161D" w:rsidRPr="00FD1578" w:rsidRDefault="0070161D" w:rsidP="008349F0">
      <w:pPr>
        <w:spacing w:before="120"/>
        <w:rPr>
          <w:rFonts w:eastAsia="Calibri" w:cs="Times New Roman"/>
          <w:bCs/>
          <w:iCs/>
          <w:szCs w:val="24"/>
          <w:lang w:eastAsia="en-US"/>
        </w:rPr>
      </w:pPr>
      <w:r w:rsidRPr="00FD1578">
        <w:rPr>
          <w:rFonts w:eastAsia="Calibri" w:cs="Times New Roman"/>
          <w:bCs/>
          <w:iCs/>
          <w:szCs w:val="24"/>
          <w:lang w:eastAsia="en-US"/>
        </w:rPr>
        <w:t xml:space="preserve">Lauksaimniecības produkcijas cenas pēc straujā pieauguma 2022. gadā par 36%, 2023. gadā samazinājās par 13,9%. Cenu samazinājumu pērn noteica 16,6% samazinājums augkopības produkcijas cenām un 8,7% samazinājums lopkopības produkcijas cenām. Tendences lielajās produktu grupās gan atšķiras. Graudu un piena cenas 2023. gadā saruka attiecīgi par 26,8% un 24%, turpretī lauksaimniecības dzīvnieku un kartupeļu cenas pieauga attiecīgi par 12,6% un 7,3%. 2024. gada pirmajā pusgadā lauksaimniecības produkcijas kopējās cenas saglabājas līdzīgas kā 2023. gada pirmajā pusgadā (-0,2%), tajā skaitā augkopības produkcijas cenas saruka par 8,7%, bet lopkopības produkcijas cenas palielinājās par 5,1%. </w:t>
      </w:r>
    </w:p>
    <w:p w14:paraId="25FEF7AF" w14:textId="77777777" w:rsidR="0070161D" w:rsidRPr="00FD1578" w:rsidRDefault="0070161D" w:rsidP="008349F0">
      <w:pPr>
        <w:spacing w:before="120" w:after="0"/>
        <w:ind w:firstLine="0"/>
        <w:jc w:val="center"/>
        <w:rPr>
          <w:rFonts w:eastAsia="Calibri" w:cs="Times New Roman"/>
          <w:b/>
          <w:i/>
          <w:szCs w:val="24"/>
          <w:lang w:eastAsia="en-US"/>
        </w:rPr>
      </w:pPr>
      <w:r w:rsidRPr="00FD1578">
        <w:rPr>
          <w:rFonts w:ascii="Calibri" w:eastAsia="Calibri" w:hAnsi="Calibri" w:cs="Times New Roman"/>
          <w:noProof/>
          <w:kern w:val="2"/>
          <w:sz w:val="22"/>
          <w:lang w:eastAsia="en-US"/>
        </w:rPr>
        <w:lastRenderedPageBreak/>
        <w:drawing>
          <wp:inline distT="0" distB="0" distL="0" distR="0" wp14:anchorId="43023E89" wp14:editId="4825D746">
            <wp:extent cx="5283200" cy="2667000"/>
            <wp:effectExtent l="0" t="0" r="12700" b="0"/>
            <wp:docPr id="941906081" name="Object 14">
              <a:extLst xmlns:a="http://schemas.openxmlformats.org/drawingml/2006/main">
                <a:ext uri="{FF2B5EF4-FFF2-40B4-BE49-F238E27FC236}">
                  <a16:creationId xmlns:a16="http://schemas.microsoft.com/office/drawing/2014/main" id="{E8D40D69-9568-4B8C-B0E5-F1B2167496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170B610" w14:textId="77777777" w:rsidR="0070161D" w:rsidRPr="00FD1578" w:rsidRDefault="0070161D" w:rsidP="008349F0">
      <w:pPr>
        <w:spacing w:before="120" w:after="0"/>
        <w:ind w:firstLine="0"/>
        <w:jc w:val="center"/>
        <w:rPr>
          <w:rFonts w:eastAsia="Times New Roman" w:cs="Times New Roman"/>
          <w:b/>
          <w:i/>
          <w:szCs w:val="24"/>
        </w:rPr>
      </w:pPr>
      <w:r w:rsidRPr="00FD1578">
        <w:rPr>
          <w:rFonts w:eastAsia="Times New Roman" w:cs="Times New Roman"/>
          <w:b/>
          <w:i/>
          <w:szCs w:val="24"/>
        </w:rPr>
        <w:t>1.13. att. Lauksaimniecības produkcijas cenu indeksi 2020=100</w:t>
      </w:r>
    </w:p>
    <w:p w14:paraId="1C055437" w14:textId="77777777" w:rsidR="0070161D" w:rsidRPr="00FD1578" w:rsidRDefault="0070161D" w:rsidP="008349F0">
      <w:pPr>
        <w:spacing w:before="120"/>
        <w:rPr>
          <w:rFonts w:eastAsia="Calibri" w:cs="Times New Roman"/>
          <w:bCs/>
          <w:iCs/>
          <w:szCs w:val="24"/>
          <w:lang w:eastAsia="en-US"/>
        </w:rPr>
      </w:pPr>
      <w:r w:rsidRPr="00FD1578">
        <w:rPr>
          <w:rFonts w:eastAsia="Calibri" w:cs="Times New Roman"/>
          <w:bCs/>
          <w:iCs/>
          <w:szCs w:val="24"/>
          <w:lang w:eastAsia="en-US"/>
        </w:rPr>
        <w:t xml:space="preserve">Mežsaimniecības un mežizstrādes nozare 2023. gadā aizņēma 50% no visas lauksaimniecības, mežsaimniecības un zivsaimniecības kopā, kas ir par 5 </w:t>
      </w:r>
      <w:proofErr w:type="spellStart"/>
      <w:r w:rsidRPr="00FD1578">
        <w:rPr>
          <w:rFonts w:eastAsia="Calibri" w:cs="Times New Roman"/>
          <w:bCs/>
          <w:iCs/>
          <w:szCs w:val="24"/>
          <w:lang w:eastAsia="en-US"/>
        </w:rPr>
        <w:t>pp</w:t>
      </w:r>
      <w:proofErr w:type="spellEnd"/>
      <w:r w:rsidRPr="00FD1578">
        <w:rPr>
          <w:rFonts w:eastAsia="Calibri" w:cs="Times New Roman"/>
          <w:bCs/>
          <w:iCs/>
          <w:szCs w:val="24"/>
          <w:lang w:eastAsia="en-US"/>
        </w:rPr>
        <w:t xml:space="preserve"> vairāk nekā 2022. gadā, kas liecina par meža nozares izaugsmi, neraugoties uz kokrūpniecības ražošanas apjomu samazinājumiem. Mežsaimniecības nozarē 2023. gadā apaļkoki ražoti par 0,6% vairāk nekā 2022. gadā, bet to eksports tajā pašā periodā samazinājies par 10,9%. Šķelda un </w:t>
      </w:r>
      <w:proofErr w:type="spellStart"/>
      <w:r w:rsidRPr="00FD1578">
        <w:rPr>
          <w:rFonts w:eastAsia="Calibri" w:cs="Times New Roman"/>
          <w:bCs/>
          <w:iCs/>
          <w:szCs w:val="24"/>
          <w:lang w:eastAsia="en-US"/>
        </w:rPr>
        <w:t>kokskaidas</w:t>
      </w:r>
      <w:proofErr w:type="spellEnd"/>
      <w:r w:rsidRPr="00FD1578">
        <w:rPr>
          <w:rFonts w:eastAsia="Calibri" w:cs="Times New Roman"/>
          <w:bCs/>
          <w:iCs/>
          <w:szCs w:val="24"/>
          <w:lang w:eastAsia="en-US"/>
        </w:rPr>
        <w:t xml:space="preserve"> 2023. gadā ražotas par 17% vairāk nekā 2022. gadā, bet garumā zāģētu kokmateriālu ražošana samazinājusies par 20%, kas atspoguļojas arī kokrūpniecības apjomu datos. </w:t>
      </w:r>
    </w:p>
    <w:p w14:paraId="137C71A3" w14:textId="77777777" w:rsidR="0070161D" w:rsidRPr="00FD1578" w:rsidRDefault="0070161D" w:rsidP="008349F0">
      <w:pPr>
        <w:spacing w:before="240" w:after="240"/>
        <w:ind w:firstLine="0"/>
        <w:jc w:val="center"/>
        <w:outlineLvl w:val="2"/>
        <w:rPr>
          <w:rFonts w:eastAsia="Times New Roman" w:cs="Times New Roman"/>
          <w:b/>
          <w:sz w:val="32"/>
          <w:szCs w:val="20"/>
          <w:lang w:eastAsia="en-US"/>
        </w:rPr>
      </w:pPr>
      <w:bookmarkStart w:id="11" w:name="_Toc178763477"/>
      <w:bookmarkStart w:id="12" w:name="_Toc179356066"/>
      <w:r w:rsidRPr="00FD1578">
        <w:rPr>
          <w:rFonts w:eastAsia="Times New Roman" w:cs="Times New Roman"/>
          <w:b/>
          <w:sz w:val="32"/>
          <w:szCs w:val="20"/>
          <w:lang w:eastAsia="en-US"/>
        </w:rPr>
        <w:t>1.2.2. Inflācija</w:t>
      </w:r>
      <w:bookmarkEnd w:id="11"/>
      <w:bookmarkEnd w:id="12"/>
    </w:p>
    <w:p w14:paraId="282041C6" w14:textId="77777777" w:rsidR="0070161D" w:rsidRPr="00FD1578" w:rsidRDefault="0070161D" w:rsidP="008349F0">
      <w:pPr>
        <w:rPr>
          <w:rFonts w:eastAsia="Aptos" w:cs="Times New Roman"/>
          <w:kern w:val="2"/>
          <w:szCs w:val="24"/>
          <w:lang w:eastAsia="en-US"/>
          <w14:ligatures w14:val="standardContextual"/>
        </w:rPr>
      </w:pPr>
      <w:r w:rsidRPr="00FD1578">
        <w:rPr>
          <w:rFonts w:eastAsia="Aptos" w:cs="Times New Roman"/>
          <w:kern w:val="2"/>
          <w:szCs w:val="24"/>
          <w:lang w:eastAsia="en-US"/>
          <w14:ligatures w14:val="standardContextual"/>
        </w:rPr>
        <w:t xml:space="preserve">2023. gadā inflācijai bija pievērsta pastiprināta uzmanība gan Latvijā, gan arī citās pasaules valstīs, jo straujais patēriņa cenu pieaugums, kas aizsākās vēl 2022. gadā, būtiski ietekmēja pasaules ekonomikas attīstību un mazināja iedzīvotāju pirktspēju. </w:t>
      </w:r>
    </w:p>
    <w:p w14:paraId="78880E4F" w14:textId="77777777" w:rsidR="0070161D" w:rsidRPr="00FD1578" w:rsidRDefault="0070161D" w:rsidP="008349F0">
      <w:pPr>
        <w:rPr>
          <w:rFonts w:eastAsia="Aptos" w:cs="Times New Roman"/>
          <w:bCs/>
          <w:kern w:val="2"/>
          <w:szCs w:val="24"/>
          <w:lang w:eastAsia="en-US"/>
          <w14:ligatures w14:val="standardContextual"/>
        </w:rPr>
      </w:pPr>
      <w:r w:rsidRPr="00FD1578">
        <w:rPr>
          <w:rFonts w:eastAsia="Aptos" w:cs="Times New Roman"/>
          <w:bCs/>
          <w:kern w:val="2"/>
          <w:szCs w:val="24"/>
          <w:lang w:eastAsia="en-US"/>
          <w14:ligatures w14:val="standardContextual"/>
        </w:rPr>
        <w:t xml:space="preserve">2023. gada janvārī un februārī Latvija bija vienīgā </w:t>
      </w:r>
      <w:proofErr w:type="spellStart"/>
      <w:r w:rsidRPr="00FD1578">
        <w:rPr>
          <w:rFonts w:eastAsia="Aptos" w:cs="Times New Roman"/>
          <w:bCs/>
          <w:i/>
          <w:iCs/>
          <w:kern w:val="2"/>
          <w:szCs w:val="24"/>
          <w:lang w:eastAsia="en-US"/>
          <w14:ligatures w14:val="standardContextual"/>
        </w:rPr>
        <w:t>euro</w:t>
      </w:r>
      <w:proofErr w:type="spellEnd"/>
      <w:r w:rsidRPr="00FD1578">
        <w:rPr>
          <w:rFonts w:eastAsia="Aptos" w:cs="Times New Roman"/>
          <w:bCs/>
          <w:kern w:val="2"/>
          <w:szCs w:val="24"/>
          <w:lang w:eastAsia="en-US"/>
          <w14:ligatures w14:val="standardContextual"/>
        </w:rPr>
        <w:t xml:space="preserve"> zonas valsts, kur gada inflācija pārsniedza 20%, tādējādi ievērojami pārsniedzot vidējo inflāciju </w:t>
      </w:r>
      <w:proofErr w:type="spellStart"/>
      <w:r w:rsidRPr="00FD1578">
        <w:rPr>
          <w:rFonts w:eastAsia="Aptos" w:cs="Times New Roman"/>
          <w:bCs/>
          <w:i/>
          <w:iCs/>
          <w:kern w:val="2"/>
          <w:szCs w:val="24"/>
          <w:lang w:eastAsia="en-US"/>
          <w14:ligatures w14:val="standardContextual"/>
        </w:rPr>
        <w:t>euro</w:t>
      </w:r>
      <w:proofErr w:type="spellEnd"/>
      <w:r w:rsidRPr="00FD1578">
        <w:rPr>
          <w:rFonts w:eastAsia="Aptos" w:cs="Times New Roman"/>
          <w:bCs/>
          <w:kern w:val="2"/>
          <w:szCs w:val="24"/>
          <w:lang w:eastAsia="en-US"/>
          <w14:ligatures w14:val="standardContextual"/>
        </w:rPr>
        <w:t xml:space="preserve"> zonā. Taču 2023. gads bija zīmīgs ar to, ka patēriņa cenu kāpums gan </w:t>
      </w:r>
      <w:proofErr w:type="spellStart"/>
      <w:r w:rsidRPr="00FD1578">
        <w:rPr>
          <w:rFonts w:eastAsia="Aptos" w:cs="Times New Roman"/>
          <w:bCs/>
          <w:i/>
          <w:iCs/>
          <w:kern w:val="2"/>
          <w:szCs w:val="24"/>
          <w:lang w:eastAsia="en-US"/>
          <w14:ligatures w14:val="standardContextual"/>
        </w:rPr>
        <w:t>euro</w:t>
      </w:r>
      <w:proofErr w:type="spellEnd"/>
      <w:r w:rsidRPr="00FD1578">
        <w:rPr>
          <w:rFonts w:eastAsia="Aptos" w:cs="Times New Roman"/>
          <w:bCs/>
          <w:kern w:val="2"/>
          <w:szCs w:val="24"/>
          <w:lang w:eastAsia="en-US"/>
          <w14:ligatures w14:val="standardContextual"/>
        </w:rPr>
        <w:t xml:space="preserve"> zonā, gan Latvijā kopš gada sākuma ar katru mēnesi palēninājās. Tādējādi saskaņotais patēriņa cenu indekss (SPCI) Latvijā samazinājās no 21,4% janvārī līdz 0,9% decembrī. Tādējādi vidējā inflācija (SPCI) Latvijā 2023. gadā bija 9,1%, savukārt </w:t>
      </w:r>
      <w:proofErr w:type="spellStart"/>
      <w:r w:rsidRPr="00FD1578">
        <w:rPr>
          <w:rFonts w:eastAsia="Aptos" w:cs="Times New Roman"/>
          <w:bCs/>
          <w:i/>
          <w:iCs/>
          <w:kern w:val="2"/>
          <w:szCs w:val="24"/>
          <w:lang w:eastAsia="en-US"/>
          <w14:ligatures w14:val="standardContextual"/>
        </w:rPr>
        <w:t>euro</w:t>
      </w:r>
      <w:proofErr w:type="spellEnd"/>
      <w:r w:rsidRPr="00FD1578">
        <w:rPr>
          <w:rFonts w:eastAsia="Aptos" w:cs="Times New Roman"/>
          <w:bCs/>
          <w:kern w:val="2"/>
          <w:szCs w:val="24"/>
          <w:lang w:eastAsia="en-US"/>
          <w14:ligatures w14:val="standardContextual"/>
        </w:rPr>
        <w:t xml:space="preserve"> zonā tā bija 5,4%. Inflācijas bremzēšanās Latvijā 2023. gada nogalē bija būtiski straujāka nekā vidēji </w:t>
      </w:r>
      <w:proofErr w:type="spellStart"/>
      <w:r w:rsidRPr="00FD1578">
        <w:rPr>
          <w:rFonts w:eastAsia="Aptos" w:cs="Times New Roman"/>
          <w:bCs/>
          <w:i/>
          <w:iCs/>
          <w:kern w:val="2"/>
          <w:szCs w:val="24"/>
          <w:lang w:eastAsia="en-US"/>
          <w14:ligatures w14:val="standardContextual"/>
        </w:rPr>
        <w:t>euro</w:t>
      </w:r>
      <w:proofErr w:type="spellEnd"/>
      <w:r w:rsidRPr="00FD1578">
        <w:rPr>
          <w:rFonts w:eastAsia="Aptos" w:cs="Times New Roman"/>
          <w:bCs/>
          <w:kern w:val="2"/>
          <w:szCs w:val="24"/>
          <w:lang w:eastAsia="en-US"/>
          <w14:ligatures w14:val="standardContextual"/>
        </w:rPr>
        <w:t xml:space="preserve"> zonā, ierindojot Latviju valstu grupā ar zemāko inflāciju. Jāatzīmē, ka tik straujš inflācijas samazinājums lielā mērā ir saistīts ar bāzes efektiem, jo 2022. gada nogalē patēriņa cenu pieaugums Latvijā bija viens no augstākajiem </w:t>
      </w:r>
      <w:proofErr w:type="spellStart"/>
      <w:r w:rsidRPr="00FD1578">
        <w:rPr>
          <w:rFonts w:eastAsia="Aptos" w:cs="Times New Roman"/>
          <w:bCs/>
          <w:i/>
          <w:iCs/>
          <w:kern w:val="2"/>
          <w:szCs w:val="24"/>
          <w:lang w:eastAsia="en-US"/>
          <w14:ligatures w14:val="standardContextual"/>
        </w:rPr>
        <w:t>euro</w:t>
      </w:r>
      <w:proofErr w:type="spellEnd"/>
      <w:r w:rsidRPr="00FD1578">
        <w:rPr>
          <w:rFonts w:eastAsia="Aptos" w:cs="Times New Roman"/>
          <w:bCs/>
          <w:kern w:val="2"/>
          <w:szCs w:val="24"/>
          <w:lang w:eastAsia="en-US"/>
          <w14:ligatures w14:val="standardContextual"/>
        </w:rPr>
        <w:t xml:space="preserve"> zonā.</w:t>
      </w:r>
    </w:p>
    <w:p w14:paraId="1699F48C" w14:textId="77777777" w:rsidR="0070161D" w:rsidRPr="00FD1578" w:rsidRDefault="0070161D" w:rsidP="008349F0">
      <w:pPr>
        <w:rPr>
          <w:rFonts w:eastAsia="Aptos" w:cs="Times New Roman"/>
          <w:bCs/>
          <w:kern w:val="2"/>
          <w:szCs w:val="24"/>
          <w:lang w:eastAsia="en-US"/>
          <w14:ligatures w14:val="standardContextual"/>
        </w:rPr>
      </w:pPr>
      <w:r w:rsidRPr="00FD1578">
        <w:rPr>
          <w:rFonts w:eastAsia="Aptos" w:cs="Times New Roman"/>
          <w:bCs/>
          <w:kern w:val="2"/>
          <w:szCs w:val="24"/>
          <w:lang w:eastAsia="en-US"/>
          <w14:ligatures w14:val="standardContextual"/>
        </w:rPr>
        <w:t xml:space="preserve">Līdzīga dinamika saglabājas arī 2024. gadā. Latvija saglabā vietu valstu grupā ar zemāko inflāciju. Tikai trim valstīm – Latvijai, Lietuvai un Somijai, 2024. gada astoņos mēnešos inflācija bija zem 1%, kamēr vidējā inflācija ES un </w:t>
      </w:r>
      <w:proofErr w:type="spellStart"/>
      <w:r w:rsidRPr="00FD1578">
        <w:rPr>
          <w:rFonts w:eastAsia="Aptos" w:cs="Times New Roman"/>
          <w:bCs/>
          <w:i/>
          <w:iCs/>
          <w:kern w:val="2"/>
          <w:szCs w:val="24"/>
          <w:lang w:eastAsia="en-US"/>
          <w14:ligatures w14:val="standardContextual"/>
        </w:rPr>
        <w:t>euro</w:t>
      </w:r>
      <w:proofErr w:type="spellEnd"/>
      <w:r w:rsidRPr="00FD1578">
        <w:rPr>
          <w:rFonts w:eastAsia="Aptos" w:cs="Times New Roman"/>
          <w:bCs/>
          <w:kern w:val="2"/>
          <w:szCs w:val="24"/>
          <w:lang w:eastAsia="en-US"/>
          <w14:ligatures w14:val="standardContextual"/>
        </w:rPr>
        <w:t xml:space="preserve"> zonā attiecīgi veidoja 2,7% un 2,5%. SPCI dinamika pa visām ES dalībvalstīm ir atspoguļota 1.14. attēlā. </w:t>
      </w:r>
    </w:p>
    <w:p w14:paraId="2B475E7A" w14:textId="77777777" w:rsidR="0070161D" w:rsidRPr="00FD1578" w:rsidRDefault="0070161D" w:rsidP="008349F0">
      <w:pPr>
        <w:ind w:firstLine="0"/>
        <w:jc w:val="center"/>
        <w:rPr>
          <w:rFonts w:eastAsia="Aptos" w:cs="Times New Roman"/>
          <w:kern w:val="2"/>
          <w:szCs w:val="24"/>
          <w:lang w:eastAsia="en-US"/>
          <w14:ligatures w14:val="standardContextual"/>
        </w:rPr>
      </w:pPr>
      <w:r w:rsidRPr="00FD1578">
        <w:rPr>
          <w:rFonts w:eastAsia="Calibri" w:cs="Times New Roman"/>
          <w:noProof/>
          <w:sz w:val="18"/>
          <w:szCs w:val="18"/>
          <w:lang w:eastAsia="en-US"/>
        </w:rPr>
        <w:lastRenderedPageBreak/>
        <w:drawing>
          <wp:inline distT="0" distB="0" distL="0" distR="0" wp14:anchorId="6EC07989" wp14:editId="69036631">
            <wp:extent cx="5759450" cy="3016250"/>
            <wp:effectExtent l="0" t="0" r="0" b="0"/>
            <wp:docPr id="15" name="Picture 15">
              <a:extLst xmlns:a="http://schemas.openxmlformats.org/drawingml/2006/main">
                <a:ext uri="{FF2B5EF4-FFF2-40B4-BE49-F238E27FC236}">
                  <a16:creationId xmlns:a16="http://schemas.microsoft.com/office/drawing/2014/main" id="{9E5838CA-B946-D24B-E2E0-7258AE36DF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C0029F6" w14:textId="339AA7AE" w:rsidR="0070161D" w:rsidRPr="00FD1578" w:rsidRDefault="0070161D" w:rsidP="008349F0">
      <w:pPr>
        <w:jc w:val="center"/>
        <w:rPr>
          <w:rFonts w:eastAsia="Aptos" w:cs="Times New Roman"/>
          <w:kern w:val="2"/>
          <w:szCs w:val="24"/>
          <w:lang w:eastAsia="en-US"/>
          <w14:ligatures w14:val="standardContextual"/>
        </w:rPr>
      </w:pPr>
      <w:r w:rsidRPr="00FD1578">
        <w:rPr>
          <w:rFonts w:eastAsia="Calibri" w:cs="Times New Roman"/>
          <w:b/>
          <w:i/>
          <w:iCs/>
          <w:szCs w:val="24"/>
          <w:lang w:eastAsia="en-US"/>
        </w:rPr>
        <w:t>1.14. att. SPCI pārmaiņas 2022.-2023. gadā un 2024. gada</w:t>
      </w:r>
      <w:r w:rsidR="005735FB">
        <w:rPr>
          <w:rFonts w:eastAsia="Calibri" w:cs="Times New Roman"/>
          <w:b/>
          <w:i/>
          <w:iCs/>
          <w:szCs w:val="24"/>
          <w:lang w:eastAsia="en-US"/>
        </w:rPr>
        <w:t xml:space="preserve"> </w:t>
      </w:r>
      <w:r w:rsidRPr="00FD1578">
        <w:rPr>
          <w:rFonts w:eastAsia="Calibri" w:cs="Times New Roman"/>
          <w:b/>
          <w:i/>
          <w:iCs/>
          <w:szCs w:val="24"/>
          <w:lang w:eastAsia="en-US"/>
        </w:rPr>
        <w:t>pirmajos astoņos mēnešos, salīdzinot ar iepriekšējā gada attiecīgo periodu, %</w:t>
      </w:r>
    </w:p>
    <w:p w14:paraId="5D56B2AF" w14:textId="77777777" w:rsidR="0070161D" w:rsidRPr="00FD1578" w:rsidRDefault="0070161D" w:rsidP="008349F0">
      <w:pPr>
        <w:rPr>
          <w:rFonts w:eastAsia="Aptos" w:cs="Times New Roman"/>
          <w:kern w:val="2"/>
          <w:szCs w:val="24"/>
          <w:lang w:eastAsia="en-US"/>
          <w14:ligatures w14:val="standardContextual"/>
        </w:rPr>
      </w:pPr>
      <w:r w:rsidRPr="00FD1578">
        <w:rPr>
          <w:rFonts w:eastAsia="Aptos" w:cs="Times New Roman"/>
          <w:kern w:val="2"/>
          <w:szCs w:val="24"/>
          <w:lang w:eastAsia="en-US"/>
          <w14:ligatures w14:val="standardContextual"/>
        </w:rPr>
        <w:t xml:space="preserve">Atbilstoši CSP datiem, patēriņa cenas Latvijā 2023. gadā pieauga par 8,9%, kas bija gandrīz divas reizes mazāks kāpums nekā iepriekšējā gadā. Tāpat kā 2022. gadā, arī 2023. gadā galvenie inflāciju ietekmējošie faktori bija saistīti ar energoresursu un pārtikas cenu svārstībām. </w:t>
      </w:r>
      <w:r w:rsidRPr="00FD1578">
        <w:rPr>
          <w:rFonts w:eastAsia="Aptos" w:cs="Times New Roman"/>
          <w:color w:val="000000"/>
          <w:kern w:val="2"/>
          <w:szCs w:val="24"/>
          <w:lang w:eastAsia="en-US"/>
          <w14:ligatures w14:val="standardContextual"/>
        </w:rPr>
        <w:t>Lielākais devums patēriņa cenu kāpumā 2023. gadā bija pārtikas un bezalkoholisko dzērienu sadārdzinājumam par 13,2%, izskaidrojot vairāk nekā trešdaļu no kopējās inflācijas. 2023. gadā palielinājās arī ar mājokļa apsaimniekošanu (siltumenerģijas, gāzes, elektroenerģijas) saistīto preču cenas, tomēr šis kāpums bija vairākas reizes mazāks nekā 2022. gadā. Savukārt gada nogalē augstākminētajām precēm bija fiksēta deflācija, ko labvēlīgi ietekmēja dabasgāzes cenu samazinājums Eiropā. 2023. gadā samazinājās arī degvielas cenas, ko lielā mērā ietekmēja naftas cenu kritums. 2023. gadā dabasgāzes un naftas cenu dinamiku ietekmēja virkne faktoru, bet viens no galvenajiem bija pasaules ekonomikas attīstības tempu samazinājums un tā rezultātā arī mazāks naftas un gāzes patēriņš pasaulē.</w:t>
      </w:r>
    </w:p>
    <w:p w14:paraId="6211C833" w14:textId="77777777" w:rsidR="0070161D" w:rsidRPr="00FD1578" w:rsidRDefault="0070161D" w:rsidP="008349F0">
      <w:pPr>
        <w:rPr>
          <w:rFonts w:eastAsia="Aptos" w:cs="Times New Roman"/>
          <w:color w:val="000000"/>
          <w:kern w:val="2"/>
          <w:szCs w:val="24"/>
          <w:lang w:eastAsia="en-US"/>
          <w14:ligatures w14:val="standardContextual"/>
        </w:rPr>
      </w:pPr>
      <w:r w:rsidRPr="00FD1578">
        <w:rPr>
          <w:rFonts w:eastAsia="Aptos" w:cs="Times New Roman"/>
          <w:kern w:val="2"/>
          <w:szCs w:val="24"/>
          <w:lang w:eastAsia="en-US"/>
          <w14:ligatures w14:val="standardContextual"/>
        </w:rPr>
        <w:t>Pateicoties energoresursu cenu kritumam 2023. gada otrajā pusē, gadā kopumā būtiski mazinājusies importētā inflācija</w:t>
      </w:r>
      <w:r w:rsidRPr="00FD1578">
        <w:rPr>
          <w:rFonts w:eastAsia="Aptos" w:cs="Times New Roman"/>
          <w:color w:val="000000"/>
          <w:kern w:val="2"/>
          <w:szCs w:val="24"/>
          <w:lang w:eastAsia="en-US"/>
          <w14:ligatures w14:val="standardContextual"/>
        </w:rPr>
        <w:t>, kas raksturo energoresursu un pārtikas cenu pārmaiņu ietekmi. Savukārt pamatinflācija, kas raksturo vietējo faktoru ietekmi uz cenu dinamiku, 2023. gadā bija noturīga un tikai nedaudz pazeminājusies. Atbilstoši FM novērtējumam, pamatinflācijas pieaugums 2023. gadā bija 9,4% pretstatā 11,0% 2022. gadā. Augsto pamatinflāciju tāpat nosaka otrreizējie efekti straujā energoresursu un pārtikas cenu pieauguma dēļ, kā arī saspringtā situācija darba tirgū, ko rada darbaspēka izmaksu pieaugums.</w:t>
      </w:r>
    </w:p>
    <w:p w14:paraId="5F3A4A8E" w14:textId="77777777" w:rsidR="0070161D" w:rsidRPr="00FD1578" w:rsidRDefault="0070161D" w:rsidP="008349F0">
      <w:pPr>
        <w:rPr>
          <w:rFonts w:eastAsia="Calibri" w:cs="Times New Roman"/>
          <w:color w:val="000000"/>
          <w:szCs w:val="24"/>
          <w:shd w:val="clear" w:color="auto" w:fill="FFFFFF"/>
          <w:lang w:eastAsia="en-US"/>
        </w:rPr>
      </w:pPr>
      <w:r w:rsidRPr="00FD1578">
        <w:rPr>
          <w:rFonts w:eastAsia="Aptos" w:cs="Times New Roman"/>
          <w:color w:val="000000"/>
          <w:kern w:val="2"/>
          <w:szCs w:val="24"/>
          <w:lang w:eastAsia="en-US"/>
          <w14:ligatures w14:val="standardContextual"/>
        </w:rPr>
        <w:t xml:space="preserve">2024. gadā inflācija Latvijā ir stabilizējusies zemā līmenī. Atbilstoši CSP datiem, vidējais patēriņa cenu līmenis šā gada pirmajos astoņos mēnešos bija par 0,8% augstāks, salīdzinot ar 2023. gada attiecīgo periodu. </w:t>
      </w:r>
      <w:r w:rsidRPr="00FD1578">
        <w:rPr>
          <w:rFonts w:eastAsia="Calibri" w:cs="Times New Roman"/>
          <w:color w:val="000000"/>
          <w:szCs w:val="24"/>
          <w:shd w:val="clear" w:color="auto" w:fill="FFFFFF"/>
          <w:lang w:eastAsia="en-US"/>
        </w:rPr>
        <w:t xml:space="preserve">Zemo gada inflācijas līmeni nosaka energoresursu cenu kritums pasaules tirgū pēc straujā kāpuma 2022. gadā, kas 2024. gada pirmajā pusgadā pazeminājis ar mājokli saistīto preču un pakalpojumu cenas kopumā par 8,9%, salīdzinot ar iepriekšējā gada attiecīgo periodu. Noteicošo pazeminošo ietekmi nodrošināja elektroenerģijas un siltumenerģijas tarifu samazinājums attiecīgi par 16,9% un 18,4%. Samazinājās arī gāzes un cietā kurināmā cenas – attiecīgi par 10,1% un 13,1% salīdzinājumā ar 2023. gada astoņiem mēnešiem. Tomēr gāzes un cietā kurināmā īpatsvars patēriņa grozā ir būtiski zemāks, līdz ar to arī ietekme uz inflāciju ir būtiski zemāka nekā elektroenerģijas un siltumenerģijas cenu kritumam. </w:t>
      </w:r>
      <w:r w:rsidRPr="00FD1578">
        <w:rPr>
          <w:rFonts w:eastAsia="Aptos" w:cs="Times New Roman"/>
          <w:color w:val="000000"/>
          <w:szCs w:val="24"/>
          <w:shd w:val="clear" w:color="auto" w:fill="FFFFFF"/>
          <w:lang w:eastAsia="en-US"/>
        </w:rPr>
        <w:t xml:space="preserve">Jāatzīmē, ka augstāk minēto preču cenu pārmaiņas gada izteiksmē, it īpaši </w:t>
      </w:r>
      <w:r w:rsidRPr="00FD1578">
        <w:rPr>
          <w:rFonts w:eastAsia="Aptos" w:cs="Times New Roman"/>
          <w:color w:val="000000"/>
          <w:szCs w:val="24"/>
          <w:shd w:val="clear" w:color="auto" w:fill="FFFFFF"/>
          <w:lang w:eastAsia="en-US"/>
        </w:rPr>
        <w:lastRenderedPageBreak/>
        <w:t xml:space="preserve">elektroenerģijai un siltumenerģijai, būtiski ietekmēja bāzes efekti, jo līdz 2023. gada aprīlim bija spēkā valdības atbalsts energoresursu cenu pieauguma daļējai kompensēšanai mājsaimniecībām, līdz ar to, sākot ar 2024. gada maiju, beigusies šī atbalsta ietekme uz cenu dinamiku. </w:t>
      </w:r>
      <w:r w:rsidRPr="00FD1578">
        <w:rPr>
          <w:rFonts w:eastAsia="Calibri" w:cs="Times New Roman"/>
          <w:color w:val="000000"/>
          <w:szCs w:val="24"/>
          <w:shd w:val="clear" w:color="auto" w:fill="FFFFFF"/>
          <w:lang w:eastAsia="en-US"/>
        </w:rPr>
        <w:t xml:space="preserve">Tieši ar šo ir skaidrojama situācija, kad 2024. gada maijā elektroenerģijas un siltumenerģijas </w:t>
      </w:r>
      <w:bookmarkStart w:id="13" w:name="_Hlk168922927"/>
      <w:r w:rsidRPr="00FD1578">
        <w:rPr>
          <w:rFonts w:eastAsia="Calibri" w:cs="Times New Roman"/>
          <w:color w:val="000000"/>
          <w:szCs w:val="24"/>
          <w:shd w:val="clear" w:color="auto" w:fill="FFFFFF"/>
          <w:lang w:eastAsia="en-US"/>
        </w:rPr>
        <w:t>tarifu samazinājums kļuva lielāks</w:t>
      </w:r>
      <w:bookmarkEnd w:id="13"/>
      <w:r w:rsidRPr="00FD1578">
        <w:rPr>
          <w:rFonts w:eastAsia="Calibri" w:cs="Times New Roman"/>
          <w:color w:val="000000"/>
          <w:szCs w:val="24"/>
          <w:shd w:val="clear" w:color="auto" w:fill="FFFFFF"/>
          <w:lang w:eastAsia="en-US"/>
        </w:rPr>
        <w:t>, salīdzinot ar 2024. gada iepriekšējiem mēnešiem. Sagaidāms, ka arī turpmākajos mēnešos augstāk minētajām precēm un pakalpojumiem turpināsies deflācija. Savukārt par siltumenerģijas tarifiem var droši teikt, ka 2024. gadā kopumā valstī tie būs zemāki nekā iepriekšējā apkures sezonā, it īpaši lielajās pilsētās, kur siltumenerģijas tarifs vai nu jau ir samazināts vai arī tiks samazināts rudenī. Pretēja situācija vērojama citām komunālajām precēm un pakalpojumiem. Tā, ūdensapgādes un atkritumu savākšanas pakalpojumu cenas 2024. gada astoņos mēnešos bija attiecīgi par 2,1% un 14,3% augstākas nekā pirms gada. Šo pakalpojumu cenu arī ietekmē energoresursu cenu svārstības, tomēr mazākā mērā nekā elektroenerģijai vai siltumenerģijai. Cenu pieaugumu šiem pakalpojumiem lielā mērā nosaka darba samaksas pieaugums, kā arī infrastruktūras uzturēšanas izmaksu kāpums. Atšķirībā no elektroenerģijas un siltumenerģijas cenām, nav sagaidāms, ka šo pakalpojumu cenas samazināsies.</w:t>
      </w:r>
    </w:p>
    <w:p w14:paraId="5A4B175B" w14:textId="77777777" w:rsidR="0070161D" w:rsidRPr="00FD1578" w:rsidRDefault="0070161D" w:rsidP="008349F0">
      <w:pPr>
        <w:rPr>
          <w:rFonts w:eastAsia="Calibri" w:cs="Times New Roman"/>
          <w:color w:val="000000"/>
          <w:szCs w:val="24"/>
          <w:shd w:val="clear" w:color="auto" w:fill="FFFFFF"/>
          <w:lang w:eastAsia="en-US"/>
        </w:rPr>
      </w:pPr>
      <w:r w:rsidRPr="00FD1578">
        <w:rPr>
          <w:rFonts w:eastAsia="Calibri" w:cs="Times New Roman"/>
          <w:color w:val="000000"/>
          <w:szCs w:val="24"/>
          <w:shd w:val="clear" w:color="auto" w:fill="FFFFFF"/>
          <w:lang w:eastAsia="en-US"/>
        </w:rPr>
        <w:t>2024. gada astoņos mēnešos preču cenām ar 0,8% kopējo kritumu bijusi pazeminoša ietekme uz inflācijas līmeni.</w:t>
      </w:r>
    </w:p>
    <w:p w14:paraId="0DCBDBDF" w14:textId="77777777" w:rsidR="0070161D" w:rsidRPr="00FD1578" w:rsidRDefault="0070161D" w:rsidP="008349F0">
      <w:pPr>
        <w:rPr>
          <w:rFonts w:eastAsia="Calibri" w:cs="Times New Roman"/>
          <w:color w:val="000000"/>
          <w:szCs w:val="24"/>
          <w:highlight w:val="yellow"/>
          <w:lang w:eastAsia="en-US"/>
        </w:rPr>
      </w:pPr>
      <w:r w:rsidRPr="00FD1578">
        <w:rPr>
          <w:rFonts w:eastAsia="Calibri" w:cs="Times New Roman"/>
          <w:color w:val="000000"/>
          <w:szCs w:val="24"/>
          <w:shd w:val="clear" w:color="auto" w:fill="FFFFFF"/>
          <w:lang w:eastAsia="en-US"/>
        </w:rPr>
        <w:t xml:space="preserve">Degvielas cenas 2024. gada astoņos mēnešos bija par 1,9% augstākas nekā attiecīgajā periodā pirms gada. Tomēr ņemot vērā degvielas cenu dinamiku vasaras beigās un rudens sākumā, jāsecina, degvielas cenu pārmaiņu ietekme uz 2024. gada inflāciju visticamāk būs neitrāla. </w:t>
      </w:r>
      <w:r w:rsidRPr="00FD1578">
        <w:rPr>
          <w:rFonts w:eastAsia="Calibri" w:cs="Times New Roman"/>
          <w:color w:val="000000"/>
          <w:szCs w:val="24"/>
          <w:lang w:eastAsia="en-US"/>
        </w:rPr>
        <w:t xml:space="preserve">Viens no galvenajiem faktoriem, kas noteica patēriņa cenu kritumu šā gada augustā salīdzinājumā ar jūliju un neļāva paātrināties gada inflācijai, bija degvielas cenu samazinājums. 2024. gada augustā degvielas cenas bija par 3,9% zemākas nekā iepriekšējā mēnesī un par 4,4% zemākas nekā iepriekšējā gada augustā. 95. markas benzīna vidējā cena gada augustā bija 1,58 </w:t>
      </w:r>
      <w:proofErr w:type="spellStart"/>
      <w:r w:rsidRPr="00FD1578">
        <w:rPr>
          <w:rFonts w:eastAsia="Calibri" w:cs="Times New Roman"/>
          <w:i/>
          <w:iCs/>
          <w:color w:val="000000"/>
          <w:szCs w:val="24"/>
          <w:lang w:eastAsia="en-US"/>
        </w:rPr>
        <w:t>euro</w:t>
      </w:r>
      <w:proofErr w:type="spellEnd"/>
      <w:r w:rsidRPr="00FD1578">
        <w:rPr>
          <w:rFonts w:eastAsia="Calibri" w:cs="Times New Roman"/>
          <w:i/>
          <w:iCs/>
          <w:color w:val="000000"/>
          <w:szCs w:val="24"/>
          <w:lang w:eastAsia="en-US"/>
        </w:rPr>
        <w:t xml:space="preserve"> </w:t>
      </w:r>
      <w:r w:rsidRPr="00FD1578">
        <w:rPr>
          <w:rFonts w:eastAsia="Calibri" w:cs="Times New Roman"/>
          <w:color w:val="000000"/>
          <w:szCs w:val="24"/>
          <w:lang w:eastAsia="en-US"/>
        </w:rPr>
        <w:t xml:space="preserve">par litru jeb par 9 centiem mazāk nekā attiecīgajā mēnesī pirms gada, bet dīzeļdegviela maksāja 1,52 </w:t>
      </w:r>
      <w:proofErr w:type="spellStart"/>
      <w:r w:rsidRPr="00FD1578">
        <w:rPr>
          <w:rFonts w:eastAsia="Calibri" w:cs="Times New Roman"/>
          <w:i/>
          <w:iCs/>
          <w:color w:val="000000"/>
          <w:szCs w:val="24"/>
          <w:lang w:eastAsia="en-US"/>
        </w:rPr>
        <w:t>euro</w:t>
      </w:r>
      <w:proofErr w:type="spellEnd"/>
      <w:r w:rsidRPr="00FD1578">
        <w:rPr>
          <w:rFonts w:eastAsia="Calibri" w:cs="Times New Roman"/>
          <w:color w:val="000000"/>
          <w:szCs w:val="24"/>
          <w:lang w:eastAsia="en-US"/>
        </w:rPr>
        <w:t xml:space="preserve"> par litru jeb par 6 centiem mazāk. Degvielas cenu kritumu noteica gan ārējie, gan iekšējie faktori. No ārējiem faktoriem jāmin naftas cenu kritums. Augustā </w:t>
      </w:r>
      <w:proofErr w:type="spellStart"/>
      <w:r w:rsidRPr="00FD1578">
        <w:rPr>
          <w:rFonts w:eastAsia="Calibri" w:cs="Times New Roman"/>
          <w:i/>
          <w:iCs/>
          <w:color w:val="000000"/>
          <w:szCs w:val="24"/>
          <w:lang w:eastAsia="en-US"/>
        </w:rPr>
        <w:t>Brent</w:t>
      </w:r>
      <w:proofErr w:type="spellEnd"/>
      <w:r w:rsidRPr="00FD1578">
        <w:rPr>
          <w:rFonts w:eastAsia="Calibri" w:cs="Times New Roman"/>
          <w:color w:val="000000"/>
          <w:szCs w:val="24"/>
          <w:lang w:eastAsia="en-US"/>
        </w:rPr>
        <w:t xml:space="preserve"> markas jēlnaftas cena samazinājās līdz 80,4 ASV dolāriem par barelu, kas bija zemākā cena kopš 2024. gada februāra. Būtiska loma naftas cenu kritumā bijusi Ķīnas ekonomikai, kuras vājumu apliecina aktuālākie biznesa aktivitātes indeksa dati, kas augustā samazinājušies jau ceturto mēnesi pēc kārtas. Jāatzīmē, ka Ķīna ir pasaulē lielākā naftas importētājvalsts un otra lielākā pēc patērētā apjoma. Vienlaicīgi arī pasaules lielākajā ekonomikā – ASV – nav pozitīvu ziņu. 2024. gada augustā rūpniecības apjomi ASV turpināja samazināties, strauji samazinoties pasūtījumiem un ražošanai. Uzņēmējdarbības aktivitātes indekss piekto mēnesi pēc kārtas atrodas zem 50, radot bažas par plašāku ekonomikas lejupslīdi un vājāku energoresursu patēriņu. Tas kopā ar sarunām par pamieru Tuvajos Austrumos, </w:t>
      </w:r>
      <w:r w:rsidRPr="00FD1578">
        <w:rPr>
          <w:rFonts w:eastAsia="Aptos" w:cs="Times New Roman"/>
          <w:color w:val="000000"/>
          <w:kern w:val="2"/>
          <w:szCs w:val="24"/>
          <w:lang w:eastAsia="en-US"/>
          <w14:ligatures w14:val="standardContextual"/>
        </w:rPr>
        <w:t>reģionā, kuram ir būtiska nozīme gāzes un naftas tirgū</w:t>
      </w:r>
      <w:r w:rsidRPr="00FD1578">
        <w:rPr>
          <w:rFonts w:eastAsia="Calibri" w:cs="Times New Roman"/>
          <w:color w:val="000000"/>
          <w:szCs w:val="24"/>
          <w:lang w:eastAsia="en-US"/>
        </w:rPr>
        <w:t>, kā arī Naftas eksportētājvalstu organizācijas (OPEC+) vēlmi palielināt jēlnaftas ieguves apjomu sākot ar 2024. gada oktobri, neskatoties uz to, ka tirgū jau ir pārmērīgs naftas piedāvājums, samazina cenu. Arī septembrī naftas cena turpināja samazināties. Pie iekšējiem faktoriem jāatzīmē to, ka augustā Rīgā sāka darboties jauns degvielas mazumtirgotājs, kas saasināja konkurenci degvielas mazumtirdzniecībā galvaspilsētā, kas neapšaubāmi jāvērtē pozitīvi. Sagaidāms, ka arī septembrī un oktobrī degvielas cena gada izteiksmē būs zemāka, tādējādi nedaudz samazinot vidējo inflāciju.</w:t>
      </w:r>
    </w:p>
    <w:p w14:paraId="60BEBD5F" w14:textId="77777777" w:rsidR="0070161D" w:rsidRPr="00FD1578" w:rsidRDefault="0070161D" w:rsidP="008349F0">
      <w:pPr>
        <w:rPr>
          <w:rFonts w:eastAsia="Aptos" w:cs="Times New Roman"/>
          <w:color w:val="000000"/>
          <w:kern w:val="2"/>
          <w:szCs w:val="24"/>
          <w:lang w:eastAsia="en-US"/>
          <w14:ligatures w14:val="standardContextual"/>
        </w:rPr>
      </w:pPr>
      <w:r w:rsidRPr="00FD1578">
        <w:rPr>
          <w:rFonts w:eastAsia="Calibri" w:cs="Times New Roman"/>
          <w:color w:val="000000"/>
          <w:szCs w:val="24"/>
          <w:shd w:val="clear" w:color="auto" w:fill="FFFFFF"/>
          <w:lang w:eastAsia="en-US"/>
        </w:rPr>
        <w:t xml:space="preserve">Preču cenu samazinājums varētu būt bijis vēl straujāks, taču to ierobežo pārtikas cenu pieaugums, kas aizvien ir augstāks nekā vidējā inflācija. Pārtika un bezalkoholiskie dzērieni 2024. gada astoņos mēnešos bija par 1,7% dārgāki nekā attiecīgajā periodā pirms gada. Lai arī šāds pieaugums ir ļoti zems, tomēr </w:t>
      </w:r>
      <w:r w:rsidRPr="00FD1578">
        <w:rPr>
          <w:rFonts w:eastAsia="Calibri" w:cs="Times New Roman"/>
          <w:szCs w:val="24"/>
          <w:lang w:eastAsia="en-US"/>
        </w:rPr>
        <w:t xml:space="preserve">pārtikas cenu pieaugumam būtu bijis jābūt vēl mazākam, jo pārtikas ražošanas izmaksas, kā arī loģistikas izmaksas ir būtiski samazinājušās. Tā, ražotāju cenas vietējā tirgū realizētajai pārtikai jau kopš 2023. gada oktobra nepārtraukti samazinās un </w:t>
      </w:r>
      <w:r w:rsidRPr="00FD1578">
        <w:rPr>
          <w:rFonts w:eastAsia="Calibri" w:cs="Times New Roman"/>
          <w:szCs w:val="24"/>
          <w:lang w:eastAsia="en-US"/>
        </w:rPr>
        <w:lastRenderedPageBreak/>
        <w:t xml:space="preserve">2024. gada pirmajos septiņos mēnešos kopā bija par 1,3% zemākas nekā attiecīgajā periodā pirms gada. Samazinās arī neapstrādātās pārtikas cenas pasaulē, kas ietekmē mūsu importētās pārtikas cenas. Atbilstoši ANO Pārtikas un lauksaimniecības organizācijas datiem, neapstrādātās pārtikas cenas 2024. gada astoņos mēnešos bija par 5,6% zemākas nekā attiecīgajā periodā pirms gada. Tas kopā ar būtiski zemākiem elektroenerģijas un siltumenerģijas tarifiem Latvijā, kas samazina arī mazumtirgotāju izmaksas, atstāj būtisku pazeminošu ietekmi uz pārtikas cenām. </w:t>
      </w:r>
      <w:r w:rsidRPr="00FD1578">
        <w:rPr>
          <w:rFonts w:eastAsia="Aptos" w:cs="Times New Roman"/>
          <w:color w:val="000000"/>
          <w:kern w:val="2"/>
          <w:szCs w:val="24"/>
          <w:lang w:eastAsia="en-US"/>
          <w14:ligatures w14:val="standardContextual"/>
        </w:rPr>
        <w:t xml:space="preserve">Pārtikas cenām ir būtiska ietekme uz vidējo inflāciju, jo pārtikas precēm mājsaimniecības patēriņa grozā ir vislielākais īpatsvars starp visām precēm un pakalpojumiem – 26,5%. Pārtikas cenu pieaugums 2023. gada laikā, tāpat kā vidējā inflācija, bremzējās, tomēr pārtikas inflācija visa gada garumā bija augstāka par vidējo inflāciju, kas radīja būtisku spiedienu uz mājsaimniecību izdevumiem. Līdzīga situācija saglabājas arī 2024. gadā. </w:t>
      </w:r>
    </w:p>
    <w:tbl>
      <w:tblPr>
        <w:tblStyle w:val="TableGrid17"/>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3"/>
        <w:gridCol w:w="4608"/>
      </w:tblGrid>
      <w:tr w:rsidR="0070161D" w:rsidRPr="00FD1578" w14:paraId="46A9B207" w14:textId="77777777" w:rsidTr="0073287C">
        <w:trPr>
          <w:trHeight w:val="6519"/>
        </w:trPr>
        <w:tc>
          <w:tcPr>
            <w:tcW w:w="4566" w:type="dxa"/>
            <w:hideMark/>
          </w:tcPr>
          <w:p w14:paraId="1073CAAB" w14:textId="77777777" w:rsidR="0070161D" w:rsidRPr="00FD1578" w:rsidRDefault="0070161D" w:rsidP="008349F0">
            <w:pPr>
              <w:spacing w:after="0"/>
              <w:ind w:firstLine="0"/>
              <w:jc w:val="left"/>
              <w:rPr>
                <w:rFonts w:ascii="Calibri" w:hAnsi="Calibri"/>
                <w:sz w:val="22"/>
              </w:rPr>
            </w:pPr>
            <w:r w:rsidRPr="00FD1578">
              <w:rPr>
                <w:rFonts w:ascii="Calibri" w:eastAsia="Calibri" w:hAnsi="Calibri"/>
                <w:noProof/>
                <w:sz w:val="22"/>
              </w:rPr>
              <mc:AlternateContent>
                <mc:Choice Requires="wps">
                  <w:drawing>
                    <wp:anchor distT="0" distB="0" distL="114300" distR="114300" simplePos="0" relativeHeight="251665408" behindDoc="0" locked="0" layoutInCell="1" allowOverlap="1" wp14:anchorId="42745585" wp14:editId="0401A27E">
                      <wp:simplePos x="0" y="0"/>
                      <wp:positionH relativeFrom="column">
                        <wp:posOffset>-60325</wp:posOffset>
                      </wp:positionH>
                      <wp:positionV relativeFrom="paragraph">
                        <wp:posOffset>3756660</wp:posOffset>
                      </wp:positionV>
                      <wp:extent cx="3878580" cy="229235"/>
                      <wp:effectExtent l="0" t="0" r="2540" b="0"/>
                      <wp:wrapNone/>
                      <wp:docPr id="730499746" name="Text Box 2"/>
                      <wp:cNvGraphicFramePr/>
                      <a:graphic xmlns:a="http://schemas.openxmlformats.org/drawingml/2006/main">
                        <a:graphicData uri="http://schemas.microsoft.com/office/word/2010/wordprocessingShape">
                          <wps:wsp>
                            <wps:cNvSpPr txBox="1"/>
                            <wps:spPr>
                              <a:xfrm>
                                <a:off x="0" y="0"/>
                                <a:ext cx="3883660" cy="229235"/>
                              </a:xfrm>
                              <a:prstGeom prst="rect">
                                <a:avLst/>
                              </a:prstGeom>
                              <a:solidFill>
                                <a:sysClr val="window" lastClr="FFFFFF"/>
                              </a:solidFill>
                              <a:ln w="6350">
                                <a:noFill/>
                              </a:ln>
                            </wps:spPr>
                            <wps:txbx>
                              <w:txbxContent>
                                <w:p w14:paraId="1BEA0C57" w14:textId="77777777" w:rsidR="0070161D" w:rsidRDefault="0070161D" w:rsidP="0070161D">
                                  <w:pPr>
                                    <w:spacing w:after="0"/>
                                    <w:rPr>
                                      <w:sz w:val="18"/>
                                      <w:szCs w:val="18"/>
                                    </w:rPr>
                                  </w:pPr>
                                  <w:r>
                                    <w:rPr>
                                      <w:sz w:val="18"/>
                                      <w:szCs w:val="18"/>
                                    </w:rPr>
                                    <w:t>*Enerģijas grupā ietilpst elektroenerģija, gāze, siltumenerģija, cietais kurināmais</w:t>
                                  </w:r>
                                </w:p>
                              </w:txbxContent>
                            </wps:txbx>
                            <wps:bodyPr rot="0" spcFirstLastPara="0" vertOverflow="clip" horzOverflow="clip"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2745585" id="_x0000_t202" coordsize="21600,21600" o:spt="202" path="m,l,21600r21600,l21600,xe">
                      <v:stroke joinstyle="miter"/>
                      <v:path gradientshapeok="t" o:connecttype="rect"/>
                    </v:shapetype>
                    <v:shape id="Text Box 2" o:spid="_x0000_s1026" type="#_x0000_t202" style="position:absolute;margin-left:-4.75pt;margin-top:295.8pt;width:305.4pt;height:18.0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e10MwIAAFsEAAAOAAAAZHJzL2Uyb0RvYy54bWysVF1v2jAUfZ+0/2D5fQRCYRQ1VKwV0yTU&#10;VmqnPhvHaSI5vpZtSNiv37EDbde9TcuD4/uR+3HOvbm67lvNDsr5hkzBJ6MxZ8pIKhvzUvCfT5sv&#10;C858EKYUmowq+FF5fr36/Omqs0uVU026VI4hiPHLzha8DsEus8zLWrXCj8gqA2NFrhUBonvJSic6&#10;RG91lo/H86wjV1pHUnkP7e1g5KsUv6qUDPdV5VVguuCoLaTTpXMXz2x1JZYvTti6kacyxD9U0YrG&#10;IOlrqFsRBNu75q9QbSMdearCSFKbUVU1UqUe0M1k/KGbx1pYlXoBON6+wuT/X1h5d3i0D46F/hv1&#10;IDAC0lm/9FDGfvrKtfGNShnsgPD4CpvqA5NQTheL6XwOk4Qtzy/z6SyGyd6+ts6H74paFi8Fd6Al&#10;oSUOWx8G17NLTOZJN+Wm0ToJR3+jHTsIMAjiS+o408IHKAu+Sc8p2x+facO6gs+ns3HKZCjGG1Jp&#10;g+Lemoy30O/6U+c7Ko8AxNEwK97KTYOqt0j5IByGA41i4MM9jkoTkkjdWM5qcr8+6qIfuIKFsw5D&#10;VnCDLUD9Pww4vJxcXCBYSMLF7GsOwb237N5bzL69IWAwwUJZma7RP+jztXLUPmMb1jEnTMJIZC54&#10;OF9vwjD42Cap1uvkhCm0ImzNo5UxdAQ8MvHUPwtnT3QFEH1H52EUyw+sDb6JKrveBwCdKI2wDlie&#10;0MYEp6E4bVtckfdy8nr7J6x+AwAA//8DAFBLAwQUAAYACAAAACEAt+EBsN8AAAAKAQAADwAAAGRy&#10;cy9kb3ducmV2LnhtbEyPwU6DQBCG7ya+w2ZMvLULNaWWsjTGxEvDRWzvW3YEWnYW2YXi2zue9DaT&#10;+fLP92f72XZiwsG3jhTEywgEUuVMS7WC48fb4hmED5qM7hyhgm/0sM/v7zKdGnejd5zKUAsOIZ9q&#10;BU0IfSqlrxq02i9dj8S3TzdYHXgdamkGfeNw28lVFCXS6pb4Q6N7fG2wupajVXA9FKaK5cUcinE6&#10;lafjV1FRotTjw/yyAxFwDn8w/OqzOuTsdHYjGS86BYvtmkkF622cgGAgieInEGceVpsNyDyT/yvk&#10;PwAAAP//AwBQSwECLQAUAAYACAAAACEAtoM4kv4AAADhAQAAEwAAAAAAAAAAAAAAAAAAAAAAW0Nv&#10;bnRlbnRfVHlwZXNdLnhtbFBLAQItABQABgAIAAAAIQA4/SH/1gAAAJQBAAALAAAAAAAAAAAAAAAA&#10;AC8BAABfcmVscy8ucmVsc1BLAQItABQABgAIAAAAIQAYfe10MwIAAFsEAAAOAAAAAAAAAAAAAAAA&#10;AC4CAABkcnMvZTJvRG9jLnhtbFBLAQItABQABgAIAAAAIQC34QGw3wAAAAoBAAAPAAAAAAAAAAAA&#10;AAAAAI0EAABkcnMvZG93bnJldi54bWxQSwUGAAAAAAQABADzAAAAmQUAAAAA&#10;" fillcolor="window" stroked="f" strokeweight=".5pt">
                      <v:textbox style="mso-fit-shape-to-text:t">
                        <w:txbxContent>
                          <w:p w14:paraId="1BEA0C57" w14:textId="77777777" w:rsidR="0070161D" w:rsidRDefault="0070161D" w:rsidP="0070161D">
                            <w:pPr>
                              <w:spacing w:after="0"/>
                              <w:rPr>
                                <w:sz w:val="18"/>
                                <w:szCs w:val="18"/>
                              </w:rPr>
                            </w:pPr>
                            <w:r>
                              <w:rPr>
                                <w:sz w:val="18"/>
                                <w:szCs w:val="18"/>
                              </w:rPr>
                              <w:t>*Enerģijas grupā ietilpst elektroenerģija, gāze, siltumenerģija, cietais kurināmais</w:t>
                            </w:r>
                          </w:p>
                        </w:txbxContent>
                      </v:textbox>
                    </v:shape>
                  </w:pict>
                </mc:Fallback>
              </mc:AlternateContent>
            </w:r>
            <w:r w:rsidRPr="00FD1578">
              <w:rPr>
                <w:rFonts w:ascii="Calibri" w:eastAsia="Calibri" w:hAnsi="Calibri"/>
                <w:noProof/>
                <w:sz w:val="22"/>
              </w:rPr>
              <w:drawing>
                <wp:inline distT="0" distB="0" distL="0" distR="0" wp14:anchorId="4DC360B6" wp14:editId="5B621502">
                  <wp:extent cx="2800350" cy="3975100"/>
                  <wp:effectExtent l="0" t="0" r="0" b="6350"/>
                  <wp:docPr id="16" name="Picture 16">
                    <a:extLst xmlns:a="http://schemas.openxmlformats.org/drawingml/2006/main">
                      <a:ext uri="{FF2B5EF4-FFF2-40B4-BE49-F238E27FC236}">
                        <a16:creationId xmlns:a16="http://schemas.microsoft.com/office/drawing/2014/main" id="{FFA86425-C97F-48BA-8572-9367CDE6AC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c>
          <w:tcPr>
            <w:tcW w:w="4505" w:type="dxa"/>
            <w:hideMark/>
          </w:tcPr>
          <w:p w14:paraId="4532BDD7" w14:textId="77777777" w:rsidR="0070161D" w:rsidRPr="00FD1578" w:rsidRDefault="0070161D" w:rsidP="008349F0">
            <w:pPr>
              <w:spacing w:after="0"/>
              <w:ind w:firstLine="0"/>
              <w:jc w:val="left"/>
              <w:rPr>
                <w:rFonts w:ascii="Calibri" w:eastAsia="Calibri" w:hAnsi="Calibri"/>
                <w:sz w:val="22"/>
              </w:rPr>
            </w:pPr>
            <w:r w:rsidRPr="00FD1578">
              <w:rPr>
                <w:rFonts w:ascii="Calibri" w:eastAsia="Calibri" w:hAnsi="Calibri"/>
                <w:noProof/>
                <w:sz w:val="22"/>
              </w:rPr>
              <w:drawing>
                <wp:inline distT="0" distB="0" distL="0" distR="0" wp14:anchorId="5CCCE755" wp14:editId="3BD3A084">
                  <wp:extent cx="2895600" cy="3511550"/>
                  <wp:effectExtent l="0" t="0" r="0" b="0"/>
                  <wp:docPr id="1645128632" name="Picture 17">
                    <a:extLst xmlns:a="http://schemas.openxmlformats.org/drawingml/2006/main">
                      <a:ext uri="{FF2B5EF4-FFF2-40B4-BE49-F238E27FC236}">
                        <a16:creationId xmlns:a16="http://schemas.microsoft.com/office/drawing/2014/main" id="{0897786B-C29D-430C-9FA1-D68EB2723E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70161D" w:rsidRPr="00FD1578" w14:paraId="3687AA59" w14:textId="77777777" w:rsidTr="0073287C">
        <w:trPr>
          <w:trHeight w:val="850"/>
        </w:trPr>
        <w:tc>
          <w:tcPr>
            <w:tcW w:w="4566" w:type="dxa"/>
            <w:hideMark/>
          </w:tcPr>
          <w:p w14:paraId="771F96F9" w14:textId="77777777" w:rsidR="0070161D" w:rsidRPr="00FD1578" w:rsidRDefault="0070161D" w:rsidP="008349F0">
            <w:pPr>
              <w:spacing w:after="0"/>
              <w:ind w:firstLine="0"/>
              <w:jc w:val="center"/>
              <w:rPr>
                <w:rFonts w:eastAsia="Calibri"/>
                <w:i/>
                <w:iCs/>
                <w:szCs w:val="24"/>
              </w:rPr>
            </w:pPr>
            <w:r w:rsidRPr="00FD1578">
              <w:rPr>
                <w:rFonts w:eastAsia="Calibri"/>
                <w:b/>
                <w:i/>
                <w:iCs/>
                <w:szCs w:val="24"/>
              </w:rPr>
              <w:t>1.15. att. Devums gada inflācijā pēc izcelsmes avota (</w:t>
            </w:r>
            <w:proofErr w:type="spellStart"/>
            <w:r w:rsidRPr="00FD1578">
              <w:rPr>
                <w:rFonts w:eastAsia="Calibri"/>
                <w:b/>
                <w:i/>
                <w:iCs/>
                <w:szCs w:val="24"/>
              </w:rPr>
              <w:t>pp</w:t>
            </w:r>
            <w:proofErr w:type="spellEnd"/>
            <w:r w:rsidRPr="00FD1578">
              <w:rPr>
                <w:rFonts w:eastAsia="Calibri"/>
                <w:b/>
                <w:i/>
                <w:iCs/>
                <w:szCs w:val="24"/>
              </w:rPr>
              <w:t xml:space="preserve">) un </w:t>
            </w:r>
            <w:r w:rsidRPr="00FD1578">
              <w:rPr>
                <w:rFonts w:eastAsia="Calibri"/>
                <w:b/>
                <w:bCs/>
                <w:i/>
                <w:iCs/>
                <w:szCs w:val="24"/>
              </w:rPr>
              <w:t>vidējās patēriņa cenu pārmaiņas (</w:t>
            </w:r>
            <w:r w:rsidRPr="00FD1578">
              <w:rPr>
                <w:rFonts w:eastAsia="Calibri"/>
                <w:b/>
                <w:i/>
                <w:iCs/>
                <w:szCs w:val="24"/>
              </w:rPr>
              <w:t>PCI, %)</w:t>
            </w:r>
            <w:r w:rsidRPr="00FD1578">
              <w:rPr>
                <w:rFonts w:ascii="Calibri" w:eastAsia="Calibri" w:hAnsi="Calibri"/>
                <w:sz w:val="22"/>
                <w:vertAlign w:val="superscript"/>
              </w:rPr>
              <w:footnoteReference w:id="2"/>
            </w:r>
          </w:p>
        </w:tc>
        <w:tc>
          <w:tcPr>
            <w:tcW w:w="4505" w:type="dxa"/>
            <w:hideMark/>
          </w:tcPr>
          <w:p w14:paraId="11EFC5E5" w14:textId="77777777" w:rsidR="0070161D" w:rsidRPr="00FD1578" w:rsidRDefault="0070161D" w:rsidP="008349F0">
            <w:pPr>
              <w:spacing w:after="0"/>
              <w:ind w:firstLine="0"/>
              <w:jc w:val="center"/>
              <w:rPr>
                <w:rFonts w:eastAsia="Calibri"/>
                <w:i/>
                <w:iCs/>
                <w:szCs w:val="24"/>
              </w:rPr>
            </w:pPr>
            <w:r w:rsidRPr="00FD1578">
              <w:rPr>
                <w:rFonts w:eastAsia="Calibri"/>
                <w:b/>
                <w:i/>
                <w:iCs/>
                <w:szCs w:val="24"/>
              </w:rPr>
              <w:t>1.16. att. Devums gada inflācijā pēc izcelsmes avota (</w:t>
            </w:r>
            <w:proofErr w:type="spellStart"/>
            <w:r w:rsidRPr="00FD1578">
              <w:rPr>
                <w:rFonts w:eastAsia="Calibri"/>
                <w:b/>
                <w:i/>
                <w:iCs/>
                <w:szCs w:val="24"/>
              </w:rPr>
              <w:t>pp</w:t>
            </w:r>
            <w:proofErr w:type="spellEnd"/>
            <w:r w:rsidRPr="00FD1578">
              <w:rPr>
                <w:rFonts w:eastAsia="Calibri"/>
                <w:b/>
                <w:i/>
                <w:iCs/>
                <w:szCs w:val="24"/>
              </w:rPr>
              <w:t xml:space="preserve">) un </w:t>
            </w:r>
            <w:r w:rsidRPr="00FD1578">
              <w:rPr>
                <w:rFonts w:eastAsia="Calibri"/>
                <w:b/>
                <w:bCs/>
                <w:i/>
                <w:iCs/>
                <w:szCs w:val="24"/>
              </w:rPr>
              <w:t>vidējās patēriņa cenu pārmaiņas (</w:t>
            </w:r>
            <w:r w:rsidRPr="00FD1578">
              <w:rPr>
                <w:rFonts w:eastAsia="Calibri"/>
                <w:b/>
                <w:i/>
                <w:iCs/>
                <w:szCs w:val="24"/>
              </w:rPr>
              <w:t>PCI, %)</w:t>
            </w:r>
            <w:r w:rsidRPr="00FD1578">
              <w:rPr>
                <w:rFonts w:ascii="Calibri" w:eastAsia="Calibri" w:hAnsi="Calibri"/>
                <w:sz w:val="22"/>
                <w:vertAlign w:val="superscript"/>
              </w:rPr>
              <w:footnoteReference w:id="3"/>
            </w:r>
          </w:p>
        </w:tc>
      </w:tr>
    </w:tbl>
    <w:p w14:paraId="0D9EEF1A" w14:textId="77777777" w:rsidR="0070161D" w:rsidRPr="00FD1578" w:rsidRDefault="0070161D" w:rsidP="008349F0">
      <w:pPr>
        <w:spacing w:before="120"/>
        <w:rPr>
          <w:rFonts w:eastAsia="Calibri" w:cs="Times New Roman"/>
          <w:color w:val="000000"/>
          <w:szCs w:val="24"/>
          <w:shd w:val="clear" w:color="auto" w:fill="FFFFFF"/>
          <w:lang w:eastAsia="en-US"/>
        </w:rPr>
      </w:pPr>
      <w:r w:rsidRPr="00FD1578">
        <w:rPr>
          <w:rFonts w:eastAsia="Calibri" w:cs="Times New Roman"/>
          <w:color w:val="000000"/>
          <w:szCs w:val="24"/>
          <w:shd w:val="clear" w:color="auto" w:fill="FFFFFF"/>
          <w:lang w:eastAsia="en-US"/>
        </w:rPr>
        <w:t xml:space="preserve">Pakalpojumu cenas 2024. gada astoņos mēnešos palielinājās par 5,3%, atspoguļojot iepriekš strauji augušās izmaksas un joprojām spēcīgo darba samaksas pieaugumu. Visbūtiskāk pakalpojumu sektorā cenas palielinājušās veselības aprūpes, izglītības, kultūras un atpūtas pakalpojumiem, kā arī pasažieru pārvadājumiem. Pakalpojumu cenu pieaugumu spilgti raksturo pamatinflācijas attīstība. 2024. gada astoņos mēnešos pamatinflācija bija 3,5%, tādējādi tās devums patēriņa cenu pieaugumā veidoja 2,2 </w:t>
      </w:r>
      <w:proofErr w:type="spellStart"/>
      <w:r w:rsidRPr="00FD1578">
        <w:rPr>
          <w:rFonts w:eastAsia="Calibri" w:cs="Times New Roman"/>
          <w:color w:val="000000"/>
          <w:szCs w:val="24"/>
          <w:shd w:val="clear" w:color="auto" w:fill="FFFFFF"/>
          <w:lang w:eastAsia="en-US"/>
        </w:rPr>
        <w:t>pp</w:t>
      </w:r>
      <w:proofErr w:type="spellEnd"/>
      <w:r w:rsidRPr="00FD1578">
        <w:rPr>
          <w:rFonts w:eastAsia="Calibri" w:cs="Times New Roman"/>
          <w:color w:val="000000"/>
          <w:szCs w:val="24"/>
          <w:shd w:val="clear" w:color="auto" w:fill="FFFFFF"/>
          <w:lang w:eastAsia="en-US"/>
        </w:rPr>
        <w:t xml:space="preserve">. Savukārt importētās inflācijas devums, kas raksturo energoresursu un pārtikas cenu pārmaiņas, šajā periodā bija 1,8 </w:t>
      </w:r>
      <w:proofErr w:type="spellStart"/>
      <w:r w:rsidRPr="00FD1578">
        <w:rPr>
          <w:rFonts w:eastAsia="Calibri" w:cs="Times New Roman"/>
          <w:color w:val="000000"/>
          <w:szCs w:val="24"/>
          <w:shd w:val="clear" w:color="auto" w:fill="FFFFFF"/>
          <w:lang w:eastAsia="en-US"/>
        </w:rPr>
        <w:t>pp</w:t>
      </w:r>
      <w:proofErr w:type="spellEnd"/>
      <w:r w:rsidRPr="00FD1578">
        <w:rPr>
          <w:rFonts w:eastAsia="Calibri" w:cs="Times New Roman"/>
          <w:color w:val="000000"/>
          <w:szCs w:val="24"/>
          <w:shd w:val="clear" w:color="auto" w:fill="FFFFFF"/>
          <w:lang w:eastAsia="en-US"/>
        </w:rPr>
        <w:t xml:space="preserve">. Tomēr, kā jau atzīmēts iepriekš, pazeminošu ietekmi uz inflāciju atstāja ar energoresursiem saistīto </w:t>
      </w:r>
      <w:r w:rsidRPr="00FD1578">
        <w:rPr>
          <w:rFonts w:eastAsia="Calibri" w:cs="Times New Roman"/>
          <w:color w:val="000000"/>
          <w:szCs w:val="24"/>
          <w:shd w:val="clear" w:color="auto" w:fill="FFFFFF"/>
          <w:lang w:eastAsia="en-US"/>
        </w:rPr>
        <w:lastRenderedPageBreak/>
        <w:t xml:space="preserve">pakalpojumu cenu kritums. </w:t>
      </w:r>
      <w:r w:rsidRPr="00FD1578">
        <w:rPr>
          <w:rFonts w:eastAsia="Calibri" w:cs="Times New Roman"/>
          <w:color w:val="000000"/>
          <w:szCs w:val="24"/>
          <w:lang w:eastAsia="en-US"/>
        </w:rPr>
        <w:t>Lai arī darba samaksas pieauguma tempi sāka bremzēties, spiediens uz kopējām uzņēmējdarbības izmaksām saglabāsies augsts, turpinot uzturēt cenu pieaugumu pakalpojumu sektorā. Tas kopā ar pārtikas cenu pieaugumu noteiks vidējo patēriņa cenu pieaugumu šogad.</w:t>
      </w:r>
    </w:p>
    <w:p w14:paraId="254778F6" w14:textId="77777777" w:rsidR="0070161D" w:rsidRPr="00FD1578" w:rsidRDefault="0070161D" w:rsidP="008349F0">
      <w:pPr>
        <w:rPr>
          <w:rFonts w:eastAsia="Calibri" w:cs="Times New Roman"/>
          <w:color w:val="000000"/>
          <w:szCs w:val="24"/>
          <w:shd w:val="clear" w:color="auto" w:fill="FFFFFF"/>
          <w:lang w:eastAsia="en-US"/>
        </w:rPr>
      </w:pPr>
      <w:r w:rsidRPr="00FD1578">
        <w:rPr>
          <w:rFonts w:eastAsia="Calibri" w:cs="Times New Roman"/>
          <w:color w:val="000000"/>
          <w:szCs w:val="24"/>
          <w:shd w:val="clear" w:color="auto" w:fill="FFFFFF"/>
          <w:lang w:eastAsia="en-US"/>
        </w:rPr>
        <w:t xml:space="preserve">2024. gada martā palielinājās akcīzes nodokļa likme tabakas izstrādājumiem un alkoholiskajiem dzērieniem, tādējādi nedaudz paaugstinot šīs produkcijas cenas. Atbilstoši FM novērtējumam, nodokļu likmju paaugstināšanas devums vidējā patēriņa cenu pieaugumā šā gada astoņos mēnešos bija 0,4 </w:t>
      </w:r>
      <w:proofErr w:type="spellStart"/>
      <w:r w:rsidRPr="00FD1578">
        <w:rPr>
          <w:rFonts w:eastAsia="Calibri" w:cs="Times New Roman"/>
          <w:color w:val="000000"/>
          <w:szCs w:val="24"/>
          <w:shd w:val="clear" w:color="auto" w:fill="FFFFFF"/>
          <w:lang w:eastAsia="en-US"/>
        </w:rPr>
        <w:t>pp</w:t>
      </w:r>
      <w:proofErr w:type="spellEnd"/>
      <w:r w:rsidRPr="00FD1578">
        <w:rPr>
          <w:rFonts w:eastAsia="Calibri" w:cs="Times New Roman"/>
          <w:color w:val="000000"/>
          <w:szCs w:val="24"/>
          <w:shd w:val="clear" w:color="auto" w:fill="FFFFFF"/>
          <w:lang w:eastAsia="en-US"/>
        </w:rPr>
        <w:t xml:space="preserve">. </w:t>
      </w:r>
    </w:p>
    <w:p w14:paraId="41F837E7" w14:textId="2668F78F" w:rsidR="0070161D" w:rsidRPr="00FD1578" w:rsidRDefault="0070161D" w:rsidP="008349F0">
      <w:pPr>
        <w:rPr>
          <w:rFonts w:eastAsia="Aptos" w:cs="Times New Roman"/>
          <w:color w:val="000000"/>
          <w:kern w:val="2"/>
          <w:szCs w:val="24"/>
          <w:lang w:eastAsia="en-US"/>
          <w14:ligatures w14:val="standardContextual"/>
        </w:rPr>
      </w:pPr>
      <w:r w:rsidRPr="00FD1578">
        <w:rPr>
          <w:rFonts w:eastAsia="Calibri" w:cs="Times New Roman"/>
          <w:color w:val="000000"/>
          <w:szCs w:val="24"/>
          <w:lang w:eastAsia="en-US"/>
        </w:rPr>
        <w:t>Atbilstoši aktualizētajām makroekonomisko rādītāju prognozēm, kuras ir izstrādātas 2024. gada jūnijā un veido pamatu 2025. gada budžetam</w:t>
      </w:r>
      <w:r w:rsidR="00811C7D">
        <w:rPr>
          <w:rFonts w:eastAsia="Calibri" w:cs="Times New Roman"/>
          <w:color w:val="000000"/>
          <w:szCs w:val="24"/>
          <w:lang w:eastAsia="en-US"/>
        </w:rPr>
        <w:t xml:space="preserve"> un 2025.</w:t>
      </w:r>
      <w:r w:rsidR="007F32BC">
        <w:rPr>
          <w:rFonts w:eastAsia="Calibri" w:cs="Times New Roman"/>
          <w:color w:val="000000"/>
          <w:szCs w:val="24"/>
          <w:lang w:eastAsia="en-US"/>
        </w:rPr>
        <w:t xml:space="preserve"> – </w:t>
      </w:r>
      <w:r w:rsidR="00811C7D">
        <w:rPr>
          <w:rFonts w:eastAsia="Calibri" w:cs="Times New Roman"/>
          <w:color w:val="000000"/>
          <w:szCs w:val="24"/>
          <w:lang w:eastAsia="en-US"/>
        </w:rPr>
        <w:t>2027. gada budžeta ietvaram</w:t>
      </w:r>
      <w:r w:rsidRPr="00FD1578">
        <w:rPr>
          <w:rFonts w:eastAsia="Calibri" w:cs="Times New Roman"/>
          <w:color w:val="000000"/>
          <w:szCs w:val="24"/>
          <w:lang w:eastAsia="en-US"/>
        </w:rPr>
        <w:t xml:space="preserve">, prognozēts, ka patēriņa cenas 2024. gadā vidēji palielināsies par 1,2%, būtiski mazāk nekā iepriekšējos gados. </w:t>
      </w:r>
      <w:r w:rsidRPr="00FD1578">
        <w:rPr>
          <w:rFonts w:eastAsia="Aptos" w:cs="Times New Roman"/>
          <w:color w:val="000000"/>
          <w:kern w:val="2"/>
          <w:szCs w:val="24"/>
          <w:lang w:eastAsia="en-US"/>
          <w14:ligatures w14:val="standardContextual"/>
        </w:rPr>
        <w:t xml:space="preserve">Inflāciju paaugstinošie faktori galvenokārt būs saistīti ar iekšējiem ekonomikas procesiem, ko ietekmēs darba tirgus attīstība, it īpaši pakalpojumu nozarēs. Savukārt ārējiem faktoriem būs inflāciju pazeminoša ietekme, ko noteiks energoresursu cenu stabilizēšanās. Neliela inflāciju paaugstinoša ietekme 0,5 </w:t>
      </w:r>
      <w:proofErr w:type="spellStart"/>
      <w:r w:rsidRPr="00FD1578">
        <w:rPr>
          <w:rFonts w:eastAsia="Aptos" w:cs="Times New Roman"/>
          <w:color w:val="000000"/>
          <w:kern w:val="2"/>
          <w:szCs w:val="24"/>
          <w:lang w:eastAsia="en-US"/>
          <w14:ligatures w14:val="standardContextual"/>
        </w:rPr>
        <w:t>pp</w:t>
      </w:r>
      <w:proofErr w:type="spellEnd"/>
      <w:r w:rsidRPr="00FD1578">
        <w:rPr>
          <w:rFonts w:eastAsia="Aptos" w:cs="Times New Roman"/>
          <w:color w:val="000000"/>
          <w:kern w:val="2"/>
          <w:szCs w:val="24"/>
          <w:lang w:eastAsia="en-US"/>
          <w14:ligatures w14:val="standardContextual"/>
        </w:rPr>
        <w:t xml:space="preserve"> apmērā 2024. gadā būs nodokļu likmju pieaugumam.</w:t>
      </w:r>
    </w:p>
    <w:p w14:paraId="6A857E25" w14:textId="77777777" w:rsidR="0070161D" w:rsidRPr="00FD1578" w:rsidRDefault="0070161D" w:rsidP="008349F0">
      <w:pPr>
        <w:spacing w:before="240" w:after="240"/>
        <w:ind w:firstLine="0"/>
        <w:jc w:val="center"/>
        <w:outlineLvl w:val="2"/>
        <w:rPr>
          <w:rFonts w:eastAsia="Times New Roman" w:cs="Times New Roman"/>
          <w:b/>
          <w:sz w:val="32"/>
          <w:szCs w:val="20"/>
          <w:lang w:eastAsia="en-US"/>
        </w:rPr>
      </w:pPr>
      <w:bookmarkStart w:id="14" w:name="_Toc178763478"/>
      <w:bookmarkStart w:id="15" w:name="_Toc179356067"/>
      <w:r w:rsidRPr="00FD1578">
        <w:rPr>
          <w:rFonts w:eastAsia="Times New Roman" w:cs="Times New Roman"/>
          <w:b/>
          <w:sz w:val="32"/>
          <w:szCs w:val="20"/>
          <w:lang w:eastAsia="en-US"/>
        </w:rPr>
        <w:t>1.2.3. Nodarbinātība un bezdarbs</w:t>
      </w:r>
      <w:bookmarkEnd w:id="14"/>
      <w:bookmarkEnd w:id="15"/>
    </w:p>
    <w:p w14:paraId="1E453A7E"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Līdz ar stabilo ekonomikas izaugsmi laikā līdz 2019. gadam bezdarba līmenis Latvijā strauji samazinājās, atsevišķās nozarēs un profesijās jau robežojoties ar darbaspēka trūkumu. 2020. gadā šo dinamiku pārtrauca Covid-19 izraisītā krīze, tomēr tās ietekme darba tirgū izrādījās ļoti ierobežota, tajā skaitā pateicoties valsts atbalsta pasākumiem. Nodarbinātības situāciju jūtami nepasliktināja arī Krievijas sāktais karš Ukrainā 2022. gada februārī, un bezdarba līmenis pastāvīgi un visai strauji turpināja samazināties.</w:t>
      </w:r>
    </w:p>
    <w:p w14:paraId="60E1C093"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Pēc īslaicīgā pieauguma līdz 8,1% 2020. gadā, bezdarba līmenis pēc darbaspēka </w:t>
      </w:r>
      <w:proofErr w:type="spellStart"/>
      <w:r w:rsidRPr="00FD1578">
        <w:rPr>
          <w:rFonts w:eastAsia="Calibri" w:cs="Times New Roman"/>
          <w:szCs w:val="20"/>
          <w:lang w:eastAsia="en-US"/>
        </w:rPr>
        <w:t>apsekojuma</w:t>
      </w:r>
      <w:proofErr w:type="spellEnd"/>
      <w:r w:rsidRPr="00FD1578">
        <w:rPr>
          <w:rFonts w:eastAsia="Calibri" w:cs="Times New Roman"/>
          <w:szCs w:val="20"/>
          <w:lang w:eastAsia="en-US"/>
        </w:rPr>
        <w:t xml:space="preserve"> nākamajos gados pastāvīgi samazinājās un 2023. gadā noslīdēja līdz 6,5%, kas bija par 0,4 </w:t>
      </w:r>
      <w:proofErr w:type="spellStart"/>
      <w:r w:rsidRPr="00FD1578">
        <w:rPr>
          <w:rFonts w:eastAsia="Calibri" w:cs="Times New Roman"/>
          <w:szCs w:val="20"/>
          <w:lang w:eastAsia="en-US"/>
        </w:rPr>
        <w:t>pp</w:t>
      </w:r>
      <w:proofErr w:type="spellEnd"/>
      <w:r w:rsidRPr="00FD1578">
        <w:rPr>
          <w:rFonts w:eastAsia="Calibri" w:cs="Times New Roman"/>
          <w:szCs w:val="20"/>
          <w:lang w:eastAsia="en-US"/>
        </w:rPr>
        <w:t xml:space="preserve"> mazāk nekā 2022. gadā.</w:t>
      </w:r>
    </w:p>
    <w:p w14:paraId="4FA5A836" w14:textId="6B784604"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2023. gada pēdējos mēnešos un 2024. gada sākumā ekonomikas krituma negatīvā ietekme darba tirgū tomēr bija sākusi atspoguļoties, lai arī ar ļoti lielu laika nobīdi un tikai ļoti mēreni. 2023. gada ceturtajā ceturksnī bezdarbs bija palielinājies līdz 6,8% no ekonomiski aktīvajiem iedzīvotājiem, bet 2024. gada pirmajā pusē pieaudzis līdz 7,0%, kas bija par 0,6 </w:t>
      </w:r>
      <w:proofErr w:type="spellStart"/>
      <w:r w:rsidRPr="00FD1578">
        <w:rPr>
          <w:rFonts w:eastAsia="Calibri" w:cs="Times New Roman"/>
          <w:szCs w:val="20"/>
          <w:lang w:eastAsia="en-US"/>
        </w:rPr>
        <w:t>pp</w:t>
      </w:r>
      <w:proofErr w:type="spellEnd"/>
      <w:r w:rsidRPr="00FD1578">
        <w:rPr>
          <w:rFonts w:eastAsia="Calibri" w:cs="Times New Roman"/>
          <w:szCs w:val="20"/>
          <w:lang w:eastAsia="en-US"/>
        </w:rPr>
        <w:t xml:space="preserve"> vairāk nekā attiecīgajā laika posmā pirms gada. Vienlaikus reģistrētā bezdarba līmenis saglabājās zems, un turpināja pazemināties visa</w:t>
      </w:r>
      <w:r w:rsidR="005735FB">
        <w:rPr>
          <w:rFonts w:eastAsia="Calibri" w:cs="Times New Roman"/>
          <w:szCs w:val="20"/>
          <w:lang w:eastAsia="en-US"/>
        </w:rPr>
        <w:t xml:space="preserve"> </w:t>
      </w:r>
      <w:r w:rsidRPr="00FD1578">
        <w:rPr>
          <w:rFonts w:eastAsia="Calibri" w:cs="Times New Roman"/>
          <w:szCs w:val="20"/>
          <w:lang w:eastAsia="en-US"/>
        </w:rPr>
        <w:t xml:space="preserve">2024. gada laikā, augusta beigās noslīdot līdz 5,3%. Tas ir par 0,2 </w:t>
      </w:r>
      <w:proofErr w:type="spellStart"/>
      <w:r w:rsidRPr="00FD1578">
        <w:rPr>
          <w:rFonts w:eastAsia="Calibri" w:cs="Times New Roman"/>
          <w:szCs w:val="20"/>
          <w:lang w:eastAsia="en-US"/>
        </w:rPr>
        <w:t>pp</w:t>
      </w:r>
      <w:proofErr w:type="spellEnd"/>
      <w:r w:rsidRPr="00FD1578">
        <w:rPr>
          <w:rFonts w:eastAsia="Calibri" w:cs="Times New Roman"/>
          <w:szCs w:val="20"/>
          <w:lang w:eastAsia="en-US"/>
        </w:rPr>
        <w:t xml:space="preserve"> mazāk nekā 2023. gada augusta beigās un liecina, ka arī bezdarba līmenim pēc darbaspēka </w:t>
      </w:r>
      <w:proofErr w:type="spellStart"/>
      <w:r w:rsidRPr="00FD1578">
        <w:rPr>
          <w:rFonts w:eastAsia="Calibri" w:cs="Times New Roman"/>
          <w:szCs w:val="20"/>
          <w:lang w:eastAsia="en-US"/>
        </w:rPr>
        <w:t>apsekojuma</w:t>
      </w:r>
      <w:proofErr w:type="spellEnd"/>
      <w:r w:rsidRPr="00FD1578">
        <w:rPr>
          <w:rFonts w:eastAsia="Calibri" w:cs="Times New Roman"/>
          <w:szCs w:val="20"/>
          <w:lang w:eastAsia="en-US"/>
        </w:rPr>
        <w:t xml:space="preserve"> vairs nav pamata tālākam pieaugumam. </w:t>
      </w:r>
    </w:p>
    <w:p w14:paraId="2132ED2C"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Lai arī kopējais bezdarba līmenis ir ļoti zems, saglabājas būtiskas bezdarba līmeņa atšķirības pa reģioniem – Rīgas reģionā reģistrētais bezdarbs augusta beigās bija 4,1%, kamēr Latgalē tas sasniedza 10,5%, bet Kurzemē, Vidzemē un Zemgalē bija 5-5,4% līmenī. </w:t>
      </w:r>
    </w:p>
    <w:p w14:paraId="39C16463" w14:textId="77777777" w:rsidR="0070161D" w:rsidRPr="00FD1578" w:rsidRDefault="0070161D" w:rsidP="008349F0">
      <w:pPr>
        <w:rPr>
          <w:rFonts w:eastAsia="Calibri" w:cs="Times New Roman"/>
          <w:szCs w:val="20"/>
          <w:lang w:eastAsia="en-US"/>
        </w:rPr>
      </w:pPr>
      <w:r w:rsidRPr="00FD1578">
        <w:rPr>
          <w:rFonts w:eastAsia="Calibri" w:cs="Times New Roman"/>
          <w:szCs w:val="20"/>
          <w:lang w:eastAsia="en-US"/>
        </w:rPr>
        <w:t xml:space="preserve">Neskatoties uz joprojām lielajām reģionālajām atšķirībām, kopējais reģistrētā bezdarba līmenis pašlaik jau ir zemāks nekā 2019. gadā, pirms pandēmijas, un tikai nedaudz pārsniedz 2007.-2008. gadā ekonomikas pārkaršanas laikā fiksētos rekordzemos rādītājus, radot zināmu spiedienu darba tirgū un atspoguļot darbinieku trūkumu atsevišķās profesijās un nozarēs. Zemo bezdarba līmeni līdzās ekonomikas pieprasījumam pašlaik ietekmē arī demogrāfiskā situācija, kad jau kopš 2015. gada darba tirgū ienākošo jauniešu skaits ir mazāks nekā par sešdesmit gadiem vecāko pensijā aizejošo iedzīvotāju skaits, un kopējais darbaspējas vecuma iedzīvotāju skaits ir pastāvīgi samazinājies. Ja 2022. gadā šo kritumu palīdzēja mīkstināt Ukrainas </w:t>
      </w:r>
      <w:r w:rsidRPr="00FD1578">
        <w:rPr>
          <w:rFonts w:eastAsia="Calibri" w:cs="Times New Roman"/>
          <w:szCs w:val="20"/>
          <w:lang w:eastAsia="en-US"/>
        </w:rPr>
        <w:lastRenderedPageBreak/>
        <w:t xml:space="preserve">iedzīvotāju uzņemšana, 2023. un 2024. gadā darbspējas vecuma iedzīvotāju skaita kritums ir atjaunojies, tam veidojot attiecīgi 0,6% 2023. gadā un 0,4% šā gada pirmajā pusē. </w:t>
      </w:r>
    </w:p>
    <w:p w14:paraId="4B34F4AB" w14:textId="77777777" w:rsidR="0070161D" w:rsidRPr="00FD1578" w:rsidRDefault="0070161D" w:rsidP="008349F0">
      <w:pPr>
        <w:rPr>
          <w:rFonts w:eastAsia="Calibri" w:cs="Times New Roman"/>
          <w:szCs w:val="24"/>
          <w:lang w:eastAsia="en-US"/>
          <w14:ligatures w14:val="standardContextual"/>
        </w:rPr>
      </w:pPr>
      <w:r w:rsidRPr="00FD1578">
        <w:rPr>
          <w:rFonts w:eastAsia="Calibri" w:cs="Times New Roman"/>
          <w:szCs w:val="20"/>
          <w:lang w:eastAsia="en-US"/>
        </w:rPr>
        <w:t xml:space="preserve">Samazinoties darbspējas vecuma iedzīvotāju skaitam un ekonomikas izaugsmei </w:t>
      </w:r>
      <w:proofErr w:type="spellStart"/>
      <w:r w:rsidRPr="00FD1578">
        <w:rPr>
          <w:rFonts w:eastAsia="Calibri" w:cs="Times New Roman"/>
          <w:szCs w:val="20"/>
          <w:lang w:eastAsia="en-US"/>
        </w:rPr>
        <w:t>stagnējot</w:t>
      </w:r>
      <w:proofErr w:type="spellEnd"/>
      <w:r w:rsidRPr="00FD1578">
        <w:rPr>
          <w:rFonts w:eastAsia="Calibri" w:cs="Times New Roman"/>
          <w:szCs w:val="20"/>
          <w:lang w:eastAsia="en-US"/>
        </w:rPr>
        <w:t>, 2023. gadā tautsaimniecībā nodarbināto iedzīvotāju skaits ir samazinājies par 0,2% jeb diviem tūkst. līdz 884,2 tūkst. Šā gada pirmajā pusē lejupslīde ir turpinājusies, nodarbināto skaitam pret pagājušā gada otro pusi samazinoties par 0,3%, tomēr gada otrajā pusē, atsākoties straujākai ekonomikas izaugsmei, sagaidāma nodarbināto skaita stabilizēšanās pagājušā gada līmenī (skat 1.17. attēlu).</w:t>
      </w:r>
      <w:r w:rsidRPr="00FD1578">
        <w:rPr>
          <w:rFonts w:eastAsia="Calibri" w:cs="Times New Roman"/>
          <w:szCs w:val="24"/>
          <w:lang w:eastAsia="en-US"/>
          <w14:ligatures w14:val="standardContextual"/>
        </w:rPr>
        <w:t xml:space="preserve"> </w:t>
      </w:r>
    </w:p>
    <w:p w14:paraId="499B21A2" w14:textId="77777777" w:rsidR="0070161D" w:rsidRPr="00FD1578" w:rsidRDefault="0070161D" w:rsidP="008349F0">
      <w:pPr>
        <w:jc w:val="center"/>
        <w:rPr>
          <w:rFonts w:eastAsia="Calibri" w:cs="Times New Roman"/>
          <w:szCs w:val="24"/>
          <w:lang w:eastAsia="en-US"/>
          <w14:ligatures w14:val="standardContextual"/>
        </w:rPr>
      </w:pPr>
      <w:r w:rsidRPr="00FD1578">
        <w:rPr>
          <w:rFonts w:ascii="Calibri" w:eastAsia="Calibri" w:hAnsi="Calibri" w:cs="Times New Roman"/>
          <w:noProof/>
          <w:sz w:val="22"/>
          <w:lang w:eastAsia="en-US"/>
        </w:rPr>
        <w:drawing>
          <wp:inline distT="0" distB="0" distL="0" distR="0" wp14:anchorId="40C1AC5D" wp14:editId="60FE3F67">
            <wp:extent cx="5276850" cy="2933700"/>
            <wp:effectExtent l="0" t="0" r="0" b="0"/>
            <wp:docPr id="18" name="Chart 7766299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F6611B3" w14:textId="77777777" w:rsidR="0070161D" w:rsidRPr="00FD1578" w:rsidRDefault="0070161D" w:rsidP="008349F0">
      <w:pPr>
        <w:spacing w:after="0"/>
        <w:jc w:val="center"/>
        <w:rPr>
          <w:rFonts w:eastAsia="Times New Roman" w:cs="Times New Roman"/>
          <w:b/>
          <w:i/>
          <w:szCs w:val="24"/>
          <w:lang w:eastAsia="en-US"/>
          <w14:ligatures w14:val="standardContextual"/>
        </w:rPr>
      </w:pPr>
      <w:r w:rsidRPr="00FD1578">
        <w:rPr>
          <w:rFonts w:eastAsia="Times New Roman" w:cs="Times New Roman"/>
          <w:b/>
          <w:i/>
          <w:szCs w:val="24"/>
          <w:lang w:eastAsia="en-US"/>
          <w14:ligatures w14:val="standardContextual"/>
        </w:rPr>
        <w:t>1.17. att. Tautsaimniecībā nodarbināto skaits un bezdarba līmenis 2008.-2028. gadā (no 2024. gada – prognoze)</w:t>
      </w:r>
    </w:p>
    <w:p w14:paraId="69C1F5AA" w14:textId="77777777" w:rsidR="0070161D" w:rsidRPr="00FD1578" w:rsidRDefault="0070161D" w:rsidP="008349F0">
      <w:pPr>
        <w:spacing w:before="120"/>
        <w:rPr>
          <w:rFonts w:eastAsia="Calibri" w:cs="Arial"/>
          <w:szCs w:val="24"/>
          <w:lang w:eastAsia="en-US"/>
        </w:rPr>
      </w:pPr>
      <w:r w:rsidRPr="00FD1578">
        <w:rPr>
          <w:rFonts w:eastAsia="Calibri" w:cs="Arial"/>
          <w:szCs w:val="24"/>
          <w:lang w:eastAsia="en-US"/>
        </w:rPr>
        <w:t>Nodarbinātības valsts aģentūrā reģistrēto brīvo darba vietu skaits joprojām ir salīdzinoši augsts, tomēr jau kopš pagājušā gada visus vērojams piedāvājuma samazinājums un 2024. gada pirmajos astoņos mēnešos brīvo darba vietu skaits bijis par 15% zemāks nekā attiecīgajā laikā pirms gada.</w:t>
      </w:r>
    </w:p>
    <w:p w14:paraId="50FA5B57" w14:textId="77777777" w:rsidR="0070161D" w:rsidRPr="00FD1578" w:rsidRDefault="0070161D" w:rsidP="008349F0">
      <w:pPr>
        <w:rPr>
          <w:rFonts w:eastAsia="Calibri" w:cs="Arial"/>
          <w:szCs w:val="24"/>
          <w:lang w:eastAsia="en-US"/>
        </w:rPr>
      </w:pPr>
      <w:r w:rsidRPr="00FD1578">
        <w:rPr>
          <w:rFonts w:eastAsia="Calibri" w:cs="Arial"/>
          <w:szCs w:val="24"/>
          <w:lang w:eastAsia="en-US"/>
        </w:rPr>
        <w:t>Pēc FM prognozēm, 2024. gadā kopumā bezdarba līmenis būs nedaudz augstāks nekā pērn, veidojot 6,7%, ko nosaka ekonomiskās izaugsmes sabremzēšanās pagājušā gada beigās un šā gada pirmajā pusē. Nākamajos gados, atsākoties straujākai ekonomikas izaugsmei un turpinot samazināties darbaspējas vecuma iedzīvotāju skaitam, bezdarbs atsāks samazināties, 2025. gadā noslīdot līdz 6,3% un vidējā termiņā, līdz 2028. gadam pazeminoties līdz tuvu 5%.</w:t>
      </w:r>
    </w:p>
    <w:p w14:paraId="2F8EF79E" w14:textId="77777777" w:rsidR="0070161D" w:rsidRPr="00FD1578" w:rsidRDefault="0070161D" w:rsidP="008349F0">
      <w:pPr>
        <w:rPr>
          <w:rFonts w:eastAsia="Calibri" w:cs="Arial"/>
          <w:szCs w:val="24"/>
          <w:lang w:eastAsia="en-US"/>
        </w:rPr>
      </w:pPr>
      <w:r w:rsidRPr="00FD1578">
        <w:rPr>
          <w:rFonts w:eastAsia="Calibri" w:cs="Arial"/>
          <w:szCs w:val="24"/>
          <w:lang w:eastAsia="en-US"/>
        </w:rPr>
        <w:t>Nodarbināto skaits 2024. un 2025. gadā nodarbināto skaits prognozēts stabils, saglabājoties pagājušā gada līmenī, bet nākamajos gados sagaidāms neliels nodarbināto skaita kritums, ko pamatā noteiks darbspējas vecuma iedzīvotāju skaita samazināšanās demogrāfijas tendenču rezultātā.</w:t>
      </w:r>
    </w:p>
    <w:p w14:paraId="1ABE282A" w14:textId="77777777" w:rsidR="0070161D" w:rsidRPr="00FD1578" w:rsidRDefault="0070161D" w:rsidP="008349F0">
      <w:pPr>
        <w:keepNext/>
        <w:keepLines/>
        <w:spacing w:before="200" w:after="0"/>
        <w:ind w:firstLine="0"/>
        <w:jc w:val="center"/>
        <w:outlineLvl w:val="2"/>
        <w:rPr>
          <w:rFonts w:eastAsia="Times New Roman" w:cs="Times New Roman"/>
          <w:b/>
          <w:bCs/>
          <w:sz w:val="32"/>
          <w:szCs w:val="32"/>
          <w:lang w:eastAsia="en-US"/>
        </w:rPr>
      </w:pPr>
      <w:bookmarkStart w:id="16" w:name="_Toc178763479"/>
      <w:bookmarkStart w:id="17" w:name="_Toc179356068"/>
      <w:r w:rsidRPr="00FD1578">
        <w:rPr>
          <w:rFonts w:eastAsia="Times New Roman" w:cs="Times New Roman"/>
          <w:b/>
          <w:bCs/>
          <w:sz w:val="32"/>
          <w:szCs w:val="32"/>
          <w:lang w:eastAsia="en-US"/>
        </w:rPr>
        <w:t>1.2.4. Iedzīvotāju ienākumi</w:t>
      </w:r>
      <w:bookmarkEnd w:id="16"/>
      <w:bookmarkEnd w:id="17"/>
    </w:p>
    <w:p w14:paraId="0C179CD7" w14:textId="77777777" w:rsidR="0070161D" w:rsidRPr="00FD1578" w:rsidRDefault="0070161D" w:rsidP="008349F0">
      <w:pPr>
        <w:spacing w:after="0"/>
        <w:ind w:firstLine="709"/>
        <w:rPr>
          <w:rFonts w:eastAsia="Times New Roman" w:cs="Times New Roman"/>
          <w:szCs w:val="24"/>
          <w:highlight w:val="yellow"/>
          <w:lang w:eastAsia="en-US"/>
        </w:rPr>
      </w:pPr>
    </w:p>
    <w:p w14:paraId="00E8A5D2" w14:textId="77777777" w:rsidR="0070161D" w:rsidRPr="00FD1578" w:rsidRDefault="0070161D" w:rsidP="008349F0">
      <w:pPr>
        <w:rPr>
          <w:rFonts w:eastAsia="Calibri" w:cs="Arial"/>
          <w:szCs w:val="24"/>
          <w:lang w:eastAsia="en-US"/>
        </w:rPr>
      </w:pPr>
      <w:r w:rsidRPr="00FD1578">
        <w:rPr>
          <w:rFonts w:eastAsia="Calibri" w:cs="Arial"/>
          <w:szCs w:val="24"/>
          <w:lang w:eastAsia="en-US"/>
        </w:rPr>
        <w:t xml:space="preserve">Neskatoties uz ekonomiskās situācijas pasliktināšanos gan Covid-19 pandēmijas, gan Krievijas uzsāktā kara un </w:t>
      </w:r>
      <w:proofErr w:type="spellStart"/>
      <w:r w:rsidRPr="00FD1578">
        <w:rPr>
          <w:rFonts w:eastAsia="Calibri" w:cs="Arial"/>
          <w:szCs w:val="24"/>
          <w:lang w:eastAsia="en-US"/>
        </w:rPr>
        <w:t>energokrīzes</w:t>
      </w:r>
      <w:proofErr w:type="spellEnd"/>
      <w:r w:rsidRPr="00FD1578">
        <w:rPr>
          <w:rFonts w:eastAsia="Calibri" w:cs="Arial"/>
          <w:szCs w:val="24"/>
          <w:lang w:eastAsia="en-US"/>
        </w:rPr>
        <w:t xml:space="preserve"> ietekmē, iedzīvotāju ienākumi, tajā skaitā darba samaksa un valsts sociālās apdrošināšanas maksājumi visus pēdējos gadus turpināja spēcīgi palielināties.</w:t>
      </w:r>
    </w:p>
    <w:p w14:paraId="782E283A" w14:textId="77777777" w:rsidR="0070161D" w:rsidRPr="00FD1578" w:rsidRDefault="0070161D" w:rsidP="008349F0">
      <w:pPr>
        <w:rPr>
          <w:rFonts w:eastAsia="Calibri" w:cs="Arial"/>
          <w:szCs w:val="24"/>
          <w:lang w:eastAsia="en-US"/>
        </w:rPr>
      </w:pPr>
      <w:r w:rsidRPr="00FD1578">
        <w:rPr>
          <w:rFonts w:eastAsia="Calibri" w:cs="Arial"/>
          <w:szCs w:val="24"/>
          <w:lang w:eastAsia="en-US"/>
        </w:rPr>
        <w:t xml:space="preserve">Mēneša vidējā bruto darba samaksa 2022. gadā pieauga par 7,5%, bet 2023. gadā pieaugums vēl paātrinājās līdz 11,9%, mēneša vidējai bruto darba samaksai sasniedzot 1537 </w:t>
      </w:r>
      <w:proofErr w:type="spellStart"/>
      <w:r w:rsidRPr="00FD1578">
        <w:rPr>
          <w:rFonts w:eastAsia="Calibri" w:cs="Arial"/>
          <w:i/>
          <w:iCs/>
          <w:szCs w:val="24"/>
          <w:lang w:eastAsia="en-US"/>
        </w:rPr>
        <w:lastRenderedPageBreak/>
        <w:t>euro</w:t>
      </w:r>
      <w:proofErr w:type="spellEnd"/>
      <w:r w:rsidRPr="00FD1578">
        <w:rPr>
          <w:rFonts w:eastAsia="Calibri" w:cs="Arial"/>
          <w:szCs w:val="24"/>
          <w:lang w:eastAsia="en-US"/>
        </w:rPr>
        <w:t xml:space="preserve">. Arī šā gada pirmajā pusē algas turpināja salīdzinoši strauji augt, pilnas slodzes algai pret pērnā gada pirmo ceturksni palielinoties par 10,3% un sasniedzot 1647 </w:t>
      </w:r>
      <w:proofErr w:type="spellStart"/>
      <w:r w:rsidRPr="00FD1578">
        <w:rPr>
          <w:rFonts w:eastAsia="Calibri" w:cs="Arial"/>
          <w:i/>
          <w:iCs/>
          <w:szCs w:val="24"/>
          <w:lang w:eastAsia="en-US"/>
        </w:rPr>
        <w:t>euro</w:t>
      </w:r>
      <w:proofErr w:type="spellEnd"/>
      <w:r w:rsidRPr="00FD1578">
        <w:rPr>
          <w:rFonts w:eastAsia="Calibri" w:cs="Arial"/>
          <w:szCs w:val="24"/>
          <w:lang w:eastAsia="en-US"/>
        </w:rPr>
        <w:t>.</w:t>
      </w:r>
    </w:p>
    <w:p w14:paraId="1DCA2917" w14:textId="77777777" w:rsidR="0070161D" w:rsidRPr="00FD1578" w:rsidRDefault="0070161D" w:rsidP="008349F0">
      <w:pPr>
        <w:rPr>
          <w:rFonts w:eastAsia="Calibri" w:cs="Arial"/>
          <w:szCs w:val="24"/>
          <w:lang w:eastAsia="en-US"/>
        </w:rPr>
      </w:pPr>
      <w:r w:rsidRPr="00FD1578">
        <w:rPr>
          <w:rFonts w:eastAsia="Calibri" w:cs="Arial"/>
          <w:szCs w:val="24"/>
          <w:lang w:eastAsia="en-US"/>
        </w:rPr>
        <w:t xml:space="preserve">Straujo algu kāpumu 2023. gadā noteica gan būtiskais minimālās darba samaksas paaugstinājums no 500 līdz 620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gan valsts budžeta izdevumu pieaugums sabiedriskā sektora darbinieku algām, gan privāto uzņēmumu sniegtais </w:t>
      </w:r>
      <w:proofErr w:type="spellStart"/>
      <w:r w:rsidRPr="00FD1578">
        <w:rPr>
          <w:rFonts w:eastAsia="Calibri" w:cs="Arial"/>
          <w:szCs w:val="24"/>
          <w:lang w:eastAsia="en-US"/>
        </w:rPr>
        <w:t>energoatbalsts</w:t>
      </w:r>
      <w:proofErr w:type="spellEnd"/>
      <w:r w:rsidRPr="00FD1578">
        <w:rPr>
          <w:rFonts w:eastAsia="Calibri" w:cs="Arial"/>
          <w:szCs w:val="24"/>
          <w:lang w:eastAsia="en-US"/>
        </w:rPr>
        <w:t xml:space="preserve"> saviem darbiniekiem un augstais inflācijas līmenis. Arī 2024. gadā algu pieaugumu veicina minimālās algas tālāks pieaugums – līdz 700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un sabiedriskā sektora, tajā skaitā izglītības, aizsardzības un </w:t>
      </w:r>
      <w:proofErr w:type="spellStart"/>
      <w:r w:rsidRPr="00FD1578">
        <w:rPr>
          <w:rFonts w:eastAsia="Calibri" w:cs="Arial"/>
          <w:szCs w:val="24"/>
          <w:lang w:eastAsia="en-US"/>
        </w:rPr>
        <w:t>iekšlietu</w:t>
      </w:r>
      <w:proofErr w:type="spellEnd"/>
      <w:r w:rsidRPr="00FD1578">
        <w:rPr>
          <w:rFonts w:eastAsia="Calibri" w:cs="Arial"/>
          <w:szCs w:val="24"/>
          <w:lang w:eastAsia="en-US"/>
        </w:rPr>
        <w:t xml:space="preserve"> darbinieku darba samaksas kāpums. Šā gada pirmajā pusē mēneša vidējā bruto darba samaksa īpaši strauji palielinājās sabiedriskajā sektorā – par 14,3% līdz 1700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kamēr privātajā sektorā samaksas pieaugums bija mērenāks – par 8,6% līdz 1629 </w:t>
      </w:r>
      <w:proofErr w:type="spellStart"/>
      <w:r w:rsidRPr="00FD1578">
        <w:rPr>
          <w:rFonts w:eastAsia="Calibri" w:cs="Arial"/>
          <w:i/>
          <w:iCs/>
          <w:szCs w:val="24"/>
          <w:lang w:eastAsia="en-US"/>
        </w:rPr>
        <w:t>euro</w:t>
      </w:r>
      <w:proofErr w:type="spellEnd"/>
      <w:r w:rsidRPr="00FD1578">
        <w:rPr>
          <w:rFonts w:eastAsia="Calibri" w:cs="Arial"/>
          <w:szCs w:val="24"/>
          <w:lang w:eastAsia="en-US"/>
        </w:rPr>
        <w:t>.</w:t>
      </w:r>
    </w:p>
    <w:p w14:paraId="6F972BA6" w14:textId="570E3349" w:rsidR="0070161D" w:rsidRPr="00FD1578" w:rsidRDefault="0070161D" w:rsidP="008349F0">
      <w:pPr>
        <w:rPr>
          <w:rFonts w:eastAsia="Calibri" w:cs="Arial"/>
          <w:szCs w:val="24"/>
          <w:lang w:eastAsia="en-US"/>
        </w:rPr>
      </w:pPr>
      <w:r w:rsidRPr="00FD1578">
        <w:rPr>
          <w:rFonts w:eastAsia="Calibri" w:cs="Arial"/>
          <w:szCs w:val="24"/>
          <w:lang w:eastAsia="en-US"/>
        </w:rPr>
        <w:t xml:space="preserve">Nozaru griezumā vidējā alga </w:t>
      </w:r>
      <w:r w:rsidR="0006000D">
        <w:rPr>
          <w:rFonts w:eastAsia="Calibri" w:cs="Arial"/>
          <w:szCs w:val="24"/>
          <w:lang w:eastAsia="en-US"/>
        </w:rPr>
        <w:t>2024.</w:t>
      </w:r>
      <w:r w:rsidR="0006000D" w:rsidRPr="00FD1578">
        <w:rPr>
          <w:rFonts w:eastAsia="Calibri" w:cs="Arial"/>
          <w:szCs w:val="24"/>
          <w:lang w:eastAsia="en-US"/>
        </w:rPr>
        <w:t xml:space="preserve"> </w:t>
      </w:r>
      <w:r w:rsidRPr="00FD1578">
        <w:rPr>
          <w:rFonts w:eastAsia="Calibri" w:cs="Arial"/>
          <w:szCs w:val="24"/>
          <w:lang w:eastAsia="en-US"/>
        </w:rPr>
        <w:t xml:space="preserve">gada pirmajā pusē visstraujāk augusi izglītības nozarē, kur tā palielinājās par 20,0%, citu pakalpojumu nozarē – par 14,7%, valsts pārvaldē un aizsardzībā - par 12,9% un izmitināšanas un ēdināšanas nozarē - par 12,6% Savukārt zemākais pieaugums bijis lauksaimniecības un mežsaimniecības nozarē, kur mēneša vidējā darba samaksa palielinājusies tikai par 4,5% un finanšu pakalpojumu nozarē – par 5,5%. Augstākais darba samaksas līmenis joprojām saglabājies finanšu pakalpojumu nozarē – 2902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un informācijas un komunikācijas pakalpojumu nozarē – 2668 </w:t>
      </w:r>
      <w:proofErr w:type="spellStart"/>
      <w:r w:rsidRPr="00FD1578">
        <w:rPr>
          <w:rFonts w:eastAsia="Calibri" w:cs="Arial"/>
          <w:szCs w:val="24"/>
          <w:lang w:eastAsia="en-US"/>
        </w:rPr>
        <w:t>euro</w:t>
      </w:r>
      <w:proofErr w:type="spellEnd"/>
      <w:r w:rsidRPr="00FD1578">
        <w:rPr>
          <w:rFonts w:eastAsia="Calibri" w:cs="Arial"/>
          <w:szCs w:val="24"/>
          <w:lang w:eastAsia="en-US"/>
        </w:rPr>
        <w:t xml:space="preserve">, kamēr zemākās algas ir izmitināšanā un ēdināšanā – 1083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un nekustamā īpašuma nozarē – 1337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mēnesī (skat. 1.18. att.).</w:t>
      </w:r>
    </w:p>
    <w:p w14:paraId="15726669" w14:textId="77777777" w:rsidR="0070161D" w:rsidRPr="00FD1578" w:rsidRDefault="0070161D" w:rsidP="008349F0">
      <w:pPr>
        <w:spacing w:after="0"/>
        <w:ind w:firstLine="0"/>
        <w:jc w:val="center"/>
        <w:rPr>
          <w:rFonts w:ascii="Calibri" w:eastAsia="Times New Roman" w:hAnsi="Calibri" w:cs="Times New Roman"/>
          <w:sz w:val="22"/>
          <w:lang w:eastAsia="en-US"/>
        </w:rPr>
      </w:pPr>
      <w:r w:rsidRPr="00FD1578">
        <w:rPr>
          <w:rFonts w:ascii="Calibri" w:eastAsia="Calibri" w:hAnsi="Calibri" w:cs="Times New Roman"/>
          <w:noProof/>
          <w:sz w:val="22"/>
          <w:lang w:eastAsia="en-US"/>
        </w:rPr>
        <w:drawing>
          <wp:inline distT="0" distB="0" distL="0" distR="0" wp14:anchorId="14D34789" wp14:editId="086C0294">
            <wp:extent cx="4959350" cy="3975100"/>
            <wp:effectExtent l="0" t="0" r="0" b="6350"/>
            <wp:docPr id="19" name="Chart 264175877">
              <a:extLst xmlns:a="http://schemas.openxmlformats.org/drawingml/2006/main">
                <a:ext uri="{FF2B5EF4-FFF2-40B4-BE49-F238E27FC236}">
                  <a16:creationId xmlns:a16="http://schemas.microsoft.com/office/drawing/2014/main" id="{65681D3B-2340-9FD7-4E92-2312837834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0CF7B39" w14:textId="77777777" w:rsidR="0070161D" w:rsidRPr="00FD1578" w:rsidRDefault="0070161D" w:rsidP="008349F0">
      <w:pPr>
        <w:spacing w:after="0"/>
        <w:ind w:firstLine="0"/>
        <w:jc w:val="center"/>
        <w:rPr>
          <w:rFonts w:eastAsia="Times New Roman" w:cs="Times New Roman"/>
          <w:b/>
          <w:i/>
          <w:szCs w:val="24"/>
          <w:lang w:eastAsia="en-US"/>
        </w:rPr>
      </w:pPr>
      <w:r w:rsidRPr="00FD1578">
        <w:rPr>
          <w:rFonts w:eastAsia="Times New Roman" w:cs="Times New Roman"/>
          <w:b/>
          <w:i/>
          <w:szCs w:val="24"/>
          <w:lang w:eastAsia="en-US"/>
        </w:rPr>
        <w:t xml:space="preserve">1.18. att. Strādājošo mēneša vidējā bruto darba samaksa valstī, pa nozarēm, </w:t>
      </w:r>
      <w:proofErr w:type="spellStart"/>
      <w:r w:rsidRPr="00FD1578">
        <w:rPr>
          <w:rFonts w:eastAsia="Times New Roman" w:cs="Times New Roman"/>
          <w:b/>
          <w:i/>
          <w:szCs w:val="24"/>
          <w:lang w:eastAsia="en-US"/>
        </w:rPr>
        <w:t>euro</w:t>
      </w:r>
      <w:proofErr w:type="spellEnd"/>
      <w:r w:rsidRPr="00FD1578">
        <w:rPr>
          <w:rFonts w:eastAsia="Times New Roman" w:cs="Times New Roman"/>
          <w:b/>
          <w:i/>
          <w:szCs w:val="24"/>
          <w:lang w:eastAsia="en-US"/>
        </w:rPr>
        <w:t xml:space="preserve"> un izmaiņas pret iepriekšējā gada attiecīgo periodu, %</w:t>
      </w:r>
    </w:p>
    <w:p w14:paraId="12B71293" w14:textId="77777777" w:rsidR="0070161D" w:rsidRPr="00FD1578" w:rsidRDefault="0070161D" w:rsidP="008349F0">
      <w:pPr>
        <w:spacing w:before="120"/>
        <w:rPr>
          <w:rFonts w:eastAsia="Calibri" w:cs="Arial"/>
          <w:szCs w:val="24"/>
          <w:lang w:eastAsia="en-US"/>
        </w:rPr>
      </w:pPr>
      <w:r w:rsidRPr="00FD1578">
        <w:rPr>
          <w:rFonts w:eastAsia="Calibri" w:cs="Arial"/>
          <w:szCs w:val="24"/>
          <w:lang w:eastAsia="en-US"/>
        </w:rPr>
        <w:t xml:space="preserve">Lai gan algu pieaugums pēdējos gados nedaudz straujāks bijis reģionos ārpus Rīgas, joprojām saglabājas ievērojamas darba samaksas atšķirības starp Rīgas reģionu un pārējo Latviju. Rīgas reģionā mēneša vidējā darba samaksa 2024. gada pirmajā pusē bija 1805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 par 9,8% augstāka nekā pirms gada, kamēr Latgales reģionā tā bija tikai 1173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(+12,0%), Vidzemes reģionā 1130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(+11,3%), Kurzemes reģionā 1381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(+9,0%) un Zemgales reģionā 1387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(+11,7%).</w:t>
      </w:r>
    </w:p>
    <w:p w14:paraId="14505537" w14:textId="7B64F228" w:rsidR="0070161D" w:rsidRPr="00FD1578" w:rsidRDefault="0070161D" w:rsidP="008349F0">
      <w:pPr>
        <w:rPr>
          <w:rFonts w:eastAsia="Calibri" w:cs="Arial"/>
          <w:szCs w:val="24"/>
          <w:lang w:eastAsia="en-US"/>
        </w:rPr>
      </w:pPr>
      <w:r w:rsidRPr="00FD1578">
        <w:rPr>
          <w:rFonts w:eastAsia="Calibri" w:cs="Arial"/>
          <w:szCs w:val="24"/>
          <w:lang w:eastAsia="en-US"/>
        </w:rPr>
        <w:lastRenderedPageBreak/>
        <w:t>Strādājošo reālā neto darba samaksa, kas parāda ienākumus, atskaitot inflācijas ietekmi un precīzāk raksturo strādājošo pirktspējas izmaiņas, augstās inflācijas dēļ 2022. gadā bija samazinājusies par 8,7%, piedzīvojot pirmo kritumu kopš finanšu krīzes 2009.-2010. gadā. 2023. gadā, patēriņa cenu pieaugumam mazinoties un darba samaksai palielinoties straujāk, algu pirktspēja pakāpeniski sāk atjaunoties, un gadā kopumā reālā neto darba samaksa ir pieaugusi par 2,2%. Šā gada pirmajā ceturksnī, reālajai neto darba samaksai pret pagājušā gada attiecīgo ceturksni palielinoties jau par 9,3% un otrajā ceturksnī par 8,9%, algu pirktspēja jau ir atgriezusies līmenī, kādā tā bija pirms straujā cenu pieauguma, 2021. gada pirmajā pusē.</w:t>
      </w:r>
    </w:p>
    <w:p w14:paraId="68E1E137" w14:textId="77777777" w:rsidR="0070161D" w:rsidRPr="00FD1578" w:rsidRDefault="0070161D" w:rsidP="008349F0">
      <w:pPr>
        <w:rPr>
          <w:rFonts w:eastAsia="Calibri" w:cs="Arial"/>
          <w:szCs w:val="24"/>
          <w:lang w:eastAsia="en-US"/>
        </w:rPr>
      </w:pPr>
      <w:r w:rsidRPr="00FD1578">
        <w:rPr>
          <w:rFonts w:eastAsia="Calibri" w:cs="Arial"/>
          <w:szCs w:val="24"/>
          <w:lang w:eastAsia="en-US"/>
        </w:rPr>
        <w:t xml:space="preserve">Vecuma pensijas 2023. gadā saņēma pavisam 437,3 tūkst. cilvēku un vidējais vecuma pensijas apmērs, salīdzinot ar 2022. gadu, palielinājās par 14,1%, sasniedzot 514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Straujo pieaugumu tāpat kā iepriekšējā gadā nodrošināja 2022. gada rudenī veiktā būtiskā pensiju indeksācija, kurā tika ietverts iepriekšējo mēnešu straujais cenu kāpums. Mazinoties inflācijai, 2023. gadā rudenī veiktās indeksācijas koeficients bija mazāks un šā gada pirmajos septiņos mēnešos vidējā vecuma pensija bija par 7,3% lielāka nekā attiecīgajā periodā pirms gada, sasniedzot 568 </w:t>
      </w:r>
      <w:proofErr w:type="spellStart"/>
      <w:r w:rsidRPr="00FD1578">
        <w:rPr>
          <w:rFonts w:eastAsia="Calibri" w:cs="Arial"/>
          <w:i/>
          <w:iCs/>
          <w:szCs w:val="24"/>
          <w:lang w:eastAsia="en-US"/>
        </w:rPr>
        <w:t>euro</w:t>
      </w:r>
      <w:proofErr w:type="spellEnd"/>
      <w:r w:rsidRPr="00FD1578">
        <w:rPr>
          <w:rFonts w:eastAsia="Calibri" w:cs="Arial"/>
          <w:szCs w:val="24"/>
          <w:lang w:eastAsia="en-US"/>
        </w:rPr>
        <w:t>.</w:t>
      </w:r>
    </w:p>
    <w:p w14:paraId="3C89EAB3" w14:textId="77777777" w:rsidR="0070161D" w:rsidRPr="00FD1578" w:rsidRDefault="0070161D" w:rsidP="008349F0">
      <w:pPr>
        <w:rPr>
          <w:rFonts w:eastAsia="Calibri" w:cs="Arial"/>
          <w:szCs w:val="24"/>
          <w:lang w:eastAsia="en-US"/>
        </w:rPr>
      </w:pPr>
      <w:r w:rsidRPr="00FD1578">
        <w:rPr>
          <w:rFonts w:eastAsia="Calibri" w:cs="Arial"/>
          <w:szCs w:val="24"/>
          <w:lang w:eastAsia="en-US"/>
        </w:rPr>
        <w:t xml:space="preserve">Strādājošo reālajai algai atkal sākot pieaugt, pēdējo mēnešu laikā atsācies mājsaimniecību noguldījumu pieaugums komercbankās, kamēr privātā patēriņa pieauguma tempi Latvijā joprojām saglabājas zemi. 2024. gada jūlija beigās gada mājsaimniecību noguldījumi bija par 5,1% lielāki nekā pirms gada kopējai uzkrājumu summai sasniedzot 10,4 mljrd. </w:t>
      </w:r>
      <w:proofErr w:type="spellStart"/>
      <w:r w:rsidRPr="00FD1578">
        <w:rPr>
          <w:rFonts w:eastAsia="Calibri" w:cs="Arial"/>
          <w:i/>
          <w:iCs/>
          <w:szCs w:val="24"/>
          <w:lang w:eastAsia="en-US"/>
        </w:rPr>
        <w:t>euro</w:t>
      </w:r>
      <w:proofErr w:type="spellEnd"/>
      <w:r w:rsidRPr="00FD1578">
        <w:rPr>
          <w:rFonts w:eastAsia="Calibri" w:cs="Arial"/>
          <w:szCs w:val="24"/>
          <w:lang w:eastAsia="en-US"/>
        </w:rPr>
        <w:t xml:space="preserve"> (skat. 1.19. att.).</w:t>
      </w:r>
    </w:p>
    <w:p w14:paraId="11FDA833" w14:textId="77777777" w:rsidR="0070161D" w:rsidRPr="00FD1578" w:rsidRDefault="0070161D" w:rsidP="008349F0">
      <w:pPr>
        <w:spacing w:after="0"/>
        <w:ind w:firstLine="0"/>
        <w:jc w:val="center"/>
        <w:rPr>
          <w:rFonts w:ascii="Calibri" w:eastAsia="Times New Roman" w:hAnsi="Calibri" w:cs="Times New Roman"/>
          <w:sz w:val="22"/>
          <w:lang w:eastAsia="en-US"/>
        </w:rPr>
      </w:pPr>
      <w:r w:rsidRPr="00FD1578">
        <w:rPr>
          <w:rFonts w:ascii="Calibri" w:eastAsia="Calibri" w:hAnsi="Calibri" w:cs="Times New Roman"/>
          <w:noProof/>
          <w:sz w:val="22"/>
          <w:lang w:eastAsia="en-US"/>
        </w:rPr>
        <w:drawing>
          <wp:inline distT="0" distB="0" distL="0" distR="0" wp14:anchorId="32AB96E6" wp14:editId="7BC8B2B1">
            <wp:extent cx="4692650" cy="2616200"/>
            <wp:effectExtent l="0" t="0" r="0" b="0"/>
            <wp:docPr id="20" name="Object 20">
              <a:extLst xmlns:a="http://schemas.openxmlformats.org/drawingml/2006/main">
                <a:ext uri="{FF2B5EF4-FFF2-40B4-BE49-F238E27FC236}">
                  <a16:creationId xmlns:a16="http://schemas.microsoft.com/office/drawing/2014/main" id="{B61692AD-39DB-40EF-8931-E9B7238339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B2A77D4" w14:textId="77777777" w:rsidR="0070161D" w:rsidRPr="00FD1578" w:rsidRDefault="0070161D" w:rsidP="008349F0">
      <w:pPr>
        <w:spacing w:after="0"/>
        <w:ind w:firstLine="0"/>
        <w:jc w:val="center"/>
        <w:rPr>
          <w:rFonts w:eastAsia="Times New Roman" w:cs="Times New Roman"/>
          <w:b/>
          <w:i/>
          <w:szCs w:val="24"/>
          <w:lang w:eastAsia="en-US"/>
        </w:rPr>
      </w:pPr>
      <w:r w:rsidRPr="00FD1578">
        <w:rPr>
          <w:rFonts w:eastAsia="Times New Roman" w:cs="Times New Roman"/>
          <w:b/>
          <w:i/>
          <w:szCs w:val="24"/>
          <w:lang w:eastAsia="en-US"/>
        </w:rPr>
        <w:t xml:space="preserve">1.19. att. Rezidentu mājsaimniecību kopējie noguldījumi Latvijas komercbankās, milj. </w:t>
      </w:r>
      <w:proofErr w:type="spellStart"/>
      <w:r w:rsidRPr="00FD1578">
        <w:rPr>
          <w:rFonts w:eastAsia="Times New Roman" w:cs="Times New Roman"/>
          <w:b/>
          <w:i/>
          <w:szCs w:val="24"/>
          <w:lang w:eastAsia="en-US"/>
        </w:rPr>
        <w:t>euro</w:t>
      </w:r>
      <w:proofErr w:type="spellEnd"/>
      <w:r w:rsidRPr="00FD1578">
        <w:rPr>
          <w:rFonts w:eastAsia="Times New Roman" w:cs="Times New Roman"/>
          <w:b/>
          <w:i/>
          <w:szCs w:val="24"/>
          <w:lang w:eastAsia="en-US"/>
        </w:rPr>
        <w:t xml:space="preserve"> un izmaiņas %</w:t>
      </w:r>
    </w:p>
    <w:p w14:paraId="3743EEE9" w14:textId="77777777" w:rsidR="0070161D" w:rsidRPr="00FD1578" w:rsidRDefault="0070161D" w:rsidP="008349F0">
      <w:pPr>
        <w:spacing w:before="120"/>
        <w:rPr>
          <w:rFonts w:eastAsia="Calibri" w:cs="Arial"/>
          <w:szCs w:val="24"/>
          <w:lang w:eastAsia="en-US"/>
        </w:rPr>
      </w:pPr>
      <w:r w:rsidRPr="00FD1578">
        <w:rPr>
          <w:rFonts w:eastAsia="Calibri" w:cs="Arial"/>
          <w:szCs w:val="24"/>
          <w:lang w:eastAsia="en-US"/>
        </w:rPr>
        <w:t>Kamēr kopējie iedzīvotāju ienākumi turpināja palielināties, to sadalījums joprojām ir visai nevienmērīgs un nevienlīdzības līmenis pēdējā desmitgadē kopš pagājušās 2008.-2009. gada finanšu krīzes nav būtiski mainījies, saglabājoties vienā no augstākajiem līmeņiem starp ES valstīm. Nevienlīdzības līmeni raksturojošais Džini koeficients laikā kopš 2010. gada ir svārstījies 34-35% līmenī, 2022. gadā samazinoties līdz 34,0%, salīdzinot ar 34,4% 2021. gadā. Šis Latvijai ir vēsturiski zemākais rādītājs, tomēr tas joprojām ir trešais augstākais ES, un augstāks nevienlīdzības līmenis ir vēl tikai Bulgārijā un Lietuvā.</w:t>
      </w:r>
    </w:p>
    <w:p w14:paraId="443133E4" w14:textId="77777777" w:rsidR="0070161D" w:rsidRPr="00FD1578" w:rsidRDefault="0070161D" w:rsidP="008349F0">
      <w:pPr>
        <w:rPr>
          <w:rFonts w:eastAsia="Calibri" w:cs="Arial"/>
          <w:szCs w:val="24"/>
          <w:lang w:eastAsia="en-US"/>
        </w:rPr>
      </w:pPr>
      <w:r w:rsidRPr="00FD1578">
        <w:rPr>
          <w:rFonts w:eastAsia="Calibri" w:cs="Arial"/>
          <w:szCs w:val="24"/>
          <w:lang w:eastAsia="en-US"/>
        </w:rPr>
        <w:t>Salīdzinoši augsto nevienlīdzības līmeni Latvijā galvenokārt nosaka augstais nabadzības riskam pakļauto iedzīvotāju īpatsvars pensionāru grupā, kur tas ir būtiski augstāks nekā ES vidēji. Skatoties pēc nodarbošanās statusa, Latvijā nabadzības riskam 2022. gadā bija pakļauti 47,9% pensionāru, kamēr ES vidēji – tikai 18,7%. Savukārt kamēr strādājošajiem iedzīvotājiem nabadzības risks (11,2%) ir ļoti tuvs ES vidējam rādītājam.</w:t>
      </w:r>
    </w:p>
    <w:p w14:paraId="2EA0841A" w14:textId="77777777" w:rsidR="0070161D" w:rsidRPr="00FD1578" w:rsidRDefault="0070161D" w:rsidP="008349F0">
      <w:pPr>
        <w:rPr>
          <w:rFonts w:eastAsia="Calibri" w:cs="Arial"/>
          <w:szCs w:val="24"/>
          <w:lang w:eastAsia="en-US"/>
        </w:rPr>
      </w:pPr>
      <w:r w:rsidRPr="00FD1578">
        <w:rPr>
          <w:rFonts w:eastAsia="Calibri" w:cs="Arial"/>
          <w:szCs w:val="24"/>
          <w:lang w:eastAsia="en-US"/>
        </w:rPr>
        <w:lastRenderedPageBreak/>
        <w:t>Līdz ar ekonomikas izaugsmi laikā kopš 2010. gada Latvijas iedzīvotāju ienākumi kopumā arvien ir tuvinājušies ES vidējam līmenim, bet joprojām no tā būtiski atpaliek. Laikā no 2011. līdz 2022. gadam mājsaimniecību vidējie rīcībā esošie ienākumi uz vienu iedzīvotāju pēc pirktspējas paritātes standarta ir palielinājušies no 52% no ES vidējā līdz 70% no ES vidējā. Neskatoties uz to, Latvijas mājsaimniecību ienākumi joprojām ir starp zemākajiem ES, apsteidzot tikai Grieķiju, kamēr par Bulgāriju, Rumāniju un Maltu nav pieejami dati (1.20. att.).</w:t>
      </w:r>
    </w:p>
    <w:p w14:paraId="5EF89DDA" w14:textId="77777777" w:rsidR="0070161D" w:rsidRPr="00FD1578" w:rsidRDefault="0070161D" w:rsidP="008349F0">
      <w:pPr>
        <w:spacing w:after="0"/>
        <w:ind w:firstLine="0"/>
        <w:jc w:val="center"/>
        <w:rPr>
          <w:rFonts w:ascii="Calibri" w:eastAsia="Times New Roman" w:hAnsi="Calibri" w:cs="Times New Roman"/>
          <w:sz w:val="22"/>
          <w:lang w:eastAsia="en-US"/>
        </w:rPr>
      </w:pPr>
      <w:r w:rsidRPr="00FD1578">
        <w:rPr>
          <w:rFonts w:ascii="Calibri" w:eastAsia="Times New Roman" w:hAnsi="Calibri" w:cs="Times New Roman"/>
          <w:noProof/>
          <w:sz w:val="22"/>
        </w:rPr>
        <w:drawing>
          <wp:inline distT="0" distB="0" distL="0" distR="0" wp14:anchorId="5D7C38E5" wp14:editId="019F8821">
            <wp:extent cx="5276850" cy="2984500"/>
            <wp:effectExtent l="0" t="0" r="0" b="6350"/>
            <wp:docPr id="21"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2CCAE2F" w14:textId="77777777" w:rsidR="0070161D" w:rsidRPr="00FD1578" w:rsidRDefault="0070161D" w:rsidP="008349F0">
      <w:pPr>
        <w:spacing w:after="0"/>
        <w:ind w:firstLine="0"/>
        <w:jc w:val="center"/>
        <w:rPr>
          <w:rFonts w:eastAsia="Times New Roman" w:cs="Times New Roman"/>
          <w:b/>
          <w:i/>
          <w:szCs w:val="24"/>
          <w:lang w:eastAsia="en-US"/>
        </w:rPr>
      </w:pPr>
      <w:r w:rsidRPr="00FD1578">
        <w:rPr>
          <w:rFonts w:eastAsia="Times New Roman" w:cs="Times New Roman"/>
          <w:b/>
          <w:i/>
          <w:szCs w:val="24"/>
          <w:lang w:eastAsia="en-US"/>
        </w:rPr>
        <w:t>1.20. att. Mājsaimniecību rīcībā esošie ienākumi uz vienu iedzīvotāju pēc pirktspējas paritātes standarta ES valstīs, 2022. gadā, % no ES vidējā</w:t>
      </w:r>
    </w:p>
    <w:p w14:paraId="0142E977" w14:textId="77777777" w:rsidR="0070161D" w:rsidRPr="00FD1578" w:rsidRDefault="0070161D" w:rsidP="008349F0">
      <w:pPr>
        <w:spacing w:before="240" w:after="240"/>
        <w:ind w:firstLine="0"/>
        <w:jc w:val="center"/>
        <w:outlineLvl w:val="2"/>
        <w:rPr>
          <w:rFonts w:eastAsia="Times New Roman" w:cs="Times New Roman"/>
          <w:b/>
          <w:sz w:val="32"/>
          <w:szCs w:val="20"/>
          <w:lang w:eastAsia="en-US"/>
        </w:rPr>
      </w:pPr>
      <w:bookmarkStart w:id="18" w:name="_Toc178763480"/>
      <w:bookmarkStart w:id="19" w:name="_Toc179356069"/>
      <w:r w:rsidRPr="00FD1578">
        <w:rPr>
          <w:rFonts w:eastAsia="Times New Roman" w:cs="Times New Roman"/>
          <w:b/>
          <w:sz w:val="32"/>
          <w:szCs w:val="20"/>
          <w:lang w:eastAsia="en-US"/>
        </w:rPr>
        <w:t>1.2.5. Ārējā tirdzniecība un maksājumu bilance</w:t>
      </w:r>
      <w:bookmarkEnd w:id="18"/>
      <w:bookmarkEnd w:id="19"/>
    </w:p>
    <w:p w14:paraId="7F032A09" w14:textId="77777777" w:rsidR="0070161D" w:rsidRPr="00FD1578" w:rsidRDefault="0070161D" w:rsidP="008349F0">
      <w:pPr>
        <w:rPr>
          <w:rFonts w:eastAsia="Aptos" w:cs="Times New Roman"/>
          <w:kern w:val="2"/>
          <w:szCs w:val="24"/>
          <w:lang w:eastAsia="en-US"/>
          <w14:ligatures w14:val="standardContextual"/>
        </w:rPr>
      </w:pPr>
      <w:r w:rsidRPr="00FD1578">
        <w:rPr>
          <w:rFonts w:eastAsia="Aptos" w:cs="Times New Roman"/>
          <w:kern w:val="2"/>
          <w:szCs w:val="24"/>
          <w:lang w:eastAsia="en-US"/>
          <w14:ligatures w14:val="standardContextual"/>
        </w:rPr>
        <w:t xml:space="preserve">Ārējās tirdzniecības aktivitātes kritums 2023. gadā bija vērojams visā pasaulē, tostarp arī ES jeb galvenajā Latvijas preču un pakalpojumu eksporta tirgū. Vārgā ekonomikas izaugsme ES, ko vienlaicīgi negatīvi ietekmēja gan augstā inflācija, gan augstās procentu likmes, gan citi ekonomiskie un ģeopolitiskie faktori, būtiski mazināja ekonomisko aktivitāti, kā rezultātā Latvijas eksportētājiem mazinājās ārējais pieprasījums nozīmīgākajos ES noieta tirgos. Latvijas preču un pakalpojumu eksports 2023. gadā pirmo reizi kopš 2010. gada ir samazinājies – par 5,9% salīdzinājumā ar iepriekšējo gadu. Šāds eksporta kritums bija viens no straujākajiem ES dalībvalstu vidū. Vēl straujāks preču un pakalpojumu eksporta kritums pērnajā gadā bija tikai Igaunijā – par 9,0%, bet Lietuvas eksporta vērtība samazinājās par 3,3%. Tas apliecina, ka Baltijas valstis pagājušajā gadā visasāk izjuta ārējā pieprasījuma kritumu. Papildus tam jānorāda, ka visām Baltijas valstīm 2023. gadā samazinājās arī IKP, ko lielā mērā noteica tieši eksporta kritums. </w:t>
      </w:r>
    </w:p>
    <w:p w14:paraId="377087C3" w14:textId="14E74B69" w:rsidR="0070161D" w:rsidRPr="00FD1578" w:rsidRDefault="0070161D" w:rsidP="008349F0">
      <w:pPr>
        <w:rPr>
          <w:rFonts w:eastAsia="Calibri" w:cs="Times New Roman"/>
          <w:kern w:val="2"/>
          <w:szCs w:val="24"/>
          <w:lang w:eastAsia="en-US"/>
          <w14:ligatures w14:val="standardContextual"/>
        </w:rPr>
      </w:pPr>
      <w:r w:rsidRPr="00FD1578">
        <w:rPr>
          <w:rFonts w:eastAsia="Aptos" w:cs="Times New Roman"/>
          <w:kern w:val="2"/>
          <w:szCs w:val="24"/>
          <w:lang w:eastAsia="en-US"/>
          <w14:ligatures w14:val="standardContextual"/>
        </w:rPr>
        <w:t xml:space="preserve">2023. gadā samazinājusies arī Latvijas preču un pakalpojumu importa vērtība – par 2,8%, ko noteica starppatēriņa preču importa kritums zemākas apstrādes rūpniecības aktivitātes dēļ. </w:t>
      </w:r>
      <w:r w:rsidRPr="00FD1578">
        <w:rPr>
          <w:rFonts w:eastAsia="Calibri" w:cs="Times New Roman"/>
          <w:kern w:val="2"/>
          <w:szCs w:val="24"/>
          <w:lang w:eastAsia="en-US"/>
          <w14:ligatures w14:val="standardContextual"/>
        </w:rPr>
        <w:t xml:space="preserve">Ņemot vērā, ka preču un pakalpojumu eksports ir samazinājies straujāk nekā imports, ārējās tirdzniecības bilance 2023. gadā ir pasliktinājusies. Tādējādi ārējās tirdzniecības devums IKP pieaugumā bija negatīvs jeb -2,1 </w:t>
      </w:r>
      <w:proofErr w:type="spellStart"/>
      <w:r w:rsidRPr="00FD1578">
        <w:rPr>
          <w:rFonts w:eastAsia="Calibri" w:cs="Times New Roman"/>
          <w:kern w:val="2"/>
          <w:szCs w:val="24"/>
          <w:lang w:eastAsia="en-US"/>
          <w14:ligatures w14:val="standardContextual"/>
        </w:rPr>
        <w:t>pp</w:t>
      </w:r>
      <w:proofErr w:type="spellEnd"/>
      <w:r w:rsidRPr="00FD1578">
        <w:rPr>
          <w:rFonts w:eastAsia="Calibri" w:cs="Times New Roman"/>
          <w:kern w:val="2"/>
          <w:szCs w:val="24"/>
          <w:lang w:eastAsia="en-US"/>
          <w14:ligatures w14:val="standardContextual"/>
        </w:rPr>
        <w:t xml:space="preserve">, kas ir būtiski vairāk nekā 2022. gadā, kad neto eksporta devums bija -0,9 </w:t>
      </w:r>
      <w:proofErr w:type="spellStart"/>
      <w:r w:rsidRPr="00FD1578">
        <w:rPr>
          <w:rFonts w:eastAsia="Calibri" w:cs="Times New Roman"/>
          <w:kern w:val="2"/>
          <w:szCs w:val="24"/>
          <w:lang w:eastAsia="en-US"/>
          <w14:ligatures w14:val="standardContextual"/>
        </w:rPr>
        <w:t>pp</w:t>
      </w:r>
      <w:proofErr w:type="spellEnd"/>
      <w:r w:rsidRPr="00FD1578">
        <w:rPr>
          <w:rFonts w:eastAsia="Calibri" w:cs="Times New Roman"/>
          <w:kern w:val="2"/>
          <w:szCs w:val="24"/>
          <w:lang w:eastAsia="en-US"/>
          <w14:ligatures w14:val="standardContextual"/>
        </w:rPr>
        <w:t xml:space="preserve">. Eksporta un importa kritums 2023. gadā bijis straujāks nekā IKP samazinājums, līdz ar to ārējās tirdzniecības īpatsvars tautsaimniecībā samazinājies. Eksporta īpatsvars nominālajā IKP 2023. gadā samazinājās par 8,8 </w:t>
      </w:r>
      <w:proofErr w:type="spellStart"/>
      <w:r w:rsidRPr="00FD1578">
        <w:rPr>
          <w:rFonts w:eastAsia="Calibri" w:cs="Times New Roman"/>
          <w:kern w:val="2"/>
          <w:szCs w:val="24"/>
          <w:lang w:eastAsia="en-US"/>
          <w14:ligatures w14:val="standardContextual"/>
        </w:rPr>
        <w:t>pp</w:t>
      </w:r>
      <w:proofErr w:type="spellEnd"/>
      <w:r w:rsidRPr="00FD1578">
        <w:rPr>
          <w:rFonts w:eastAsia="Calibri" w:cs="Times New Roman"/>
          <w:kern w:val="2"/>
          <w:szCs w:val="24"/>
          <w:lang w:eastAsia="en-US"/>
          <w14:ligatures w14:val="standardContextual"/>
        </w:rPr>
        <w:t xml:space="preserve">, sasniedzot 64,1%. Savukārt importa īpatsvars valsts ekonomikā </w:t>
      </w:r>
      <w:r w:rsidR="0006000D">
        <w:rPr>
          <w:rFonts w:eastAsia="Calibri" w:cs="Times New Roman"/>
          <w:kern w:val="2"/>
          <w:szCs w:val="24"/>
          <w:lang w:eastAsia="en-US"/>
          <w14:ligatures w14:val="standardContextual"/>
        </w:rPr>
        <w:t>2023.</w:t>
      </w:r>
      <w:r w:rsidR="0006000D" w:rsidRPr="00FD1578">
        <w:rPr>
          <w:rFonts w:eastAsia="Calibri" w:cs="Times New Roman"/>
          <w:kern w:val="2"/>
          <w:szCs w:val="24"/>
          <w:lang w:eastAsia="en-US"/>
          <w14:ligatures w14:val="standardContextual"/>
        </w:rPr>
        <w:t xml:space="preserve"> </w:t>
      </w:r>
      <w:r w:rsidRPr="00FD1578">
        <w:rPr>
          <w:rFonts w:eastAsia="Calibri" w:cs="Times New Roman"/>
          <w:kern w:val="2"/>
          <w:szCs w:val="24"/>
          <w:lang w:eastAsia="en-US"/>
          <w14:ligatures w14:val="standardContextual"/>
        </w:rPr>
        <w:t xml:space="preserve">gadā veidoja 67,9%, samazinoties par 9,6 </w:t>
      </w:r>
      <w:proofErr w:type="spellStart"/>
      <w:r w:rsidRPr="00FD1578">
        <w:rPr>
          <w:rFonts w:eastAsia="Calibri" w:cs="Times New Roman"/>
          <w:kern w:val="2"/>
          <w:szCs w:val="24"/>
          <w:lang w:eastAsia="en-US"/>
          <w14:ligatures w14:val="standardContextual"/>
        </w:rPr>
        <w:t>pp</w:t>
      </w:r>
      <w:proofErr w:type="spellEnd"/>
      <w:r w:rsidRPr="00FD1578">
        <w:rPr>
          <w:rFonts w:eastAsia="Calibri" w:cs="Times New Roman"/>
          <w:kern w:val="2"/>
          <w:szCs w:val="24"/>
          <w:lang w:eastAsia="en-US"/>
          <w14:ligatures w14:val="standardContextual"/>
        </w:rPr>
        <w:t xml:space="preserve"> salīdzinājumā ar 2022. gadu.</w:t>
      </w:r>
    </w:p>
    <w:p w14:paraId="73150B3E" w14:textId="5FB64E4A" w:rsidR="0070161D" w:rsidRPr="00FD1578" w:rsidRDefault="0070161D" w:rsidP="008349F0">
      <w:pPr>
        <w:rPr>
          <w:rFonts w:eastAsia="Calibri" w:cs="Times New Roman"/>
          <w:kern w:val="2"/>
          <w:szCs w:val="24"/>
          <w:lang w:eastAsia="en-US"/>
          <w14:ligatures w14:val="standardContextual"/>
        </w:rPr>
      </w:pPr>
      <w:r w:rsidRPr="00FD1578">
        <w:rPr>
          <w:rFonts w:eastAsia="Calibri" w:cs="Times New Roman"/>
          <w:kern w:val="2"/>
          <w:szCs w:val="24"/>
          <w:lang w:eastAsia="en-US"/>
          <w14:ligatures w14:val="standardContextual"/>
        </w:rPr>
        <w:lastRenderedPageBreak/>
        <w:t xml:space="preserve">2024. gada pirmajā pusgadā </w:t>
      </w:r>
      <w:r w:rsidR="0006000D" w:rsidRPr="00FD1578">
        <w:rPr>
          <w:rFonts w:eastAsia="Calibri" w:cs="Times New Roman"/>
          <w:kern w:val="2"/>
          <w:szCs w:val="24"/>
          <w:lang w:eastAsia="en-US"/>
          <w14:ligatures w14:val="standardContextual"/>
        </w:rPr>
        <w:t>turpinājās</w:t>
      </w:r>
      <w:r w:rsidRPr="00FD1578">
        <w:rPr>
          <w:rFonts w:eastAsia="Calibri" w:cs="Times New Roman"/>
          <w:kern w:val="2"/>
          <w:szCs w:val="24"/>
          <w:lang w:eastAsia="en-US"/>
          <w14:ligatures w14:val="standardContextual"/>
        </w:rPr>
        <w:t xml:space="preserve"> ārējās tirdzniecības apgrozījuma samazinājums. Preču un pakalpojumu eksporta vērtība salīdzināmajās cenās bija par 3,2% mazāka nekā pērnā gada pirmajā pusē, bet preču un pakalpojumu importa vērtība samazinājās par 4,7%. Zīmīgi, ka ārējās tirdzniecības aktivitātes kritums bija fiksēts gan precēm, gan pakalpojumiem, apliecinot, ka vājo ārējo pieprasījumu izjūt praktiski visas tautsaimniecības nozares.</w:t>
      </w:r>
    </w:p>
    <w:p w14:paraId="095D4DB3" w14:textId="77777777" w:rsidR="0070161D" w:rsidRPr="00FD1578" w:rsidRDefault="0070161D" w:rsidP="008349F0">
      <w:pPr>
        <w:rPr>
          <w:rFonts w:eastAsia="Calibri" w:cs="Times New Roman"/>
          <w:szCs w:val="24"/>
          <w:lang w:eastAsia="en-US"/>
        </w:rPr>
      </w:pPr>
      <w:r w:rsidRPr="00FD1578">
        <w:rPr>
          <w:rFonts w:eastAsia="Calibri" w:cs="Times New Roman"/>
          <w:szCs w:val="24"/>
          <w:lang w:eastAsia="en-US"/>
        </w:rPr>
        <w:t xml:space="preserve">Vērtējot preču eksporta dinamiku, jāsecina, ka kopš 2023. gada aprīļa vērojama preču eksporta stagnācija. Mēnešu statistika uzrāda, ka 2024. gada pirmajos septiņos mēnešos preču eksporta vērtība faktiskajās cenās ir samazinājusies vēl par 4,0%, salīdzinot ar attiecīgo periodu pērn. Tomēr šā gada jūlijā preču eksports pret pagājušā gada jūliju pieauga par nozīmīgiem 6,5%, uzrādot pirmo pieaugumu pusotra gada periodā. Lai arī aktuālākie dati vieš mērenu optimismu par turpmāko preču eksporta attīstību, tomēr šāds pieaugums jāvērtē piesardzīgi. Detalizētāka preču eksporta analīze rāda, ka preču eksporta kāpumu jūlijā noteica pērnā </w:t>
      </w:r>
      <w:r w:rsidRPr="00FD1578">
        <w:rPr>
          <w:rFonts w:eastAsia="Calibri" w:cs="Times New Roman"/>
          <w:color w:val="000000"/>
          <w:szCs w:val="24"/>
          <w:lang w:eastAsia="en-US"/>
        </w:rPr>
        <w:t xml:space="preserve">gada zemā bāze, kā arī reeksporta pieaugums pārtikas un </w:t>
      </w:r>
      <w:proofErr w:type="spellStart"/>
      <w:r w:rsidRPr="00FD1578">
        <w:rPr>
          <w:rFonts w:eastAsia="Calibri" w:cs="Times New Roman"/>
          <w:color w:val="000000"/>
          <w:szCs w:val="24"/>
          <w:lang w:eastAsia="en-US"/>
        </w:rPr>
        <w:t>minerālproduktu</w:t>
      </w:r>
      <w:proofErr w:type="spellEnd"/>
      <w:r w:rsidRPr="00FD1578">
        <w:rPr>
          <w:rFonts w:eastAsia="Calibri" w:cs="Times New Roman"/>
          <w:color w:val="000000"/>
          <w:szCs w:val="24"/>
          <w:lang w:eastAsia="en-US"/>
        </w:rPr>
        <w:t xml:space="preserve"> preču grupās. Reeksporta plūsma ir samērā svārstīga un atkarīga no importa. Papildus tam, pievienotā vērtība un ieņēmumi no reeksporta ir mazāki salīdzinājumā ar vietējās izcelsmes preču eksportu un tāpēc nav vēlama eksporta attīstība tikai balstoties uz reeksporta apjomu pieaugumu. Līdz ar to sagaidāms, ka preču eksporta vērtība atlikušajos 2024. gada mēnešos varētu tikai nedaudz pārsniegt pērnā gada līmeni. Būtiska loma eksporta attīstībā būs graudaugu ražas apjomam un kvalitātei, jo graudaugi veido būtisko eksporta sastāvdaļu ne tikai lauksaimniecības un pārtikas preču grupā, bet kopējā preču eksportā. Tradicionāli gada lielākie graudaugu eksporta apjomi ir rudens mēnešos.</w:t>
      </w:r>
    </w:p>
    <w:p w14:paraId="5B7A8F63" w14:textId="77777777" w:rsidR="0070161D" w:rsidRPr="00FD1578" w:rsidRDefault="0070161D" w:rsidP="008349F0">
      <w:pPr>
        <w:rPr>
          <w:rFonts w:eastAsia="Calibri" w:cs="Times New Roman"/>
          <w:color w:val="000000"/>
          <w:szCs w:val="24"/>
          <w:lang w:eastAsia="en-US"/>
        </w:rPr>
      </w:pPr>
      <w:r w:rsidRPr="00FD1578">
        <w:rPr>
          <w:rFonts w:eastAsia="Calibri" w:cs="Times New Roman"/>
          <w:szCs w:val="24"/>
          <w:lang w:eastAsia="en-US"/>
        </w:rPr>
        <w:t xml:space="preserve">Eksporta kritums šogad fiksēts lielākajai daļai no preču grupām. Lielākais negatīvais devums kopējā preču eksporta samazinājumā 2024. gada septiņos mēnešos bija mehānismu un elektroierīču eksportam, kas kritās par 7,5%, izskaidrojot 1,2 </w:t>
      </w:r>
      <w:proofErr w:type="spellStart"/>
      <w:r w:rsidRPr="00FD1578">
        <w:rPr>
          <w:rFonts w:eastAsia="Calibri" w:cs="Times New Roman"/>
          <w:szCs w:val="24"/>
          <w:lang w:eastAsia="en-US"/>
        </w:rPr>
        <w:t>pp</w:t>
      </w:r>
      <w:proofErr w:type="spellEnd"/>
      <w:r w:rsidRPr="00FD1578">
        <w:rPr>
          <w:rFonts w:eastAsia="Calibri" w:cs="Times New Roman"/>
          <w:szCs w:val="24"/>
          <w:lang w:eastAsia="en-US"/>
        </w:rPr>
        <w:t xml:space="preserve"> no kopējā preču eksporta samazinājuma. Eksporta struktūra šajā preču grupā ir </w:t>
      </w:r>
      <w:r w:rsidRPr="00FD1578">
        <w:rPr>
          <w:rFonts w:eastAsia="Calibri" w:cs="Times New Roman"/>
          <w:color w:val="000000"/>
          <w:szCs w:val="24"/>
          <w:lang w:eastAsia="en-US"/>
        </w:rPr>
        <w:t>sadrumstalota, to veido dažādi mehāniskie un elektroierīču izstrādājumi vai to detaļas, kas saražotas gan iekšzemē, gan importētas. Lai arī precīzi nav iespējams noteikt reeksporta īpatsvaru šajā preču grupā, tomēr jāsecina, ka noteicošā loma preču eksporta samazinājumā bijusi tieši reeksporta daļai. Būtiski samazinājies telefonu aparātu un mobilo telefonu eksports, elektriskai kontrolei vai elektrības sadalei paredzēto iekārtu,</w:t>
      </w:r>
      <w:r w:rsidRPr="00FD1578">
        <w:rPr>
          <w:rFonts w:eastAsia="Calibri" w:cs="Times New Roman"/>
          <w:b/>
          <w:bCs/>
          <w:color w:val="000000"/>
          <w:szCs w:val="24"/>
          <w:lang w:eastAsia="en-US"/>
        </w:rPr>
        <w:t xml:space="preserve"> </w:t>
      </w:r>
      <w:proofErr w:type="spellStart"/>
      <w:r w:rsidRPr="00FD1578">
        <w:rPr>
          <w:rFonts w:eastAsia="Calibri" w:cs="Times New Roman"/>
          <w:color w:val="000000"/>
          <w:szCs w:val="24"/>
          <w:lang w:eastAsia="en-US"/>
        </w:rPr>
        <w:t>elektroaparatūras</w:t>
      </w:r>
      <w:proofErr w:type="spellEnd"/>
      <w:r w:rsidRPr="00FD1578">
        <w:rPr>
          <w:rFonts w:eastAsia="Calibri" w:cs="Times New Roman"/>
          <w:color w:val="000000"/>
          <w:szCs w:val="24"/>
          <w:lang w:eastAsia="en-US"/>
        </w:rPr>
        <w:t xml:space="preserve"> elektrisko ķēžu ieslēgšanai eksports, speciālo elektrisko mašīnu, viedkaršu, lauksamniecības un būvniecības tehnikas eksports. Lielākā daļa no augstākminētajām precēm tiek </w:t>
      </w:r>
      <w:proofErr w:type="spellStart"/>
      <w:r w:rsidRPr="00FD1578">
        <w:rPr>
          <w:rFonts w:eastAsia="Calibri" w:cs="Times New Roman"/>
          <w:color w:val="000000"/>
          <w:szCs w:val="24"/>
          <w:lang w:eastAsia="en-US"/>
        </w:rPr>
        <w:t>reeksportētas</w:t>
      </w:r>
      <w:proofErr w:type="spellEnd"/>
      <w:r w:rsidRPr="00FD1578">
        <w:rPr>
          <w:rFonts w:eastAsia="Calibri" w:cs="Times New Roman"/>
          <w:color w:val="000000"/>
          <w:szCs w:val="24"/>
          <w:lang w:eastAsia="en-US"/>
        </w:rPr>
        <w:t>.</w:t>
      </w:r>
    </w:p>
    <w:p w14:paraId="07DBAE1F" w14:textId="6CF9B17E" w:rsidR="0070161D" w:rsidRPr="00FD1578" w:rsidRDefault="0070161D" w:rsidP="008349F0">
      <w:pPr>
        <w:rPr>
          <w:rFonts w:eastAsia="Calibri" w:cs="Times New Roman"/>
          <w:szCs w:val="24"/>
          <w:lang w:eastAsia="en-US"/>
        </w:rPr>
      </w:pPr>
      <w:r w:rsidRPr="00FD1578">
        <w:rPr>
          <w:rFonts w:eastAsia="Calibri" w:cs="Times New Roman"/>
          <w:szCs w:val="24"/>
          <w:lang w:eastAsia="en-US"/>
        </w:rPr>
        <w:t xml:space="preserve">Būtisku negatīvu ietekmi kopējā preču eksporta samazinājumā atstāja </w:t>
      </w:r>
      <w:proofErr w:type="spellStart"/>
      <w:r w:rsidRPr="00FD1578">
        <w:rPr>
          <w:rFonts w:eastAsia="Calibri" w:cs="Times New Roman"/>
          <w:szCs w:val="24"/>
          <w:lang w:eastAsia="en-US"/>
        </w:rPr>
        <w:t>minerālproduktu</w:t>
      </w:r>
      <w:proofErr w:type="spellEnd"/>
      <w:r w:rsidRPr="00FD1578">
        <w:rPr>
          <w:rFonts w:eastAsia="Calibri" w:cs="Times New Roman"/>
          <w:szCs w:val="24"/>
          <w:lang w:eastAsia="en-US"/>
        </w:rPr>
        <w:t xml:space="preserve"> eksporta kritums par 12,8%, izskaidrojot 1,1 </w:t>
      </w:r>
      <w:proofErr w:type="spellStart"/>
      <w:r w:rsidRPr="00FD1578">
        <w:rPr>
          <w:rFonts w:eastAsia="Calibri" w:cs="Times New Roman"/>
          <w:szCs w:val="24"/>
          <w:lang w:eastAsia="en-US"/>
        </w:rPr>
        <w:t>pp</w:t>
      </w:r>
      <w:proofErr w:type="spellEnd"/>
      <w:r w:rsidRPr="00FD1578">
        <w:rPr>
          <w:rFonts w:eastAsia="Calibri" w:cs="Times New Roman"/>
          <w:szCs w:val="24"/>
          <w:lang w:eastAsia="en-US"/>
        </w:rPr>
        <w:t xml:space="preserve"> no kopējā preču eksporta samazinājuma 2024. gada septiņos mēnešos.</w:t>
      </w:r>
      <w:bookmarkStart w:id="20" w:name="_Hlk172292502"/>
      <w:r w:rsidRPr="00FD1578">
        <w:rPr>
          <w:rFonts w:eastAsia="Calibri" w:cs="Times New Roman"/>
          <w:szCs w:val="24"/>
          <w:lang w:eastAsia="en-US"/>
        </w:rPr>
        <w:t xml:space="preserve"> </w:t>
      </w:r>
      <w:proofErr w:type="spellStart"/>
      <w:r w:rsidRPr="00FD1578">
        <w:rPr>
          <w:rFonts w:eastAsia="Calibri" w:cs="Times New Roman"/>
          <w:szCs w:val="24"/>
          <w:lang w:eastAsia="en-US"/>
        </w:rPr>
        <w:t>Minerālproduktu</w:t>
      </w:r>
      <w:proofErr w:type="spellEnd"/>
      <w:r w:rsidRPr="00FD1578">
        <w:rPr>
          <w:rFonts w:eastAsia="Calibri" w:cs="Times New Roman"/>
          <w:szCs w:val="24"/>
          <w:lang w:eastAsia="en-US"/>
        </w:rPr>
        <w:t xml:space="preserve"> eksporta kritumu noteica sašķidrinātās naftas gāzes un citu gāzveida ogļūdeņražu reeksporta samazinājums par 48,9%, </w:t>
      </w:r>
      <w:bookmarkEnd w:id="20"/>
      <w:r w:rsidRPr="00FD1578">
        <w:rPr>
          <w:rFonts w:eastAsia="Calibri" w:cs="Times New Roman"/>
          <w:szCs w:val="24"/>
          <w:lang w:eastAsia="en-US"/>
        </w:rPr>
        <w:t xml:space="preserve">kā arī elektroenerģijas eksporta kritums par 7,6%. Naftas gāzes reeksporta kritums tika fiksēts uz Igauniju un Somiju, bet elektroenerģijas eksporta samazinājums uz Lietuvu. Savukārt jēlnaftas un jēlnaftas eļļu eksports pieauga par 40,7%, uz tādiem eksports tirgiem kā Vācija, Lietuva, Ungārija un Maroka. Energoresursu eksportu būtiski ietekmē ne tikai pieprasījums ārvalstīs, bet arī cena. Jēlnaftas eksportu veicināja gan fiziskā apjoma pieaugums, gan augstāka cena salīdzinājumā ar iepriekšējā gada septiņiem mēnešiem. Savukārt naftas gāzes eksporta kritumu noteica tieši cenu samazinājums, jo eksportētais gāzes apjoms bija pat nedaudz augstāks. Zīmīgi, ka 2024. gada septiņos mēnešos būtiski (gandrīz četras reizes) pieauga elektroenerģijas eksports uz Krieviju, sasniedzot 13,1 milj. </w:t>
      </w:r>
      <w:proofErr w:type="spellStart"/>
      <w:r w:rsidRPr="00FD1578">
        <w:rPr>
          <w:rFonts w:eastAsia="Calibri" w:cs="Times New Roman"/>
          <w:i/>
          <w:iCs/>
          <w:szCs w:val="24"/>
          <w:lang w:eastAsia="en-US"/>
        </w:rPr>
        <w:t>euro</w:t>
      </w:r>
      <w:proofErr w:type="spellEnd"/>
      <w:r w:rsidRPr="00FD1578">
        <w:rPr>
          <w:rFonts w:eastAsia="Calibri" w:cs="Times New Roman"/>
          <w:i/>
          <w:iCs/>
          <w:szCs w:val="24"/>
          <w:lang w:eastAsia="en-US"/>
        </w:rPr>
        <w:t xml:space="preserve">. </w:t>
      </w:r>
      <w:r w:rsidRPr="00FD1578">
        <w:rPr>
          <w:rFonts w:eastAsia="Calibri" w:cs="Times New Roman"/>
          <w:szCs w:val="24"/>
          <w:lang w:eastAsia="en-US"/>
        </w:rPr>
        <w:t>Turpretim elektroenerģijas imports, kā arī jēlnaftas un naftas gāzes imports no Krievijas attiecīgajā laika periodā būtiski samazinājies. Līdz 2022. gadam Krievija bija lielākais gāzes piegādātājs Latvijai, atsevišķos brīžos nodrošinot pat 98% no visas importētās gāzes. Pēc Krievijas iebrukuma Ukrainā atkarība no Krievijas gāzes, it īpaši no dabasgāzes ir būtiski samazinājusies. Tā, 2023. gadā Krievijas īpatsvars importētās gāzes kopapjomā veidoja tikai 13,2%,</w:t>
      </w:r>
      <w:r w:rsidR="005735FB">
        <w:rPr>
          <w:rFonts w:eastAsia="Calibri" w:cs="Times New Roman"/>
          <w:szCs w:val="24"/>
          <w:lang w:eastAsia="en-US"/>
        </w:rPr>
        <w:t xml:space="preserve"> </w:t>
      </w:r>
      <w:r w:rsidRPr="00FD1578">
        <w:rPr>
          <w:rFonts w:eastAsia="Calibri" w:cs="Times New Roman"/>
          <w:szCs w:val="24"/>
          <w:lang w:eastAsia="en-US"/>
        </w:rPr>
        <w:t>bet 2024. gada septiņos mēnešos 23,0%.</w:t>
      </w:r>
    </w:p>
    <w:p w14:paraId="11B396FC" w14:textId="77777777" w:rsidR="0070161D" w:rsidRPr="00FD1578" w:rsidRDefault="0070161D" w:rsidP="008349F0">
      <w:pPr>
        <w:rPr>
          <w:rFonts w:eastAsia="Calibri" w:cs="Times New Roman"/>
          <w:color w:val="FF0000"/>
          <w:szCs w:val="24"/>
          <w:lang w:eastAsia="en-US"/>
        </w:rPr>
      </w:pPr>
      <w:r w:rsidRPr="00FD1578">
        <w:rPr>
          <w:rFonts w:eastAsia="Calibri" w:cs="Times New Roman"/>
          <w:szCs w:val="24"/>
          <w:lang w:eastAsia="en-US"/>
        </w:rPr>
        <w:lastRenderedPageBreak/>
        <w:t>Tāpat būtisks eksporta kritums (11,4% apmērā) tika fiksēts satiksmes līdzekļiem, ko negatīvi ietekmēja vieglo automobiļu un traktoru eksporta samazinājums. Abos gadījumos transporta līdzekļu eksportu, visticamāk, ietekmēja reeksporta apjomu samazinājums.</w:t>
      </w:r>
    </w:p>
    <w:p w14:paraId="31B3EC1B" w14:textId="77777777" w:rsidR="0070161D" w:rsidRPr="00FD1578" w:rsidRDefault="0070161D" w:rsidP="008349F0">
      <w:pPr>
        <w:rPr>
          <w:rFonts w:eastAsia="Calibri" w:cs="Times New Roman"/>
          <w:szCs w:val="24"/>
          <w:lang w:eastAsia="en-US"/>
        </w:rPr>
      </w:pPr>
      <w:r w:rsidRPr="00FD1578">
        <w:rPr>
          <w:rFonts w:eastAsia="Calibri" w:cs="Times New Roman"/>
          <w:color w:val="000000"/>
          <w:szCs w:val="24"/>
          <w:lang w:eastAsia="en-US"/>
        </w:rPr>
        <w:t xml:space="preserve">Lauksaimniecības un pārtikas preču grupas jeb lielākās grupas eksporta vērtība 2024. gada septiņos mēnešos samazinājās par 0,5%. Eksporta kritumu šajā preču grupā galvenokārt noteica </w:t>
      </w:r>
      <w:r w:rsidRPr="00FD1578">
        <w:rPr>
          <w:rFonts w:eastAsia="Calibri" w:cs="Times New Roman"/>
          <w:szCs w:val="24"/>
          <w:lang w:eastAsia="en-US"/>
        </w:rPr>
        <w:t>graudaugu, alkoholisko dzērienu, pārtikas rūpniecības atlieku, kā arī koku un citu augu eksporta samazinājums. Kā jau norādīts, atkarībā no šā gada graudaugu ražas apjoma un kvalitātes graudaugu eksporta dinamika šā gada otrajā pusē varētu mainīties.</w:t>
      </w:r>
    </w:p>
    <w:p w14:paraId="5E75A83D" w14:textId="77777777" w:rsidR="0070161D" w:rsidRPr="00FD1578" w:rsidRDefault="0070161D" w:rsidP="008349F0">
      <w:pPr>
        <w:rPr>
          <w:rFonts w:eastAsia="Calibri" w:cs="Times New Roman"/>
          <w:szCs w:val="24"/>
          <w:lang w:eastAsia="en-US"/>
        </w:rPr>
      </w:pPr>
      <w:r w:rsidRPr="00FD1578">
        <w:rPr>
          <w:rFonts w:eastAsia="Calibri" w:cs="Times New Roman"/>
          <w:szCs w:val="24"/>
          <w:lang w:eastAsia="en-US"/>
        </w:rPr>
        <w:t xml:space="preserve">Analizējot citas lielākās preču eksporta grupas, jāatzīmē koks un koksne, kā arī ķīmiskās rūpniecības ražojumi, kuru eksporta vērtība šā gada pirmajos septiņos mēnešos palielinājās attiecīgi par 0,4% un 9,8%. Simbolisku koka un koksnes eksporta kāpumu nodrošināja koksnes granulu, neapstrādāto kokmateriālu un garumā sazāģētu un </w:t>
      </w:r>
      <w:proofErr w:type="spellStart"/>
      <w:r w:rsidRPr="00FD1578">
        <w:rPr>
          <w:rFonts w:eastAsia="Calibri" w:cs="Times New Roman"/>
          <w:szCs w:val="24"/>
          <w:lang w:eastAsia="en-US"/>
        </w:rPr>
        <w:t>šķeldotu</w:t>
      </w:r>
      <w:proofErr w:type="spellEnd"/>
      <w:r w:rsidRPr="00FD1578">
        <w:rPr>
          <w:rFonts w:eastAsia="Calibri" w:cs="Times New Roman"/>
          <w:szCs w:val="24"/>
          <w:lang w:eastAsia="en-US"/>
        </w:rPr>
        <w:t xml:space="preserve"> kokmateriālu eksports. Turpretim spēcīgs kritums tika fiksēts saplākšņa un namdaru un būvgaldnieku darinājumu eksportā, samazinājies arī mēbeļu eksports. Šīs grupas eksports ir cieši saistīts ar kokrūpniecības nozari. Situācija kokrūpniecības nozarē ir sarežģīta, jo Latvijas koksnes produktu pieprasījumu lielā mērā negatīvi ietekmē vājā būvniecības sektora aktivitāte Eiropā. Kopējo preču eksporta kritumu šogad nedaudz mazināja ķīmiskās rūpniecības ražojumu eksporta pieaugums, ko veicināja farmaceitisko produktu, ēterisko eļļu un citu organisko ķīmisko savienojumu eksporta pieaugums. Detalizēti preču eksporta dati pa visām preču grupām ir atspoguļoti 1.2. tabulā.</w:t>
      </w:r>
    </w:p>
    <w:p w14:paraId="62C42398" w14:textId="77777777" w:rsidR="0070161D" w:rsidRPr="00FD1578" w:rsidRDefault="0070161D" w:rsidP="008349F0">
      <w:pPr>
        <w:jc w:val="right"/>
        <w:rPr>
          <w:rFonts w:eastAsia="Calibri" w:cs="Arial"/>
          <w:b/>
          <w:bCs/>
          <w:i/>
          <w:iCs/>
          <w:szCs w:val="24"/>
          <w:lang w:eastAsia="en-US"/>
        </w:rPr>
      </w:pPr>
      <w:r w:rsidRPr="00FD1578">
        <w:rPr>
          <w:rFonts w:eastAsia="Calibri" w:cs="Arial"/>
          <w:b/>
          <w:bCs/>
          <w:i/>
          <w:iCs/>
          <w:szCs w:val="24"/>
          <w:lang w:eastAsia="en-US"/>
        </w:rPr>
        <w:t>1.2. tabula. Preču eksporta vērtība 2023. gada un 2024. gada pirmajos septiņos mēnešos (pārmaiņas gada izteiksmē, preču grupu īpatsvars un devums izaugsmē 2024. gada septiņos mēnešos)</w:t>
      </w:r>
    </w:p>
    <w:tbl>
      <w:tblPr>
        <w:tblW w:w="9061" w:type="dxa"/>
        <w:tblLook w:val="04A0" w:firstRow="1" w:lastRow="0" w:firstColumn="1" w:lastColumn="0" w:noHBand="0" w:noVBand="1"/>
      </w:tblPr>
      <w:tblGrid>
        <w:gridCol w:w="2089"/>
        <w:gridCol w:w="1003"/>
        <w:gridCol w:w="1007"/>
        <w:gridCol w:w="1282"/>
        <w:gridCol w:w="1277"/>
        <w:gridCol w:w="1134"/>
        <w:gridCol w:w="1269"/>
      </w:tblGrid>
      <w:tr w:rsidR="0070161D" w:rsidRPr="00FD1578" w14:paraId="2451BCF9" w14:textId="77777777" w:rsidTr="008E1E6C">
        <w:trPr>
          <w:trHeight w:val="288"/>
        </w:trPr>
        <w:tc>
          <w:tcPr>
            <w:tcW w:w="2089"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19966C97"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Preču grupa</w:t>
            </w:r>
          </w:p>
        </w:tc>
        <w:tc>
          <w:tcPr>
            <w:tcW w:w="1003"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3AD0A5B0"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 xml:space="preserve">I-VII 2023 milj. </w:t>
            </w:r>
            <w:proofErr w:type="spellStart"/>
            <w:r w:rsidRPr="00FD1578">
              <w:rPr>
                <w:rFonts w:eastAsia="Times New Roman" w:cs="Times New Roman"/>
                <w:b/>
                <w:bCs/>
                <w:i/>
                <w:iCs/>
                <w:color w:val="000000"/>
                <w:sz w:val="20"/>
                <w:szCs w:val="20"/>
              </w:rPr>
              <w:t>euro</w:t>
            </w:r>
            <w:proofErr w:type="spellEnd"/>
          </w:p>
        </w:tc>
        <w:tc>
          <w:tcPr>
            <w:tcW w:w="1007"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717119B1" w14:textId="13772E94"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I-VII 2024</w:t>
            </w:r>
            <w:r w:rsidR="005735FB">
              <w:rPr>
                <w:rFonts w:eastAsia="Times New Roman" w:cs="Times New Roman"/>
                <w:b/>
                <w:bCs/>
                <w:color w:val="000000"/>
                <w:sz w:val="20"/>
                <w:szCs w:val="20"/>
              </w:rPr>
              <w:t xml:space="preserve"> </w:t>
            </w:r>
            <w:r w:rsidRPr="00FD1578">
              <w:rPr>
                <w:rFonts w:eastAsia="Times New Roman" w:cs="Times New Roman"/>
                <w:b/>
                <w:bCs/>
                <w:color w:val="000000"/>
                <w:sz w:val="20"/>
                <w:szCs w:val="20"/>
              </w:rPr>
              <w:t xml:space="preserve">milj. </w:t>
            </w:r>
            <w:proofErr w:type="spellStart"/>
            <w:r w:rsidRPr="00FD1578">
              <w:rPr>
                <w:rFonts w:eastAsia="Times New Roman" w:cs="Times New Roman"/>
                <w:b/>
                <w:bCs/>
                <w:i/>
                <w:iCs/>
                <w:color w:val="000000"/>
                <w:sz w:val="20"/>
                <w:szCs w:val="20"/>
              </w:rPr>
              <w:t>euro</w:t>
            </w:r>
            <w:proofErr w:type="spellEnd"/>
          </w:p>
        </w:tc>
        <w:tc>
          <w:tcPr>
            <w:tcW w:w="1282"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AF38374"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 xml:space="preserve">Pārmaiņas, milj. </w:t>
            </w:r>
            <w:proofErr w:type="spellStart"/>
            <w:r w:rsidRPr="00FD1578">
              <w:rPr>
                <w:rFonts w:eastAsia="Times New Roman" w:cs="Times New Roman"/>
                <w:b/>
                <w:bCs/>
                <w:color w:val="000000"/>
                <w:sz w:val="20"/>
                <w:szCs w:val="20"/>
              </w:rPr>
              <w:t>euro</w:t>
            </w:r>
            <w:proofErr w:type="spellEnd"/>
          </w:p>
        </w:tc>
        <w:tc>
          <w:tcPr>
            <w:tcW w:w="1277"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0B06BF34"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Pārmaiņas, %</w:t>
            </w:r>
          </w:p>
        </w:tc>
        <w:tc>
          <w:tcPr>
            <w:tcW w:w="1134"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CE1DB00"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Īpatsvars I-VII 2024, %</w:t>
            </w:r>
          </w:p>
        </w:tc>
        <w:tc>
          <w:tcPr>
            <w:tcW w:w="1269"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F9B4FD1"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 xml:space="preserve">Devums izaugsmē, </w:t>
            </w:r>
            <w:proofErr w:type="spellStart"/>
            <w:r w:rsidRPr="00FD1578">
              <w:rPr>
                <w:rFonts w:eastAsia="Times New Roman" w:cs="Times New Roman"/>
                <w:b/>
                <w:bCs/>
                <w:color w:val="000000"/>
                <w:sz w:val="20"/>
                <w:szCs w:val="20"/>
              </w:rPr>
              <w:t>pp</w:t>
            </w:r>
            <w:proofErr w:type="spellEnd"/>
          </w:p>
        </w:tc>
      </w:tr>
      <w:tr w:rsidR="0070161D" w:rsidRPr="00FD1578" w14:paraId="335D8D17"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6ECB7133"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Lauksaimniecības preces un pārtika</w:t>
            </w:r>
          </w:p>
        </w:tc>
        <w:tc>
          <w:tcPr>
            <w:tcW w:w="1003" w:type="dxa"/>
            <w:tcBorders>
              <w:top w:val="nil"/>
              <w:left w:val="nil"/>
              <w:bottom w:val="single" w:sz="4" w:space="0" w:color="auto"/>
              <w:right w:val="single" w:sz="4" w:space="0" w:color="auto"/>
            </w:tcBorders>
            <w:noWrap/>
            <w:vAlign w:val="center"/>
            <w:hideMark/>
          </w:tcPr>
          <w:p w14:paraId="0DC29C1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2373</w:t>
            </w:r>
          </w:p>
        </w:tc>
        <w:tc>
          <w:tcPr>
            <w:tcW w:w="1007" w:type="dxa"/>
            <w:tcBorders>
              <w:top w:val="nil"/>
              <w:left w:val="nil"/>
              <w:bottom w:val="single" w:sz="4" w:space="0" w:color="auto"/>
              <w:right w:val="single" w:sz="4" w:space="0" w:color="auto"/>
            </w:tcBorders>
            <w:noWrap/>
            <w:vAlign w:val="center"/>
            <w:hideMark/>
          </w:tcPr>
          <w:p w14:paraId="7DEA6A21"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2362</w:t>
            </w:r>
          </w:p>
        </w:tc>
        <w:tc>
          <w:tcPr>
            <w:tcW w:w="1282" w:type="dxa"/>
            <w:tcBorders>
              <w:top w:val="nil"/>
              <w:left w:val="nil"/>
              <w:bottom w:val="single" w:sz="4" w:space="0" w:color="auto"/>
              <w:right w:val="single" w:sz="4" w:space="0" w:color="auto"/>
            </w:tcBorders>
            <w:noWrap/>
            <w:vAlign w:val="center"/>
            <w:hideMark/>
          </w:tcPr>
          <w:p w14:paraId="24F65D0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-11</w:t>
            </w:r>
          </w:p>
        </w:tc>
        <w:tc>
          <w:tcPr>
            <w:tcW w:w="1277" w:type="dxa"/>
            <w:tcBorders>
              <w:top w:val="nil"/>
              <w:left w:val="nil"/>
              <w:bottom w:val="single" w:sz="4" w:space="0" w:color="auto"/>
              <w:right w:val="single" w:sz="4" w:space="0" w:color="auto"/>
            </w:tcBorders>
            <w:noWrap/>
            <w:vAlign w:val="center"/>
            <w:hideMark/>
          </w:tcPr>
          <w:p w14:paraId="1A5C1596"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-0,5%</w:t>
            </w:r>
          </w:p>
        </w:tc>
        <w:tc>
          <w:tcPr>
            <w:tcW w:w="1134" w:type="dxa"/>
            <w:tcBorders>
              <w:top w:val="nil"/>
              <w:left w:val="nil"/>
              <w:bottom w:val="single" w:sz="4" w:space="0" w:color="auto"/>
              <w:right w:val="single" w:sz="4" w:space="0" w:color="auto"/>
            </w:tcBorders>
            <w:noWrap/>
            <w:vAlign w:val="center"/>
            <w:hideMark/>
          </w:tcPr>
          <w:p w14:paraId="59B4E3D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22,1%</w:t>
            </w:r>
          </w:p>
        </w:tc>
        <w:tc>
          <w:tcPr>
            <w:tcW w:w="1269" w:type="dxa"/>
            <w:tcBorders>
              <w:top w:val="nil"/>
              <w:left w:val="nil"/>
              <w:bottom w:val="single" w:sz="4" w:space="0" w:color="auto"/>
              <w:right w:val="single" w:sz="4" w:space="0" w:color="auto"/>
            </w:tcBorders>
            <w:noWrap/>
            <w:vAlign w:val="center"/>
            <w:hideMark/>
          </w:tcPr>
          <w:p w14:paraId="0B96CDB0"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-0,1</w:t>
            </w:r>
          </w:p>
        </w:tc>
      </w:tr>
      <w:tr w:rsidR="0070161D" w:rsidRPr="00FD1578" w14:paraId="33186EA4"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26FA6F04"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Koks un koka izstrādājumi</w:t>
            </w:r>
          </w:p>
        </w:tc>
        <w:tc>
          <w:tcPr>
            <w:tcW w:w="1003" w:type="dxa"/>
            <w:tcBorders>
              <w:top w:val="nil"/>
              <w:left w:val="nil"/>
              <w:bottom w:val="single" w:sz="4" w:space="0" w:color="auto"/>
              <w:right w:val="single" w:sz="4" w:space="0" w:color="auto"/>
            </w:tcBorders>
            <w:noWrap/>
            <w:vAlign w:val="center"/>
            <w:hideMark/>
          </w:tcPr>
          <w:p w14:paraId="7081C71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1767</w:t>
            </w:r>
          </w:p>
        </w:tc>
        <w:tc>
          <w:tcPr>
            <w:tcW w:w="1007" w:type="dxa"/>
            <w:tcBorders>
              <w:top w:val="nil"/>
              <w:left w:val="nil"/>
              <w:bottom w:val="single" w:sz="4" w:space="0" w:color="auto"/>
              <w:right w:val="single" w:sz="4" w:space="0" w:color="auto"/>
            </w:tcBorders>
            <w:noWrap/>
            <w:vAlign w:val="center"/>
            <w:hideMark/>
          </w:tcPr>
          <w:p w14:paraId="3DC09B7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1775</w:t>
            </w:r>
          </w:p>
        </w:tc>
        <w:tc>
          <w:tcPr>
            <w:tcW w:w="1282" w:type="dxa"/>
            <w:tcBorders>
              <w:top w:val="nil"/>
              <w:left w:val="nil"/>
              <w:bottom w:val="single" w:sz="4" w:space="0" w:color="auto"/>
              <w:right w:val="single" w:sz="4" w:space="0" w:color="auto"/>
            </w:tcBorders>
            <w:noWrap/>
            <w:vAlign w:val="center"/>
            <w:hideMark/>
          </w:tcPr>
          <w:p w14:paraId="211A29A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w:t>
            </w:r>
          </w:p>
        </w:tc>
        <w:tc>
          <w:tcPr>
            <w:tcW w:w="1277" w:type="dxa"/>
            <w:tcBorders>
              <w:top w:val="nil"/>
              <w:left w:val="nil"/>
              <w:bottom w:val="single" w:sz="4" w:space="0" w:color="auto"/>
              <w:right w:val="single" w:sz="4" w:space="0" w:color="auto"/>
            </w:tcBorders>
            <w:noWrap/>
            <w:vAlign w:val="center"/>
            <w:hideMark/>
          </w:tcPr>
          <w:p w14:paraId="03BC052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0,4%</w:t>
            </w:r>
          </w:p>
        </w:tc>
        <w:tc>
          <w:tcPr>
            <w:tcW w:w="1134" w:type="dxa"/>
            <w:tcBorders>
              <w:top w:val="nil"/>
              <w:left w:val="nil"/>
              <w:bottom w:val="single" w:sz="4" w:space="0" w:color="auto"/>
              <w:right w:val="single" w:sz="4" w:space="0" w:color="auto"/>
            </w:tcBorders>
            <w:noWrap/>
            <w:vAlign w:val="center"/>
            <w:hideMark/>
          </w:tcPr>
          <w:p w14:paraId="5F1F09E0"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16,6%</w:t>
            </w:r>
          </w:p>
        </w:tc>
        <w:tc>
          <w:tcPr>
            <w:tcW w:w="1269" w:type="dxa"/>
            <w:tcBorders>
              <w:top w:val="nil"/>
              <w:left w:val="nil"/>
              <w:bottom w:val="single" w:sz="4" w:space="0" w:color="auto"/>
              <w:right w:val="single" w:sz="4" w:space="0" w:color="auto"/>
            </w:tcBorders>
            <w:noWrap/>
            <w:vAlign w:val="center"/>
            <w:hideMark/>
          </w:tcPr>
          <w:p w14:paraId="44CACC9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0,1</w:t>
            </w:r>
          </w:p>
        </w:tc>
      </w:tr>
      <w:tr w:rsidR="0070161D" w:rsidRPr="00FD1578" w14:paraId="32080FEA"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4B59479E"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Mehānismi un ierīces, t.sk. elektroierīces</w:t>
            </w:r>
          </w:p>
        </w:tc>
        <w:tc>
          <w:tcPr>
            <w:tcW w:w="1003" w:type="dxa"/>
            <w:tcBorders>
              <w:top w:val="nil"/>
              <w:left w:val="nil"/>
              <w:bottom w:val="single" w:sz="4" w:space="0" w:color="auto"/>
              <w:right w:val="single" w:sz="4" w:space="0" w:color="auto"/>
            </w:tcBorders>
            <w:noWrap/>
            <w:vAlign w:val="center"/>
            <w:hideMark/>
          </w:tcPr>
          <w:p w14:paraId="3B1D6186"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1791</w:t>
            </w:r>
          </w:p>
        </w:tc>
        <w:tc>
          <w:tcPr>
            <w:tcW w:w="1007" w:type="dxa"/>
            <w:tcBorders>
              <w:top w:val="nil"/>
              <w:left w:val="nil"/>
              <w:bottom w:val="single" w:sz="4" w:space="0" w:color="auto"/>
              <w:right w:val="single" w:sz="4" w:space="0" w:color="auto"/>
            </w:tcBorders>
            <w:noWrap/>
            <w:vAlign w:val="center"/>
            <w:hideMark/>
          </w:tcPr>
          <w:p w14:paraId="71332572"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1657</w:t>
            </w:r>
          </w:p>
        </w:tc>
        <w:tc>
          <w:tcPr>
            <w:tcW w:w="1282" w:type="dxa"/>
            <w:tcBorders>
              <w:top w:val="nil"/>
              <w:left w:val="nil"/>
              <w:bottom w:val="single" w:sz="4" w:space="0" w:color="auto"/>
              <w:right w:val="single" w:sz="4" w:space="0" w:color="auto"/>
            </w:tcBorders>
            <w:noWrap/>
            <w:vAlign w:val="center"/>
            <w:hideMark/>
          </w:tcPr>
          <w:p w14:paraId="52308976"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-134</w:t>
            </w:r>
          </w:p>
        </w:tc>
        <w:tc>
          <w:tcPr>
            <w:tcW w:w="1277" w:type="dxa"/>
            <w:tcBorders>
              <w:top w:val="nil"/>
              <w:left w:val="nil"/>
              <w:bottom w:val="single" w:sz="4" w:space="0" w:color="auto"/>
              <w:right w:val="single" w:sz="4" w:space="0" w:color="auto"/>
            </w:tcBorders>
            <w:noWrap/>
            <w:vAlign w:val="center"/>
            <w:hideMark/>
          </w:tcPr>
          <w:p w14:paraId="2B16683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-7,5%</w:t>
            </w:r>
          </w:p>
        </w:tc>
        <w:tc>
          <w:tcPr>
            <w:tcW w:w="1134" w:type="dxa"/>
            <w:tcBorders>
              <w:top w:val="nil"/>
              <w:left w:val="nil"/>
              <w:bottom w:val="single" w:sz="4" w:space="0" w:color="auto"/>
              <w:right w:val="single" w:sz="4" w:space="0" w:color="auto"/>
            </w:tcBorders>
            <w:noWrap/>
            <w:vAlign w:val="center"/>
            <w:hideMark/>
          </w:tcPr>
          <w:p w14:paraId="15A97CA6"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15,5%</w:t>
            </w:r>
          </w:p>
        </w:tc>
        <w:tc>
          <w:tcPr>
            <w:tcW w:w="1269" w:type="dxa"/>
            <w:tcBorders>
              <w:top w:val="nil"/>
              <w:left w:val="nil"/>
              <w:bottom w:val="single" w:sz="4" w:space="0" w:color="auto"/>
              <w:right w:val="single" w:sz="4" w:space="0" w:color="auto"/>
            </w:tcBorders>
            <w:noWrap/>
            <w:vAlign w:val="center"/>
            <w:hideMark/>
          </w:tcPr>
          <w:p w14:paraId="221F9E4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-1,2</w:t>
            </w:r>
          </w:p>
        </w:tc>
      </w:tr>
      <w:tr w:rsidR="0070161D" w:rsidRPr="00FD1578" w14:paraId="0CDA1FE7"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7A576317"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Ķīmiskās rūpniecības ražojumi</w:t>
            </w:r>
          </w:p>
        </w:tc>
        <w:tc>
          <w:tcPr>
            <w:tcW w:w="1003" w:type="dxa"/>
            <w:tcBorders>
              <w:top w:val="nil"/>
              <w:left w:val="nil"/>
              <w:bottom w:val="single" w:sz="4" w:space="0" w:color="auto"/>
              <w:right w:val="single" w:sz="4" w:space="0" w:color="auto"/>
            </w:tcBorders>
            <w:noWrap/>
            <w:vAlign w:val="center"/>
            <w:hideMark/>
          </w:tcPr>
          <w:p w14:paraId="0581567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890</w:t>
            </w:r>
          </w:p>
        </w:tc>
        <w:tc>
          <w:tcPr>
            <w:tcW w:w="1007" w:type="dxa"/>
            <w:tcBorders>
              <w:top w:val="nil"/>
              <w:left w:val="nil"/>
              <w:bottom w:val="single" w:sz="4" w:space="0" w:color="auto"/>
              <w:right w:val="single" w:sz="4" w:space="0" w:color="auto"/>
            </w:tcBorders>
            <w:noWrap/>
            <w:vAlign w:val="center"/>
            <w:hideMark/>
          </w:tcPr>
          <w:p w14:paraId="4DDE659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977</w:t>
            </w:r>
          </w:p>
        </w:tc>
        <w:tc>
          <w:tcPr>
            <w:tcW w:w="1282" w:type="dxa"/>
            <w:tcBorders>
              <w:top w:val="nil"/>
              <w:left w:val="nil"/>
              <w:bottom w:val="single" w:sz="4" w:space="0" w:color="auto"/>
              <w:right w:val="single" w:sz="4" w:space="0" w:color="auto"/>
            </w:tcBorders>
            <w:noWrap/>
            <w:vAlign w:val="center"/>
            <w:hideMark/>
          </w:tcPr>
          <w:p w14:paraId="67EC8708"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87</w:t>
            </w:r>
          </w:p>
        </w:tc>
        <w:tc>
          <w:tcPr>
            <w:tcW w:w="1277" w:type="dxa"/>
            <w:tcBorders>
              <w:top w:val="nil"/>
              <w:left w:val="nil"/>
              <w:bottom w:val="single" w:sz="4" w:space="0" w:color="auto"/>
              <w:right w:val="single" w:sz="4" w:space="0" w:color="auto"/>
            </w:tcBorders>
            <w:noWrap/>
            <w:vAlign w:val="center"/>
            <w:hideMark/>
          </w:tcPr>
          <w:p w14:paraId="78051FA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9,8%</w:t>
            </w:r>
          </w:p>
        </w:tc>
        <w:tc>
          <w:tcPr>
            <w:tcW w:w="1134" w:type="dxa"/>
            <w:tcBorders>
              <w:top w:val="nil"/>
              <w:left w:val="nil"/>
              <w:bottom w:val="single" w:sz="4" w:space="0" w:color="auto"/>
              <w:right w:val="single" w:sz="4" w:space="0" w:color="auto"/>
            </w:tcBorders>
            <w:noWrap/>
            <w:vAlign w:val="center"/>
            <w:hideMark/>
          </w:tcPr>
          <w:p w14:paraId="779D7E5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9,1%</w:t>
            </w:r>
          </w:p>
        </w:tc>
        <w:tc>
          <w:tcPr>
            <w:tcW w:w="1269" w:type="dxa"/>
            <w:tcBorders>
              <w:top w:val="nil"/>
              <w:left w:val="nil"/>
              <w:bottom w:val="single" w:sz="4" w:space="0" w:color="auto"/>
              <w:right w:val="single" w:sz="4" w:space="0" w:color="auto"/>
            </w:tcBorders>
            <w:noWrap/>
            <w:vAlign w:val="center"/>
            <w:hideMark/>
          </w:tcPr>
          <w:p w14:paraId="70050D3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0,8</w:t>
            </w:r>
          </w:p>
        </w:tc>
      </w:tr>
      <w:tr w:rsidR="0070161D" w:rsidRPr="00FD1578" w14:paraId="5B7CFD0C"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270697B1" w14:textId="77777777" w:rsidR="0070161D" w:rsidRPr="00FD1578" w:rsidRDefault="0070161D" w:rsidP="008349F0">
            <w:pPr>
              <w:spacing w:after="0"/>
              <w:ind w:firstLine="0"/>
              <w:jc w:val="left"/>
              <w:rPr>
                <w:rFonts w:eastAsia="Times New Roman" w:cs="Times New Roman"/>
                <w:color w:val="000000"/>
                <w:sz w:val="20"/>
                <w:szCs w:val="20"/>
              </w:rPr>
            </w:pPr>
            <w:proofErr w:type="spellStart"/>
            <w:r w:rsidRPr="00FD1578">
              <w:rPr>
                <w:rFonts w:eastAsia="Times New Roman" w:cs="Times New Roman"/>
                <w:color w:val="000000"/>
                <w:sz w:val="20"/>
                <w:szCs w:val="20"/>
              </w:rPr>
              <w:t>Minerālprodukti</w:t>
            </w:r>
            <w:proofErr w:type="spellEnd"/>
          </w:p>
        </w:tc>
        <w:tc>
          <w:tcPr>
            <w:tcW w:w="1003" w:type="dxa"/>
            <w:tcBorders>
              <w:top w:val="nil"/>
              <w:left w:val="nil"/>
              <w:bottom w:val="single" w:sz="4" w:space="0" w:color="auto"/>
              <w:right w:val="single" w:sz="4" w:space="0" w:color="auto"/>
            </w:tcBorders>
            <w:noWrap/>
            <w:vAlign w:val="center"/>
            <w:hideMark/>
          </w:tcPr>
          <w:p w14:paraId="42F632A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952</w:t>
            </w:r>
          </w:p>
        </w:tc>
        <w:tc>
          <w:tcPr>
            <w:tcW w:w="1007" w:type="dxa"/>
            <w:tcBorders>
              <w:top w:val="nil"/>
              <w:left w:val="nil"/>
              <w:bottom w:val="single" w:sz="4" w:space="0" w:color="auto"/>
              <w:right w:val="single" w:sz="4" w:space="0" w:color="auto"/>
            </w:tcBorders>
            <w:noWrap/>
            <w:vAlign w:val="center"/>
            <w:hideMark/>
          </w:tcPr>
          <w:p w14:paraId="7A02D45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830</w:t>
            </w:r>
          </w:p>
        </w:tc>
        <w:tc>
          <w:tcPr>
            <w:tcW w:w="1282" w:type="dxa"/>
            <w:tcBorders>
              <w:top w:val="nil"/>
              <w:left w:val="nil"/>
              <w:bottom w:val="single" w:sz="4" w:space="0" w:color="auto"/>
              <w:right w:val="single" w:sz="4" w:space="0" w:color="auto"/>
            </w:tcBorders>
            <w:noWrap/>
            <w:vAlign w:val="center"/>
            <w:hideMark/>
          </w:tcPr>
          <w:p w14:paraId="5999D27E"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-122</w:t>
            </w:r>
          </w:p>
        </w:tc>
        <w:tc>
          <w:tcPr>
            <w:tcW w:w="1277" w:type="dxa"/>
            <w:tcBorders>
              <w:top w:val="nil"/>
              <w:left w:val="nil"/>
              <w:bottom w:val="single" w:sz="4" w:space="0" w:color="auto"/>
              <w:right w:val="single" w:sz="4" w:space="0" w:color="auto"/>
            </w:tcBorders>
            <w:noWrap/>
            <w:vAlign w:val="center"/>
            <w:hideMark/>
          </w:tcPr>
          <w:p w14:paraId="7D2D1C6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-12,8%</w:t>
            </w:r>
          </w:p>
        </w:tc>
        <w:tc>
          <w:tcPr>
            <w:tcW w:w="1134" w:type="dxa"/>
            <w:tcBorders>
              <w:top w:val="nil"/>
              <w:left w:val="nil"/>
              <w:bottom w:val="single" w:sz="4" w:space="0" w:color="auto"/>
              <w:right w:val="single" w:sz="4" w:space="0" w:color="auto"/>
            </w:tcBorders>
            <w:noWrap/>
            <w:vAlign w:val="center"/>
            <w:hideMark/>
          </w:tcPr>
          <w:p w14:paraId="46A7026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7,8%</w:t>
            </w:r>
          </w:p>
        </w:tc>
        <w:tc>
          <w:tcPr>
            <w:tcW w:w="1269" w:type="dxa"/>
            <w:tcBorders>
              <w:top w:val="nil"/>
              <w:left w:val="nil"/>
              <w:bottom w:val="single" w:sz="4" w:space="0" w:color="auto"/>
              <w:right w:val="single" w:sz="4" w:space="0" w:color="auto"/>
            </w:tcBorders>
            <w:noWrap/>
            <w:vAlign w:val="center"/>
            <w:hideMark/>
          </w:tcPr>
          <w:p w14:paraId="10139D0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-1,1</w:t>
            </w:r>
          </w:p>
        </w:tc>
      </w:tr>
      <w:tr w:rsidR="0070161D" w:rsidRPr="00FD1578" w14:paraId="28AF5AAF"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6504A2D4"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Metāli un to izstrādājumi</w:t>
            </w:r>
          </w:p>
        </w:tc>
        <w:tc>
          <w:tcPr>
            <w:tcW w:w="1003" w:type="dxa"/>
            <w:tcBorders>
              <w:top w:val="nil"/>
              <w:left w:val="nil"/>
              <w:bottom w:val="single" w:sz="4" w:space="0" w:color="auto"/>
              <w:right w:val="single" w:sz="4" w:space="0" w:color="auto"/>
            </w:tcBorders>
            <w:noWrap/>
            <w:vAlign w:val="center"/>
            <w:hideMark/>
          </w:tcPr>
          <w:p w14:paraId="7DE78750"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718</w:t>
            </w:r>
          </w:p>
        </w:tc>
        <w:tc>
          <w:tcPr>
            <w:tcW w:w="1007" w:type="dxa"/>
            <w:tcBorders>
              <w:top w:val="nil"/>
              <w:left w:val="nil"/>
              <w:bottom w:val="single" w:sz="4" w:space="0" w:color="auto"/>
              <w:right w:val="single" w:sz="4" w:space="0" w:color="auto"/>
            </w:tcBorders>
            <w:noWrap/>
            <w:vAlign w:val="center"/>
            <w:hideMark/>
          </w:tcPr>
          <w:p w14:paraId="363F024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700</w:t>
            </w:r>
          </w:p>
        </w:tc>
        <w:tc>
          <w:tcPr>
            <w:tcW w:w="1282" w:type="dxa"/>
            <w:tcBorders>
              <w:top w:val="nil"/>
              <w:left w:val="nil"/>
              <w:bottom w:val="single" w:sz="4" w:space="0" w:color="auto"/>
              <w:right w:val="single" w:sz="4" w:space="0" w:color="auto"/>
            </w:tcBorders>
            <w:noWrap/>
            <w:vAlign w:val="center"/>
            <w:hideMark/>
          </w:tcPr>
          <w:p w14:paraId="2A46F4C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-17</w:t>
            </w:r>
          </w:p>
        </w:tc>
        <w:tc>
          <w:tcPr>
            <w:tcW w:w="1277" w:type="dxa"/>
            <w:tcBorders>
              <w:top w:val="nil"/>
              <w:left w:val="nil"/>
              <w:bottom w:val="single" w:sz="4" w:space="0" w:color="auto"/>
              <w:right w:val="single" w:sz="4" w:space="0" w:color="auto"/>
            </w:tcBorders>
            <w:noWrap/>
            <w:vAlign w:val="center"/>
            <w:hideMark/>
          </w:tcPr>
          <w:p w14:paraId="7F2A06E1"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-2,4%</w:t>
            </w:r>
          </w:p>
        </w:tc>
        <w:tc>
          <w:tcPr>
            <w:tcW w:w="1134" w:type="dxa"/>
            <w:tcBorders>
              <w:top w:val="nil"/>
              <w:left w:val="nil"/>
              <w:bottom w:val="single" w:sz="4" w:space="0" w:color="auto"/>
              <w:right w:val="single" w:sz="4" w:space="0" w:color="auto"/>
            </w:tcBorders>
            <w:noWrap/>
            <w:vAlign w:val="center"/>
            <w:hideMark/>
          </w:tcPr>
          <w:p w14:paraId="0A56DE9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6,5%</w:t>
            </w:r>
          </w:p>
        </w:tc>
        <w:tc>
          <w:tcPr>
            <w:tcW w:w="1269" w:type="dxa"/>
            <w:tcBorders>
              <w:top w:val="nil"/>
              <w:left w:val="nil"/>
              <w:bottom w:val="single" w:sz="4" w:space="0" w:color="auto"/>
              <w:right w:val="single" w:sz="4" w:space="0" w:color="auto"/>
            </w:tcBorders>
            <w:noWrap/>
            <w:vAlign w:val="center"/>
            <w:hideMark/>
          </w:tcPr>
          <w:p w14:paraId="41A66CF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-0,2</w:t>
            </w:r>
          </w:p>
        </w:tc>
      </w:tr>
      <w:tr w:rsidR="0070161D" w:rsidRPr="00FD1578" w14:paraId="751D8172"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6A36B753"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 xml:space="preserve">Satiksmes līdzekļi </w:t>
            </w:r>
          </w:p>
        </w:tc>
        <w:tc>
          <w:tcPr>
            <w:tcW w:w="1003" w:type="dxa"/>
            <w:tcBorders>
              <w:top w:val="nil"/>
              <w:left w:val="nil"/>
              <w:bottom w:val="single" w:sz="4" w:space="0" w:color="auto"/>
              <w:right w:val="single" w:sz="4" w:space="0" w:color="auto"/>
            </w:tcBorders>
            <w:noWrap/>
            <w:vAlign w:val="center"/>
            <w:hideMark/>
          </w:tcPr>
          <w:p w14:paraId="5023DD7E"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690</w:t>
            </w:r>
          </w:p>
        </w:tc>
        <w:tc>
          <w:tcPr>
            <w:tcW w:w="1007" w:type="dxa"/>
            <w:tcBorders>
              <w:top w:val="nil"/>
              <w:left w:val="nil"/>
              <w:bottom w:val="single" w:sz="4" w:space="0" w:color="auto"/>
              <w:right w:val="single" w:sz="4" w:space="0" w:color="auto"/>
            </w:tcBorders>
            <w:noWrap/>
            <w:vAlign w:val="center"/>
            <w:hideMark/>
          </w:tcPr>
          <w:p w14:paraId="0AF50BA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611</w:t>
            </w:r>
          </w:p>
        </w:tc>
        <w:tc>
          <w:tcPr>
            <w:tcW w:w="1282" w:type="dxa"/>
            <w:tcBorders>
              <w:top w:val="nil"/>
              <w:left w:val="nil"/>
              <w:bottom w:val="single" w:sz="4" w:space="0" w:color="auto"/>
              <w:right w:val="single" w:sz="4" w:space="0" w:color="auto"/>
            </w:tcBorders>
            <w:noWrap/>
            <w:vAlign w:val="center"/>
            <w:hideMark/>
          </w:tcPr>
          <w:p w14:paraId="75CD008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-79</w:t>
            </w:r>
          </w:p>
        </w:tc>
        <w:tc>
          <w:tcPr>
            <w:tcW w:w="1277" w:type="dxa"/>
            <w:tcBorders>
              <w:top w:val="nil"/>
              <w:left w:val="nil"/>
              <w:bottom w:val="single" w:sz="4" w:space="0" w:color="auto"/>
              <w:right w:val="single" w:sz="4" w:space="0" w:color="auto"/>
            </w:tcBorders>
            <w:noWrap/>
            <w:vAlign w:val="center"/>
            <w:hideMark/>
          </w:tcPr>
          <w:p w14:paraId="549AF6D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-11,4%</w:t>
            </w:r>
          </w:p>
        </w:tc>
        <w:tc>
          <w:tcPr>
            <w:tcW w:w="1134" w:type="dxa"/>
            <w:tcBorders>
              <w:top w:val="nil"/>
              <w:left w:val="nil"/>
              <w:bottom w:val="single" w:sz="4" w:space="0" w:color="auto"/>
              <w:right w:val="single" w:sz="4" w:space="0" w:color="auto"/>
            </w:tcBorders>
            <w:noWrap/>
            <w:vAlign w:val="center"/>
            <w:hideMark/>
          </w:tcPr>
          <w:p w14:paraId="57FD6DC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5,7%</w:t>
            </w:r>
          </w:p>
        </w:tc>
        <w:tc>
          <w:tcPr>
            <w:tcW w:w="1269" w:type="dxa"/>
            <w:tcBorders>
              <w:top w:val="nil"/>
              <w:left w:val="nil"/>
              <w:bottom w:val="single" w:sz="4" w:space="0" w:color="auto"/>
              <w:right w:val="single" w:sz="4" w:space="0" w:color="auto"/>
            </w:tcBorders>
            <w:noWrap/>
            <w:vAlign w:val="center"/>
            <w:hideMark/>
          </w:tcPr>
          <w:p w14:paraId="306A326E"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-0,7</w:t>
            </w:r>
          </w:p>
        </w:tc>
      </w:tr>
      <w:tr w:rsidR="0070161D" w:rsidRPr="00FD1578" w14:paraId="52ADDBE7"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07FBEA4E"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Plastmasas, kaučuks un to izstrādājumi</w:t>
            </w:r>
          </w:p>
        </w:tc>
        <w:tc>
          <w:tcPr>
            <w:tcW w:w="1003" w:type="dxa"/>
            <w:tcBorders>
              <w:top w:val="nil"/>
              <w:left w:val="nil"/>
              <w:bottom w:val="single" w:sz="4" w:space="0" w:color="auto"/>
              <w:right w:val="single" w:sz="4" w:space="0" w:color="auto"/>
            </w:tcBorders>
            <w:noWrap/>
            <w:vAlign w:val="center"/>
            <w:hideMark/>
          </w:tcPr>
          <w:p w14:paraId="6658576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362</w:t>
            </w:r>
          </w:p>
        </w:tc>
        <w:tc>
          <w:tcPr>
            <w:tcW w:w="1007" w:type="dxa"/>
            <w:tcBorders>
              <w:top w:val="nil"/>
              <w:left w:val="nil"/>
              <w:bottom w:val="single" w:sz="4" w:space="0" w:color="auto"/>
              <w:right w:val="single" w:sz="4" w:space="0" w:color="auto"/>
            </w:tcBorders>
            <w:noWrap/>
            <w:vAlign w:val="center"/>
            <w:hideMark/>
          </w:tcPr>
          <w:p w14:paraId="661EC710"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342</w:t>
            </w:r>
          </w:p>
        </w:tc>
        <w:tc>
          <w:tcPr>
            <w:tcW w:w="1282" w:type="dxa"/>
            <w:tcBorders>
              <w:top w:val="nil"/>
              <w:left w:val="nil"/>
              <w:bottom w:val="single" w:sz="4" w:space="0" w:color="auto"/>
              <w:right w:val="single" w:sz="4" w:space="0" w:color="auto"/>
            </w:tcBorders>
            <w:noWrap/>
            <w:vAlign w:val="center"/>
            <w:hideMark/>
          </w:tcPr>
          <w:p w14:paraId="45C7A22E"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-19</w:t>
            </w:r>
          </w:p>
        </w:tc>
        <w:tc>
          <w:tcPr>
            <w:tcW w:w="1277" w:type="dxa"/>
            <w:tcBorders>
              <w:top w:val="nil"/>
              <w:left w:val="nil"/>
              <w:bottom w:val="single" w:sz="4" w:space="0" w:color="auto"/>
              <w:right w:val="single" w:sz="4" w:space="0" w:color="auto"/>
            </w:tcBorders>
            <w:noWrap/>
            <w:vAlign w:val="center"/>
            <w:hideMark/>
          </w:tcPr>
          <w:p w14:paraId="16A591B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-5,3%</w:t>
            </w:r>
          </w:p>
        </w:tc>
        <w:tc>
          <w:tcPr>
            <w:tcW w:w="1134" w:type="dxa"/>
            <w:tcBorders>
              <w:top w:val="nil"/>
              <w:left w:val="nil"/>
              <w:bottom w:val="single" w:sz="4" w:space="0" w:color="auto"/>
              <w:right w:val="single" w:sz="4" w:space="0" w:color="auto"/>
            </w:tcBorders>
            <w:noWrap/>
            <w:vAlign w:val="center"/>
            <w:hideMark/>
          </w:tcPr>
          <w:p w14:paraId="68D496A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3,2%</w:t>
            </w:r>
          </w:p>
        </w:tc>
        <w:tc>
          <w:tcPr>
            <w:tcW w:w="1269" w:type="dxa"/>
            <w:tcBorders>
              <w:top w:val="nil"/>
              <w:left w:val="nil"/>
              <w:bottom w:val="single" w:sz="4" w:space="0" w:color="auto"/>
              <w:right w:val="single" w:sz="4" w:space="0" w:color="auto"/>
            </w:tcBorders>
            <w:noWrap/>
            <w:vAlign w:val="center"/>
            <w:hideMark/>
          </w:tcPr>
          <w:p w14:paraId="3EA4C888"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-0,2</w:t>
            </w:r>
          </w:p>
        </w:tc>
      </w:tr>
      <w:tr w:rsidR="0070161D" w:rsidRPr="00FD1578" w14:paraId="2A278BA8"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72DA063B"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Tekstilmateriāli un tekstilizstrādājumi</w:t>
            </w:r>
          </w:p>
        </w:tc>
        <w:tc>
          <w:tcPr>
            <w:tcW w:w="1003" w:type="dxa"/>
            <w:tcBorders>
              <w:top w:val="nil"/>
              <w:left w:val="nil"/>
              <w:bottom w:val="single" w:sz="4" w:space="0" w:color="auto"/>
              <w:right w:val="single" w:sz="4" w:space="0" w:color="auto"/>
            </w:tcBorders>
            <w:noWrap/>
            <w:vAlign w:val="center"/>
            <w:hideMark/>
          </w:tcPr>
          <w:p w14:paraId="312DF30E"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287</w:t>
            </w:r>
          </w:p>
        </w:tc>
        <w:tc>
          <w:tcPr>
            <w:tcW w:w="1007" w:type="dxa"/>
            <w:tcBorders>
              <w:top w:val="nil"/>
              <w:left w:val="nil"/>
              <w:bottom w:val="single" w:sz="4" w:space="0" w:color="auto"/>
              <w:right w:val="single" w:sz="4" w:space="0" w:color="auto"/>
            </w:tcBorders>
            <w:noWrap/>
            <w:vAlign w:val="center"/>
            <w:hideMark/>
          </w:tcPr>
          <w:p w14:paraId="4AD2300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313</w:t>
            </w:r>
          </w:p>
        </w:tc>
        <w:tc>
          <w:tcPr>
            <w:tcW w:w="1282" w:type="dxa"/>
            <w:tcBorders>
              <w:top w:val="nil"/>
              <w:left w:val="nil"/>
              <w:bottom w:val="single" w:sz="4" w:space="0" w:color="auto"/>
              <w:right w:val="single" w:sz="4" w:space="0" w:color="auto"/>
            </w:tcBorders>
            <w:noWrap/>
            <w:vAlign w:val="center"/>
            <w:hideMark/>
          </w:tcPr>
          <w:p w14:paraId="7C899BD6"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26</w:t>
            </w:r>
          </w:p>
        </w:tc>
        <w:tc>
          <w:tcPr>
            <w:tcW w:w="1277" w:type="dxa"/>
            <w:tcBorders>
              <w:top w:val="nil"/>
              <w:left w:val="nil"/>
              <w:bottom w:val="single" w:sz="4" w:space="0" w:color="auto"/>
              <w:right w:val="single" w:sz="4" w:space="0" w:color="auto"/>
            </w:tcBorders>
            <w:noWrap/>
            <w:vAlign w:val="center"/>
            <w:hideMark/>
          </w:tcPr>
          <w:p w14:paraId="462C676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9,0%</w:t>
            </w:r>
          </w:p>
        </w:tc>
        <w:tc>
          <w:tcPr>
            <w:tcW w:w="1134" w:type="dxa"/>
            <w:tcBorders>
              <w:top w:val="nil"/>
              <w:left w:val="nil"/>
              <w:bottom w:val="single" w:sz="4" w:space="0" w:color="auto"/>
              <w:right w:val="single" w:sz="4" w:space="0" w:color="auto"/>
            </w:tcBorders>
            <w:noWrap/>
            <w:vAlign w:val="center"/>
            <w:hideMark/>
          </w:tcPr>
          <w:p w14:paraId="30872A8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2,9%</w:t>
            </w:r>
          </w:p>
        </w:tc>
        <w:tc>
          <w:tcPr>
            <w:tcW w:w="1269" w:type="dxa"/>
            <w:tcBorders>
              <w:top w:val="nil"/>
              <w:left w:val="nil"/>
              <w:bottom w:val="single" w:sz="4" w:space="0" w:color="auto"/>
              <w:right w:val="single" w:sz="4" w:space="0" w:color="auto"/>
            </w:tcBorders>
            <w:noWrap/>
            <w:vAlign w:val="center"/>
            <w:hideMark/>
          </w:tcPr>
          <w:p w14:paraId="4C77C75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0,2</w:t>
            </w:r>
          </w:p>
        </w:tc>
      </w:tr>
      <w:tr w:rsidR="0070161D" w:rsidRPr="00FD1578" w14:paraId="5A3FE690"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4A257C34"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Būvniecības izstrādājumi</w:t>
            </w:r>
          </w:p>
        </w:tc>
        <w:tc>
          <w:tcPr>
            <w:tcW w:w="1003" w:type="dxa"/>
            <w:tcBorders>
              <w:top w:val="nil"/>
              <w:left w:val="nil"/>
              <w:bottom w:val="single" w:sz="4" w:space="0" w:color="auto"/>
              <w:right w:val="single" w:sz="4" w:space="0" w:color="auto"/>
            </w:tcBorders>
            <w:noWrap/>
            <w:vAlign w:val="center"/>
            <w:hideMark/>
          </w:tcPr>
          <w:p w14:paraId="1B1ABE5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233</w:t>
            </w:r>
          </w:p>
        </w:tc>
        <w:tc>
          <w:tcPr>
            <w:tcW w:w="1007" w:type="dxa"/>
            <w:tcBorders>
              <w:top w:val="nil"/>
              <w:left w:val="nil"/>
              <w:bottom w:val="single" w:sz="4" w:space="0" w:color="auto"/>
              <w:right w:val="single" w:sz="4" w:space="0" w:color="auto"/>
            </w:tcBorders>
            <w:noWrap/>
            <w:vAlign w:val="center"/>
            <w:hideMark/>
          </w:tcPr>
          <w:p w14:paraId="6C05F011"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213</w:t>
            </w:r>
          </w:p>
        </w:tc>
        <w:tc>
          <w:tcPr>
            <w:tcW w:w="1282" w:type="dxa"/>
            <w:tcBorders>
              <w:top w:val="nil"/>
              <w:left w:val="nil"/>
              <w:bottom w:val="single" w:sz="4" w:space="0" w:color="auto"/>
              <w:right w:val="single" w:sz="4" w:space="0" w:color="auto"/>
            </w:tcBorders>
            <w:noWrap/>
            <w:vAlign w:val="center"/>
            <w:hideMark/>
          </w:tcPr>
          <w:p w14:paraId="3AD7A6C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-20</w:t>
            </w:r>
          </w:p>
        </w:tc>
        <w:tc>
          <w:tcPr>
            <w:tcW w:w="1277" w:type="dxa"/>
            <w:tcBorders>
              <w:top w:val="nil"/>
              <w:left w:val="nil"/>
              <w:bottom w:val="single" w:sz="4" w:space="0" w:color="auto"/>
              <w:right w:val="single" w:sz="4" w:space="0" w:color="auto"/>
            </w:tcBorders>
            <w:noWrap/>
            <w:vAlign w:val="center"/>
            <w:hideMark/>
          </w:tcPr>
          <w:p w14:paraId="7E26CC3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-8,7%</w:t>
            </w:r>
          </w:p>
        </w:tc>
        <w:tc>
          <w:tcPr>
            <w:tcW w:w="1134" w:type="dxa"/>
            <w:tcBorders>
              <w:top w:val="nil"/>
              <w:left w:val="nil"/>
              <w:bottom w:val="single" w:sz="4" w:space="0" w:color="auto"/>
              <w:right w:val="single" w:sz="4" w:space="0" w:color="auto"/>
            </w:tcBorders>
            <w:noWrap/>
            <w:vAlign w:val="center"/>
            <w:hideMark/>
          </w:tcPr>
          <w:p w14:paraId="3175D16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2,0%</w:t>
            </w:r>
          </w:p>
        </w:tc>
        <w:tc>
          <w:tcPr>
            <w:tcW w:w="1269" w:type="dxa"/>
            <w:tcBorders>
              <w:top w:val="nil"/>
              <w:left w:val="nil"/>
              <w:bottom w:val="single" w:sz="4" w:space="0" w:color="auto"/>
              <w:right w:val="single" w:sz="4" w:space="0" w:color="auto"/>
            </w:tcBorders>
            <w:noWrap/>
            <w:vAlign w:val="center"/>
            <w:hideMark/>
          </w:tcPr>
          <w:p w14:paraId="0FEEE12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-0,2</w:t>
            </w:r>
          </w:p>
        </w:tc>
      </w:tr>
      <w:tr w:rsidR="0070161D" w:rsidRPr="00FD1578" w14:paraId="171DA6D7"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607CFCE6"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Papīrs, kartons un poligrāfijas izstrādājumi</w:t>
            </w:r>
          </w:p>
        </w:tc>
        <w:tc>
          <w:tcPr>
            <w:tcW w:w="1003" w:type="dxa"/>
            <w:tcBorders>
              <w:top w:val="nil"/>
              <w:left w:val="nil"/>
              <w:bottom w:val="single" w:sz="4" w:space="0" w:color="auto"/>
              <w:right w:val="single" w:sz="4" w:space="0" w:color="auto"/>
            </w:tcBorders>
            <w:noWrap/>
            <w:vAlign w:val="center"/>
            <w:hideMark/>
          </w:tcPr>
          <w:p w14:paraId="35FEF48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193</w:t>
            </w:r>
          </w:p>
        </w:tc>
        <w:tc>
          <w:tcPr>
            <w:tcW w:w="1007" w:type="dxa"/>
            <w:tcBorders>
              <w:top w:val="nil"/>
              <w:left w:val="nil"/>
              <w:bottom w:val="single" w:sz="4" w:space="0" w:color="auto"/>
              <w:right w:val="single" w:sz="4" w:space="0" w:color="auto"/>
            </w:tcBorders>
            <w:noWrap/>
            <w:vAlign w:val="center"/>
            <w:hideMark/>
          </w:tcPr>
          <w:p w14:paraId="10F87568"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193</w:t>
            </w:r>
          </w:p>
        </w:tc>
        <w:tc>
          <w:tcPr>
            <w:tcW w:w="1282" w:type="dxa"/>
            <w:tcBorders>
              <w:top w:val="nil"/>
              <w:left w:val="nil"/>
              <w:bottom w:val="single" w:sz="4" w:space="0" w:color="auto"/>
              <w:right w:val="single" w:sz="4" w:space="0" w:color="auto"/>
            </w:tcBorders>
            <w:noWrap/>
            <w:vAlign w:val="center"/>
            <w:hideMark/>
          </w:tcPr>
          <w:p w14:paraId="26BCC26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w:t>
            </w:r>
          </w:p>
        </w:tc>
        <w:tc>
          <w:tcPr>
            <w:tcW w:w="1277" w:type="dxa"/>
            <w:tcBorders>
              <w:top w:val="nil"/>
              <w:left w:val="nil"/>
              <w:bottom w:val="single" w:sz="4" w:space="0" w:color="auto"/>
              <w:right w:val="single" w:sz="4" w:space="0" w:color="auto"/>
            </w:tcBorders>
            <w:noWrap/>
            <w:vAlign w:val="center"/>
            <w:hideMark/>
          </w:tcPr>
          <w:p w14:paraId="327A453B"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0,2%</w:t>
            </w:r>
          </w:p>
        </w:tc>
        <w:tc>
          <w:tcPr>
            <w:tcW w:w="1134" w:type="dxa"/>
            <w:tcBorders>
              <w:top w:val="nil"/>
              <w:left w:val="nil"/>
              <w:bottom w:val="single" w:sz="4" w:space="0" w:color="auto"/>
              <w:right w:val="single" w:sz="4" w:space="0" w:color="auto"/>
            </w:tcBorders>
            <w:noWrap/>
            <w:vAlign w:val="center"/>
            <w:hideMark/>
          </w:tcPr>
          <w:p w14:paraId="17BEA62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1,8%</w:t>
            </w:r>
          </w:p>
        </w:tc>
        <w:tc>
          <w:tcPr>
            <w:tcW w:w="1269" w:type="dxa"/>
            <w:tcBorders>
              <w:top w:val="nil"/>
              <w:left w:val="nil"/>
              <w:bottom w:val="single" w:sz="4" w:space="0" w:color="auto"/>
              <w:right w:val="single" w:sz="4" w:space="0" w:color="auto"/>
            </w:tcBorders>
            <w:noWrap/>
            <w:vAlign w:val="center"/>
            <w:hideMark/>
          </w:tcPr>
          <w:p w14:paraId="07F9D99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0,0</w:t>
            </w:r>
          </w:p>
        </w:tc>
      </w:tr>
      <w:tr w:rsidR="0070161D" w:rsidRPr="00FD1578" w14:paraId="23A20A3F"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67963AEE"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 xml:space="preserve">Pārējās preces </w:t>
            </w:r>
          </w:p>
        </w:tc>
        <w:tc>
          <w:tcPr>
            <w:tcW w:w="1003" w:type="dxa"/>
            <w:tcBorders>
              <w:top w:val="nil"/>
              <w:left w:val="nil"/>
              <w:bottom w:val="single" w:sz="4" w:space="0" w:color="auto"/>
              <w:right w:val="single" w:sz="4" w:space="0" w:color="auto"/>
            </w:tcBorders>
            <w:noWrap/>
            <w:vAlign w:val="center"/>
            <w:hideMark/>
          </w:tcPr>
          <w:p w14:paraId="095F987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881</w:t>
            </w:r>
          </w:p>
        </w:tc>
        <w:tc>
          <w:tcPr>
            <w:tcW w:w="1007" w:type="dxa"/>
            <w:tcBorders>
              <w:top w:val="nil"/>
              <w:left w:val="nil"/>
              <w:bottom w:val="single" w:sz="4" w:space="0" w:color="auto"/>
              <w:right w:val="single" w:sz="4" w:space="0" w:color="auto"/>
            </w:tcBorders>
            <w:noWrap/>
            <w:vAlign w:val="center"/>
            <w:hideMark/>
          </w:tcPr>
          <w:p w14:paraId="336935E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721</w:t>
            </w:r>
          </w:p>
        </w:tc>
        <w:tc>
          <w:tcPr>
            <w:tcW w:w="1282" w:type="dxa"/>
            <w:tcBorders>
              <w:top w:val="nil"/>
              <w:left w:val="nil"/>
              <w:bottom w:val="single" w:sz="4" w:space="0" w:color="auto"/>
              <w:right w:val="single" w:sz="4" w:space="0" w:color="auto"/>
            </w:tcBorders>
            <w:noWrap/>
            <w:vAlign w:val="center"/>
            <w:hideMark/>
          </w:tcPr>
          <w:p w14:paraId="66456728"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-161</w:t>
            </w:r>
          </w:p>
        </w:tc>
        <w:tc>
          <w:tcPr>
            <w:tcW w:w="1277" w:type="dxa"/>
            <w:tcBorders>
              <w:top w:val="nil"/>
              <w:left w:val="nil"/>
              <w:bottom w:val="single" w:sz="4" w:space="0" w:color="auto"/>
              <w:right w:val="single" w:sz="4" w:space="0" w:color="auto"/>
            </w:tcBorders>
            <w:noWrap/>
            <w:vAlign w:val="center"/>
            <w:hideMark/>
          </w:tcPr>
          <w:p w14:paraId="0F9368F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-18,2%</w:t>
            </w:r>
          </w:p>
        </w:tc>
        <w:tc>
          <w:tcPr>
            <w:tcW w:w="1134" w:type="dxa"/>
            <w:tcBorders>
              <w:top w:val="nil"/>
              <w:left w:val="nil"/>
              <w:bottom w:val="single" w:sz="4" w:space="0" w:color="auto"/>
              <w:right w:val="single" w:sz="4" w:space="0" w:color="auto"/>
            </w:tcBorders>
            <w:noWrap/>
            <w:vAlign w:val="center"/>
            <w:hideMark/>
          </w:tcPr>
          <w:p w14:paraId="252F644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6,7%</w:t>
            </w:r>
          </w:p>
        </w:tc>
        <w:tc>
          <w:tcPr>
            <w:tcW w:w="1269" w:type="dxa"/>
            <w:tcBorders>
              <w:top w:val="nil"/>
              <w:left w:val="nil"/>
              <w:bottom w:val="single" w:sz="4" w:space="0" w:color="auto"/>
              <w:right w:val="single" w:sz="4" w:space="0" w:color="auto"/>
            </w:tcBorders>
            <w:noWrap/>
            <w:vAlign w:val="center"/>
            <w:hideMark/>
          </w:tcPr>
          <w:p w14:paraId="26263A9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-1,4</w:t>
            </w:r>
          </w:p>
        </w:tc>
      </w:tr>
      <w:tr w:rsidR="0070161D" w:rsidRPr="00FD1578" w14:paraId="4616A25A" w14:textId="77777777" w:rsidTr="0073287C">
        <w:trPr>
          <w:trHeight w:val="288"/>
        </w:trPr>
        <w:tc>
          <w:tcPr>
            <w:tcW w:w="2089" w:type="dxa"/>
            <w:tcBorders>
              <w:top w:val="nil"/>
              <w:left w:val="single" w:sz="4" w:space="0" w:color="auto"/>
              <w:bottom w:val="single" w:sz="4" w:space="0" w:color="auto"/>
              <w:right w:val="single" w:sz="4" w:space="0" w:color="auto"/>
            </w:tcBorders>
            <w:noWrap/>
            <w:vAlign w:val="bottom"/>
            <w:hideMark/>
          </w:tcPr>
          <w:p w14:paraId="1A6FDB7F" w14:textId="77777777" w:rsidR="0070161D" w:rsidRPr="00FD1578" w:rsidRDefault="0070161D" w:rsidP="008349F0">
            <w:pPr>
              <w:spacing w:after="0"/>
              <w:ind w:firstLine="0"/>
              <w:jc w:val="left"/>
              <w:rPr>
                <w:rFonts w:eastAsia="Times New Roman" w:cs="Times New Roman"/>
                <w:b/>
                <w:bCs/>
                <w:color w:val="000000"/>
                <w:sz w:val="20"/>
                <w:szCs w:val="20"/>
              </w:rPr>
            </w:pPr>
            <w:r w:rsidRPr="00FD1578">
              <w:rPr>
                <w:rFonts w:eastAsia="Times New Roman" w:cs="Times New Roman"/>
                <w:b/>
                <w:bCs/>
                <w:color w:val="000000"/>
                <w:sz w:val="20"/>
                <w:szCs w:val="20"/>
              </w:rPr>
              <w:t>Kopējais preču eksports</w:t>
            </w:r>
          </w:p>
        </w:tc>
        <w:tc>
          <w:tcPr>
            <w:tcW w:w="1003" w:type="dxa"/>
            <w:tcBorders>
              <w:top w:val="nil"/>
              <w:left w:val="nil"/>
              <w:bottom w:val="single" w:sz="4" w:space="0" w:color="auto"/>
              <w:right w:val="single" w:sz="4" w:space="0" w:color="auto"/>
            </w:tcBorders>
            <w:noWrap/>
            <w:vAlign w:val="center"/>
            <w:hideMark/>
          </w:tcPr>
          <w:p w14:paraId="50444AFD"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11138</w:t>
            </w:r>
          </w:p>
        </w:tc>
        <w:tc>
          <w:tcPr>
            <w:tcW w:w="1007" w:type="dxa"/>
            <w:tcBorders>
              <w:top w:val="nil"/>
              <w:left w:val="nil"/>
              <w:bottom w:val="single" w:sz="4" w:space="0" w:color="auto"/>
              <w:right w:val="single" w:sz="4" w:space="0" w:color="auto"/>
            </w:tcBorders>
            <w:noWrap/>
            <w:vAlign w:val="center"/>
            <w:hideMark/>
          </w:tcPr>
          <w:p w14:paraId="66FD9A0F"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10695</w:t>
            </w:r>
          </w:p>
        </w:tc>
        <w:tc>
          <w:tcPr>
            <w:tcW w:w="1282" w:type="dxa"/>
            <w:tcBorders>
              <w:top w:val="nil"/>
              <w:left w:val="nil"/>
              <w:bottom w:val="single" w:sz="4" w:space="0" w:color="auto"/>
              <w:right w:val="single" w:sz="4" w:space="0" w:color="auto"/>
            </w:tcBorders>
            <w:noWrap/>
            <w:vAlign w:val="center"/>
            <w:hideMark/>
          </w:tcPr>
          <w:p w14:paraId="2A0C1C99"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-442</w:t>
            </w:r>
          </w:p>
        </w:tc>
        <w:tc>
          <w:tcPr>
            <w:tcW w:w="1277" w:type="dxa"/>
            <w:tcBorders>
              <w:top w:val="nil"/>
              <w:left w:val="nil"/>
              <w:bottom w:val="single" w:sz="4" w:space="0" w:color="auto"/>
              <w:right w:val="single" w:sz="4" w:space="0" w:color="auto"/>
            </w:tcBorders>
            <w:noWrap/>
            <w:vAlign w:val="center"/>
            <w:hideMark/>
          </w:tcPr>
          <w:p w14:paraId="2DB1E9AF"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-4,0%</w:t>
            </w:r>
          </w:p>
        </w:tc>
        <w:tc>
          <w:tcPr>
            <w:tcW w:w="1134" w:type="dxa"/>
            <w:tcBorders>
              <w:top w:val="nil"/>
              <w:left w:val="nil"/>
              <w:bottom w:val="single" w:sz="4" w:space="0" w:color="auto"/>
              <w:right w:val="single" w:sz="4" w:space="0" w:color="auto"/>
            </w:tcBorders>
            <w:noWrap/>
            <w:vAlign w:val="center"/>
            <w:hideMark/>
          </w:tcPr>
          <w:p w14:paraId="1D5E98B9"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100,0%</w:t>
            </w:r>
          </w:p>
        </w:tc>
        <w:tc>
          <w:tcPr>
            <w:tcW w:w="1269" w:type="dxa"/>
            <w:tcBorders>
              <w:top w:val="nil"/>
              <w:left w:val="nil"/>
              <w:bottom w:val="single" w:sz="4" w:space="0" w:color="auto"/>
              <w:right w:val="single" w:sz="4" w:space="0" w:color="auto"/>
            </w:tcBorders>
            <w:noWrap/>
            <w:vAlign w:val="center"/>
            <w:hideMark/>
          </w:tcPr>
          <w:p w14:paraId="5115A2E2"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-4,0</w:t>
            </w:r>
          </w:p>
        </w:tc>
      </w:tr>
    </w:tbl>
    <w:p w14:paraId="6D5F1FE6" w14:textId="11E42C23" w:rsidR="0070161D" w:rsidRPr="00FD1578" w:rsidRDefault="0070161D" w:rsidP="008349F0">
      <w:pPr>
        <w:spacing w:before="120"/>
        <w:ind w:firstLine="709"/>
        <w:rPr>
          <w:rFonts w:eastAsia="Calibri" w:cs="Times New Roman"/>
          <w:szCs w:val="24"/>
          <w:lang w:eastAsia="en-US"/>
        </w:rPr>
      </w:pPr>
      <w:r w:rsidRPr="00FD1578">
        <w:rPr>
          <w:rFonts w:eastAsia="Calibri" w:cs="Times New Roman"/>
          <w:szCs w:val="24"/>
          <w:lang w:eastAsia="en-US"/>
        </w:rPr>
        <w:lastRenderedPageBreak/>
        <w:t xml:space="preserve">Arī pakalpojumu eksportam šogad vērojama lejupvērsta dinamika. 2024. gada pirmajos septiņos mēnešos pakalpojumu eksporta vērtība bija par 1,1% zemāka nekā pērnā gada attiecīgajā periodā, ko negatīvi ietekmēja komerciālo pakalpojumu eksporta samazinājums, tostarp telesakaru pakalpojumiem, finanšu un būvniecības pakalpojumiem, kā arī citiem saimnieciskās darbības pakalpojumiem. Neskatoties uz to, ka apkalpoto ārvalstu viesu skaits Latvijas viesnīcās un citās tūristu mītnēs 2024. gada septiņos mēnešos bijis par 12,7% lielāks nekā pirms gada un arī ārvalstu viesu </w:t>
      </w:r>
      <w:proofErr w:type="spellStart"/>
      <w:r w:rsidRPr="00FD1578">
        <w:rPr>
          <w:rFonts w:eastAsia="Calibri" w:cs="Times New Roman"/>
          <w:szCs w:val="24"/>
          <w:lang w:eastAsia="en-US"/>
        </w:rPr>
        <w:t>uzturēšana</w:t>
      </w:r>
      <w:r w:rsidR="009E5235">
        <w:rPr>
          <w:rFonts w:eastAsia="Calibri" w:cs="Times New Roman"/>
          <w:szCs w:val="24"/>
          <w:lang w:eastAsia="en-US"/>
        </w:rPr>
        <w:t>ā</w:t>
      </w:r>
      <w:r w:rsidRPr="00FD1578">
        <w:rPr>
          <w:rFonts w:eastAsia="Calibri" w:cs="Times New Roman"/>
          <w:szCs w:val="24"/>
          <w:lang w:eastAsia="en-US"/>
        </w:rPr>
        <w:t>s</w:t>
      </w:r>
      <w:proofErr w:type="spellEnd"/>
      <w:r w:rsidRPr="00FD1578">
        <w:rPr>
          <w:rFonts w:eastAsia="Calibri" w:cs="Times New Roman"/>
          <w:szCs w:val="24"/>
          <w:lang w:eastAsia="en-US"/>
        </w:rPr>
        <w:t xml:space="preserve"> ilgums Latvijas viesnīcās bija par 7,2% augstāks, ārvalstu tūristu izdevumi Latvijā bija par 0,1% mazāki nekā pirms gada. Savukārt transporta pakalpojumu eksporta vērtība bija par 5,6% augstāka nekā 2023. gada septiņos mēnešos. Noteicošā loma transporta pakalpojumu eksporta pieaugumā bija gaisa transportam, palielinoties pārvadāto pasažieru skaitam Rīgas lidostā. Transporta pakalpojumu eksportu veicināja arī autotransports, palielinoties ieņēmumiem no kravu pārvadājumiem, savukārt pakalpojumu eksporta vērtība jūras un dzelzceļā transportā samazinājās. Pakalpojumu eksporta dinamika ir atspoguļota 1.21. un 1.22. attēlos.</w:t>
      </w:r>
    </w:p>
    <w:tbl>
      <w:tblPr>
        <w:tblStyle w:val="TableGrid17"/>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2"/>
        <w:gridCol w:w="4669"/>
      </w:tblGrid>
      <w:tr w:rsidR="0070161D" w:rsidRPr="00FD1578" w14:paraId="67B1A956" w14:textId="77777777" w:rsidTr="0073287C">
        <w:tc>
          <w:tcPr>
            <w:tcW w:w="4536" w:type="dxa"/>
            <w:hideMark/>
          </w:tcPr>
          <w:p w14:paraId="7557A626" w14:textId="77777777" w:rsidR="0070161D" w:rsidRPr="00FD1578" w:rsidRDefault="0070161D" w:rsidP="008349F0">
            <w:pPr>
              <w:ind w:firstLine="0"/>
              <w:rPr>
                <w:rFonts w:ascii="Calibri" w:eastAsia="Calibri" w:hAnsi="Calibri"/>
                <w:color w:val="FF0000"/>
                <w:sz w:val="22"/>
              </w:rPr>
            </w:pPr>
            <w:r w:rsidRPr="00FD1578">
              <w:rPr>
                <w:rFonts w:ascii="Calibri" w:eastAsia="Calibri" w:hAnsi="Calibri"/>
                <w:noProof/>
                <w:sz w:val="22"/>
              </w:rPr>
              <w:drawing>
                <wp:inline distT="0" distB="0" distL="0" distR="0" wp14:anchorId="603612C8" wp14:editId="157B76B9">
                  <wp:extent cx="2686050" cy="4057650"/>
                  <wp:effectExtent l="0" t="0" r="0" b="0"/>
                  <wp:docPr id="1885486225" name="Picture 22">
                    <a:extLst xmlns:a="http://schemas.openxmlformats.org/drawingml/2006/main">
                      <a:ext uri="{FF2B5EF4-FFF2-40B4-BE49-F238E27FC236}">
                        <a16:creationId xmlns:a16="http://schemas.microsoft.com/office/drawing/2014/main" id="{FEA232D9-8851-4CFC-8BE0-0AAABDCB54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c>
          <w:tcPr>
            <w:tcW w:w="4525" w:type="dxa"/>
            <w:hideMark/>
          </w:tcPr>
          <w:p w14:paraId="3E8DF9B7" w14:textId="77777777" w:rsidR="0070161D" w:rsidRPr="00FD1578" w:rsidRDefault="0070161D" w:rsidP="008349F0">
            <w:pPr>
              <w:ind w:firstLine="0"/>
              <w:rPr>
                <w:rFonts w:ascii="Calibri" w:eastAsia="Calibri" w:hAnsi="Calibri"/>
                <w:color w:val="FF0000"/>
                <w:sz w:val="22"/>
              </w:rPr>
            </w:pPr>
            <w:r w:rsidRPr="00FD1578">
              <w:rPr>
                <w:rFonts w:ascii="Calibri" w:eastAsia="Calibri" w:hAnsi="Calibri"/>
                <w:noProof/>
                <w:sz w:val="22"/>
              </w:rPr>
              <w:drawing>
                <wp:inline distT="0" distB="0" distL="0" distR="0" wp14:anchorId="3C866402" wp14:editId="0AB7818A">
                  <wp:extent cx="2851150" cy="3917950"/>
                  <wp:effectExtent l="0" t="0" r="6350" b="6350"/>
                  <wp:docPr id="23" name="Picture 23">
                    <a:extLst xmlns:a="http://schemas.openxmlformats.org/drawingml/2006/main">
                      <a:ext uri="{FF2B5EF4-FFF2-40B4-BE49-F238E27FC236}">
                        <a16:creationId xmlns:a16="http://schemas.microsoft.com/office/drawing/2014/main" id="{00000000-0008-0000-2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70161D" w:rsidRPr="00FD1578" w14:paraId="5C08C389" w14:textId="77777777" w:rsidTr="0073287C">
        <w:tc>
          <w:tcPr>
            <w:tcW w:w="4536" w:type="dxa"/>
            <w:vAlign w:val="center"/>
            <w:hideMark/>
          </w:tcPr>
          <w:p w14:paraId="25BA2980" w14:textId="77777777" w:rsidR="0070161D" w:rsidRPr="00FD1578" w:rsidRDefault="0070161D" w:rsidP="008349F0">
            <w:pPr>
              <w:ind w:firstLine="0"/>
              <w:jc w:val="center"/>
              <w:rPr>
                <w:rFonts w:eastAsia="Calibri"/>
                <w:szCs w:val="24"/>
              </w:rPr>
            </w:pPr>
            <w:r w:rsidRPr="00FD1578">
              <w:rPr>
                <w:rFonts w:eastAsia="Calibri"/>
                <w:b/>
                <w:bCs/>
                <w:i/>
                <w:iCs/>
                <w:szCs w:val="24"/>
              </w:rPr>
              <w:t xml:space="preserve">1.21. att. Latvijas pakalpojumu eksports faktiskajās cenās pa grupām (milj. </w:t>
            </w:r>
            <w:proofErr w:type="spellStart"/>
            <w:r w:rsidRPr="00FD1578">
              <w:rPr>
                <w:rFonts w:eastAsia="Calibri"/>
                <w:b/>
                <w:bCs/>
                <w:i/>
                <w:iCs/>
                <w:szCs w:val="24"/>
              </w:rPr>
              <w:t>euro</w:t>
            </w:r>
            <w:proofErr w:type="spellEnd"/>
            <w:r w:rsidRPr="00FD1578">
              <w:rPr>
                <w:rFonts w:eastAsia="Calibri"/>
                <w:b/>
                <w:bCs/>
                <w:i/>
                <w:iCs/>
                <w:szCs w:val="24"/>
              </w:rPr>
              <w:t>) un grupu īpatsvars (%)</w:t>
            </w:r>
          </w:p>
        </w:tc>
        <w:tc>
          <w:tcPr>
            <w:tcW w:w="4525" w:type="dxa"/>
            <w:vAlign w:val="center"/>
            <w:hideMark/>
          </w:tcPr>
          <w:p w14:paraId="71D6E47F" w14:textId="77777777" w:rsidR="0070161D" w:rsidRPr="00FD1578" w:rsidRDefault="0070161D" w:rsidP="008349F0">
            <w:pPr>
              <w:ind w:firstLine="0"/>
              <w:jc w:val="center"/>
              <w:rPr>
                <w:rFonts w:eastAsia="Calibri"/>
                <w:szCs w:val="24"/>
              </w:rPr>
            </w:pPr>
            <w:r w:rsidRPr="00FD1578">
              <w:rPr>
                <w:rFonts w:eastAsia="Calibri"/>
                <w:b/>
                <w:bCs/>
                <w:i/>
                <w:iCs/>
                <w:szCs w:val="24"/>
              </w:rPr>
              <w:t>1.22. att. Latvijas pakalpojumu eksports faktiskajās cenās pa grupām, devumi (</w:t>
            </w:r>
            <w:proofErr w:type="spellStart"/>
            <w:r w:rsidRPr="00FD1578">
              <w:rPr>
                <w:rFonts w:eastAsia="Calibri"/>
                <w:b/>
                <w:bCs/>
                <w:i/>
                <w:iCs/>
                <w:szCs w:val="24"/>
              </w:rPr>
              <w:t>pp</w:t>
            </w:r>
            <w:proofErr w:type="spellEnd"/>
            <w:r w:rsidRPr="00FD1578">
              <w:rPr>
                <w:rFonts w:eastAsia="Calibri"/>
                <w:b/>
                <w:bCs/>
                <w:i/>
                <w:iCs/>
                <w:szCs w:val="24"/>
              </w:rPr>
              <w:t>) un kopējais pieaugums (%)</w:t>
            </w:r>
          </w:p>
        </w:tc>
      </w:tr>
    </w:tbl>
    <w:p w14:paraId="57425215" w14:textId="77777777" w:rsidR="0070161D" w:rsidRPr="00FD1578" w:rsidRDefault="0070161D" w:rsidP="008349F0">
      <w:pPr>
        <w:spacing w:before="120"/>
        <w:ind w:firstLine="709"/>
        <w:rPr>
          <w:rFonts w:eastAsia="Calibri" w:cs="Times New Roman"/>
          <w:szCs w:val="24"/>
          <w:lang w:eastAsia="en-US"/>
        </w:rPr>
      </w:pPr>
      <w:r w:rsidRPr="00FD1578">
        <w:rPr>
          <w:rFonts w:eastAsia="Calibri" w:cs="Times New Roman"/>
          <w:szCs w:val="24"/>
          <w:lang w:eastAsia="en-US"/>
        </w:rPr>
        <w:t xml:space="preserve">Preču importa kritums 2024. gada septiņos mēnešos bija būtiski straujāks nekā preču eksporta samazinājums. Preču importa vērtība, salīdzinot ar iepriekšējā gada pirmajiem septiņiem mēnešiem, samazinājās par 8,0%, tādējādi samazinot preču ārējās tirdzniecības deficītu. Tāpat kā preču eksportā, arī preču importā kritums bija fiksēts praktiski visās preču grupās. Noteicošā loma preču importa kritumā bija </w:t>
      </w:r>
      <w:proofErr w:type="spellStart"/>
      <w:r w:rsidRPr="00FD1578">
        <w:rPr>
          <w:rFonts w:eastAsia="Calibri" w:cs="Times New Roman"/>
          <w:szCs w:val="24"/>
          <w:lang w:eastAsia="en-US"/>
        </w:rPr>
        <w:t>minerālproduktu</w:t>
      </w:r>
      <w:proofErr w:type="spellEnd"/>
      <w:r w:rsidRPr="00FD1578">
        <w:rPr>
          <w:rFonts w:eastAsia="Calibri" w:cs="Times New Roman"/>
          <w:szCs w:val="24"/>
          <w:lang w:eastAsia="en-US"/>
        </w:rPr>
        <w:t xml:space="preserve"> grupai (-25,9%), samazinoties jēlnaftas un gāzes importam. Mehānismu un elektroiekārtu preču importa vērtības samazinājumu par 13,0% noteica lauksaimniecībā un mežsaimniecībā izmantotās tehnikas importa kritums, telefonu aparātu, </w:t>
      </w:r>
      <w:proofErr w:type="spellStart"/>
      <w:r w:rsidRPr="00FD1578">
        <w:rPr>
          <w:rFonts w:eastAsia="Calibri" w:cs="Times New Roman"/>
          <w:szCs w:val="24"/>
          <w:lang w:eastAsia="en-US"/>
        </w:rPr>
        <w:t>pusvadītājierīču</w:t>
      </w:r>
      <w:proofErr w:type="spellEnd"/>
      <w:r w:rsidRPr="00FD1578">
        <w:rPr>
          <w:rFonts w:eastAsia="Calibri" w:cs="Times New Roman"/>
          <w:szCs w:val="24"/>
          <w:lang w:eastAsia="en-US"/>
        </w:rPr>
        <w:t xml:space="preserve">, kā arī integrālo shēmu importa kritums. Par 16,9% samazinājās satiksmes līdzekļu importa vērtība, ko noteica automobiļu un lidmašīnu </w:t>
      </w:r>
      <w:r w:rsidRPr="00FD1578">
        <w:rPr>
          <w:rFonts w:eastAsia="Calibri" w:cs="Times New Roman"/>
          <w:szCs w:val="24"/>
          <w:lang w:eastAsia="en-US"/>
        </w:rPr>
        <w:lastRenderedPageBreak/>
        <w:t>importa kritums. Preču importa kritums bija arī pārējās preču grupās, tomēr tas bija nenozīmīgs. Detalizēti preču importa dati pa visām preču grupām ir atspoguļoti 1.3. tabulā.</w:t>
      </w:r>
    </w:p>
    <w:p w14:paraId="2653DE60" w14:textId="77777777" w:rsidR="0070161D" w:rsidRPr="00FD1578" w:rsidRDefault="0070161D" w:rsidP="008349F0">
      <w:pPr>
        <w:jc w:val="right"/>
        <w:rPr>
          <w:rFonts w:eastAsia="Calibri" w:cs="Arial"/>
          <w:b/>
          <w:bCs/>
          <w:i/>
          <w:iCs/>
          <w:szCs w:val="24"/>
          <w:lang w:eastAsia="en-US"/>
        </w:rPr>
      </w:pPr>
      <w:r w:rsidRPr="00FD1578">
        <w:rPr>
          <w:rFonts w:eastAsia="Calibri" w:cs="Arial"/>
          <w:b/>
          <w:bCs/>
          <w:i/>
          <w:iCs/>
          <w:szCs w:val="24"/>
          <w:lang w:eastAsia="en-US"/>
        </w:rPr>
        <w:t>1.3. tabula. Preču importa vērtība 2023. gada un 2024. gada pirmajos septiņos mēnešos (pārmaiņas gada izteiksmē, preču grupu īpatsvars un devums izaugsmē 2024. gada septiņos mēnešos)</w:t>
      </w:r>
    </w:p>
    <w:tbl>
      <w:tblPr>
        <w:tblW w:w="9061" w:type="dxa"/>
        <w:jc w:val="center"/>
        <w:tblLook w:val="04A0" w:firstRow="1" w:lastRow="0" w:firstColumn="1" w:lastColumn="0" w:noHBand="0" w:noVBand="1"/>
      </w:tblPr>
      <w:tblGrid>
        <w:gridCol w:w="2082"/>
        <w:gridCol w:w="1011"/>
        <w:gridCol w:w="1004"/>
        <w:gridCol w:w="1282"/>
        <w:gridCol w:w="1279"/>
        <w:gridCol w:w="1134"/>
        <w:gridCol w:w="1269"/>
      </w:tblGrid>
      <w:tr w:rsidR="0070161D" w:rsidRPr="00FD1578" w14:paraId="5AB02A90" w14:textId="77777777" w:rsidTr="008E1E6C">
        <w:trPr>
          <w:trHeight w:val="288"/>
          <w:jc w:val="center"/>
        </w:trPr>
        <w:tc>
          <w:tcPr>
            <w:tcW w:w="2082"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7A86CE2E"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Preču grupa</w:t>
            </w:r>
          </w:p>
        </w:tc>
        <w:tc>
          <w:tcPr>
            <w:tcW w:w="101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20A0BB97"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 xml:space="preserve">I-VII 2023 milj. </w:t>
            </w:r>
            <w:proofErr w:type="spellStart"/>
            <w:r w:rsidRPr="00FD1578">
              <w:rPr>
                <w:rFonts w:eastAsia="Times New Roman" w:cs="Times New Roman"/>
                <w:b/>
                <w:bCs/>
                <w:color w:val="000000"/>
                <w:sz w:val="20"/>
                <w:szCs w:val="20"/>
              </w:rPr>
              <w:t>euro</w:t>
            </w:r>
            <w:proofErr w:type="spellEnd"/>
          </w:p>
        </w:tc>
        <w:tc>
          <w:tcPr>
            <w:tcW w:w="1004"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51495384"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 xml:space="preserve">I-VII 2024 milj. </w:t>
            </w:r>
            <w:proofErr w:type="spellStart"/>
            <w:r w:rsidRPr="00FD1578">
              <w:rPr>
                <w:rFonts w:eastAsia="Times New Roman" w:cs="Times New Roman"/>
                <w:b/>
                <w:bCs/>
                <w:color w:val="000000"/>
                <w:sz w:val="20"/>
                <w:szCs w:val="20"/>
              </w:rPr>
              <w:t>euro</w:t>
            </w:r>
            <w:proofErr w:type="spellEnd"/>
          </w:p>
        </w:tc>
        <w:tc>
          <w:tcPr>
            <w:tcW w:w="1282"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0515C99F"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 xml:space="preserve">Pārmaiņas, milj. </w:t>
            </w:r>
            <w:proofErr w:type="spellStart"/>
            <w:r w:rsidRPr="00FD1578">
              <w:rPr>
                <w:rFonts w:eastAsia="Times New Roman" w:cs="Times New Roman"/>
                <w:b/>
                <w:bCs/>
                <w:color w:val="000000"/>
                <w:sz w:val="20"/>
                <w:szCs w:val="20"/>
              </w:rPr>
              <w:t>euro</w:t>
            </w:r>
            <w:proofErr w:type="spellEnd"/>
          </w:p>
        </w:tc>
        <w:tc>
          <w:tcPr>
            <w:tcW w:w="1279"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2FE483FF"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Pārmaiņas, %</w:t>
            </w:r>
          </w:p>
        </w:tc>
        <w:tc>
          <w:tcPr>
            <w:tcW w:w="1134"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6CA8A00E"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Īpatsvars I-VII 2024, %</w:t>
            </w:r>
          </w:p>
        </w:tc>
        <w:tc>
          <w:tcPr>
            <w:tcW w:w="1269"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C1131CC"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 xml:space="preserve">Devums izaugsmē, </w:t>
            </w:r>
            <w:proofErr w:type="spellStart"/>
            <w:r w:rsidRPr="00FD1578">
              <w:rPr>
                <w:rFonts w:eastAsia="Times New Roman" w:cs="Times New Roman"/>
                <w:b/>
                <w:bCs/>
                <w:color w:val="000000"/>
                <w:sz w:val="20"/>
                <w:szCs w:val="20"/>
              </w:rPr>
              <w:t>pp</w:t>
            </w:r>
            <w:proofErr w:type="spellEnd"/>
          </w:p>
        </w:tc>
      </w:tr>
      <w:tr w:rsidR="0070161D" w:rsidRPr="00FD1578" w14:paraId="774717D8"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335DACC8"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Lauksaimniecības preces un pārtika</w:t>
            </w:r>
          </w:p>
        </w:tc>
        <w:tc>
          <w:tcPr>
            <w:tcW w:w="1011" w:type="dxa"/>
            <w:tcBorders>
              <w:top w:val="nil"/>
              <w:left w:val="nil"/>
              <w:bottom w:val="single" w:sz="4" w:space="0" w:color="auto"/>
              <w:right w:val="single" w:sz="4" w:space="0" w:color="auto"/>
            </w:tcBorders>
            <w:noWrap/>
            <w:vAlign w:val="center"/>
            <w:hideMark/>
          </w:tcPr>
          <w:p w14:paraId="2BBA3FA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2557</w:t>
            </w:r>
          </w:p>
        </w:tc>
        <w:tc>
          <w:tcPr>
            <w:tcW w:w="1004" w:type="dxa"/>
            <w:tcBorders>
              <w:top w:val="nil"/>
              <w:left w:val="nil"/>
              <w:bottom w:val="single" w:sz="4" w:space="0" w:color="auto"/>
              <w:right w:val="single" w:sz="4" w:space="0" w:color="auto"/>
            </w:tcBorders>
            <w:noWrap/>
            <w:vAlign w:val="center"/>
            <w:hideMark/>
          </w:tcPr>
          <w:p w14:paraId="2329096B"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2604</w:t>
            </w:r>
          </w:p>
        </w:tc>
        <w:tc>
          <w:tcPr>
            <w:tcW w:w="1282" w:type="dxa"/>
            <w:tcBorders>
              <w:top w:val="nil"/>
              <w:left w:val="nil"/>
              <w:bottom w:val="single" w:sz="4" w:space="0" w:color="auto"/>
              <w:right w:val="single" w:sz="4" w:space="0" w:color="auto"/>
            </w:tcBorders>
            <w:noWrap/>
            <w:vAlign w:val="center"/>
            <w:hideMark/>
          </w:tcPr>
          <w:p w14:paraId="785B0B3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47</w:t>
            </w:r>
          </w:p>
        </w:tc>
        <w:tc>
          <w:tcPr>
            <w:tcW w:w="1279" w:type="dxa"/>
            <w:tcBorders>
              <w:top w:val="nil"/>
              <w:left w:val="nil"/>
              <w:bottom w:val="single" w:sz="4" w:space="0" w:color="auto"/>
              <w:right w:val="single" w:sz="4" w:space="0" w:color="auto"/>
            </w:tcBorders>
            <w:noWrap/>
            <w:vAlign w:val="center"/>
            <w:hideMark/>
          </w:tcPr>
          <w:p w14:paraId="57CAF3E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1,8%</w:t>
            </w:r>
          </w:p>
        </w:tc>
        <w:tc>
          <w:tcPr>
            <w:tcW w:w="1134" w:type="dxa"/>
            <w:tcBorders>
              <w:top w:val="nil"/>
              <w:left w:val="nil"/>
              <w:bottom w:val="single" w:sz="4" w:space="0" w:color="auto"/>
              <w:right w:val="single" w:sz="4" w:space="0" w:color="auto"/>
            </w:tcBorders>
            <w:noWrap/>
            <w:vAlign w:val="center"/>
            <w:hideMark/>
          </w:tcPr>
          <w:p w14:paraId="1FFCEA7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20,8%</w:t>
            </w:r>
          </w:p>
        </w:tc>
        <w:tc>
          <w:tcPr>
            <w:tcW w:w="1269" w:type="dxa"/>
            <w:tcBorders>
              <w:top w:val="nil"/>
              <w:left w:val="nil"/>
              <w:bottom w:val="single" w:sz="4" w:space="0" w:color="auto"/>
              <w:right w:val="single" w:sz="4" w:space="0" w:color="auto"/>
            </w:tcBorders>
            <w:noWrap/>
            <w:vAlign w:val="center"/>
            <w:hideMark/>
          </w:tcPr>
          <w:p w14:paraId="44BBE4D8"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0,3</w:t>
            </w:r>
          </w:p>
        </w:tc>
      </w:tr>
      <w:tr w:rsidR="0070161D" w:rsidRPr="00FD1578" w14:paraId="28AE34A8"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7D6AB074"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Mehānismi un ierīces, t.sk. elektroierīces</w:t>
            </w:r>
          </w:p>
        </w:tc>
        <w:tc>
          <w:tcPr>
            <w:tcW w:w="1011" w:type="dxa"/>
            <w:tcBorders>
              <w:top w:val="nil"/>
              <w:left w:val="nil"/>
              <w:bottom w:val="single" w:sz="4" w:space="0" w:color="auto"/>
              <w:right w:val="single" w:sz="4" w:space="0" w:color="auto"/>
            </w:tcBorders>
            <w:noWrap/>
            <w:vAlign w:val="center"/>
            <w:hideMark/>
          </w:tcPr>
          <w:p w14:paraId="01003D11"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2633</w:t>
            </w:r>
          </w:p>
        </w:tc>
        <w:tc>
          <w:tcPr>
            <w:tcW w:w="1004" w:type="dxa"/>
            <w:tcBorders>
              <w:top w:val="nil"/>
              <w:left w:val="nil"/>
              <w:bottom w:val="single" w:sz="4" w:space="0" w:color="auto"/>
              <w:right w:val="single" w:sz="4" w:space="0" w:color="auto"/>
            </w:tcBorders>
            <w:noWrap/>
            <w:vAlign w:val="center"/>
            <w:hideMark/>
          </w:tcPr>
          <w:p w14:paraId="0133707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2291</w:t>
            </w:r>
          </w:p>
        </w:tc>
        <w:tc>
          <w:tcPr>
            <w:tcW w:w="1282" w:type="dxa"/>
            <w:tcBorders>
              <w:top w:val="nil"/>
              <w:left w:val="nil"/>
              <w:bottom w:val="single" w:sz="4" w:space="0" w:color="auto"/>
              <w:right w:val="single" w:sz="4" w:space="0" w:color="auto"/>
            </w:tcBorders>
            <w:noWrap/>
            <w:vAlign w:val="center"/>
            <w:hideMark/>
          </w:tcPr>
          <w:p w14:paraId="2D6D92E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-342</w:t>
            </w:r>
          </w:p>
        </w:tc>
        <w:tc>
          <w:tcPr>
            <w:tcW w:w="1279" w:type="dxa"/>
            <w:tcBorders>
              <w:top w:val="nil"/>
              <w:left w:val="nil"/>
              <w:bottom w:val="single" w:sz="4" w:space="0" w:color="auto"/>
              <w:right w:val="single" w:sz="4" w:space="0" w:color="auto"/>
            </w:tcBorders>
            <w:noWrap/>
            <w:vAlign w:val="center"/>
            <w:hideMark/>
          </w:tcPr>
          <w:p w14:paraId="5FA9131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-13,0%</w:t>
            </w:r>
          </w:p>
        </w:tc>
        <w:tc>
          <w:tcPr>
            <w:tcW w:w="1134" w:type="dxa"/>
            <w:tcBorders>
              <w:top w:val="nil"/>
              <w:left w:val="nil"/>
              <w:bottom w:val="single" w:sz="4" w:space="0" w:color="auto"/>
              <w:right w:val="single" w:sz="4" w:space="0" w:color="auto"/>
            </w:tcBorders>
            <w:noWrap/>
            <w:vAlign w:val="center"/>
            <w:hideMark/>
          </w:tcPr>
          <w:p w14:paraId="744F7918"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18,3%</w:t>
            </w:r>
          </w:p>
        </w:tc>
        <w:tc>
          <w:tcPr>
            <w:tcW w:w="1269" w:type="dxa"/>
            <w:tcBorders>
              <w:top w:val="nil"/>
              <w:left w:val="nil"/>
              <w:bottom w:val="single" w:sz="4" w:space="0" w:color="auto"/>
              <w:right w:val="single" w:sz="4" w:space="0" w:color="auto"/>
            </w:tcBorders>
            <w:noWrap/>
            <w:vAlign w:val="center"/>
            <w:hideMark/>
          </w:tcPr>
          <w:p w14:paraId="27E5745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-2,5</w:t>
            </w:r>
          </w:p>
        </w:tc>
      </w:tr>
      <w:tr w:rsidR="0070161D" w:rsidRPr="00FD1578" w14:paraId="78920E42"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3E26EA32"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Ķīmiskās rūpniecības ražojumi</w:t>
            </w:r>
          </w:p>
        </w:tc>
        <w:tc>
          <w:tcPr>
            <w:tcW w:w="1011" w:type="dxa"/>
            <w:tcBorders>
              <w:top w:val="nil"/>
              <w:left w:val="nil"/>
              <w:bottom w:val="single" w:sz="4" w:space="0" w:color="auto"/>
              <w:right w:val="single" w:sz="4" w:space="0" w:color="auto"/>
            </w:tcBorders>
            <w:noWrap/>
            <w:vAlign w:val="center"/>
            <w:hideMark/>
          </w:tcPr>
          <w:p w14:paraId="75F35FD8"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1391</w:t>
            </w:r>
          </w:p>
        </w:tc>
        <w:tc>
          <w:tcPr>
            <w:tcW w:w="1004" w:type="dxa"/>
            <w:tcBorders>
              <w:top w:val="nil"/>
              <w:left w:val="nil"/>
              <w:bottom w:val="single" w:sz="4" w:space="0" w:color="auto"/>
              <w:right w:val="single" w:sz="4" w:space="0" w:color="auto"/>
            </w:tcBorders>
            <w:noWrap/>
            <w:vAlign w:val="center"/>
            <w:hideMark/>
          </w:tcPr>
          <w:p w14:paraId="14B0DFF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1475</w:t>
            </w:r>
          </w:p>
        </w:tc>
        <w:tc>
          <w:tcPr>
            <w:tcW w:w="1282" w:type="dxa"/>
            <w:tcBorders>
              <w:top w:val="nil"/>
              <w:left w:val="nil"/>
              <w:bottom w:val="single" w:sz="4" w:space="0" w:color="auto"/>
              <w:right w:val="single" w:sz="4" w:space="0" w:color="auto"/>
            </w:tcBorders>
            <w:noWrap/>
            <w:vAlign w:val="center"/>
            <w:hideMark/>
          </w:tcPr>
          <w:p w14:paraId="608C3821"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84</w:t>
            </w:r>
          </w:p>
        </w:tc>
        <w:tc>
          <w:tcPr>
            <w:tcW w:w="1279" w:type="dxa"/>
            <w:tcBorders>
              <w:top w:val="nil"/>
              <w:left w:val="nil"/>
              <w:bottom w:val="single" w:sz="4" w:space="0" w:color="auto"/>
              <w:right w:val="single" w:sz="4" w:space="0" w:color="auto"/>
            </w:tcBorders>
            <w:noWrap/>
            <w:vAlign w:val="center"/>
            <w:hideMark/>
          </w:tcPr>
          <w:p w14:paraId="7E52356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6,0%</w:t>
            </w:r>
          </w:p>
        </w:tc>
        <w:tc>
          <w:tcPr>
            <w:tcW w:w="1134" w:type="dxa"/>
            <w:tcBorders>
              <w:top w:val="nil"/>
              <w:left w:val="nil"/>
              <w:bottom w:val="single" w:sz="4" w:space="0" w:color="auto"/>
              <w:right w:val="single" w:sz="4" w:space="0" w:color="auto"/>
            </w:tcBorders>
            <w:noWrap/>
            <w:vAlign w:val="center"/>
            <w:hideMark/>
          </w:tcPr>
          <w:p w14:paraId="32D8CF4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11,8%</w:t>
            </w:r>
          </w:p>
        </w:tc>
        <w:tc>
          <w:tcPr>
            <w:tcW w:w="1269" w:type="dxa"/>
            <w:tcBorders>
              <w:top w:val="nil"/>
              <w:left w:val="nil"/>
              <w:bottom w:val="single" w:sz="4" w:space="0" w:color="auto"/>
              <w:right w:val="single" w:sz="4" w:space="0" w:color="auto"/>
            </w:tcBorders>
            <w:noWrap/>
            <w:vAlign w:val="center"/>
            <w:hideMark/>
          </w:tcPr>
          <w:p w14:paraId="429566B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0,6</w:t>
            </w:r>
          </w:p>
        </w:tc>
      </w:tr>
      <w:tr w:rsidR="0070161D" w:rsidRPr="00FD1578" w14:paraId="77826F53"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1639F862"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 xml:space="preserve">Satiksmes līdzekļi </w:t>
            </w:r>
          </w:p>
        </w:tc>
        <w:tc>
          <w:tcPr>
            <w:tcW w:w="1011" w:type="dxa"/>
            <w:tcBorders>
              <w:top w:val="nil"/>
              <w:left w:val="nil"/>
              <w:bottom w:val="single" w:sz="4" w:space="0" w:color="auto"/>
              <w:right w:val="single" w:sz="4" w:space="0" w:color="auto"/>
            </w:tcBorders>
            <w:noWrap/>
            <w:vAlign w:val="center"/>
            <w:hideMark/>
          </w:tcPr>
          <w:p w14:paraId="48FA8B90"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1741</w:t>
            </w:r>
          </w:p>
        </w:tc>
        <w:tc>
          <w:tcPr>
            <w:tcW w:w="1004" w:type="dxa"/>
            <w:tcBorders>
              <w:top w:val="nil"/>
              <w:left w:val="nil"/>
              <w:bottom w:val="single" w:sz="4" w:space="0" w:color="auto"/>
              <w:right w:val="single" w:sz="4" w:space="0" w:color="auto"/>
            </w:tcBorders>
            <w:noWrap/>
            <w:vAlign w:val="center"/>
            <w:hideMark/>
          </w:tcPr>
          <w:p w14:paraId="4EC8E37C"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1447</w:t>
            </w:r>
          </w:p>
        </w:tc>
        <w:tc>
          <w:tcPr>
            <w:tcW w:w="1282" w:type="dxa"/>
            <w:tcBorders>
              <w:top w:val="nil"/>
              <w:left w:val="nil"/>
              <w:bottom w:val="single" w:sz="4" w:space="0" w:color="auto"/>
              <w:right w:val="single" w:sz="4" w:space="0" w:color="auto"/>
            </w:tcBorders>
            <w:noWrap/>
            <w:vAlign w:val="center"/>
            <w:hideMark/>
          </w:tcPr>
          <w:p w14:paraId="0BCBF387"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-295</w:t>
            </w:r>
          </w:p>
        </w:tc>
        <w:tc>
          <w:tcPr>
            <w:tcW w:w="1279" w:type="dxa"/>
            <w:tcBorders>
              <w:top w:val="nil"/>
              <w:left w:val="nil"/>
              <w:bottom w:val="single" w:sz="4" w:space="0" w:color="auto"/>
              <w:right w:val="single" w:sz="4" w:space="0" w:color="auto"/>
            </w:tcBorders>
            <w:noWrap/>
            <w:vAlign w:val="center"/>
            <w:hideMark/>
          </w:tcPr>
          <w:p w14:paraId="2A4A2F9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-16,9%</w:t>
            </w:r>
          </w:p>
        </w:tc>
        <w:tc>
          <w:tcPr>
            <w:tcW w:w="1134" w:type="dxa"/>
            <w:tcBorders>
              <w:top w:val="nil"/>
              <w:left w:val="nil"/>
              <w:bottom w:val="single" w:sz="4" w:space="0" w:color="auto"/>
              <w:right w:val="single" w:sz="4" w:space="0" w:color="auto"/>
            </w:tcBorders>
            <w:noWrap/>
            <w:vAlign w:val="center"/>
            <w:hideMark/>
          </w:tcPr>
          <w:p w14:paraId="7B10EB3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11,5%</w:t>
            </w:r>
          </w:p>
        </w:tc>
        <w:tc>
          <w:tcPr>
            <w:tcW w:w="1269" w:type="dxa"/>
            <w:tcBorders>
              <w:top w:val="nil"/>
              <w:left w:val="nil"/>
              <w:bottom w:val="single" w:sz="4" w:space="0" w:color="auto"/>
              <w:right w:val="single" w:sz="4" w:space="0" w:color="auto"/>
            </w:tcBorders>
            <w:noWrap/>
            <w:vAlign w:val="center"/>
            <w:hideMark/>
          </w:tcPr>
          <w:p w14:paraId="531C15F0"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-2,2</w:t>
            </w:r>
          </w:p>
        </w:tc>
      </w:tr>
      <w:tr w:rsidR="0070161D" w:rsidRPr="00FD1578" w14:paraId="311EE29E"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61F5CCDE" w14:textId="77777777" w:rsidR="0070161D" w:rsidRPr="00FD1578" w:rsidRDefault="0070161D" w:rsidP="008349F0">
            <w:pPr>
              <w:spacing w:after="0"/>
              <w:ind w:firstLine="0"/>
              <w:jc w:val="left"/>
              <w:rPr>
                <w:rFonts w:eastAsia="Times New Roman" w:cs="Times New Roman"/>
                <w:color w:val="000000"/>
                <w:sz w:val="20"/>
                <w:szCs w:val="20"/>
              </w:rPr>
            </w:pPr>
            <w:proofErr w:type="spellStart"/>
            <w:r w:rsidRPr="00FD1578">
              <w:rPr>
                <w:rFonts w:eastAsia="Times New Roman" w:cs="Times New Roman"/>
                <w:color w:val="000000"/>
                <w:sz w:val="20"/>
                <w:szCs w:val="20"/>
              </w:rPr>
              <w:t>Minerālprodukti</w:t>
            </w:r>
            <w:proofErr w:type="spellEnd"/>
          </w:p>
        </w:tc>
        <w:tc>
          <w:tcPr>
            <w:tcW w:w="1011" w:type="dxa"/>
            <w:tcBorders>
              <w:top w:val="nil"/>
              <w:left w:val="nil"/>
              <w:bottom w:val="single" w:sz="4" w:space="0" w:color="auto"/>
              <w:right w:val="single" w:sz="4" w:space="0" w:color="auto"/>
            </w:tcBorders>
            <w:noWrap/>
            <w:vAlign w:val="center"/>
            <w:hideMark/>
          </w:tcPr>
          <w:p w14:paraId="2DC15B7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1666</w:t>
            </w:r>
          </w:p>
        </w:tc>
        <w:tc>
          <w:tcPr>
            <w:tcW w:w="1004" w:type="dxa"/>
            <w:tcBorders>
              <w:top w:val="nil"/>
              <w:left w:val="nil"/>
              <w:bottom w:val="single" w:sz="4" w:space="0" w:color="auto"/>
              <w:right w:val="single" w:sz="4" w:space="0" w:color="auto"/>
            </w:tcBorders>
            <w:noWrap/>
            <w:vAlign w:val="center"/>
            <w:hideMark/>
          </w:tcPr>
          <w:p w14:paraId="6DDE662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1234</w:t>
            </w:r>
          </w:p>
        </w:tc>
        <w:tc>
          <w:tcPr>
            <w:tcW w:w="1282" w:type="dxa"/>
            <w:tcBorders>
              <w:top w:val="nil"/>
              <w:left w:val="nil"/>
              <w:bottom w:val="single" w:sz="4" w:space="0" w:color="auto"/>
              <w:right w:val="single" w:sz="4" w:space="0" w:color="auto"/>
            </w:tcBorders>
            <w:noWrap/>
            <w:vAlign w:val="center"/>
            <w:hideMark/>
          </w:tcPr>
          <w:p w14:paraId="0802C1E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-432</w:t>
            </w:r>
          </w:p>
        </w:tc>
        <w:tc>
          <w:tcPr>
            <w:tcW w:w="1279" w:type="dxa"/>
            <w:tcBorders>
              <w:top w:val="nil"/>
              <w:left w:val="nil"/>
              <w:bottom w:val="single" w:sz="4" w:space="0" w:color="auto"/>
              <w:right w:val="single" w:sz="4" w:space="0" w:color="auto"/>
            </w:tcBorders>
            <w:noWrap/>
            <w:vAlign w:val="center"/>
            <w:hideMark/>
          </w:tcPr>
          <w:p w14:paraId="6CD5E15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-25,9%</w:t>
            </w:r>
          </w:p>
        </w:tc>
        <w:tc>
          <w:tcPr>
            <w:tcW w:w="1134" w:type="dxa"/>
            <w:tcBorders>
              <w:top w:val="nil"/>
              <w:left w:val="nil"/>
              <w:bottom w:val="single" w:sz="4" w:space="0" w:color="auto"/>
              <w:right w:val="single" w:sz="4" w:space="0" w:color="auto"/>
            </w:tcBorders>
            <w:noWrap/>
            <w:vAlign w:val="center"/>
            <w:hideMark/>
          </w:tcPr>
          <w:p w14:paraId="643263F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9,8%</w:t>
            </w:r>
          </w:p>
        </w:tc>
        <w:tc>
          <w:tcPr>
            <w:tcW w:w="1269" w:type="dxa"/>
            <w:tcBorders>
              <w:top w:val="nil"/>
              <w:left w:val="nil"/>
              <w:bottom w:val="single" w:sz="4" w:space="0" w:color="auto"/>
              <w:right w:val="single" w:sz="4" w:space="0" w:color="auto"/>
            </w:tcBorders>
            <w:noWrap/>
            <w:vAlign w:val="center"/>
            <w:hideMark/>
          </w:tcPr>
          <w:p w14:paraId="7C324F7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-3,2</w:t>
            </w:r>
          </w:p>
        </w:tc>
      </w:tr>
      <w:tr w:rsidR="0070161D" w:rsidRPr="00FD1578" w14:paraId="48A5157D"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08E89A59"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Metāli un to izstrādājumi</w:t>
            </w:r>
          </w:p>
        </w:tc>
        <w:tc>
          <w:tcPr>
            <w:tcW w:w="1011" w:type="dxa"/>
            <w:tcBorders>
              <w:top w:val="nil"/>
              <w:left w:val="nil"/>
              <w:bottom w:val="single" w:sz="4" w:space="0" w:color="auto"/>
              <w:right w:val="single" w:sz="4" w:space="0" w:color="auto"/>
            </w:tcBorders>
            <w:noWrap/>
            <w:vAlign w:val="center"/>
            <w:hideMark/>
          </w:tcPr>
          <w:p w14:paraId="5E75FEB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875</w:t>
            </w:r>
          </w:p>
        </w:tc>
        <w:tc>
          <w:tcPr>
            <w:tcW w:w="1004" w:type="dxa"/>
            <w:tcBorders>
              <w:top w:val="nil"/>
              <w:left w:val="nil"/>
              <w:bottom w:val="single" w:sz="4" w:space="0" w:color="auto"/>
              <w:right w:val="single" w:sz="4" w:space="0" w:color="auto"/>
            </w:tcBorders>
            <w:noWrap/>
            <w:vAlign w:val="center"/>
            <w:hideMark/>
          </w:tcPr>
          <w:p w14:paraId="6FBA20D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844</w:t>
            </w:r>
          </w:p>
        </w:tc>
        <w:tc>
          <w:tcPr>
            <w:tcW w:w="1282" w:type="dxa"/>
            <w:tcBorders>
              <w:top w:val="nil"/>
              <w:left w:val="nil"/>
              <w:bottom w:val="single" w:sz="4" w:space="0" w:color="auto"/>
              <w:right w:val="single" w:sz="4" w:space="0" w:color="auto"/>
            </w:tcBorders>
            <w:noWrap/>
            <w:vAlign w:val="center"/>
            <w:hideMark/>
          </w:tcPr>
          <w:p w14:paraId="528A372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-31</w:t>
            </w:r>
          </w:p>
        </w:tc>
        <w:tc>
          <w:tcPr>
            <w:tcW w:w="1279" w:type="dxa"/>
            <w:tcBorders>
              <w:top w:val="nil"/>
              <w:left w:val="nil"/>
              <w:bottom w:val="single" w:sz="4" w:space="0" w:color="auto"/>
              <w:right w:val="single" w:sz="4" w:space="0" w:color="auto"/>
            </w:tcBorders>
            <w:noWrap/>
            <w:vAlign w:val="center"/>
            <w:hideMark/>
          </w:tcPr>
          <w:p w14:paraId="1B72168E"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-3,6%</w:t>
            </w:r>
          </w:p>
        </w:tc>
        <w:tc>
          <w:tcPr>
            <w:tcW w:w="1134" w:type="dxa"/>
            <w:tcBorders>
              <w:top w:val="nil"/>
              <w:left w:val="nil"/>
              <w:bottom w:val="single" w:sz="4" w:space="0" w:color="auto"/>
              <w:right w:val="single" w:sz="4" w:space="0" w:color="auto"/>
            </w:tcBorders>
            <w:noWrap/>
            <w:vAlign w:val="center"/>
            <w:hideMark/>
          </w:tcPr>
          <w:p w14:paraId="02D7FB17"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6,7%</w:t>
            </w:r>
          </w:p>
        </w:tc>
        <w:tc>
          <w:tcPr>
            <w:tcW w:w="1269" w:type="dxa"/>
            <w:tcBorders>
              <w:top w:val="nil"/>
              <w:left w:val="nil"/>
              <w:bottom w:val="single" w:sz="4" w:space="0" w:color="auto"/>
              <w:right w:val="single" w:sz="4" w:space="0" w:color="auto"/>
            </w:tcBorders>
            <w:noWrap/>
            <w:vAlign w:val="center"/>
            <w:hideMark/>
          </w:tcPr>
          <w:p w14:paraId="32C848FE"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-0,2</w:t>
            </w:r>
          </w:p>
        </w:tc>
      </w:tr>
      <w:tr w:rsidR="0070161D" w:rsidRPr="00FD1578" w14:paraId="7C6D6419"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00362565"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Plastmasas, kaučuks un to izstrādājumi</w:t>
            </w:r>
          </w:p>
        </w:tc>
        <w:tc>
          <w:tcPr>
            <w:tcW w:w="1011" w:type="dxa"/>
            <w:tcBorders>
              <w:top w:val="nil"/>
              <w:left w:val="nil"/>
              <w:bottom w:val="single" w:sz="4" w:space="0" w:color="auto"/>
              <w:right w:val="single" w:sz="4" w:space="0" w:color="auto"/>
            </w:tcBorders>
            <w:noWrap/>
            <w:vAlign w:val="center"/>
            <w:hideMark/>
          </w:tcPr>
          <w:p w14:paraId="3845440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674</w:t>
            </w:r>
          </w:p>
        </w:tc>
        <w:tc>
          <w:tcPr>
            <w:tcW w:w="1004" w:type="dxa"/>
            <w:tcBorders>
              <w:top w:val="nil"/>
              <w:left w:val="nil"/>
              <w:bottom w:val="single" w:sz="4" w:space="0" w:color="auto"/>
              <w:right w:val="single" w:sz="4" w:space="0" w:color="auto"/>
            </w:tcBorders>
            <w:noWrap/>
            <w:vAlign w:val="center"/>
            <w:hideMark/>
          </w:tcPr>
          <w:p w14:paraId="544F53B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636</w:t>
            </w:r>
          </w:p>
        </w:tc>
        <w:tc>
          <w:tcPr>
            <w:tcW w:w="1282" w:type="dxa"/>
            <w:tcBorders>
              <w:top w:val="nil"/>
              <w:left w:val="nil"/>
              <w:bottom w:val="single" w:sz="4" w:space="0" w:color="auto"/>
              <w:right w:val="single" w:sz="4" w:space="0" w:color="auto"/>
            </w:tcBorders>
            <w:noWrap/>
            <w:vAlign w:val="center"/>
            <w:hideMark/>
          </w:tcPr>
          <w:p w14:paraId="024BDB9E"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-39</w:t>
            </w:r>
          </w:p>
        </w:tc>
        <w:tc>
          <w:tcPr>
            <w:tcW w:w="1279" w:type="dxa"/>
            <w:tcBorders>
              <w:top w:val="nil"/>
              <w:left w:val="nil"/>
              <w:bottom w:val="single" w:sz="4" w:space="0" w:color="auto"/>
              <w:right w:val="single" w:sz="4" w:space="0" w:color="auto"/>
            </w:tcBorders>
            <w:noWrap/>
            <w:vAlign w:val="center"/>
            <w:hideMark/>
          </w:tcPr>
          <w:p w14:paraId="3334F618"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-5,8%</w:t>
            </w:r>
          </w:p>
        </w:tc>
        <w:tc>
          <w:tcPr>
            <w:tcW w:w="1134" w:type="dxa"/>
            <w:tcBorders>
              <w:top w:val="nil"/>
              <w:left w:val="nil"/>
              <w:bottom w:val="single" w:sz="4" w:space="0" w:color="auto"/>
              <w:right w:val="single" w:sz="4" w:space="0" w:color="auto"/>
            </w:tcBorders>
            <w:noWrap/>
            <w:vAlign w:val="center"/>
            <w:hideMark/>
          </w:tcPr>
          <w:p w14:paraId="11D1CB51"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5,1%</w:t>
            </w:r>
          </w:p>
        </w:tc>
        <w:tc>
          <w:tcPr>
            <w:tcW w:w="1269" w:type="dxa"/>
            <w:tcBorders>
              <w:top w:val="nil"/>
              <w:left w:val="nil"/>
              <w:bottom w:val="single" w:sz="4" w:space="0" w:color="auto"/>
              <w:right w:val="single" w:sz="4" w:space="0" w:color="auto"/>
            </w:tcBorders>
            <w:noWrap/>
            <w:vAlign w:val="center"/>
            <w:hideMark/>
          </w:tcPr>
          <w:p w14:paraId="3871AFA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-0,3</w:t>
            </w:r>
          </w:p>
        </w:tc>
      </w:tr>
      <w:tr w:rsidR="0070161D" w:rsidRPr="00FD1578" w14:paraId="2632322B"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0BA614A3"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Tekstilmateriāli un tekstilizstrādājumi</w:t>
            </w:r>
          </w:p>
        </w:tc>
        <w:tc>
          <w:tcPr>
            <w:tcW w:w="1011" w:type="dxa"/>
            <w:tcBorders>
              <w:top w:val="nil"/>
              <w:left w:val="nil"/>
              <w:bottom w:val="single" w:sz="4" w:space="0" w:color="auto"/>
              <w:right w:val="single" w:sz="4" w:space="0" w:color="auto"/>
            </w:tcBorders>
            <w:noWrap/>
            <w:vAlign w:val="center"/>
            <w:hideMark/>
          </w:tcPr>
          <w:p w14:paraId="7D7266E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436</w:t>
            </w:r>
          </w:p>
        </w:tc>
        <w:tc>
          <w:tcPr>
            <w:tcW w:w="1004" w:type="dxa"/>
            <w:tcBorders>
              <w:top w:val="nil"/>
              <w:left w:val="nil"/>
              <w:bottom w:val="single" w:sz="4" w:space="0" w:color="auto"/>
              <w:right w:val="single" w:sz="4" w:space="0" w:color="auto"/>
            </w:tcBorders>
            <w:noWrap/>
            <w:vAlign w:val="center"/>
            <w:hideMark/>
          </w:tcPr>
          <w:p w14:paraId="28E3E818"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429</w:t>
            </w:r>
          </w:p>
        </w:tc>
        <w:tc>
          <w:tcPr>
            <w:tcW w:w="1282" w:type="dxa"/>
            <w:tcBorders>
              <w:top w:val="nil"/>
              <w:left w:val="nil"/>
              <w:bottom w:val="single" w:sz="4" w:space="0" w:color="auto"/>
              <w:right w:val="single" w:sz="4" w:space="0" w:color="auto"/>
            </w:tcBorders>
            <w:noWrap/>
            <w:vAlign w:val="center"/>
            <w:hideMark/>
          </w:tcPr>
          <w:p w14:paraId="4A4BB191"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-7</w:t>
            </w:r>
          </w:p>
        </w:tc>
        <w:tc>
          <w:tcPr>
            <w:tcW w:w="1279" w:type="dxa"/>
            <w:tcBorders>
              <w:top w:val="nil"/>
              <w:left w:val="nil"/>
              <w:bottom w:val="single" w:sz="4" w:space="0" w:color="auto"/>
              <w:right w:val="single" w:sz="4" w:space="0" w:color="auto"/>
            </w:tcBorders>
            <w:noWrap/>
            <w:vAlign w:val="center"/>
            <w:hideMark/>
          </w:tcPr>
          <w:p w14:paraId="54E7E12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-1,5%</w:t>
            </w:r>
          </w:p>
        </w:tc>
        <w:tc>
          <w:tcPr>
            <w:tcW w:w="1134" w:type="dxa"/>
            <w:tcBorders>
              <w:top w:val="nil"/>
              <w:left w:val="nil"/>
              <w:bottom w:val="single" w:sz="4" w:space="0" w:color="auto"/>
              <w:right w:val="single" w:sz="4" w:space="0" w:color="auto"/>
            </w:tcBorders>
            <w:noWrap/>
            <w:vAlign w:val="center"/>
            <w:hideMark/>
          </w:tcPr>
          <w:p w14:paraId="5EB4F74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3,4%</w:t>
            </w:r>
          </w:p>
        </w:tc>
        <w:tc>
          <w:tcPr>
            <w:tcW w:w="1269" w:type="dxa"/>
            <w:tcBorders>
              <w:top w:val="nil"/>
              <w:left w:val="nil"/>
              <w:bottom w:val="single" w:sz="4" w:space="0" w:color="auto"/>
              <w:right w:val="single" w:sz="4" w:space="0" w:color="auto"/>
            </w:tcBorders>
            <w:noWrap/>
            <w:vAlign w:val="center"/>
            <w:hideMark/>
          </w:tcPr>
          <w:p w14:paraId="5F7F000F"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0,0</w:t>
            </w:r>
          </w:p>
        </w:tc>
      </w:tr>
      <w:tr w:rsidR="0070161D" w:rsidRPr="00FD1578" w14:paraId="5A7D63BF"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6EBB529E"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Koks un koka izstrādājumi</w:t>
            </w:r>
          </w:p>
        </w:tc>
        <w:tc>
          <w:tcPr>
            <w:tcW w:w="1011" w:type="dxa"/>
            <w:tcBorders>
              <w:top w:val="nil"/>
              <w:left w:val="nil"/>
              <w:bottom w:val="single" w:sz="4" w:space="0" w:color="auto"/>
              <w:right w:val="single" w:sz="4" w:space="0" w:color="auto"/>
            </w:tcBorders>
            <w:noWrap/>
            <w:vAlign w:val="center"/>
            <w:hideMark/>
          </w:tcPr>
          <w:p w14:paraId="235D5DA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361</w:t>
            </w:r>
          </w:p>
        </w:tc>
        <w:tc>
          <w:tcPr>
            <w:tcW w:w="1004" w:type="dxa"/>
            <w:tcBorders>
              <w:top w:val="nil"/>
              <w:left w:val="nil"/>
              <w:bottom w:val="single" w:sz="4" w:space="0" w:color="auto"/>
              <w:right w:val="single" w:sz="4" w:space="0" w:color="auto"/>
            </w:tcBorders>
            <w:noWrap/>
            <w:vAlign w:val="center"/>
            <w:hideMark/>
          </w:tcPr>
          <w:p w14:paraId="4FDF8D70"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323</w:t>
            </w:r>
          </w:p>
        </w:tc>
        <w:tc>
          <w:tcPr>
            <w:tcW w:w="1282" w:type="dxa"/>
            <w:tcBorders>
              <w:top w:val="nil"/>
              <w:left w:val="nil"/>
              <w:bottom w:val="single" w:sz="4" w:space="0" w:color="auto"/>
              <w:right w:val="single" w:sz="4" w:space="0" w:color="auto"/>
            </w:tcBorders>
            <w:noWrap/>
            <w:vAlign w:val="center"/>
            <w:hideMark/>
          </w:tcPr>
          <w:p w14:paraId="4E41E87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-38</w:t>
            </w:r>
          </w:p>
        </w:tc>
        <w:tc>
          <w:tcPr>
            <w:tcW w:w="1279" w:type="dxa"/>
            <w:tcBorders>
              <w:top w:val="nil"/>
              <w:left w:val="nil"/>
              <w:bottom w:val="single" w:sz="4" w:space="0" w:color="auto"/>
              <w:right w:val="single" w:sz="4" w:space="0" w:color="auto"/>
            </w:tcBorders>
            <w:noWrap/>
            <w:vAlign w:val="center"/>
            <w:hideMark/>
          </w:tcPr>
          <w:p w14:paraId="5180E557"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-10,6%</w:t>
            </w:r>
          </w:p>
        </w:tc>
        <w:tc>
          <w:tcPr>
            <w:tcW w:w="1134" w:type="dxa"/>
            <w:tcBorders>
              <w:top w:val="nil"/>
              <w:left w:val="nil"/>
              <w:bottom w:val="single" w:sz="4" w:space="0" w:color="auto"/>
              <w:right w:val="single" w:sz="4" w:space="0" w:color="auto"/>
            </w:tcBorders>
            <w:noWrap/>
            <w:vAlign w:val="center"/>
            <w:hideMark/>
          </w:tcPr>
          <w:p w14:paraId="58EB23F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2,6%</w:t>
            </w:r>
          </w:p>
        </w:tc>
        <w:tc>
          <w:tcPr>
            <w:tcW w:w="1269" w:type="dxa"/>
            <w:tcBorders>
              <w:top w:val="nil"/>
              <w:left w:val="nil"/>
              <w:bottom w:val="single" w:sz="4" w:space="0" w:color="auto"/>
              <w:right w:val="single" w:sz="4" w:space="0" w:color="auto"/>
            </w:tcBorders>
            <w:noWrap/>
            <w:vAlign w:val="center"/>
            <w:hideMark/>
          </w:tcPr>
          <w:p w14:paraId="4FCF3051"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-0,3</w:t>
            </w:r>
          </w:p>
        </w:tc>
      </w:tr>
      <w:tr w:rsidR="0070161D" w:rsidRPr="00FD1578" w14:paraId="4DABDBDD"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17688BCD"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Papīrs, kartons un poligrāfijas izstrādājumi</w:t>
            </w:r>
          </w:p>
        </w:tc>
        <w:tc>
          <w:tcPr>
            <w:tcW w:w="1011" w:type="dxa"/>
            <w:tcBorders>
              <w:top w:val="nil"/>
              <w:left w:val="nil"/>
              <w:bottom w:val="single" w:sz="4" w:space="0" w:color="auto"/>
              <w:right w:val="single" w:sz="4" w:space="0" w:color="auto"/>
            </w:tcBorders>
            <w:noWrap/>
            <w:vAlign w:val="center"/>
            <w:hideMark/>
          </w:tcPr>
          <w:p w14:paraId="20C80327"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236</w:t>
            </w:r>
          </w:p>
        </w:tc>
        <w:tc>
          <w:tcPr>
            <w:tcW w:w="1004" w:type="dxa"/>
            <w:tcBorders>
              <w:top w:val="nil"/>
              <w:left w:val="nil"/>
              <w:bottom w:val="single" w:sz="4" w:space="0" w:color="auto"/>
              <w:right w:val="single" w:sz="4" w:space="0" w:color="auto"/>
            </w:tcBorders>
            <w:noWrap/>
            <w:vAlign w:val="center"/>
            <w:hideMark/>
          </w:tcPr>
          <w:p w14:paraId="342DB42E"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236</w:t>
            </w:r>
          </w:p>
        </w:tc>
        <w:tc>
          <w:tcPr>
            <w:tcW w:w="1282" w:type="dxa"/>
            <w:tcBorders>
              <w:top w:val="nil"/>
              <w:left w:val="nil"/>
              <w:bottom w:val="single" w:sz="4" w:space="0" w:color="auto"/>
              <w:right w:val="single" w:sz="4" w:space="0" w:color="auto"/>
            </w:tcBorders>
            <w:noWrap/>
            <w:vAlign w:val="center"/>
            <w:hideMark/>
          </w:tcPr>
          <w:p w14:paraId="5866075A"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w:t>
            </w:r>
          </w:p>
        </w:tc>
        <w:tc>
          <w:tcPr>
            <w:tcW w:w="1279" w:type="dxa"/>
            <w:tcBorders>
              <w:top w:val="nil"/>
              <w:left w:val="nil"/>
              <w:bottom w:val="single" w:sz="4" w:space="0" w:color="auto"/>
              <w:right w:val="single" w:sz="4" w:space="0" w:color="auto"/>
            </w:tcBorders>
            <w:noWrap/>
            <w:vAlign w:val="center"/>
            <w:hideMark/>
          </w:tcPr>
          <w:p w14:paraId="5D34DBD7"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0,0%</w:t>
            </w:r>
          </w:p>
        </w:tc>
        <w:tc>
          <w:tcPr>
            <w:tcW w:w="1134" w:type="dxa"/>
            <w:tcBorders>
              <w:top w:val="nil"/>
              <w:left w:val="nil"/>
              <w:bottom w:val="single" w:sz="4" w:space="0" w:color="auto"/>
              <w:right w:val="single" w:sz="4" w:space="0" w:color="auto"/>
            </w:tcBorders>
            <w:noWrap/>
            <w:vAlign w:val="center"/>
            <w:hideMark/>
          </w:tcPr>
          <w:p w14:paraId="4FE2A04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1,9%</w:t>
            </w:r>
          </w:p>
        </w:tc>
        <w:tc>
          <w:tcPr>
            <w:tcW w:w="1269" w:type="dxa"/>
            <w:tcBorders>
              <w:top w:val="nil"/>
              <w:left w:val="nil"/>
              <w:bottom w:val="single" w:sz="4" w:space="0" w:color="auto"/>
              <w:right w:val="single" w:sz="4" w:space="0" w:color="auto"/>
            </w:tcBorders>
            <w:noWrap/>
            <w:vAlign w:val="center"/>
            <w:hideMark/>
          </w:tcPr>
          <w:p w14:paraId="442B56C0"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0,0</w:t>
            </w:r>
          </w:p>
        </w:tc>
      </w:tr>
      <w:tr w:rsidR="0070161D" w:rsidRPr="00FD1578" w14:paraId="6C44A2C7"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551E9E80"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Būvniecības izstrādājumi</w:t>
            </w:r>
          </w:p>
        </w:tc>
        <w:tc>
          <w:tcPr>
            <w:tcW w:w="1011" w:type="dxa"/>
            <w:tcBorders>
              <w:top w:val="nil"/>
              <w:left w:val="nil"/>
              <w:bottom w:val="single" w:sz="4" w:space="0" w:color="auto"/>
              <w:right w:val="single" w:sz="4" w:space="0" w:color="auto"/>
            </w:tcBorders>
            <w:noWrap/>
            <w:vAlign w:val="center"/>
            <w:hideMark/>
          </w:tcPr>
          <w:p w14:paraId="12B37FF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196</w:t>
            </w:r>
          </w:p>
        </w:tc>
        <w:tc>
          <w:tcPr>
            <w:tcW w:w="1004" w:type="dxa"/>
            <w:tcBorders>
              <w:top w:val="nil"/>
              <w:left w:val="nil"/>
              <w:bottom w:val="single" w:sz="4" w:space="0" w:color="auto"/>
              <w:right w:val="single" w:sz="4" w:space="0" w:color="auto"/>
            </w:tcBorders>
            <w:noWrap/>
            <w:vAlign w:val="center"/>
            <w:hideMark/>
          </w:tcPr>
          <w:p w14:paraId="0B4052E4"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185</w:t>
            </w:r>
          </w:p>
        </w:tc>
        <w:tc>
          <w:tcPr>
            <w:tcW w:w="1282" w:type="dxa"/>
            <w:tcBorders>
              <w:top w:val="nil"/>
              <w:left w:val="nil"/>
              <w:bottom w:val="single" w:sz="4" w:space="0" w:color="auto"/>
              <w:right w:val="single" w:sz="4" w:space="0" w:color="auto"/>
            </w:tcBorders>
            <w:noWrap/>
            <w:vAlign w:val="center"/>
            <w:hideMark/>
          </w:tcPr>
          <w:p w14:paraId="3DB89E7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-10</w:t>
            </w:r>
          </w:p>
        </w:tc>
        <w:tc>
          <w:tcPr>
            <w:tcW w:w="1279" w:type="dxa"/>
            <w:tcBorders>
              <w:top w:val="nil"/>
              <w:left w:val="nil"/>
              <w:bottom w:val="single" w:sz="4" w:space="0" w:color="auto"/>
              <w:right w:val="single" w:sz="4" w:space="0" w:color="auto"/>
            </w:tcBorders>
            <w:noWrap/>
            <w:vAlign w:val="center"/>
            <w:hideMark/>
          </w:tcPr>
          <w:p w14:paraId="6EA4FAF2"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-5,1%</w:t>
            </w:r>
          </w:p>
        </w:tc>
        <w:tc>
          <w:tcPr>
            <w:tcW w:w="1134" w:type="dxa"/>
            <w:tcBorders>
              <w:top w:val="nil"/>
              <w:left w:val="nil"/>
              <w:bottom w:val="single" w:sz="4" w:space="0" w:color="auto"/>
              <w:right w:val="single" w:sz="4" w:space="0" w:color="auto"/>
            </w:tcBorders>
            <w:noWrap/>
            <w:vAlign w:val="center"/>
            <w:hideMark/>
          </w:tcPr>
          <w:p w14:paraId="4A3C1870"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1,5%</w:t>
            </w:r>
          </w:p>
        </w:tc>
        <w:tc>
          <w:tcPr>
            <w:tcW w:w="1269" w:type="dxa"/>
            <w:tcBorders>
              <w:top w:val="nil"/>
              <w:left w:val="nil"/>
              <w:bottom w:val="single" w:sz="4" w:space="0" w:color="auto"/>
              <w:right w:val="single" w:sz="4" w:space="0" w:color="auto"/>
            </w:tcBorders>
            <w:noWrap/>
            <w:vAlign w:val="center"/>
            <w:hideMark/>
          </w:tcPr>
          <w:p w14:paraId="7E826AB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-0,1</w:t>
            </w:r>
          </w:p>
        </w:tc>
      </w:tr>
      <w:tr w:rsidR="0070161D" w:rsidRPr="00FD1578" w14:paraId="043D3128"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2025A468" w14:textId="77777777" w:rsidR="0070161D" w:rsidRPr="00FD1578" w:rsidRDefault="0070161D" w:rsidP="008349F0">
            <w:pPr>
              <w:spacing w:after="0"/>
              <w:ind w:firstLine="0"/>
              <w:jc w:val="left"/>
              <w:rPr>
                <w:rFonts w:eastAsia="Times New Roman" w:cs="Times New Roman"/>
                <w:color w:val="000000"/>
                <w:sz w:val="20"/>
                <w:szCs w:val="20"/>
              </w:rPr>
            </w:pPr>
            <w:r w:rsidRPr="00FD1578">
              <w:rPr>
                <w:rFonts w:eastAsia="Times New Roman" w:cs="Times New Roman"/>
                <w:color w:val="000000"/>
                <w:sz w:val="20"/>
                <w:szCs w:val="20"/>
              </w:rPr>
              <w:t xml:space="preserve">Pārējās preces </w:t>
            </w:r>
          </w:p>
        </w:tc>
        <w:tc>
          <w:tcPr>
            <w:tcW w:w="1011" w:type="dxa"/>
            <w:tcBorders>
              <w:top w:val="nil"/>
              <w:left w:val="nil"/>
              <w:bottom w:val="single" w:sz="4" w:space="0" w:color="auto"/>
              <w:right w:val="single" w:sz="4" w:space="0" w:color="auto"/>
            </w:tcBorders>
            <w:noWrap/>
            <w:vAlign w:val="center"/>
            <w:hideMark/>
          </w:tcPr>
          <w:p w14:paraId="5F20E3D9"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865</w:t>
            </w:r>
          </w:p>
        </w:tc>
        <w:tc>
          <w:tcPr>
            <w:tcW w:w="1004" w:type="dxa"/>
            <w:tcBorders>
              <w:top w:val="nil"/>
              <w:left w:val="nil"/>
              <w:bottom w:val="single" w:sz="4" w:space="0" w:color="auto"/>
              <w:right w:val="single" w:sz="4" w:space="0" w:color="auto"/>
            </w:tcBorders>
            <w:noWrap/>
            <w:vAlign w:val="center"/>
            <w:hideMark/>
          </w:tcPr>
          <w:p w14:paraId="0BD1F345"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839</w:t>
            </w:r>
          </w:p>
        </w:tc>
        <w:tc>
          <w:tcPr>
            <w:tcW w:w="1282" w:type="dxa"/>
            <w:tcBorders>
              <w:top w:val="nil"/>
              <w:left w:val="nil"/>
              <w:bottom w:val="single" w:sz="4" w:space="0" w:color="auto"/>
              <w:right w:val="single" w:sz="4" w:space="0" w:color="auto"/>
            </w:tcBorders>
            <w:noWrap/>
            <w:vAlign w:val="center"/>
            <w:hideMark/>
          </w:tcPr>
          <w:p w14:paraId="106E661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-26</w:t>
            </w:r>
          </w:p>
        </w:tc>
        <w:tc>
          <w:tcPr>
            <w:tcW w:w="1279" w:type="dxa"/>
            <w:tcBorders>
              <w:top w:val="nil"/>
              <w:left w:val="nil"/>
              <w:bottom w:val="single" w:sz="4" w:space="0" w:color="auto"/>
              <w:right w:val="single" w:sz="4" w:space="0" w:color="auto"/>
            </w:tcBorders>
            <w:noWrap/>
            <w:vAlign w:val="center"/>
            <w:hideMark/>
          </w:tcPr>
          <w:p w14:paraId="764EAFBB"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-3,0%</w:t>
            </w:r>
          </w:p>
        </w:tc>
        <w:tc>
          <w:tcPr>
            <w:tcW w:w="1134" w:type="dxa"/>
            <w:tcBorders>
              <w:top w:val="nil"/>
              <w:left w:val="nil"/>
              <w:bottom w:val="single" w:sz="4" w:space="0" w:color="auto"/>
              <w:right w:val="single" w:sz="4" w:space="0" w:color="auto"/>
            </w:tcBorders>
            <w:noWrap/>
            <w:vAlign w:val="center"/>
            <w:hideMark/>
          </w:tcPr>
          <w:p w14:paraId="43B8880D"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6,7%</w:t>
            </w:r>
          </w:p>
        </w:tc>
        <w:tc>
          <w:tcPr>
            <w:tcW w:w="1269" w:type="dxa"/>
            <w:tcBorders>
              <w:top w:val="nil"/>
              <w:left w:val="nil"/>
              <w:bottom w:val="single" w:sz="4" w:space="0" w:color="auto"/>
              <w:right w:val="single" w:sz="4" w:space="0" w:color="auto"/>
            </w:tcBorders>
            <w:noWrap/>
            <w:vAlign w:val="center"/>
            <w:hideMark/>
          </w:tcPr>
          <w:p w14:paraId="194842F3" w14:textId="77777777" w:rsidR="0070161D" w:rsidRPr="00FD1578" w:rsidRDefault="0070161D" w:rsidP="008349F0">
            <w:pPr>
              <w:spacing w:after="0"/>
              <w:ind w:firstLine="0"/>
              <w:jc w:val="center"/>
              <w:rPr>
                <w:rFonts w:eastAsia="Times New Roman" w:cs="Times New Roman"/>
                <w:color w:val="000000"/>
                <w:sz w:val="20"/>
                <w:szCs w:val="20"/>
              </w:rPr>
            </w:pPr>
            <w:r w:rsidRPr="00FD1578">
              <w:rPr>
                <w:rFonts w:eastAsia="Times New Roman" w:cs="Times New Roman"/>
                <w:color w:val="000000"/>
                <w:sz w:val="20"/>
                <w:szCs w:val="20"/>
              </w:rPr>
              <w:t>-0,2</w:t>
            </w:r>
          </w:p>
        </w:tc>
      </w:tr>
      <w:tr w:rsidR="0070161D" w:rsidRPr="00FD1578" w14:paraId="089EDA45" w14:textId="77777777" w:rsidTr="0073287C">
        <w:trPr>
          <w:trHeight w:val="288"/>
          <w:jc w:val="center"/>
        </w:trPr>
        <w:tc>
          <w:tcPr>
            <w:tcW w:w="2082" w:type="dxa"/>
            <w:tcBorders>
              <w:top w:val="nil"/>
              <w:left w:val="single" w:sz="4" w:space="0" w:color="auto"/>
              <w:bottom w:val="single" w:sz="4" w:space="0" w:color="auto"/>
              <w:right w:val="single" w:sz="4" w:space="0" w:color="auto"/>
            </w:tcBorders>
            <w:noWrap/>
            <w:vAlign w:val="bottom"/>
            <w:hideMark/>
          </w:tcPr>
          <w:p w14:paraId="3A938CF2" w14:textId="77777777" w:rsidR="0070161D" w:rsidRPr="00FD1578" w:rsidRDefault="0070161D" w:rsidP="008349F0">
            <w:pPr>
              <w:spacing w:after="0"/>
              <w:ind w:firstLine="0"/>
              <w:jc w:val="left"/>
              <w:rPr>
                <w:rFonts w:eastAsia="Times New Roman" w:cs="Times New Roman"/>
                <w:b/>
                <w:bCs/>
                <w:color w:val="000000"/>
                <w:sz w:val="20"/>
                <w:szCs w:val="20"/>
              </w:rPr>
            </w:pPr>
            <w:r w:rsidRPr="00FD1578">
              <w:rPr>
                <w:rFonts w:eastAsia="Times New Roman" w:cs="Times New Roman"/>
                <w:b/>
                <w:bCs/>
                <w:color w:val="000000"/>
                <w:sz w:val="20"/>
                <w:szCs w:val="20"/>
              </w:rPr>
              <w:t>Kopējais preču imports</w:t>
            </w:r>
          </w:p>
        </w:tc>
        <w:tc>
          <w:tcPr>
            <w:tcW w:w="1011" w:type="dxa"/>
            <w:tcBorders>
              <w:top w:val="nil"/>
              <w:left w:val="nil"/>
              <w:bottom w:val="single" w:sz="4" w:space="0" w:color="auto"/>
              <w:right w:val="single" w:sz="4" w:space="0" w:color="auto"/>
            </w:tcBorders>
            <w:noWrap/>
            <w:vAlign w:val="center"/>
            <w:hideMark/>
          </w:tcPr>
          <w:p w14:paraId="4992E958"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13631</w:t>
            </w:r>
          </w:p>
        </w:tc>
        <w:tc>
          <w:tcPr>
            <w:tcW w:w="1004" w:type="dxa"/>
            <w:tcBorders>
              <w:top w:val="nil"/>
              <w:left w:val="nil"/>
              <w:bottom w:val="single" w:sz="4" w:space="0" w:color="auto"/>
              <w:right w:val="single" w:sz="4" w:space="0" w:color="auto"/>
            </w:tcBorders>
            <w:noWrap/>
            <w:vAlign w:val="center"/>
            <w:hideMark/>
          </w:tcPr>
          <w:p w14:paraId="240EAF1C"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12542</w:t>
            </w:r>
          </w:p>
        </w:tc>
        <w:tc>
          <w:tcPr>
            <w:tcW w:w="1282" w:type="dxa"/>
            <w:tcBorders>
              <w:top w:val="nil"/>
              <w:left w:val="nil"/>
              <w:bottom w:val="single" w:sz="4" w:space="0" w:color="auto"/>
              <w:right w:val="single" w:sz="4" w:space="0" w:color="auto"/>
            </w:tcBorders>
            <w:noWrap/>
            <w:vAlign w:val="center"/>
            <w:hideMark/>
          </w:tcPr>
          <w:p w14:paraId="62608C5A"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-1088</w:t>
            </w:r>
          </w:p>
        </w:tc>
        <w:tc>
          <w:tcPr>
            <w:tcW w:w="1279" w:type="dxa"/>
            <w:tcBorders>
              <w:top w:val="nil"/>
              <w:left w:val="nil"/>
              <w:bottom w:val="single" w:sz="4" w:space="0" w:color="auto"/>
              <w:right w:val="single" w:sz="4" w:space="0" w:color="auto"/>
            </w:tcBorders>
            <w:noWrap/>
            <w:vAlign w:val="center"/>
            <w:hideMark/>
          </w:tcPr>
          <w:p w14:paraId="2CF547F7"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-8,0%</w:t>
            </w:r>
          </w:p>
        </w:tc>
        <w:tc>
          <w:tcPr>
            <w:tcW w:w="1134" w:type="dxa"/>
            <w:tcBorders>
              <w:top w:val="nil"/>
              <w:left w:val="nil"/>
              <w:bottom w:val="single" w:sz="4" w:space="0" w:color="auto"/>
              <w:right w:val="single" w:sz="4" w:space="0" w:color="auto"/>
            </w:tcBorders>
            <w:noWrap/>
            <w:vAlign w:val="center"/>
            <w:hideMark/>
          </w:tcPr>
          <w:p w14:paraId="58D69E74"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100,0%</w:t>
            </w:r>
          </w:p>
        </w:tc>
        <w:tc>
          <w:tcPr>
            <w:tcW w:w="1269" w:type="dxa"/>
            <w:tcBorders>
              <w:top w:val="nil"/>
              <w:left w:val="nil"/>
              <w:bottom w:val="single" w:sz="4" w:space="0" w:color="auto"/>
              <w:right w:val="single" w:sz="4" w:space="0" w:color="auto"/>
            </w:tcBorders>
            <w:noWrap/>
            <w:vAlign w:val="center"/>
            <w:hideMark/>
          </w:tcPr>
          <w:p w14:paraId="3C89AC2C" w14:textId="77777777" w:rsidR="0070161D" w:rsidRPr="00FD1578" w:rsidRDefault="0070161D" w:rsidP="008349F0">
            <w:pPr>
              <w:spacing w:after="0"/>
              <w:ind w:firstLine="0"/>
              <w:jc w:val="center"/>
              <w:rPr>
                <w:rFonts w:eastAsia="Times New Roman" w:cs="Times New Roman"/>
                <w:b/>
                <w:bCs/>
                <w:color w:val="000000"/>
                <w:sz w:val="20"/>
                <w:szCs w:val="20"/>
              </w:rPr>
            </w:pPr>
            <w:r w:rsidRPr="00FD1578">
              <w:rPr>
                <w:rFonts w:eastAsia="Times New Roman" w:cs="Times New Roman"/>
                <w:b/>
                <w:bCs/>
                <w:color w:val="000000"/>
                <w:sz w:val="20"/>
                <w:szCs w:val="20"/>
              </w:rPr>
              <w:t>-8,0</w:t>
            </w:r>
          </w:p>
        </w:tc>
      </w:tr>
    </w:tbl>
    <w:p w14:paraId="51284B14" w14:textId="77777777" w:rsidR="0070161D" w:rsidRPr="00FD1578" w:rsidRDefault="0070161D" w:rsidP="008349F0">
      <w:pPr>
        <w:spacing w:before="120"/>
        <w:rPr>
          <w:rFonts w:eastAsia="Calibri" w:cs="Times New Roman"/>
          <w:szCs w:val="24"/>
          <w:lang w:eastAsia="en-US"/>
        </w:rPr>
      </w:pPr>
      <w:r w:rsidRPr="00FD1578">
        <w:rPr>
          <w:rFonts w:eastAsia="Calibri" w:cs="Times New Roman"/>
          <w:szCs w:val="24"/>
          <w:lang w:eastAsia="en-US"/>
        </w:rPr>
        <w:t>Pakalpojumu imports 2024. gada septiņos mēnešos palielinājies par 0,2% salīdzinājumā ar iepriekšējā gada attiecīgo periodu. Importa pieaugumu noteica augstāki Latvijas iedzīvotāju izdevumi ārvalstīs, kas bija par 13,8% lielāki nekā pagājušā gada pirmajos septiņos mēnešos. Savukārt transporta pakalpojumu importa vērtība bija par 4,6% zemāka, ko ietekmēja importa kritums visos transporta pakalpojumu veidos, izņemot jūras transportu. Citu komerciālo pakalpojumu importa vērtības kritums sasniedza 3,2%, ko lielā mērā noteica finanšu un telesakaru pakalpojumu importa samazinājums.</w:t>
      </w:r>
    </w:p>
    <w:p w14:paraId="11D51915" w14:textId="77777777" w:rsidR="0070161D" w:rsidRPr="00FD1578" w:rsidRDefault="0070161D" w:rsidP="008349F0">
      <w:pPr>
        <w:rPr>
          <w:rFonts w:eastAsia="Calibri" w:cs="Times New Roman"/>
          <w:szCs w:val="24"/>
          <w:lang w:eastAsia="en-US"/>
        </w:rPr>
      </w:pPr>
      <w:r w:rsidRPr="00FD1578">
        <w:rPr>
          <w:rFonts w:eastAsia="Calibri" w:cs="Times New Roman"/>
          <w:color w:val="000000"/>
          <w:szCs w:val="24"/>
          <w:shd w:val="clear" w:color="auto" w:fill="FFFFFF"/>
          <w:lang w:eastAsia="en-US"/>
        </w:rPr>
        <w:t>Latvijas apstrādes rūpniecībā kopš 2022. gada maija samazinās ražošanas apjomi. Turklāt apstrādes rūpniecības apgrozījums eksportā šogad samazinās pat straujāk nekā</w:t>
      </w:r>
      <w:r w:rsidRPr="00FD1578">
        <w:rPr>
          <w:rFonts w:eastAsia="Calibri" w:cs="Times New Roman"/>
          <w:color w:val="000000"/>
          <w:szCs w:val="24"/>
          <w:lang w:eastAsia="en-US"/>
        </w:rPr>
        <w:t xml:space="preserve"> </w:t>
      </w:r>
      <w:r w:rsidRPr="00FD1578">
        <w:rPr>
          <w:rFonts w:eastAsia="Calibri" w:cs="Times New Roman"/>
          <w:color w:val="000000"/>
          <w:szCs w:val="24"/>
          <w:shd w:val="clear" w:color="auto" w:fill="FFFFFF"/>
          <w:lang w:eastAsia="en-US"/>
        </w:rPr>
        <w:t xml:space="preserve">vietējā tirgū realizētajai produkcijai, kas atspoguļo vājo ārējo pieprasījumu pēc Latvijā ražotajām precēm. </w:t>
      </w:r>
      <w:r w:rsidRPr="00FD1578">
        <w:rPr>
          <w:rFonts w:eastAsia="Calibri" w:cs="Times New Roman"/>
          <w:color w:val="000000"/>
          <w:szCs w:val="24"/>
          <w:lang w:eastAsia="en-US"/>
        </w:rPr>
        <w:t xml:space="preserve">Ārējais pieprasījums joprojām saglabājas vājš. </w:t>
      </w:r>
      <w:r w:rsidRPr="00FD1578">
        <w:rPr>
          <w:rFonts w:eastAsia="Calibri" w:cs="Times New Roman"/>
          <w:szCs w:val="24"/>
          <w:lang w:eastAsia="en-US"/>
        </w:rPr>
        <w:t xml:space="preserve">Atbilstoši </w:t>
      </w:r>
      <w:proofErr w:type="spellStart"/>
      <w:r w:rsidRPr="00FD1578">
        <w:rPr>
          <w:rFonts w:eastAsia="Calibri" w:cs="Times New Roman"/>
          <w:i/>
          <w:iCs/>
          <w:szCs w:val="24"/>
          <w:lang w:eastAsia="en-US"/>
        </w:rPr>
        <w:t>Eurostat</w:t>
      </w:r>
      <w:proofErr w:type="spellEnd"/>
      <w:r w:rsidRPr="00FD1578">
        <w:rPr>
          <w:rFonts w:eastAsia="Calibri" w:cs="Times New Roman"/>
          <w:szCs w:val="24"/>
          <w:lang w:eastAsia="en-US"/>
        </w:rPr>
        <w:t xml:space="preserve"> novērtējumam, ES dalībvalstu IKP šā gada pirmajā pusgadā palielinājies vien par 0,7% salīdzinājumā ar attiecīgo periodu pirms gada. Šādu ES ekonomikas izaugsmi var uzskatīt par vāju, lai tā veicinātu pieprasījumu pēc Latvijas precēm un pakalpojumiem. Turklāt tādiem nozīmīgiem Latvijas preču tirdzniecības partneriem kā Igaunijai, Vācijai un Somijai bija fiksēts IKP kritums. </w:t>
      </w:r>
      <w:r w:rsidRPr="00FD1578">
        <w:rPr>
          <w:rFonts w:eastAsia="Calibri" w:cs="Times New Roman"/>
          <w:color w:val="000000"/>
          <w:szCs w:val="24"/>
          <w:lang w:eastAsia="en-US"/>
        </w:rPr>
        <w:t xml:space="preserve">Aktuālākie ES ekonomikas konfidences rādītāji neliecina par mājsaimniecību un uzņēmēju aktivitātes pieaugumu, kas varētu stimulēt ekonomisko aktivitāti. Ekonomikas konfidence </w:t>
      </w:r>
      <w:r w:rsidRPr="00FD1578">
        <w:rPr>
          <w:rFonts w:eastAsia="Aptos" w:cs="Times New Roman"/>
          <w:color w:val="000000"/>
          <w:szCs w:val="24"/>
          <w:lang w:eastAsia="en-US"/>
        </w:rPr>
        <w:t xml:space="preserve">ir pesimistiska galvenajos preču noieta tirgos – Igaunijā, Vācijā, Polijā un Somijā. Vērtējot kopējo ekonomisko noskaņojumu ES nozaru griezumā, jāsecina, ka situācija pakalpojumu nozarē un mazumtirdzniecībā ir nedaudz labāka. Savukārt rūpniecībā un būvniecībā, kas ir svarīgākās </w:t>
      </w:r>
      <w:r w:rsidRPr="00FD1578">
        <w:rPr>
          <w:rFonts w:eastAsia="Aptos" w:cs="Times New Roman"/>
          <w:color w:val="000000"/>
          <w:szCs w:val="24"/>
          <w:lang w:eastAsia="en-US"/>
        </w:rPr>
        <w:lastRenderedPageBreak/>
        <w:t>nozares tieši Latvijas preču eksportētājiem, noskaņojums ES saglabājas pesimistisks. Latvijas rūpnieku novērtējums par jauniem pasūtījumiem 2024. gada trešajam ceturksnim būtiski pasliktinājies, kas arī negatīvi atspoguļo vājo ārējo pieprasījumu.</w:t>
      </w:r>
    </w:p>
    <w:p w14:paraId="372FF3CD" w14:textId="77777777" w:rsidR="0070161D" w:rsidRPr="00FD1578" w:rsidRDefault="0070161D" w:rsidP="008349F0">
      <w:pPr>
        <w:rPr>
          <w:rFonts w:eastAsia="Calibri" w:cs="Times New Roman"/>
          <w:szCs w:val="24"/>
          <w:lang w:eastAsia="en-US"/>
        </w:rPr>
      </w:pPr>
      <w:r w:rsidRPr="00FD1578">
        <w:rPr>
          <w:rFonts w:eastAsia="Calibri" w:cs="Times New Roman"/>
          <w:szCs w:val="24"/>
          <w:lang w:eastAsia="en-US"/>
        </w:rPr>
        <w:t xml:space="preserve">2024. gada jūlijā Starptautiskais Valūtas fonds (SVF) aktualizēja savas makroekonomikas prognozes, palielinot </w:t>
      </w:r>
      <w:proofErr w:type="spellStart"/>
      <w:r w:rsidRPr="00FD1578">
        <w:rPr>
          <w:rFonts w:eastAsia="Calibri" w:cs="Times New Roman"/>
          <w:i/>
          <w:iCs/>
          <w:szCs w:val="24"/>
          <w:lang w:eastAsia="en-US"/>
        </w:rPr>
        <w:t>euro</w:t>
      </w:r>
      <w:proofErr w:type="spellEnd"/>
      <w:r w:rsidRPr="00FD1578">
        <w:rPr>
          <w:rFonts w:eastAsia="Calibri" w:cs="Times New Roman"/>
          <w:szCs w:val="24"/>
          <w:lang w:eastAsia="en-US"/>
        </w:rPr>
        <w:t xml:space="preserve"> zonas IKP pieaugumu šim gadam par 0,1 </w:t>
      </w:r>
      <w:proofErr w:type="spellStart"/>
      <w:r w:rsidRPr="00FD1578">
        <w:rPr>
          <w:rFonts w:eastAsia="Calibri" w:cs="Times New Roman"/>
          <w:szCs w:val="24"/>
          <w:lang w:eastAsia="en-US"/>
        </w:rPr>
        <w:t>pp</w:t>
      </w:r>
      <w:proofErr w:type="spellEnd"/>
      <w:r w:rsidRPr="00FD1578">
        <w:rPr>
          <w:rFonts w:eastAsia="Calibri" w:cs="Times New Roman"/>
          <w:szCs w:val="24"/>
          <w:lang w:eastAsia="en-US"/>
        </w:rPr>
        <w:t xml:space="preserve"> līdz 0,9%, ko lielā mērā noteica augstākas ekonomikas izaugsmes prognozes Francijā un Spānijā, salīdzinot ar iepriekšējo novērtējumu aprīlī. Lai arī </w:t>
      </w:r>
      <w:proofErr w:type="spellStart"/>
      <w:r w:rsidRPr="00FD1578">
        <w:rPr>
          <w:rFonts w:eastAsia="Calibri" w:cs="Times New Roman"/>
          <w:i/>
          <w:iCs/>
          <w:szCs w:val="24"/>
          <w:lang w:eastAsia="en-US"/>
        </w:rPr>
        <w:t>euro</w:t>
      </w:r>
      <w:proofErr w:type="spellEnd"/>
      <w:r w:rsidRPr="00FD1578">
        <w:rPr>
          <w:rFonts w:eastAsia="Calibri" w:cs="Times New Roman"/>
          <w:szCs w:val="24"/>
          <w:lang w:eastAsia="en-US"/>
        </w:rPr>
        <w:t xml:space="preserve"> zonas ekonomikas izaugsmes prognoze šim gadam ir paaugstināta, tomēr šis paaugstinājums ir vērtējams kā simbolisks un liecina par vārgu </w:t>
      </w:r>
      <w:proofErr w:type="spellStart"/>
      <w:r w:rsidRPr="00FD1578">
        <w:rPr>
          <w:rFonts w:eastAsia="Calibri" w:cs="Times New Roman"/>
          <w:i/>
          <w:iCs/>
          <w:szCs w:val="24"/>
          <w:lang w:eastAsia="en-US"/>
        </w:rPr>
        <w:t>euro</w:t>
      </w:r>
      <w:proofErr w:type="spellEnd"/>
      <w:r w:rsidRPr="00FD1578">
        <w:rPr>
          <w:rFonts w:eastAsia="Calibri" w:cs="Times New Roman"/>
          <w:szCs w:val="24"/>
          <w:lang w:eastAsia="en-US"/>
        </w:rPr>
        <w:t xml:space="preserve"> zonas ekonomikas attīstību, tādējādi nav priekšnosacījumu straujai Latvijas eksporta attīstībai. Atbilstoši FM aktualizētajām makroekonomisko rādītāju prognozēm, Latvijas preču un pakalpojumu eksports 2024. gadā salīdzināmajās cenās palielināsies par 0,3%, bet preču un pakalpojumu imports pieaugs par 1,0%.</w:t>
      </w:r>
    </w:p>
    <w:p w14:paraId="45A8C9A7" w14:textId="77777777" w:rsidR="0070161D" w:rsidRPr="00FD1578" w:rsidRDefault="0070161D" w:rsidP="008349F0">
      <w:pPr>
        <w:rPr>
          <w:rFonts w:eastAsia="Calibri" w:cs="Arial"/>
          <w:b/>
          <w:bCs/>
          <w:szCs w:val="24"/>
        </w:rPr>
      </w:pPr>
      <w:r w:rsidRPr="00FD1578">
        <w:rPr>
          <w:rFonts w:eastAsia="Calibri" w:cs="Arial"/>
          <w:b/>
          <w:bCs/>
          <w:szCs w:val="24"/>
        </w:rPr>
        <w:t>Tekošais konts</w:t>
      </w:r>
    </w:p>
    <w:p w14:paraId="774CDEC3" w14:textId="77777777" w:rsidR="0070161D" w:rsidRPr="00FD1578" w:rsidRDefault="0070161D" w:rsidP="008349F0">
      <w:pPr>
        <w:rPr>
          <w:rFonts w:eastAsia="Aptos" w:cs="Times New Roman"/>
          <w:color w:val="000000"/>
          <w:szCs w:val="24"/>
          <w:lang w:eastAsia="en-US"/>
        </w:rPr>
      </w:pPr>
      <w:r w:rsidRPr="00FD1578">
        <w:rPr>
          <w:rFonts w:eastAsia="Aptos" w:cs="Times New Roman"/>
          <w:color w:val="000000"/>
          <w:szCs w:val="24"/>
          <w:lang w:eastAsia="en-US"/>
        </w:rPr>
        <w:t xml:space="preserve">2023. gadā maksājumu bilances tekošā konta deficīts salīdzinājumā ar iepriekšējo gadu ir samazinājies, tomēr saglabājies augsts. Ja 2022. gadā tekošā konta deficīts bija 5,1% no IKP, tad pagājušajā gadā tas bija sarucis līdz 1536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jeb 3,8% no IKP. Tekošā konta uzlabojumu noteica otrreizējo ienākumu konta pārpalikuma pieaugums un preču konta deficīta samazinājums. Pateicoties augstākiem ienākumiem no ārvalstīm, ko saņēma gan uzņēmēji, gan mājsaimniecības, kā arī augstākai ES struktūrfondu investīciju plūsmai, otrreizējo ienākumu konta pārpalikums pieauga par 427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līdz 851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2023. gadā samazinājusies gan preču eksporta, gan importa vērtība. Tomēr preču importa kritums bijis nedaudz lielāks, kas labvēlīgi ietekmēja šī konta bilanci, samazinot deficītu par 475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līdz 3649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Lai arī šis samazinājums vērtējams pozitīvi, tomēr preču konta deficīts saglabājas būtisks, kas arī nosaka tekošā konta deficītu kopumā. Tā, preču konta deficīts 2023. gadā bija par 884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lielāks nekā 2021. gadā un par 2,1 mljrd.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lielāks nekā 2020. gadā. Preču konta deficītu pēdējos gados nosaka augstā importa vērtība, ko izraisījis straujais cenu lēciens, it īpaši energoresursiem, kurus Latvija lielākoties importē. </w:t>
      </w:r>
    </w:p>
    <w:p w14:paraId="5B0AC989" w14:textId="06FB46DA" w:rsidR="0070161D" w:rsidRPr="00FD1578" w:rsidRDefault="0070161D" w:rsidP="008349F0">
      <w:pPr>
        <w:rPr>
          <w:rFonts w:eastAsia="Aptos" w:cs="Times New Roman"/>
          <w:color w:val="000000"/>
          <w:szCs w:val="24"/>
          <w:lang w:eastAsia="en-US"/>
        </w:rPr>
      </w:pPr>
      <w:r w:rsidRPr="00FD1578">
        <w:rPr>
          <w:rFonts w:eastAsia="Aptos" w:cs="Times New Roman"/>
          <w:color w:val="000000"/>
          <w:szCs w:val="24"/>
          <w:lang w:eastAsia="en-US"/>
        </w:rPr>
        <w:t xml:space="preserve">Neskatoties uz to, ka 2023. gadā turpinājās pakalpojumu eksporta pieaugums, pakalpojumu imports ir pieaudzis straujāk, tādējādi samazinot konta pārpalikumu par 171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līdz</w:t>
      </w:r>
      <w:r w:rsidR="005735FB">
        <w:rPr>
          <w:rFonts w:eastAsia="Aptos" w:cs="Times New Roman"/>
          <w:color w:val="000000"/>
          <w:szCs w:val="24"/>
          <w:lang w:eastAsia="en-US"/>
        </w:rPr>
        <w:t xml:space="preserve"> </w:t>
      </w:r>
      <w:r w:rsidRPr="00FD1578">
        <w:rPr>
          <w:rFonts w:eastAsia="Aptos" w:cs="Times New Roman"/>
          <w:color w:val="000000"/>
          <w:szCs w:val="24"/>
          <w:lang w:eastAsia="en-US"/>
        </w:rPr>
        <w:t xml:space="preserve">2188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Vērtējot kopējo ārējās tirdzniecības vērtību, jāsecina, ka preču un pakalpojumu kopējā ārējās tirdzniecības bilance 2023. gadā ir nedaudz uzlabojusies, gan nominālā izteiksmē, gan attiecībā pret IKP. Kopējais preču un pakalpojumu ārējās tirdzniecības deficīts sasniedza 1461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jeb 3,6% no IKP. Sākotnējo ienākumu konta bilanci negatīvi ietekmēja augstākas ārvalstu investoriem izmaksātas dividendes, kā arī citi maksājumi ārvalstīs saistībā ar augstākiem kredītu maksājumiem. Tā rezultātā šī konta deficīts pieauga par 294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līdz 927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w:t>
      </w:r>
    </w:p>
    <w:p w14:paraId="47E27FC9" w14:textId="77777777" w:rsidR="0070161D" w:rsidRPr="00FD1578" w:rsidRDefault="0070161D" w:rsidP="008349F0">
      <w:pPr>
        <w:rPr>
          <w:rFonts w:eastAsia="Aptos" w:cs="Times New Roman"/>
          <w:color w:val="000000"/>
          <w:szCs w:val="24"/>
          <w:highlight w:val="yellow"/>
          <w:lang w:eastAsia="en-US"/>
        </w:rPr>
      </w:pPr>
      <w:r w:rsidRPr="00FD1578">
        <w:rPr>
          <w:rFonts w:eastAsia="Aptos" w:cs="Times New Roman"/>
          <w:color w:val="000000"/>
          <w:szCs w:val="24"/>
          <w:lang w:eastAsia="en-US"/>
        </w:rPr>
        <w:t xml:space="preserve">2024. gada pirmajā pusgadā Latvijas maksājumu bilances tekošā konta deficīts veidoja 471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pretstatā 859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attiecīgajā periodā pagājušajā gadā. Tekošā konta uzlabojumu noteica deficīta samazinājums preču un sākotnējo ienākumu kontā. Ņemot vērā, ka preču imports samazinājies straujāk par preču eksportu, preču konta deficīts samazinājies par 348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un veidoja 1390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Sagaidāms, ka šā gada otrajā pusē preču ārējā tirdzniecība kļūs nedaudz intensīvāka un ārējā pieprasījuma uzlabošanās labvēlīgi ietekmēs preču eksportu. Vienlaicīgi iekšējā pieprasījuma pieaugums veicinās arī preču importu. Tādējādi jāsecina, ka preču ārējās tirdzniecības bilances deficīts 2024. gadā būs mazāks nekā pērn, tomēr samazinājums būs mērens. Pakalpojumu kontā saglabājies pārpalikums, bet salīdzinājumā ar pērnā gada pirmo pusi, pārpalikuma apjoms kļuva par 36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mazāks, ko noteica straujāks pakalpojumu eksporta kritums salīdzinājumā ar pakalpojumu importu. Pakalpojumu konta pārpalikums šā gada pirmajā pusē nosedza 69,4% no preču konta deficīta. </w:t>
      </w:r>
      <w:r w:rsidRPr="00FD1578">
        <w:rPr>
          <w:rFonts w:eastAsia="Aptos" w:cs="Times New Roman"/>
          <w:color w:val="000000"/>
          <w:szCs w:val="24"/>
          <w:lang w:eastAsia="en-US"/>
        </w:rPr>
        <w:lastRenderedPageBreak/>
        <w:t xml:space="preserve">Vērtējot kopējo preču un pakalpojumu tirdzniecības bilanci, jāsecina, ka tās deficīts samazinājies par 312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sastādot 426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w:t>
      </w:r>
    </w:p>
    <w:tbl>
      <w:tblPr>
        <w:tblStyle w:val="TableGrid17"/>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7"/>
        <w:gridCol w:w="5024"/>
      </w:tblGrid>
      <w:tr w:rsidR="0070161D" w:rsidRPr="00FD1578" w14:paraId="548060C7" w14:textId="77777777" w:rsidTr="0073287C">
        <w:tc>
          <w:tcPr>
            <w:tcW w:w="4896" w:type="dxa"/>
            <w:hideMark/>
          </w:tcPr>
          <w:p w14:paraId="574D14E4" w14:textId="77777777" w:rsidR="0070161D" w:rsidRPr="00FD1578" w:rsidRDefault="0070161D" w:rsidP="008349F0">
            <w:pPr>
              <w:ind w:firstLine="0"/>
              <w:jc w:val="left"/>
              <w:rPr>
                <w:rFonts w:eastAsia="Aptos"/>
                <w:color w:val="000000"/>
                <w:szCs w:val="24"/>
              </w:rPr>
            </w:pPr>
            <w:r w:rsidRPr="00FD1578">
              <w:rPr>
                <w:rFonts w:eastAsia="Aptos"/>
                <w:noProof/>
                <w:color w:val="000000"/>
                <w:szCs w:val="24"/>
              </w:rPr>
              <w:drawing>
                <wp:inline distT="0" distB="0" distL="0" distR="0" wp14:anchorId="3CF13252" wp14:editId="49499B93">
                  <wp:extent cx="2959100" cy="3721100"/>
                  <wp:effectExtent l="0" t="0" r="0" b="0"/>
                  <wp:docPr id="24" name="Picture 24">
                    <a:extLst xmlns:a="http://schemas.openxmlformats.org/drawingml/2006/main">
                      <a:ext uri="{FF2B5EF4-FFF2-40B4-BE49-F238E27FC236}">
                        <a16:creationId xmlns:a16="http://schemas.microsoft.com/office/drawing/2014/main" id="{10BB196A-8F06-4203-A95D-9877D6A10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4175" w:type="dxa"/>
            <w:hideMark/>
          </w:tcPr>
          <w:p w14:paraId="4327449F" w14:textId="77777777" w:rsidR="0070161D" w:rsidRPr="00FD1578" w:rsidRDefault="0070161D" w:rsidP="008349F0">
            <w:pPr>
              <w:ind w:firstLine="709"/>
              <w:jc w:val="center"/>
              <w:rPr>
                <w:rFonts w:eastAsia="Aptos"/>
                <w:color w:val="000000"/>
                <w:szCs w:val="24"/>
              </w:rPr>
            </w:pPr>
            <w:r w:rsidRPr="00FD1578">
              <w:rPr>
                <w:rFonts w:eastAsia="Aptos"/>
                <w:noProof/>
                <w:color w:val="000000"/>
                <w:szCs w:val="24"/>
              </w:rPr>
              <w:drawing>
                <wp:inline distT="0" distB="0" distL="0" distR="0" wp14:anchorId="67C00B4A" wp14:editId="16A1A203">
                  <wp:extent cx="3263900" cy="4019550"/>
                  <wp:effectExtent l="0" t="0" r="0" b="0"/>
                  <wp:docPr id="25" name="Picture 25">
                    <a:extLst xmlns:a="http://schemas.openxmlformats.org/drawingml/2006/main">
                      <a:ext uri="{FF2B5EF4-FFF2-40B4-BE49-F238E27FC236}">
                        <a16:creationId xmlns:a16="http://schemas.microsoft.com/office/drawing/2014/main" id="{D0D0F076-3DD2-52B9-D7D3-0F959A1EEF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5C0D840A" w14:textId="77777777" w:rsidR="0070161D" w:rsidRPr="00FD1578" w:rsidRDefault="0070161D" w:rsidP="008349F0">
      <w:pPr>
        <w:ind w:firstLine="0"/>
        <w:jc w:val="center"/>
        <w:rPr>
          <w:rFonts w:eastAsia="Calibri" w:cs="Arial"/>
          <w:b/>
          <w:bCs/>
          <w:i/>
          <w:iCs/>
          <w:szCs w:val="24"/>
          <w:lang w:eastAsia="en-US"/>
        </w:rPr>
      </w:pPr>
      <w:r w:rsidRPr="00FD1578">
        <w:rPr>
          <w:rFonts w:eastAsia="Calibri" w:cs="Arial"/>
          <w:b/>
          <w:bCs/>
          <w:i/>
          <w:iCs/>
          <w:szCs w:val="24"/>
          <w:lang w:eastAsia="en-US"/>
        </w:rPr>
        <w:t xml:space="preserve">1.23. att. Latvijas maksājumu bilances tekošā konta komponentes (milj. </w:t>
      </w:r>
      <w:proofErr w:type="spellStart"/>
      <w:r w:rsidRPr="00FD1578">
        <w:rPr>
          <w:rFonts w:eastAsia="Calibri" w:cs="Arial"/>
          <w:b/>
          <w:bCs/>
          <w:i/>
          <w:iCs/>
          <w:szCs w:val="24"/>
          <w:lang w:eastAsia="en-US"/>
        </w:rPr>
        <w:t>euro</w:t>
      </w:r>
      <w:proofErr w:type="spellEnd"/>
      <w:r w:rsidRPr="00FD1578">
        <w:rPr>
          <w:rFonts w:eastAsia="Calibri" w:cs="Arial"/>
          <w:b/>
          <w:bCs/>
          <w:i/>
          <w:iCs/>
          <w:szCs w:val="24"/>
          <w:lang w:eastAsia="en-US"/>
        </w:rPr>
        <w:t xml:space="preserve">) </w:t>
      </w:r>
      <w:r w:rsidRPr="00FD1578">
        <w:rPr>
          <w:rFonts w:eastAsia="Calibri" w:cs="Arial"/>
          <w:b/>
          <w:bCs/>
          <w:i/>
          <w:iCs/>
          <w:szCs w:val="24"/>
          <w:lang w:eastAsia="en-US"/>
        </w:rPr>
        <w:br/>
        <w:t>un tekošais konts procentos no IKP (labā ass)</w:t>
      </w:r>
    </w:p>
    <w:p w14:paraId="0D8F53FE" w14:textId="77777777" w:rsidR="0070161D" w:rsidRPr="00FD1578" w:rsidRDefault="0070161D" w:rsidP="008349F0">
      <w:pPr>
        <w:rPr>
          <w:rFonts w:eastAsia="Aptos" w:cs="Times New Roman"/>
          <w:color w:val="000000"/>
          <w:szCs w:val="24"/>
          <w:lang w:eastAsia="en-US"/>
        </w:rPr>
      </w:pPr>
      <w:r w:rsidRPr="00FD1578">
        <w:rPr>
          <w:rFonts w:eastAsia="Aptos" w:cs="Times New Roman"/>
          <w:color w:val="000000"/>
          <w:szCs w:val="24"/>
          <w:lang w:eastAsia="en-US"/>
        </w:rPr>
        <w:t xml:space="preserve">Sākotnējo ienākumu konta deficīts 2024. gada pirmajā pusgadā samazinājies par 188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un veidoja 375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Konta bilances uzlabošanos labvēlīgi ietekmēja augstāki ieguldījumu ienākumi, ko Latvijas rezidenti saņēma no aktīviem citās valstīs, kā arī lielāka ES fondu investīciju plūsma. Papildus tam, mazākā apmērā tika izmaksātas dividendes ārvalstu investoriem, kas tāpat veicināja konta deficīta sarukumu. Otrreizējo ienākumu konta pārpalikums veidoja 331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kas bija par 110 milj. </w:t>
      </w:r>
      <w:proofErr w:type="spellStart"/>
      <w:r w:rsidRPr="00FD1578">
        <w:rPr>
          <w:rFonts w:eastAsia="Aptos" w:cs="Times New Roman"/>
          <w:i/>
          <w:iCs/>
          <w:color w:val="000000"/>
          <w:szCs w:val="24"/>
          <w:lang w:eastAsia="en-US"/>
        </w:rPr>
        <w:t>euro</w:t>
      </w:r>
      <w:proofErr w:type="spellEnd"/>
      <w:r w:rsidRPr="00FD1578">
        <w:rPr>
          <w:rFonts w:eastAsia="Aptos" w:cs="Times New Roman"/>
          <w:color w:val="000000"/>
          <w:szCs w:val="24"/>
          <w:lang w:eastAsia="en-US"/>
        </w:rPr>
        <w:t xml:space="preserve"> mazāk nekā 2023. gada pirmajā pusē. Pārpalikuma samazinājumu, no vienas puses, noteica mazāka ienākošā finanšu plūsma no ārvalstīm un, no otras puses, to ietekmēja nedaudz augstākas Latvijas iemaksas ES budžetā.</w:t>
      </w:r>
    </w:p>
    <w:p w14:paraId="4E960161" w14:textId="77777777" w:rsidR="0070161D" w:rsidRPr="00FD1578" w:rsidRDefault="0070161D" w:rsidP="008349F0">
      <w:pPr>
        <w:keepNext/>
        <w:keepLines/>
        <w:spacing w:before="200"/>
        <w:ind w:left="993" w:hanging="567"/>
        <w:jc w:val="center"/>
        <w:outlineLvl w:val="2"/>
        <w:rPr>
          <w:rFonts w:eastAsia="Times New Roman" w:cs="Times New Roman"/>
          <w:bCs/>
          <w:color w:val="000000" w:themeColor="text1"/>
          <w:sz w:val="32"/>
          <w:szCs w:val="20"/>
          <w:lang w:eastAsia="en-US"/>
        </w:rPr>
      </w:pPr>
      <w:bookmarkStart w:id="21" w:name="_Toc178763481"/>
      <w:bookmarkStart w:id="22" w:name="_Toc179356070"/>
      <w:r w:rsidRPr="00FD1578">
        <w:rPr>
          <w:rFonts w:eastAsia="Times New Roman" w:cs="Times New Roman"/>
          <w:b/>
          <w:bCs/>
          <w:color w:val="000000" w:themeColor="text1"/>
          <w:sz w:val="32"/>
          <w:szCs w:val="20"/>
          <w:lang w:eastAsia="en-US"/>
        </w:rPr>
        <w:t>1.2.6. </w:t>
      </w:r>
      <w:r w:rsidRPr="00FD1578">
        <w:rPr>
          <w:rFonts w:eastAsia="Calibri" w:cs="Times New Roman"/>
          <w:b/>
          <w:bCs/>
          <w:color w:val="000000" w:themeColor="text1"/>
          <w:sz w:val="32"/>
          <w:szCs w:val="28"/>
        </w:rPr>
        <w:t>Investīcijas</w:t>
      </w:r>
      <w:bookmarkEnd w:id="21"/>
      <w:bookmarkEnd w:id="22"/>
    </w:p>
    <w:p w14:paraId="6BBFB25D" w14:textId="77777777" w:rsidR="0070161D" w:rsidRPr="00FD1578" w:rsidRDefault="0070161D" w:rsidP="008349F0">
      <w:pPr>
        <w:rPr>
          <w:rFonts w:eastAsia="Calibri" w:cs="Times New Roman"/>
          <w:color w:val="000000"/>
          <w:kern w:val="2"/>
          <w:szCs w:val="24"/>
          <w:lang w:eastAsia="en-US"/>
          <w14:ligatures w14:val="standardContextual"/>
        </w:rPr>
      </w:pPr>
      <w:r w:rsidRPr="00FD1578">
        <w:rPr>
          <w:rFonts w:eastAsia="Calibri" w:cs="Times New Roman"/>
          <w:kern w:val="2"/>
          <w:szCs w:val="24"/>
          <w:lang w:eastAsia="en-US"/>
          <w14:ligatures w14:val="standardContextual"/>
        </w:rPr>
        <w:t xml:space="preserve">Augstas inflācijas un ārējā pieprasījuma krituma apstākļos, </w:t>
      </w:r>
      <w:r w:rsidRPr="00FD1578">
        <w:rPr>
          <w:rFonts w:eastAsia="Aptos" w:cs="Times New Roman"/>
          <w:kern w:val="2"/>
          <w:szCs w:val="24"/>
          <w:lang w:eastAsia="en-US"/>
          <w14:ligatures w14:val="standardContextual"/>
        </w:rPr>
        <w:t xml:space="preserve">sabiedriskajam patēriņam un investīcijām </w:t>
      </w:r>
      <w:r w:rsidRPr="00FD1578">
        <w:rPr>
          <w:rFonts w:eastAsia="Calibri" w:cs="Times New Roman"/>
          <w:kern w:val="2"/>
          <w:szCs w:val="24"/>
          <w:lang w:eastAsia="en-US"/>
          <w14:ligatures w14:val="standardContextual"/>
        </w:rPr>
        <w:t xml:space="preserve">2023. gadā </w:t>
      </w:r>
      <w:r w:rsidRPr="00FD1578">
        <w:rPr>
          <w:rFonts w:eastAsia="Aptos" w:cs="Times New Roman"/>
          <w:kern w:val="2"/>
          <w:szCs w:val="24"/>
          <w:lang w:eastAsia="en-US"/>
          <w14:ligatures w14:val="standardContextual"/>
        </w:rPr>
        <w:t xml:space="preserve">bija būtiska </w:t>
      </w:r>
      <w:r w:rsidRPr="00FD1578">
        <w:rPr>
          <w:rFonts w:eastAsia="Calibri" w:cs="Times New Roman"/>
          <w:kern w:val="2"/>
          <w:szCs w:val="24"/>
          <w:lang w:eastAsia="en-US"/>
          <w14:ligatures w14:val="standardContextual"/>
        </w:rPr>
        <w:t>loma ekonomiskās aktivitātes veicināšanā. Tieši investīciju pieaugums salīdzinājumā ar pārējām IKP sastāvdaļām bija visaugstākais. 2023. gadā</w:t>
      </w:r>
      <w:r w:rsidRPr="00FD1578">
        <w:rPr>
          <w:rFonts w:eastAsia="Aptos" w:cs="Times New Roman"/>
          <w:kern w:val="2"/>
          <w:szCs w:val="24"/>
          <w:lang w:eastAsia="en-US"/>
          <w14:ligatures w14:val="standardContextual"/>
        </w:rPr>
        <w:t xml:space="preserve"> investīciju apjoms Latvijā salīdzināmajās cenās palielinājās par 8,2%, kopumā veidojot 7110 milj. </w:t>
      </w:r>
      <w:proofErr w:type="spellStart"/>
      <w:r w:rsidRPr="00FD1578">
        <w:rPr>
          <w:rFonts w:eastAsia="Aptos" w:cs="Times New Roman"/>
          <w:i/>
          <w:iCs/>
          <w:kern w:val="2"/>
          <w:szCs w:val="24"/>
          <w:lang w:eastAsia="en-US"/>
          <w14:ligatures w14:val="standardContextual"/>
        </w:rPr>
        <w:t>euro</w:t>
      </w:r>
      <w:proofErr w:type="spellEnd"/>
      <w:r w:rsidRPr="00FD1578">
        <w:rPr>
          <w:rFonts w:eastAsia="Aptos" w:cs="Times New Roman"/>
          <w:i/>
          <w:iCs/>
          <w:kern w:val="2"/>
          <w:szCs w:val="24"/>
          <w:lang w:eastAsia="en-US"/>
          <w14:ligatures w14:val="standardContextual"/>
        </w:rPr>
        <w:t xml:space="preserve"> </w:t>
      </w:r>
      <w:r w:rsidRPr="00FD1578">
        <w:rPr>
          <w:rFonts w:eastAsia="Aptos" w:cs="Times New Roman"/>
          <w:kern w:val="2"/>
          <w:szCs w:val="24"/>
          <w:lang w:eastAsia="en-US"/>
          <w14:ligatures w14:val="standardContextual"/>
        </w:rPr>
        <w:t xml:space="preserve">un </w:t>
      </w:r>
      <w:r w:rsidRPr="00FD1578">
        <w:rPr>
          <w:rFonts w:eastAsia="Calibri" w:cs="Times New Roman"/>
          <w:kern w:val="2"/>
          <w:szCs w:val="24"/>
          <w:lang w:eastAsia="en-US"/>
          <w14:ligatures w14:val="standardContextual"/>
        </w:rPr>
        <w:t xml:space="preserve">nodrošinot 1,8 </w:t>
      </w:r>
      <w:proofErr w:type="spellStart"/>
      <w:r w:rsidRPr="00FD1578">
        <w:rPr>
          <w:rFonts w:eastAsia="Calibri" w:cs="Times New Roman"/>
          <w:kern w:val="2"/>
          <w:szCs w:val="24"/>
          <w:lang w:eastAsia="en-US"/>
          <w14:ligatures w14:val="standardContextual"/>
        </w:rPr>
        <w:t>pp</w:t>
      </w:r>
      <w:proofErr w:type="spellEnd"/>
      <w:r w:rsidRPr="00FD1578">
        <w:rPr>
          <w:rFonts w:eastAsia="Calibri" w:cs="Times New Roman"/>
          <w:kern w:val="2"/>
          <w:szCs w:val="24"/>
          <w:lang w:eastAsia="en-US"/>
          <w14:ligatures w14:val="standardContextual"/>
        </w:rPr>
        <w:t xml:space="preserve"> IKP pieaugumā, tādējādi nedaudz mīkstinot privātā patēriņa un eksporta krituma negatīvo ietekmi. Pateicoties straujajam kāpumam, investīciju īpatsvars IKP pieauga par 2,1 </w:t>
      </w:r>
      <w:proofErr w:type="spellStart"/>
      <w:r w:rsidRPr="00FD1578">
        <w:rPr>
          <w:rFonts w:eastAsia="Calibri" w:cs="Times New Roman"/>
          <w:kern w:val="2"/>
          <w:szCs w:val="24"/>
          <w:lang w:eastAsia="en-US"/>
          <w14:ligatures w14:val="standardContextual"/>
        </w:rPr>
        <w:t>pp</w:t>
      </w:r>
      <w:proofErr w:type="spellEnd"/>
      <w:r w:rsidRPr="00FD1578">
        <w:rPr>
          <w:rFonts w:eastAsia="Calibri" w:cs="Times New Roman"/>
          <w:kern w:val="2"/>
          <w:szCs w:val="24"/>
          <w:lang w:eastAsia="en-US"/>
          <w14:ligatures w14:val="standardContextual"/>
        </w:rPr>
        <w:t xml:space="preserve"> – līdz 24,1%.</w:t>
      </w:r>
      <w:r w:rsidRPr="00FD1578">
        <w:rPr>
          <w:rFonts w:eastAsia="Calibri" w:cs="Times New Roman"/>
          <w:color w:val="000000"/>
          <w:kern w:val="2"/>
          <w:szCs w:val="24"/>
          <w:lang w:eastAsia="en-US"/>
          <w14:ligatures w14:val="standardContextual"/>
        </w:rPr>
        <w:t xml:space="preserve"> Šāds investīciju apjoms ekonomikā ir liels gan salīdzinājumā ar ES vidējo līmeni, gan salīdzinājumā ar vidējo īpatsvaru Latvijas IKP pēdējos gados. Tas ir vērtējams pozitīvi, tomēr, lai veicinātu konkurētspēju un produktivitāti, svarīgi uzturēt augstu investīciju īpatsvaru ekonomikā ilgtermiņā.</w:t>
      </w:r>
    </w:p>
    <w:p w14:paraId="342A889B" w14:textId="77777777" w:rsidR="0070161D" w:rsidRPr="00FD1578" w:rsidRDefault="0070161D" w:rsidP="008349F0">
      <w:pPr>
        <w:rPr>
          <w:rFonts w:eastAsia="Calibri" w:cs="Times New Roman"/>
          <w:color w:val="000000"/>
          <w:kern w:val="2"/>
          <w:szCs w:val="24"/>
          <w:lang w:eastAsia="en-US"/>
          <w14:ligatures w14:val="standardContextual"/>
        </w:rPr>
      </w:pPr>
      <w:r w:rsidRPr="00FD1578">
        <w:rPr>
          <w:rFonts w:eastAsia="Calibri" w:cs="Times New Roman"/>
          <w:kern w:val="2"/>
          <w:szCs w:val="24"/>
          <w:lang w:eastAsia="en-US"/>
          <w14:ligatures w14:val="standardContextual"/>
        </w:rPr>
        <w:t xml:space="preserve">Analizējot investīciju pārmaiņas pa pamatlīdzekļu veidiem, jāsecina, ka investīciju pieaugumu nodrošināja augstāka aktivitāte būvniecības sektorā. Savukārt investīciju apjoms </w:t>
      </w:r>
      <w:r w:rsidRPr="00FD1578">
        <w:rPr>
          <w:rFonts w:eastAsia="Calibri" w:cs="Times New Roman"/>
          <w:kern w:val="2"/>
          <w:szCs w:val="24"/>
          <w:lang w:eastAsia="en-US"/>
          <w14:ligatures w14:val="standardContextual"/>
        </w:rPr>
        <w:lastRenderedPageBreak/>
        <w:t>pārējos pamatlīdzekļos ir samazinājies, kas liecina par tautsaimniecības nozaru nevienmērīgu attīstību pagājušā gada laikā.</w:t>
      </w:r>
    </w:p>
    <w:p w14:paraId="5EC76EA9" w14:textId="77777777" w:rsidR="0070161D" w:rsidRPr="00FD1578" w:rsidRDefault="0070161D" w:rsidP="008349F0">
      <w:pPr>
        <w:rPr>
          <w:rFonts w:eastAsia="Aptos" w:cs="Times New Roman"/>
          <w:kern w:val="2"/>
          <w:szCs w:val="24"/>
          <w:lang w:eastAsia="en-US"/>
          <w14:ligatures w14:val="standardContextual"/>
        </w:rPr>
      </w:pPr>
      <w:r w:rsidRPr="00FD1578">
        <w:rPr>
          <w:rFonts w:eastAsia="Calibri" w:cs="Times New Roman"/>
          <w:kern w:val="2"/>
          <w:szCs w:val="24"/>
          <w:lang w:eastAsia="en-US"/>
          <w14:ligatures w14:val="standardContextual"/>
        </w:rPr>
        <w:t xml:space="preserve">2023. gadā investīcijas biroju, mājokļu, noliktavu un citu ēku būvniecībā, kā arī jau esošo ēku un būvju renovācijā pieauga par 18,9% jeb 493 milj. </w:t>
      </w:r>
      <w:proofErr w:type="spellStart"/>
      <w:r w:rsidRPr="00FD1578">
        <w:rPr>
          <w:rFonts w:eastAsia="Aptos" w:cs="Times New Roman"/>
          <w:i/>
          <w:iCs/>
          <w:kern w:val="2"/>
          <w:szCs w:val="24"/>
          <w:lang w:eastAsia="en-US"/>
          <w14:ligatures w14:val="standardContextual"/>
        </w:rPr>
        <w:t>euro</w:t>
      </w:r>
      <w:proofErr w:type="spellEnd"/>
      <w:r w:rsidRPr="00FD1578">
        <w:rPr>
          <w:rFonts w:eastAsia="Aptos" w:cs="Times New Roman"/>
          <w:i/>
          <w:iCs/>
          <w:kern w:val="2"/>
          <w:szCs w:val="24"/>
          <w:lang w:eastAsia="en-US"/>
          <w14:ligatures w14:val="standardContextual"/>
        </w:rPr>
        <w:t xml:space="preserve"> </w:t>
      </w:r>
      <w:r w:rsidRPr="00FD1578">
        <w:rPr>
          <w:rFonts w:eastAsia="Aptos" w:cs="Times New Roman"/>
          <w:kern w:val="2"/>
          <w:szCs w:val="24"/>
          <w:lang w:eastAsia="en-US"/>
          <w14:ligatures w14:val="standardContextual"/>
        </w:rPr>
        <w:t>salīdzināmajās cenās,</w:t>
      </w:r>
      <w:r w:rsidRPr="00FD1578">
        <w:rPr>
          <w:rFonts w:eastAsia="Aptos" w:cs="Times New Roman"/>
          <w:i/>
          <w:iCs/>
          <w:kern w:val="2"/>
          <w:szCs w:val="24"/>
          <w:lang w:eastAsia="en-US"/>
          <w14:ligatures w14:val="standardContextual"/>
        </w:rPr>
        <w:t xml:space="preserve"> </w:t>
      </w:r>
      <w:r w:rsidRPr="00FD1578">
        <w:rPr>
          <w:rFonts w:eastAsia="Aptos" w:cs="Times New Roman"/>
          <w:kern w:val="2"/>
          <w:szCs w:val="24"/>
          <w:lang w:eastAsia="en-US"/>
          <w14:ligatures w14:val="standardContextual"/>
        </w:rPr>
        <w:t xml:space="preserve">tādējādi pārtraucot ilgstošo investīciju kritumu šajos pamatlīdzekļos, kas bija vērojams kopš 2019. gada. 2023. gadā investīciju apjoms būvniecībā un renovācijā sasniedza 3108 </w:t>
      </w:r>
      <w:r w:rsidRPr="00FD1578">
        <w:rPr>
          <w:rFonts w:eastAsia="Calibri" w:cs="Times New Roman"/>
          <w:kern w:val="2"/>
          <w:szCs w:val="24"/>
          <w:lang w:eastAsia="en-US"/>
          <w14:ligatures w14:val="standardContextual"/>
        </w:rPr>
        <w:t xml:space="preserve">milj. </w:t>
      </w:r>
      <w:proofErr w:type="spellStart"/>
      <w:r w:rsidRPr="00FD1578">
        <w:rPr>
          <w:rFonts w:eastAsia="Aptos" w:cs="Times New Roman"/>
          <w:i/>
          <w:iCs/>
          <w:kern w:val="2"/>
          <w:szCs w:val="24"/>
          <w:lang w:eastAsia="en-US"/>
          <w14:ligatures w14:val="standardContextual"/>
        </w:rPr>
        <w:t>euro</w:t>
      </w:r>
      <w:proofErr w:type="spellEnd"/>
      <w:r w:rsidRPr="00FD1578">
        <w:rPr>
          <w:rFonts w:eastAsia="Aptos" w:cs="Times New Roman"/>
          <w:kern w:val="2"/>
          <w:szCs w:val="24"/>
          <w:lang w:eastAsia="en-US"/>
          <w14:ligatures w14:val="standardContextual"/>
        </w:rPr>
        <w:t xml:space="preserve">, līdz ar to pietuvojoties 2018. gada līmenim. Investīciju pieaugums šajos pamatlīdzekļos ir cieši saistīts ar būvniecības nozares aktivitāti, kur 2023. gadā produkcijas apjoms palielinājies par 18,9%. Straujo investīciju kāpumu būvniecībā, kā arī būvniecības produkcijas pieaugumu 2023. gadā noteica vairāki faktori – gan 2022. gada zemā bāze iepriekšējo gadu vājās aktivitātes dēļ, gan būtiski lielāks ES struktūrfondu investīciju un Eiropas ANM investīciju apjoms, kā arī lielākas privātā sektora investīcijas. 2023. gadā vispārējās valdības bruto pamatkapitāla veidošanas jeb investīciju apjoms faktiskajās cenās sasniedza 1682 </w:t>
      </w:r>
      <w:r w:rsidRPr="00FD1578">
        <w:rPr>
          <w:rFonts w:eastAsia="Calibri" w:cs="Times New Roman"/>
          <w:kern w:val="2"/>
          <w:szCs w:val="24"/>
          <w:lang w:eastAsia="en-US"/>
          <w14:ligatures w14:val="standardContextual"/>
        </w:rPr>
        <w:t xml:space="preserve">milj. </w:t>
      </w:r>
      <w:proofErr w:type="spellStart"/>
      <w:r w:rsidRPr="00FD1578">
        <w:rPr>
          <w:rFonts w:eastAsia="Aptos" w:cs="Times New Roman"/>
          <w:i/>
          <w:iCs/>
          <w:kern w:val="2"/>
          <w:szCs w:val="24"/>
          <w:lang w:eastAsia="en-US"/>
          <w14:ligatures w14:val="standardContextual"/>
        </w:rPr>
        <w:t>euro</w:t>
      </w:r>
      <w:proofErr w:type="spellEnd"/>
      <w:r w:rsidRPr="00FD1578">
        <w:rPr>
          <w:rFonts w:eastAsia="Aptos" w:cs="Times New Roman"/>
          <w:kern w:val="2"/>
          <w:szCs w:val="24"/>
          <w:lang w:eastAsia="en-US"/>
          <w14:ligatures w14:val="standardContextual"/>
        </w:rPr>
        <w:t xml:space="preserve">, kas bija par 11,0% vairāk nekā iepriekšējā gadā. </w:t>
      </w:r>
      <w:r w:rsidRPr="00FD1578">
        <w:rPr>
          <w:rFonts w:eastAsia="Aptos" w:cs="Times New Roman"/>
          <w:color w:val="000000"/>
          <w:kern w:val="2"/>
          <w:szCs w:val="24"/>
          <w:lang w:eastAsia="en-US"/>
          <w14:ligatures w14:val="standardContextual"/>
        </w:rPr>
        <w:t xml:space="preserve">Savukārt privātā sektora un to uzņēmumu investīciju apjoms, kuri neietilpst vispārējās valdības sektorā, bet pieder valstij vai pašvaldībai, pieauga </w:t>
      </w:r>
      <w:r w:rsidRPr="00FD1578">
        <w:rPr>
          <w:rFonts w:eastAsia="Aptos" w:cs="Times New Roman"/>
          <w:kern w:val="2"/>
          <w:szCs w:val="24"/>
          <w:lang w:eastAsia="en-US"/>
          <w14:ligatures w14:val="standardContextual"/>
        </w:rPr>
        <w:t>par 16,0%</w:t>
      </w:r>
      <w:r w:rsidRPr="00FD1578">
        <w:rPr>
          <w:rFonts w:eastAsia="Aptos" w:cs="Times New Roman"/>
          <w:i/>
          <w:iCs/>
          <w:kern w:val="2"/>
          <w:szCs w:val="24"/>
          <w:lang w:eastAsia="en-US"/>
          <w14:ligatures w14:val="standardContextual"/>
        </w:rPr>
        <w:t>.</w:t>
      </w:r>
    </w:p>
    <w:p w14:paraId="23ED26C2" w14:textId="77777777" w:rsidR="0070161D" w:rsidRPr="00FD1578" w:rsidRDefault="0070161D" w:rsidP="008349F0">
      <w:pPr>
        <w:rPr>
          <w:rFonts w:eastAsia="Calibri" w:cs="Times New Roman"/>
          <w:color w:val="FF0000"/>
          <w:kern w:val="2"/>
          <w:szCs w:val="24"/>
          <w:lang w:eastAsia="en-US"/>
          <w14:ligatures w14:val="standardContextual"/>
        </w:rPr>
      </w:pPr>
      <w:r w:rsidRPr="00FD1578">
        <w:rPr>
          <w:rFonts w:eastAsia="Calibri" w:cs="Times New Roman"/>
          <w:kern w:val="2"/>
          <w:szCs w:val="24"/>
          <w:lang w:eastAsia="en-US"/>
          <w14:ligatures w14:val="standardContextual"/>
        </w:rPr>
        <w:t xml:space="preserve">Investīciju apjoms tehnoloģiskajās iekārtās un mašīnās 2023. gadā veidoja 3286 milj. </w:t>
      </w:r>
      <w:proofErr w:type="spellStart"/>
      <w:r w:rsidRPr="00FD1578">
        <w:rPr>
          <w:rFonts w:eastAsia="Aptos" w:cs="Times New Roman"/>
          <w:i/>
          <w:iCs/>
          <w:kern w:val="2"/>
          <w:szCs w:val="24"/>
          <w:lang w:eastAsia="en-US"/>
          <w14:ligatures w14:val="standardContextual"/>
        </w:rPr>
        <w:t>euro</w:t>
      </w:r>
      <w:proofErr w:type="spellEnd"/>
      <w:r w:rsidRPr="00FD1578">
        <w:rPr>
          <w:rFonts w:eastAsia="Aptos" w:cs="Times New Roman"/>
          <w:kern w:val="2"/>
          <w:szCs w:val="24"/>
          <w:lang w:eastAsia="en-US"/>
          <w14:ligatures w14:val="standardContextual"/>
        </w:rPr>
        <w:t xml:space="preserve"> salīdzināmajās cenās, kas bija par 0,3% mazāk nekā iepriekšējā gadā. </w:t>
      </w:r>
      <w:r w:rsidRPr="00FD1578">
        <w:rPr>
          <w:rFonts w:eastAsia="Calibri" w:cs="Times New Roman"/>
          <w:kern w:val="2"/>
          <w:szCs w:val="24"/>
          <w:lang w:eastAsia="en-US"/>
          <w14:ligatures w14:val="standardContextual"/>
        </w:rPr>
        <w:t>Informācija par investīciju struktūru šajos pamatlīdzekļos ir ierobežota un precīzi dati ir pieejami tikai par transportlīdzekļiem, bet dati pār pārējiem pamatlīdzekļiem, tajā skaitā informācijas un komunikācijas iekārtām, ieroču sistēmām, kā arī pārējām tehnoloģiskām iekārtām nav pieejami. Investīcijas transportlīdzekļos, kas veido nedaudz mazāk par trešdaļu no kopējām investīcijām šajā grupā, 2023. gadā pieauga par 28,1%, kas vērtējams kā straujš kāpums</w:t>
      </w:r>
      <w:r w:rsidRPr="00FD1578">
        <w:rPr>
          <w:rFonts w:eastAsia="Calibri" w:cs="Times New Roman"/>
          <w:color w:val="000000"/>
          <w:kern w:val="2"/>
          <w:szCs w:val="24"/>
          <w:lang w:eastAsia="en-US"/>
          <w14:ligatures w14:val="standardContextual"/>
        </w:rPr>
        <w:t xml:space="preserve">. Balstoties uz šo informāciju, var secināt, ka investīcijas vai daļa no tām, tādos pamatlīdzekļos kā informācijas un komunikācijas iekārtas, ieroču sistēmas, kā arī pārējās tehnoloģiskās iekārtas, būtiski mazinājās. Atbilstoši ārējās tirdzniecības datiem, automobiļu, </w:t>
      </w:r>
      <w:r w:rsidRPr="00FD1578">
        <w:rPr>
          <w:rFonts w:eastAsia="Calibri" w:cs="Times New Roman"/>
          <w:kern w:val="2"/>
          <w:szCs w:val="24"/>
          <w:lang w:eastAsia="en-US"/>
          <w14:ligatures w14:val="standardContextual"/>
        </w:rPr>
        <w:t xml:space="preserve">dzelzceļa un gaisa kuģu un citu mehānisko transportlīdzekļu imports 2023. gadā arī būtiski pieauga, kas kopumā izskaidro straujo investīciju kāpumu transportlīdzekļos. Neskatoties uz to, ka investīcijas būvniecības projektos palielinājušās, bet investīcijas tehnoloģiskajās iekārtās kritušās, investīciju apjoms iekārtās un mašīnās joprojām veido lielāko daļu jeb 46,2% no kopējām investīcijām, kamēr investīcijas ēkās un būves sastāda 43,7%. </w:t>
      </w:r>
    </w:p>
    <w:p w14:paraId="5BF4A064" w14:textId="77777777" w:rsidR="0070161D" w:rsidRPr="00FD1578" w:rsidRDefault="0070161D" w:rsidP="008349F0">
      <w:pPr>
        <w:rPr>
          <w:rFonts w:eastAsia="Calibri" w:cs="Times New Roman"/>
          <w:kern w:val="2"/>
          <w:szCs w:val="24"/>
          <w:lang w:eastAsia="en-US"/>
          <w14:ligatures w14:val="standardContextual"/>
        </w:rPr>
      </w:pPr>
      <w:r w:rsidRPr="00FD1578">
        <w:rPr>
          <w:rFonts w:eastAsia="Calibri" w:cs="Times New Roman"/>
          <w:kern w:val="2"/>
          <w:szCs w:val="24"/>
          <w:lang w:eastAsia="en-US"/>
          <w14:ligatures w14:val="standardContextual"/>
        </w:rPr>
        <w:t xml:space="preserve">Tikmēr investīciju apjoms intelektuālā īpašuma produktos un pārējos pamatlīdzekļos 2023. gadā samazinājies attiecīgi par 0,8% un 8,0%. </w:t>
      </w:r>
    </w:p>
    <w:p w14:paraId="52B9F3D8" w14:textId="217CE73E" w:rsidR="0070161D" w:rsidRPr="00FD1578" w:rsidRDefault="0070161D" w:rsidP="008349F0">
      <w:pPr>
        <w:rPr>
          <w:rFonts w:eastAsia="Calibri" w:cs="Times New Roman"/>
          <w:szCs w:val="24"/>
          <w:lang w:eastAsia="en-US"/>
        </w:rPr>
      </w:pPr>
      <w:r w:rsidRPr="00FD1578">
        <w:rPr>
          <w:rFonts w:eastAsia="Calibri" w:cs="Times New Roman"/>
          <w:szCs w:val="24"/>
          <w:lang w:eastAsia="en-US"/>
        </w:rPr>
        <w:t xml:space="preserve">Investīcijas 2024. gada pirmajā pusgadā uz iepriekšējā gada fona neiepriecina. Salīdzinājumā ar iepriekšējā gada pirmo pusi bruto pamatkapitāla veidošanas apjoms samazinājies par 7,3%. Investīciju kritums tika fiksēts visās pamatlīdzekļu grupās. Latvijas IKP </w:t>
      </w:r>
      <w:r w:rsidR="005735FB">
        <w:rPr>
          <w:rFonts w:eastAsia="Calibri" w:cs="Times New Roman"/>
          <w:szCs w:val="24"/>
          <w:lang w:eastAsia="en-US"/>
        </w:rPr>
        <w:t>2024.</w:t>
      </w:r>
      <w:r w:rsidR="005735FB" w:rsidRPr="00FD1578">
        <w:rPr>
          <w:rFonts w:eastAsia="Calibri" w:cs="Times New Roman"/>
          <w:szCs w:val="24"/>
          <w:lang w:eastAsia="en-US"/>
        </w:rPr>
        <w:t xml:space="preserve"> </w:t>
      </w:r>
      <w:r w:rsidRPr="00FD1578">
        <w:rPr>
          <w:rFonts w:eastAsia="Calibri" w:cs="Times New Roman"/>
          <w:szCs w:val="24"/>
          <w:lang w:eastAsia="en-US"/>
        </w:rPr>
        <w:t xml:space="preserve">gada pirmajā pusgadā bija par 0,3% augstāks nekā pērnā gada attiecīgajā periodā, bet investīciju devums izaugsmē bija negatīvs (-1,6 </w:t>
      </w:r>
      <w:proofErr w:type="spellStart"/>
      <w:r w:rsidRPr="00FD1578">
        <w:rPr>
          <w:rFonts w:eastAsia="Calibri" w:cs="Times New Roman"/>
          <w:szCs w:val="24"/>
          <w:lang w:eastAsia="en-US"/>
        </w:rPr>
        <w:t>pp</w:t>
      </w:r>
      <w:proofErr w:type="spellEnd"/>
      <w:r w:rsidRPr="00FD1578">
        <w:rPr>
          <w:rFonts w:eastAsia="Calibri" w:cs="Times New Roman"/>
          <w:szCs w:val="24"/>
          <w:lang w:eastAsia="en-US"/>
        </w:rPr>
        <w:t xml:space="preserve">), līdz ar to vājā investīciju aktivitāte šogad bremzē ekonomisko izaugsmi. </w:t>
      </w:r>
    </w:p>
    <w:p w14:paraId="42CC854D" w14:textId="77777777" w:rsidR="0070161D" w:rsidRPr="00FD1578" w:rsidRDefault="0070161D" w:rsidP="008349F0">
      <w:pPr>
        <w:rPr>
          <w:rFonts w:eastAsia="Calibri" w:cs="Times New Roman"/>
          <w:szCs w:val="24"/>
          <w:lang w:eastAsia="en-US"/>
        </w:rPr>
      </w:pPr>
      <w:r w:rsidRPr="00FD1578">
        <w:rPr>
          <w:rFonts w:eastAsia="Calibri" w:cs="Times New Roman"/>
          <w:szCs w:val="24"/>
          <w:lang w:eastAsia="en-US"/>
        </w:rPr>
        <w:t xml:space="preserve">Lielāko devumu kopējā investīciju kritumā 2024. gada pirmajos divos ceturkšņos noteica zemākas investīcijas </w:t>
      </w:r>
      <w:r w:rsidRPr="00FD1578">
        <w:rPr>
          <w:rFonts w:eastAsia="Calibri" w:cs="Times New Roman"/>
          <w:kern w:val="2"/>
          <w:szCs w:val="24"/>
          <w:lang w:eastAsia="en-US"/>
          <w14:ligatures w14:val="standardContextual"/>
        </w:rPr>
        <w:t xml:space="preserve">tehnoloģiskajās iekārtās un mašīnās. </w:t>
      </w:r>
      <w:r w:rsidRPr="00FD1578">
        <w:rPr>
          <w:rFonts w:eastAsia="Calibri" w:cs="Times New Roman"/>
          <w:szCs w:val="24"/>
          <w:lang w:eastAsia="en-US"/>
        </w:rPr>
        <w:t>Investīciju apjoms šajos pamatlīdzekļos samazinājies par 11,8% jeb 167 milj</w:t>
      </w:r>
      <w:r w:rsidRPr="00FD1578">
        <w:rPr>
          <w:rFonts w:eastAsia="Calibri" w:cs="Times New Roman"/>
          <w:i/>
          <w:iCs/>
          <w:szCs w:val="24"/>
          <w:lang w:eastAsia="en-US"/>
        </w:rPr>
        <w:t xml:space="preserve">. </w:t>
      </w:r>
      <w:proofErr w:type="spellStart"/>
      <w:r w:rsidRPr="00FD1578">
        <w:rPr>
          <w:rFonts w:eastAsia="Calibri" w:cs="Times New Roman"/>
          <w:i/>
          <w:iCs/>
          <w:szCs w:val="24"/>
          <w:lang w:eastAsia="en-US"/>
        </w:rPr>
        <w:t>euro</w:t>
      </w:r>
      <w:proofErr w:type="spellEnd"/>
      <w:r w:rsidRPr="00FD1578">
        <w:rPr>
          <w:rFonts w:eastAsia="Calibri" w:cs="Times New Roman"/>
          <w:szCs w:val="24"/>
          <w:lang w:eastAsia="en-US"/>
        </w:rPr>
        <w:t xml:space="preserve"> salīdzinājumā ar iepriekšējā gada attiecīgo periodu. </w:t>
      </w:r>
      <w:r w:rsidRPr="00FD1578">
        <w:rPr>
          <w:rFonts w:eastAsia="Calibri" w:cs="Times New Roman"/>
          <w:kern w:val="2"/>
          <w:szCs w:val="24"/>
          <w:lang w:eastAsia="en-US"/>
          <w14:ligatures w14:val="standardContextual"/>
        </w:rPr>
        <w:t xml:space="preserve">Investīcijas transportlīdzekļos samazinājās par 8,2% jeb 41 </w:t>
      </w:r>
      <w:r w:rsidRPr="00FD1578">
        <w:rPr>
          <w:rFonts w:eastAsia="Calibri" w:cs="Times New Roman"/>
          <w:szCs w:val="24"/>
          <w:lang w:eastAsia="en-US"/>
        </w:rPr>
        <w:t>milj</w:t>
      </w:r>
      <w:r w:rsidRPr="00FD1578">
        <w:rPr>
          <w:rFonts w:eastAsia="Calibri" w:cs="Times New Roman"/>
          <w:i/>
          <w:iCs/>
          <w:szCs w:val="24"/>
          <w:lang w:eastAsia="en-US"/>
        </w:rPr>
        <w:t xml:space="preserve">. </w:t>
      </w:r>
      <w:proofErr w:type="spellStart"/>
      <w:r w:rsidRPr="00FD1578">
        <w:rPr>
          <w:rFonts w:eastAsia="Calibri" w:cs="Times New Roman"/>
          <w:i/>
          <w:iCs/>
          <w:szCs w:val="24"/>
          <w:lang w:eastAsia="en-US"/>
        </w:rPr>
        <w:t>euro</w:t>
      </w:r>
      <w:proofErr w:type="spellEnd"/>
      <w:r w:rsidRPr="00FD1578">
        <w:rPr>
          <w:rFonts w:eastAsia="Calibri" w:cs="Times New Roman"/>
          <w:szCs w:val="24"/>
          <w:lang w:eastAsia="en-US"/>
        </w:rPr>
        <w:t>. Atbilstoši Ceļu satiksmes drošības direkcijas datiem pirmoreiz reģistrēto transportlīdzekļu skaits 2024. gada pirmajā pusgadā bija par 10,5% mazāks, salīdzinot ar 2023. gada attiecīgo periodu, kas kopumā izskaidro investīciju samazinājumu šajos pamatlīdzekļos. I</w:t>
      </w:r>
      <w:r w:rsidRPr="00FD1578">
        <w:rPr>
          <w:rFonts w:eastAsia="Calibri" w:cs="Times New Roman"/>
          <w:kern w:val="2"/>
          <w:szCs w:val="24"/>
          <w:lang w:eastAsia="en-US"/>
          <w14:ligatures w14:val="standardContextual"/>
        </w:rPr>
        <w:t xml:space="preserve">nvestīciju apjoms pārējos pamatlīdzekļos šajā grupā (informācijas un komunikācijas iekārtās, ieroču sistēmās un pārējās tehnoloģiskās iekārtās) ir samazinājies par 13,8% jeb 126 </w:t>
      </w:r>
      <w:r w:rsidRPr="00FD1578">
        <w:rPr>
          <w:rFonts w:eastAsia="Calibri" w:cs="Times New Roman"/>
          <w:szCs w:val="24"/>
          <w:lang w:eastAsia="en-US"/>
        </w:rPr>
        <w:t>milj</w:t>
      </w:r>
      <w:r w:rsidRPr="00FD1578">
        <w:rPr>
          <w:rFonts w:eastAsia="Calibri" w:cs="Times New Roman"/>
          <w:i/>
          <w:iCs/>
          <w:szCs w:val="24"/>
          <w:lang w:eastAsia="en-US"/>
        </w:rPr>
        <w:t xml:space="preserve">. </w:t>
      </w:r>
      <w:proofErr w:type="spellStart"/>
      <w:r w:rsidRPr="00FD1578">
        <w:rPr>
          <w:rFonts w:eastAsia="Calibri" w:cs="Times New Roman"/>
          <w:i/>
          <w:iCs/>
          <w:szCs w:val="24"/>
          <w:lang w:eastAsia="en-US"/>
        </w:rPr>
        <w:t>euro</w:t>
      </w:r>
      <w:proofErr w:type="spellEnd"/>
      <w:r w:rsidRPr="00FD1578">
        <w:rPr>
          <w:rFonts w:eastAsia="Calibri" w:cs="Times New Roman"/>
          <w:i/>
          <w:iCs/>
          <w:szCs w:val="24"/>
          <w:lang w:eastAsia="en-US"/>
        </w:rPr>
        <w:t xml:space="preserve">. </w:t>
      </w:r>
      <w:r w:rsidRPr="00FD1578">
        <w:rPr>
          <w:rFonts w:eastAsia="Calibri" w:cs="Times New Roman"/>
          <w:szCs w:val="24"/>
          <w:lang w:eastAsia="en-US"/>
        </w:rPr>
        <w:t xml:space="preserve">Investīciju kritumu </w:t>
      </w:r>
      <w:r w:rsidRPr="00FD1578">
        <w:rPr>
          <w:rFonts w:eastAsia="Calibri" w:cs="Times New Roman"/>
          <w:kern w:val="2"/>
          <w:szCs w:val="24"/>
          <w:lang w:eastAsia="en-US"/>
          <w14:ligatures w14:val="standardContextual"/>
        </w:rPr>
        <w:t xml:space="preserve">tehnoloģiskajās iekārtās un mašīnās spilgti raksturo ārējās tirdzniecības dati, </w:t>
      </w:r>
      <w:r w:rsidRPr="00FD1578">
        <w:rPr>
          <w:rFonts w:eastAsia="Calibri" w:cs="Times New Roman"/>
          <w:kern w:val="2"/>
          <w:szCs w:val="24"/>
          <w:lang w:eastAsia="en-US"/>
          <w14:ligatures w14:val="standardContextual"/>
        </w:rPr>
        <w:lastRenderedPageBreak/>
        <w:t xml:space="preserve">jo transportlīdzekļi un pārējās tehnoloģiskās iekārtas lielākoties tika importētas. Atbilstoši preču ārējās tirdzniecības datiem, </w:t>
      </w:r>
      <w:proofErr w:type="spellStart"/>
      <w:r w:rsidRPr="00FD1578">
        <w:rPr>
          <w:rFonts w:eastAsia="Calibri" w:cs="Times New Roman"/>
          <w:kern w:val="2"/>
          <w:szCs w:val="24"/>
          <w:lang w:eastAsia="en-US"/>
          <w14:ligatures w14:val="standardContextual"/>
        </w:rPr>
        <w:t>kapitālietilpīgo</w:t>
      </w:r>
      <w:proofErr w:type="spellEnd"/>
      <w:r w:rsidRPr="00FD1578">
        <w:rPr>
          <w:rFonts w:eastAsia="Calibri" w:cs="Times New Roman"/>
          <w:kern w:val="2"/>
          <w:szCs w:val="24"/>
          <w:lang w:eastAsia="en-US"/>
          <w14:ligatures w14:val="standardContextual"/>
        </w:rPr>
        <w:t xml:space="preserve"> preču imports 2024. gada pirmajā pusgadā faktiskajās cenās samazinājies par 26,1%.</w:t>
      </w:r>
    </w:p>
    <w:p w14:paraId="3B22C107" w14:textId="2CFCFB69" w:rsidR="0070161D" w:rsidRPr="00FD1578" w:rsidRDefault="0070161D" w:rsidP="008349F0">
      <w:pPr>
        <w:rPr>
          <w:rFonts w:eastAsia="Calibri" w:cs="Times New Roman"/>
          <w:szCs w:val="24"/>
          <w:lang w:eastAsia="en-US"/>
        </w:rPr>
      </w:pPr>
      <w:r w:rsidRPr="00FD1578">
        <w:rPr>
          <w:rFonts w:eastAsia="Calibri" w:cs="Times New Roman"/>
          <w:szCs w:val="24"/>
          <w:lang w:eastAsia="en-US"/>
        </w:rPr>
        <w:t>Aktuālākie apstrādes rūpniecības nozarē strādājošo uzņēmēju aptaujas dati rāda, ka 33,1% no plānotajām investīcijām 2024. gadā būs vērstas uz ražošanas paplašināšanu. Tas ir zīmīgs skaitlis, jo tas ir augstākais rādītājs, kopš tika uzsākta šādas statistikas apkopošana jeb no 2004. gada. Papildus tam, svarīgi atzīmēt, ka pirmo reizi 21 gada laikā investīciju apjoms, kas paredzēts tieši uzņēmumu paplašināšanai, veido lielāko daļu no plānotajām investīcijām. Līdz 2024. gadam lielākā daļa no investīcijām bija vērsta uz veco iekārtu aizvietošanu, gandrīz 40% no visām paredzētajām investīcijām. Šogad šis īpatsvars samazinājies līdz 32%. Pozitīvi vērtējams arī tas, ka palielinājusies tā investīciju daļa, kas vērsta uz racionalizāciju. Lai arī dati uzrāda pozitīvu tendenci, kas varētu liecināt par apstrādes rūpniecības nozares attīstību, tomēr šād</w:t>
      </w:r>
      <w:r w:rsidR="005735FB">
        <w:rPr>
          <w:rFonts w:eastAsia="Calibri" w:cs="Times New Roman"/>
          <w:szCs w:val="24"/>
          <w:lang w:eastAsia="en-US"/>
        </w:rPr>
        <w:t>i</w:t>
      </w:r>
      <w:r w:rsidRPr="00FD1578">
        <w:rPr>
          <w:rFonts w:eastAsia="Calibri" w:cs="Times New Roman"/>
          <w:szCs w:val="24"/>
          <w:lang w:eastAsia="en-US"/>
        </w:rPr>
        <w:t xml:space="preserve"> dat</w:t>
      </w:r>
      <w:r w:rsidR="005735FB">
        <w:rPr>
          <w:rFonts w:eastAsia="Calibri" w:cs="Times New Roman"/>
          <w:szCs w:val="24"/>
          <w:lang w:eastAsia="en-US"/>
        </w:rPr>
        <w:t>i</w:t>
      </w:r>
      <w:r w:rsidRPr="00FD1578">
        <w:rPr>
          <w:rFonts w:eastAsia="Calibri" w:cs="Times New Roman"/>
          <w:szCs w:val="24"/>
          <w:lang w:eastAsia="en-US"/>
        </w:rPr>
        <w:t xml:space="preserve"> jāvērtē piesardzīgi, jo tie atspoguļo tikai nodomu par investīciju veikšanu, nevis faktiski veiktās investīcijas. Vērtējot investīciju apjomu tehnoloģiskajās iekārtās un mašīnās 2024. gada pirmajos divos ceturkšņos, var droši teikt, ka to apjoms 2024. gadā kopumā būs mazāks nekā pērnajā gadā.</w:t>
      </w:r>
    </w:p>
    <w:tbl>
      <w:tblPr>
        <w:tblW w:w="5000" w:type="pct"/>
        <w:tblInd w:w="-5" w:type="dxa"/>
        <w:tblLayout w:type="fixed"/>
        <w:tblLook w:val="04A0" w:firstRow="1" w:lastRow="0" w:firstColumn="1" w:lastColumn="0" w:noHBand="0" w:noVBand="1"/>
      </w:tblPr>
      <w:tblGrid>
        <w:gridCol w:w="4535"/>
        <w:gridCol w:w="4536"/>
      </w:tblGrid>
      <w:tr w:rsidR="0070161D" w:rsidRPr="00FD1578" w14:paraId="7C2454B6" w14:textId="77777777" w:rsidTr="0073287C">
        <w:trPr>
          <w:cantSplit/>
          <w:trHeight w:val="6224"/>
        </w:trPr>
        <w:tc>
          <w:tcPr>
            <w:tcW w:w="4537" w:type="dxa"/>
            <w:hideMark/>
          </w:tcPr>
          <w:p w14:paraId="3F53EC28" w14:textId="77777777" w:rsidR="0070161D" w:rsidRPr="00FD1578" w:rsidRDefault="0070161D" w:rsidP="008349F0">
            <w:pPr>
              <w:ind w:firstLine="709"/>
              <w:jc w:val="left"/>
              <w:rPr>
                <w:rFonts w:eastAsia="Calibri" w:cs="Times New Roman"/>
                <w:szCs w:val="24"/>
                <w:lang w:eastAsia="en-US"/>
              </w:rPr>
            </w:pPr>
            <w:r w:rsidRPr="00FD1578">
              <w:rPr>
                <w:rFonts w:eastAsia="Calibri" w:cs="Times New Roman"/>
                <w:noProof/>
                <w:szCs w:val="24"/>
                <w:lang w:eastAsia="en-US"/>
              </w:rPr>
              <w:drawing>
                <wp:inline distT="0" distB="0" distL="0" distR="0" wp14:anchorId="73EF378A" wp14:editId="3B329EC5">
                  <wp:extent cx="2743200" cy="3803650"/>
                  <wp:effectExtent l="0" t="0" r="0" b="6350"/>
                  <wp:docPr id="26" name="Picture 26">
                    <a:extLst xmlns:a="http://schemas.openxmlformats.org/drawingml/2006/main">
                      <a:ext uri="{FF2B5EF4-FFF2-40B4-BE49-F238E27FC236}">
                        <a16:creationId xmlns:a16="http://schemas.microsoft.com/office/drawing/2014/main" id="{00000000-0008-0000-2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539" w:type="dxa"/>
            <w:hideMark/>
          </w:tcPr>
          <w:p w14:paraId="1197805E" w14:textId="77777777" w:rsidR="0070161D" w:rsidRPr="00FD1578" w:rsidRDefault="0070161D" w:rsidP="008349F0">
            <w:pPr>
              <w:ind w:firstLine="709"/>
              <w:rPr>
                <w:rFonts w:eastAsia="Calibri" w:cs="Times New Roman"/>
                <w:szCs w:val="24"/>
                <w:lang w:eastAsia="en-US"/>
              </w:rPr>
            </w:pPr>
            <w:r w:rsidRPr="00FD1578">
              <w:rPr>
                <w:rFonts w:eastAsia="Calibri" w:cs="Times New Roman"/>
                <w:noProof/>
                <w:szCs w:val="24"/>
                <w:lang w:eastAsia="en-US"/>
              </w:rPr>
              <w:drawing>
                <wp:inline distT="0" distB="0" distL="0" distR="0" wp14:anchorId="2001CC4D" wp14:editId="00076C8F">
                  <wp:extent cx="2743200" cy="4076700"/>
                  <wp:effectExtent l="0" t="0" r="0" b="0"/>
                  <wp:docPr id="27" name="Picture 27">
                    <a:extLst xmlns:a="http://schemas.openxmlformats.org/drawingml/2006/main">
                      <a:ext uri="{FF2B5EF4-FFF2-40B4-BE49-F238E27FC236}">
                        <a16:creationId xmlns:a16="http://schemas.microsoft.com/office/drawing/2014/main" id="{00000000-0008-0000-2C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70161D" w:rsidRPr="00FD1578" w14:paraId="336BC97A" w14:textId="77777777" w:rsidTr="0073287C">
        <w:trPr>
          <w:cantSplit/>
        </w:trPr>
        <w:tc>
          <w:tcPr>
            <w:tcW w:w="4537" w:type="dxa"/>
            <w:tcMar>
              <w:top w:w="0" w:type="dxa"/>
              <w:left w:w="0" w:type="dxa"/>
              <w:bottom w:w="0" w:type="dxa"/>
              <w:right w:w="0" w:type="dxa"/>
            </w:tcMar>
            <w:hideMark/>
          </w:tcPr>
          <w:p w14:paraId="18D2BDA9" w14:textId="77777777" w:rsidR="0070161D" w:rsidRPr="00FD1578" w:rsidRDefault="0070161D" w:rsidP="008349F0">
            <w:pPr>
              <w:ind w:firstLine="0"/>
              <w:jc w:val="center"/>
              <w:rPr>
                <w:rFonts w:eastAsia="Calibri" w:cs="Times New Roman"/>
                <w:b/>
                <w:bCs/>
                <w:i/>
                <w:iCs/>
                <w:szCs w:val="24"/>
                <w:lang w:eastAsia="en-US"/>
              </w:rPr>
            </w:pPr>
            <w:r w:rsidRPr="00FD1578">
              <w:rPr>
                <w:rFonts w:eastAsia="Calibri" w:cs="Times New Roman"/>
                <w:b/>
                <w:bCs/>
                <w:i/>
                <w:iCs/>
                <w:szCs w:val="24"/>
                <w:lang w:eastAsia="en-US"/>
              </w:rPr>
              <w:t>1.24. att. Bruto kapitālieguldījumi</w:t>
            </w:r>
            <w:r w:rsidRPr="00FD1578">
              <w:rPr>
                <w:rFonts w:eastAsia="Calibri" w:cs="Times New Roman"/>
                <w:b/>
                <w:bCs/>
                <w:i/>
                <w:iCs/>
                <w:szCs w:val="24"/>
                <w:lang w:eastAsia="en-US"/>
              </w:rPr>
              <w:br/>
              <w:t>pa darbības veidiem</w:t>
            </w:r>
            <w:r w:rsidRPr="00FD1578">
              <w:rPr>
                <w:rFonts w:eastAsia="Calibri" w:cs="Times New Roman"/>
                <w:b/>
                <w:bCs/>
                <w:i/>
                <w:iCs/>
                <w:szCs w:val="24"/>
                <w:lang w:eastAsia="en-US"/>
              </w:rPr>
              <w:br/>
              <w:t xml:space="preserve">(milj. </w:t>
            </w:r>
            <w:proofErr w:type="spellStart"/>
            <w:r w:rsidRPr="00FD1578">
              <w:rPr>
                <w:rFonts w:eastAsia="Calibri" w:cs="Times New Roman"/>
                <w:b/>
                <w:bCs/>
                <w:i/>
                <w:iCs/>
                <w:szCs w:val="24"/>
                <w:lang w:eastAsia="en-US"/>
              </w:rPr>
              <w:t>euro</w:t>
            </w:r>
            <w:proofErr w:type="spellEnd"/>
            <w:r w:rsidRPr="00FD1578">
              <w:rPr>
                <w:rFonts w:eastAsia="Calibri" w:cs="Times New Roman"/>
                <w:b/>
                <w:bCs/>
                <w:i/>
                <w:iCs/>
                <w:szCs w:val="24"/>
                <w:lang w:eastAsia="en-US"/>
              </w:rPr>
              <w:t>, salīdzināmajās cenās)</w:t>
            </w:r>
          </w:p>
        </w:tc>
        <w:tc>
          <w:tcPr>
            <w:tcW w:w="4539" w:type="dxa"/>
            <w:tcMar>
              <w:top w:w="0" w:type="dxa"/>
              <w:left w:w="0" w:type="dxa"/>
              <w:bottom w:w="0" w:type="dxa"/>
              <w:right w:w="0" w:type="dxa"/>
            </w:tcMar>
            <w:hideMark/>
          </w:tcPr>
          <w:p w14:paraId="67C2B377" w14:textId="77777777" w:rsidR="0070161D" w:rsidRPr="00FD1578" w:rsidRDefault="0070161D" w:rsidP="008349F0">
            <w:pPr>
              <w:ind w:firstLine="0"/>
              <w:jc w:val="center"/>
              <w:rPr>
                <w:rFonts w:eastAsia="Calibri" w:cs="Times New Roman"/>
                <w:b/>
                <w:bCs/>
                <w:i/>
                <w:iCs/>
                <w:szCs w:val="24"/>
                <w:lang w:eastAsia="en-US"/>
              </w:rPr>
            </w:pPr>
            <w:r w:rsidRPr="00FD1578">
              <w:rPr>
                <w:rFonts w:eastAsia="Calibri" w:cs="Times New Roman"/>
                <w:b/>
                <w:bCs/>
                <w:i/>
                <w:iCs/>
                <w:szCs w:val="24"/>
                <w:lang w:eastAsia="en-US"/>
              </w:rPr>
              <w:t>1.25. att. Bruto kapitālieguldījumu izmaiņas pa darbības veidiem</w:t>
            </w:r>
            <w:r w:rsidRPr="00FD1578">
              <w:rPr>
                <w:rFonts w:eastAsia="Calibri" w:cs="Times New Roman"/>
                <w:b/>
                <w:bCs/>
                <w:i/>
                <w:iCs/>
                <w:szCs w:val="24"/>
                <w:lang w:eastAsia="en-US"/>
              </w:rPr>
              <w:br/>
              <w:t xml:space="preserve">(milj. </w:t>
            </w:r>
            <w:proofErr w:type="spellStart"/>
            <w:r w:rsidRPr="00FD1578">
              <w:rPr>
                <w:rFonts w:eastAsia="Calibri" w:cs="Times New Roman"/>
                <w:b/>
                <w:bCs/>
                <w:i/>
                <w:iCs/>
                <w:szCs w:val="24"/>
                <w:lang w:eastAsia="en-US"/>
              </w:rPr>
              <w:t>euro</w:t>
            </w:r>
            <w:proofErr w:type="spellEnd"/>
            <w:r w:rsidRPr="00FD1578">
              <w:rPr>
                <w:rFonts w:eastAsia="Calibri" w:cs="Times New Roman"/>
                <w:b/>
                <w:bCs/>
                <w:i/>
                <w:iCs/>
                <w:szCs w:val="24"/>
                <w:lang w:eastAsia="en-US"/>
              </w:rPr>
              <w:t>, salīdzināmajās cenās)</w:t>
            </w:r>
          </w:p>
        </w:tc>
      </w:tr>
    </w:tbl>
    <w:p w14:paraId="491D20B7" w14:textId="7421AB8A" w:rsidR="0070161D" w:rsidRPr="00FD1578" w:rsidRDefault="0070161D" w:rsidP="008349F0">
      <w:pPr>
        <w:rPr>
          <w:rFonts w:eastAsia="Calibri" w:cs="Times New Roman"/>
          <w:szCs w:val="24"/>
          <w:lang w:eastAsia="en-US"/>
        </w:rPr>
      </w:pPr>
      <w:r w:rsidRPr="00FD1578">
        <w:rPr>
          <w:rFonts w:eastAsia="Calibri" w:cs="Times New Roman"/>
          <w:szCs w:val="24"/>
          <w:lang w:eastAsia="en-US"/>
        </w:rPr>
        <w:t>Investīciju apjoms biroju, mājokļu, noliktavu un citu ēku būvniecībā 2024. gada pirmajā pusē samazinājies par 3,4%, salīdzinot ar iepriekšējā gada atbilstošo periodu. Kritums tika fiksēts gan dzīvojamiem mājokļiem (-12,2%), gan citām ēkām un būvēm (-0,5%). ES struktūrfondu un citas ārvalstu finanšu palīdzības</w:t>
      </w:r>
      <w:r w:rsidR="00F87D38">
        <w:rPr>
          <w:rFonts w:eastAsia="Calibri" w:cs="Times New Roman"/>
          <w:szCs w:val="24"/>
          <w:lang w:eastAsia="en-US"/>
        </w:rPr>
        <w:t xml:space="preserve"> (ĀFP)</w:t>
      </w:r>
      <w:r w:rsidRPr="00FD1578">
        <w:rPr>
          <w:rFonts w:eastAsia="Calibri" w:cs="Times New Roman"/>
          <w:szCs w:val="24"/>
          <w:lang w:eastAsia="en-US"/>
        </w:rPr>
        <w:t xml:space="preserve"> apjoms, kas ir nozīmīgs investīciju avots, 2024. gada pirmajā pusgadā veidoja 650 milj. </w:t>
      </w:r>
      <w:proofErr w:type="spellStart"/>
      <w:r w:rsidRPr="00FD1578">
        <w:rPr>
          <w:rFonts w:eastAsia="Calibri" w:cs="Times New Roman"/>
          <w:i/>
          <w:iCs/>
          <w:szCs w:val="24"/>
          <w:lang w:eastAsia="en-US"/>
        </w:rPr>
        <w:t>euro</w:t>
      </w:r>
      <w:proofErr w:type="spellEnd"/>
      <w:r w:rsidRPr="00FD1578">
        <w:rPr>
          <w:rFonts w:eastAsia="Calibri" w:cs="Times New Roman"/>
          <w:szCs w:val="24"/>
          <w:lang w:eastAsia="en-US"/>
        </w:rPr>
        <w:t xml:space="preserve">, kas bija par 14,0% mazāk nekā 2023. gada attiecīgajā periodā. Ņemot vērā, ka lielākā daļa no ES fondu līdzekļiem tiek investēta būvniecībā, tas negatīvi ietekmēja būvniecības aktivitāti, it īpaši </w:t>
      </w:r>
      <w:proofErr w:type="spellStart"/>
      <w:r w:rsidRPr="00FD1578">
        <w:rPr>
          <w:rFonts w:eastAsia="Calibri" w:cs="Times New Roman"/>
          <w:szCs w:val="24"/>
          <w:lang w:eastAsia="en-US"/>
        </w:rPr>
        <w:t>inžienerbūvniecības</w:t>
      </w:r>
      <w:proofErr w:type="spellEnd"/>
      <w:r w:rsidRPr="00FD1578">
        <w:rPr>
          <w:rFonts w:eastAsia="Calibri" w:cs="Times New Roman"/>
          <w:szCs w:val="24"/>
          <w:lang w:eastAsia="en-US"/>
        </w:rPr>
        <w:t xml:space="preserve"> </w:t>
      </w:r>
      <w:r w:rsidRPr="00FD1578">
        <w:rPr>
          <w:rFonts w:eastAsia="Calibri" w:cs="Times New Roman"/>
          <w:szCs w:val="24"/>
          <w:lang w:eastAsia="en-US"/>
        </w:rPr>
        <w:lastRenderedPageBreak/>
        <w:t xml:space="preserve">sektoru. Būvniecības produkcijas apjoms 2024. gada pirmajos divos ceturkšņos gada izteiksmē samazinājies par 2,4%. </w:t>
      </w:r>
    </w:p>
    <w:p w14:paraId="7D7CECAF" w14:textId="13D85684" w:rsidR="0070161D" w:rsidRPr="00FD1578" w:rsidRDefault="0070161D" w:rsidP="008349F0">
      <w:pPr>
        <w:rPr>
          <w:rFonts w:eastAsia="Calibri" w:cs="Times New Roman"/>
          <w:kern w:val="2"/>
          <w:szCs w:val="24"/>
          <w:lang w:eastAsia="en-US"/>
          <w14:ligatures w14:val="standardContextual"/>
        </w:rPr>
      </w:pPr>
      <w:r w:rsidRPr="00FD1578">
        <w:rPr>
          <w:rFonts w:eastAsia="Aptos" w:cs="Times New Roman"/>
          <w:kern w:val="2"/>
          <w:szCs w:val="24"/>
          <w:lang w:eastAsia="en-US"/>
          <w14:ligatures w14:val="standardContextual"/>
        </w:rPr>
        <w:t xml:space="preserve">Sagaidāms, ka investīciju apjoms </w:t>
      </w:r>
      <w:r w:rsidRPr="00FD1578">
        <w:rPr>
          <w:rFonts w:eastAsia="Calibri" w:cs="Times New Roman"/>
          <w:kern w:val="2"/>
          <w:szCs w:val="24"/>
          <w:lang w:eastAsia="en-US"/>
          <w14:ligatures w14:val="standardContextual"/>
        </w:rPr>
        <w:t xml:space="preserve">biroju, mājokļu, noliktavu un citu ēku būvniecībā 2024. gada otrajā pusē būs līdzvērtīgs pērnā gada līmenim. Pastāv vairāki faktori, kas varētu negatīvi ietekmēt investīciju aktivitāti gan šogad, gan nākamajā gadā. Pirmkārt, joprojām augstās būvniecības izmaksas. Ražotāju un patērētāju cenu inflācija ir būtiski samazinājusies kopš 2022. gada beigām, kad straujā izejvielu cenu kāpuma dēļ inflācija sasniedza ļoti augstu līmeni. Tam sekoja arī būvniecības izmaksas. 2023. gadā būvniecības izmaksas pieauga par 5,8% pretstatā 19,7% kāpumam 2022. gadā. Vērtējot 2024. gada pirmā pusgada datus, jāsecina, ka kopējais būvniecības izmaksu pieauguma temps turpina samazināties. </w:t>
      </w:r>
      <w:r w:rsidR="005735FB">
        <w:rPr>
          <w:rFonts w:eastAsia="Calibri" w:cs="Times New Roman"/>
          <w:kern w:val="2"/>
          <w:szCs w:val="24"/>
          <w:lang w:eastAsia="en-US"/>
          <w14:ligatures w14:val="standardContextual"/>
        </w:rPr>
        <w:t>2024.</w:t>
      </w:r>
      <w:r w:rsidR="005735FB" w:rsidRPr="00FD1578">
        <w:rPr>
          <w:rFonts w:eastAsia="Calibri" w:cs="Times New Roman"/>
          <w:kern w:val="2"/>
          <w:szCs w:val="24"/>
          <w:lang w:eastAsia="en-US"/>
          <w14:ligatures w14:val="standardContextual"/>
        </w:rPr>
        <w:t xml:space="preserve"> </w:t>
      </w:r>
      <w:r w:rsidRPr="00FD1578">
        <w:rPr>
          <w:rFonts w:eastAsia="Calibri" w:cs="Times New Roman"/>
          <w:kern w:val="2"/>
          <w:szCs w:val="24"/>
          <w:lang w:eastAsia="en-US"/>
          <w14:ligatures w14:val="standardContextual"/>
        </w:rPr>
        <w:t xml:space="preserve">gada sešos mēnešos būvniecības izmaksas bija par 2,0% augstākas nekā attiecīgajā periodā pērn. Tā, strādnieku darba samaksa pieauga par 6,5%, mašīnu un citu mehānismu uzturēšanas un ekspluatācijas izmaksas palielinājās par 3,4%, bet būvmateriālu sastāvdaļai bija fiksēta neliela deflācija 0,6% apmērā. Lai arī 2,0% kāpums gada laikā nešķiet augsts, tomēr kopš 2022. gada būvniecības izmaksas palielinājušās gandrīz par 30%. Zemas vispārējas ekonomiskās aktivitātes apstākļos augsts būvniecības izmaksu līmenis ir šķērslis investīciju projektu realizēšanai. Otrkārt, tās ir augstās procentu likmes, kas uztur uzņēmumu kredītu apkalpošanas izmaksas augstā līmenī. Lai arī ECB šā gada jūnijā un septembrī samazināja galveno refinansēšanas procentu likmi un pastāv visi priekšnosacījumi turpmākam samazinājumam, tomēr procentu likmju samazinājums būs mērens un pakāpenisks. Tādējādi arī 2024. gadu kopumā var droši raksturot kā augstu procentu likmju gadu. Treškārt, zemāki nekā prognozēts iepriekš 2021.-2027. gada plānošanas perioda ES struktūrfondu izdevumi, kā arī </w:t>
      </w:r>
      <w:r w:rsidRPr="00FD1578">
        <w:rPr>
          <w:rFonts w:eastAsia="Calibri" w:cs="Times New Roman"/>
          <w:i/>
          <w:iCs/>
          <w:kern w:val="2"/>
          <w:szCs w:val="24"/>
          <w:lang w:eastAsia="en-US"/>
          <w14:ligatures w14:val="standardContextual"/>
        </w:rPr>
        <w:t xml:space="preserve">Rail </w:t>
      </w:r>
      <w:proofErr w:type="spellStart"/>
      <w:r w:rsidRPr="00FD1578">
        <w:rPr>
          <w:rFonts w:eastAsia="Calibri" w:cs="Times New Roman"/>
          <w:i/>
          <w:iCs/>
          <w:kern w:val="2"/>
          <w:szCs w:val="24"/>
          <w:lang w:eastAsia="en-US"/>
          <w14:ligatures w14:val="standardContextual"/>
        </w:rPr>
        <w:t>Baltica</w:t>
      </w:r>
      <w:proofErr w:type="spellEnd"/>
      <w:r w:rsidRPr="00FD1578">
        <w:rPr>
          <w:rFonts w:eastAsia="Calibri" w:cs="Times New Roman"/>
          <w:i/>
          <w:iCs/>
          <w:kern w:val="2"/>
          <w:szCs w:val="24"/>
          <w:lang w:eastAsia="en-US"/>
          <w14:ligatures w14:val="standardContextual"/>
        </w:rPr>
        <w:t xml:space="preserve"> </w:t>
      </w:r>
      <w:r w:rsidRPr="00FD1578">
        <w:rPr>
          <w:rFonts w:eastAsia="Calibri" w:cs="Times New Roman"/>
          <w:kern w:val="2"/>
          <w:szCs w:val="24"/>
          <w:lang w:eastAsia="en-US"/>
          <w14:ligatures w14:val="standardContextual"/>
        </w:rPr>
        <w:t xml:space="preserve">projektu realizēšanas kavēšanās. </w:t>
      </w:r>
    </w:p>
    <w:p w14:paraId="3C90FE78" w14:textId="457632DD" w:rsidR="0070161D" w:rsidRPr="00FD1578" w:rsidRDefault="0070161D" w:rsidP="008349F0">
      <w:pPr>
        <w:keepNext/>
        <w:keepLines/>
        <w:spacing w:before="240" w:after="240"/>
        <w:ind w:firstLine="0"/>
        <w:jc w:val="center"/>
        <w:outlineLvl w:val="1"/>
        <w:rPr>
          <w:rFonts w:eastAsia="Times New Roman" w:cs="Times New Roman"/>
          <w:b/>
          <w:bCs/>
          <w:color w:val="000000"/>
          <w:sz w:val="36"/>
          <w:szCs w:val="28"/>
        </w:rPr>
      </w:pPr>
      <w:bookmarkStart w:id="23" w:name="_Toc178763482"/>
      <w:bookmarkStart w:id="24" w:name="_Toc179356071"/>
      <w:r w:rsidRPr="00FD1578">
        <w:rPr>
          <w:rFonts w:eastAsia="Times New Roman" w:cs="Times New Roman"/>
          <w:b/>
          <w:bCs/>
          <w:color w:val="000000"/>
          <w:sz w:val="36"/>
          <w:szCs w:val="28"/>
        </w:rPr>
        <w:t xml:space="preserve">1.3. Makroekonomisko nelīdzsvarotību uzraudzība </w:t>
      </w:r>
      <w:bookmarkEnd w:id="23"/>
      <w:r w:rsidR="00EE6EFD" w:rsidRPr="00FD1578">
        <w:rPr>
          <w:rFonts w:eastAsia="Times New Roman" w:cs="Times New Roman"/>
          <w:b/>
          <w:bCs/>
          <w:color w:val="000000"/>
          <w:sz w:val="36"/>
          <w:szCs w:val="28"/>
        </w:rPr>
        <w:t>ES</w:t>
      </w:r>
      <w:bookmarkEnd w:id="24"/>
    </w:p>
    <w:p w14:paraId="217F160A" w14:textId="76F81BC8" w:rsidR="0070161D" w:rsidRPr="00FD1578" w:rsidRDefault="0070161D" w:rsidP="008349F0">
      <w:pPr>
        <w:ind w:firstLine="709"/>
        <w:rPr>
          <w:rFonts w:eastAsia="Aptos" w:cs="Times New Roman"/>
          <w:kern w:val="2"/>
          <w:szCs w:val="24"/>
          <w:lang w:eastAsia="en-US"/>
          <w14:ligatures w14:val="standardContextual"/>
        </w:rPr>
      </w:pPr>
      <w:r w:rsidRPr="00FD1578">
        <w:rPr>
          <w:rFonts w:eastAsia="Aptos" w:cs="Times New Roman"/>
          <w:kern w:val="2"/>
          <w:szCs w:val="24"/>
          <w:lang w:eastAsia="en-US"/>
          <w14:ligatures w14:val="standardContextual"/>
        </w:rPr>
        <w:t>Agrās brīdināšanas mehānisma ziņojums tiek publicēts tekošā gada beigās, kas ir arī sākums jaunam makroekonomiskās nesabalansētības uzraudzības ciklam. Tādējādi šobrīd, sagatavojot 2025. gada budžeta</w:t>
      </w:r>
      <w:r w:rsidR="005735FB">
        <w:rPr>
          <w:rFonts w:eastAsia="Aptos" w:cs="Times New Roman"/>
          <w:kern w:val="2"/>
          <w:szCs w:val="24"/>
          <w:lang w:eastAsia="en-US"/>
          <w14:ligatures w14:val="standardContextual"/>
        </w:rPr>
        <w:t xml:space="preserve"> un 2025.-2027. gada budžeta ietvara</w:t>
      </w:r>
      <w:r w:rsidRPr="00FD1578">
        <w:rPr>
          <w:rFonts w:eastAsia="Aptos" w:cs="Times New Roman"/>
          <w:kern w:val="2"/>
          <w:szCs w:val="24"/>
          <w:lang w:eastAsia="en-US"/>
          <w14:ligatures w14:val="standardContextual"/>
        </w:rPr>
        <w:t xml:space="preserve"> paskaidrojumus, tiek izmantots “Agrās brīdināšanas mehānisma ziņojums 2024” (</w:t>
      </w:r>
      <w:proofErr w:type="spellStart"/>
      <w:r w:rsidRPr="00FD1578">
        <w:rPr>
          <w:rFonts w:eastAsia="Aptos" w:cs="Times New Roman"/>
          <w:i/>
          <w:iCs/>
          <w:kern w:val="2"/>
          <w:szCs w:val="24"/>
          <w:lang w:eastAsia="en-US"/>
          <w14:ligatures w14:val="standardContextual"/>
        </w:rPr>
        <w:t>Alert</w:t>
      </w:r>
      <w:proofErr w:type="spellEnd"/>
      <w:r w:rsidRPr="00FD1578">
        <w:rPr>
          <w:rFonts w:eastAsia="Aptos" w:cs="Times New Roman"/>
          <w:i/>
          <w:iCs/>
          <w:kern w:val="2"/>
          <w:szCs w:val="24"/>
          <w:lang w:eastAsia="en-US"/>
          <w14:ligatures w14:val="standardContextual"/>
        </w:rPr>
        <w:t xml:space="preserve"> </w:t>
      </w:r>
      <w:proofErr w:type="spellStart"/>
      <w:r w:rsidRPr="00FD1578">
        <w:rPr>
          <w:rFonts w:eastAsia="Aptos" w:cs="Times New Roman"/>
          <w:i/>
          <w:iCs/>
          <w:kern w:val="2"/>
          <w:szCs w:val="24"/>
          <w:lang w:eastAsia="en-US"/>
          <w14:ligatures w14:val="standardContextual"/>
        </w:rPr>
        <w:t>Mechanism</w:t>
      </w:r>
      <w:proofErr w:type="spellEnd"/>
      <w:r w:rsidRPr="00FD1578">
        <w:rPr>
          <w:rFonts w:eastAsia="Aptos" w:cs="Times New Roman"/>
          <w:i/>
          <w:iCs/>
          <w:kern w:val="2"/>
          <w:szCs w:val="24"/>
          <w:lang w:eastAsia="en-US"/>
          <w14:ligatures w14:val="standardContextual"/>
        </w:rPr>
        <w:t xml:space="preserve"> </w:t>
      </w:r>
      <w:proofErr w:type="spellStart"/>
      <w:r w:rsidRPr="00FD1578">
        <w:rPr>
          <w:rFonts w:eastAsia="Aptos" w:cs="Times New Roman"/>
          <w:i/>
          <w:iCs/>
          <w:kern w:val="2"/>
          <w:szCs w:val="24"/>
          <w:lang w:eastAsia="en-US"/>
          <w14:ligatures w14:val="standardContextual"/>
        </w:rPr>
        <w:t>Report</w:t>
      </w:r>
      <w:proofErr w:type="spellEnd"/>
      <w:r w:rsidRPr="00FD1578">
        <w:rPr>
          <w:rFonts w:eastAsia="Aptos" w:cs="Times New Roman"/>
          <w:i/>
          <w:iCs/>
          <w:kern w:val="2"/>
          <w:szCs w:val="24"/>
          <w:lang w:eastAsia="en-US"/>
          <w14:ligatures w14:val="standardContextual"/>
        </w:rPr>
        <w:t xml:space="preserve"> 2024</w:t>
      </w:r>
      <w:r w:rsidRPr="00FD1578">
        <w:rPr>
          <w:rFonts w:eastAsia="Aptos" w:cs="Times New Roman"/>
          <w:kern w:val="2"/>
          <w:szCs w:val="24"/>
          <w:lang w:eastAsia="en-US"/>
          <w14:ligatures w14:val="standardContextual"/>
        </w:rPr>
        <w:t>), kurš tika publicēts 2023. gada 21. novembrī. Ziņojumu izstrādē tiek lietoti statistikas dati ar gada nobīdi, attiecīgi 2024. gada Agrās brīdināšanas mehānisma ziņojums balstās uz 2022. gada statistikas datiem un EK prognozēm 2023.-2024. gadam. Šobrīd vēl joprojām ziņojuma pamatā ir divas rādītāju grupas – 14 pamata rādītāji un 28 papildinoši rādītāji, kuras ir rediģēšanas procesā, lai nākotnē Agrās brīdināšanas mehānisma ziņojumu pārveidotu vairāk uz nākotni vērstu. Šāda pieeja būs izdevīga valstīm, kurām ir ilgstošas nesabalansētības, bet ir vērojams to uzlabojums, t.i., ir skaidras tendences uz situācijas uzlabošanos.</w:t>
      </w:r>
    </w:p>
    <w:p w14:paraId="237D4C4F" w14:textId="77777777" w:rsidR="0070161D" w:rsidRPr="00FD1578" w:rsidRDefault="0070161D" w:rsidP="008349F0">
      <w:pPr>
        <w:ind w:firstLine="709"/>
        <w:rPr>
          <w:rFonts w:eastAsia="Aptos" w:cs="Times New Roman"/>
          <w:kern w:val="2"/>
          <w:szCs w:val="24"/>
          <w:lang w:eastAsia="en-US"/>
          <w14:ligatures w14:val="standardContextual"/>
        </w:rPr>
      </w:pPr>
      <w:r w:rsidRPr="00FD1578">
        <w:rPr>
          <w:rFonts w:eastAsia="Aptos" w:cs="Times New Roman"/>
          <w:kern w:val="2"/>
          <w:szCs w:val="24"/>
          <w:lang w:eastAsia="en-US"/>
          <w14:ligatures w14:val="standardContextual"/>
        </w:rPr>
        <w:t xml:space="preserve"> Pamata rādītājiem ir definēti </w:t>
      </w:r>
      <w:proofErr w:type="spellStart"/>
      <w:r w:rsidRPr="00FD1578">
        <w:rPr>
          <w:rFonts w:eastAsia="Aptos" w:cs="Times New Roman"/>
          <w:kern w:val="2"/>
          <w:szCs w:val="24"/>
          <w:lang w:eastAsia="en-US"/>
          <w14:ligatures w14:val="standardContextual"/>
        </w:rPr>
        <w:t>mērķlīmeņi</w:t>
      </w:r>
      <w:proofErr w:type="spellEnd"/>
      <w:r w:rsidRPr="00FD1578">
        <w:rPr>
          <w:rFonts w:eastAsia="Aptos" w:cs="Times New Roman"/>
          <w:kern w:val="2"/>
          <w:szCs w:val="24"/>
          <w:lang w:eastAsia="en-US"/>
          <w14:ligatures w14:val="standardContextual"/>
        </w:rPr>
        <w:t xml:space="preserve"> jeb pieļaujamās robežvērtības, kuru pārsniegšana var iniciēt attiecīgās dalībvalsts Padziļinātās izpētes ziņojuma (IDR) izstrādi. Lēmums par attiecīgās valsts ekonomikas padziļinātās izpētes procedūras uzsākšanu var tikt pieņemts pamatojoties uz izvērstu ekonomiskās situācijas un saistīto risku analīzi, kā arī ņemot vērā rādītāju sagaidāmo attīstības dinamiku. Automātiska padziļinātās izpētes procedūras uzsākšana, pamatojoties vienīgi uz tehnisku dažu rādītāju noteikto robežvērtību pārsniegšanu, netiek praktizēta. Pamata rādītāju tabula (</w:t>
      </w:r>
      <w:proofErr w:type="spellStart"/>
      <w:r w:rsidRPr="00FD1578">
        <w:rPr>
          <w:rFonts w:eastAsia="Aptos" w:cs="Times New Roman"/>
          <w:i/>
          <w:iCs/>
          <w:kern w:val="2"/>
          <w:szCs w:val="24"/>
          <w:lang w:eastAsia="en-US"/>
          <w14:ligatures w14:val="standardContextual"/>
        </w:rPr>
        <w:t>scoreboard</w:t>
      </w:r>
      <w:proofErr w:type="spellEnd"/>
      <w:r w:rsidRPr="00FD1578">
        <w:rPr>
          <w:rFonts w:eastAsia="Aptos" w:cs="Times New Roman"/>
          <w:kern w:val="2"/>
          <w:szCs w:val="24"/>
          <w:lang w:eastAsia="en-US"/>
          <w14:ligatures w14:val="standardContextual"/>
        </w:rPr>
        <w:t>) ietver šādus rādītājus:</w:t>
      </w:r>
    </w:p>
    <w:p w14:paraId="18E541E7"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Tekošā konta bilance, % no IKP, 3 gadu vidējais rādītājs;</w:t>
      </w:r>
    </w:p>
    <w:p w14:paraId="2E1DEE2C"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Neto starptautisko investīciju pozīcija, % no IKP;</w:t>
      </w:r>
    </w:p>
    <w:p w14:paraId="4D46CAC0"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 xml:space="preserve">Reālais efektīvais valūtas kurss (HICP </w:t>
      </w:r>
      <w:proofErr w:type="spellStart"/>
      <w:r w:rsidRPr="00FD1578">
        <w:rPr>
          <w:rFonts w:eastAsia="Calibri" w:cs="Arial"/>
          <w:szCs w:val="20"/>
          <w:lang w:eastAsia="en-US"/>
        </w:rPr>
        <w:t>deflators</w:t>
      </w:r>
      <w:proofErr w:type="spellEnd"/>
      <w:r w:rsidRPr="00FD1578">
        <w:rPr>
          <w:rFonts w:eastAsia="Calibri" w:cs="Arial"/>
          <w:szCs w:val="20"/>
          <w:lang w:eastAsia="en-US"/>
        </w:rPr>
        <w:t>), 3 gadu % izmaiņas;</w:t>
      </w:r>
    </w:p>
    <w:p w14:paraId="2FDD0D81"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Eksporta tirgus daļa, % no pasaules eksporta, 5 gadu % izmaiņas;</w:t>
      </w:r>
    </w:p>
    <w:p w14:paraId="4E5BDAF7"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lastRenderedPageBreak/>
        <w:t>Nominālo vienības darbaspēka izmaksu indekss,</w:t>
      </w:r>
      <w:r w:rsidRPr="00FD1578">
        <w:rPr>
          <w:rFonts w:ascii="Calibri" w:eastAsia="Calibri" w:hAnsi="Calibri" w:cs="Times New Roman"/>
          <w:sz w:val="22"/>
          <w:vertAlign w:val="superscript"/>
          <w:lang w:eastAsia="en-US"/>
        </w:rPr>
        <w:footnoteReference w:id="4"/>
      </w:r>
      <w:r w:rsidRPr="00FD1578">
        <w:rPr>
          <w:rFonts w:eastAsia="Calibri" w:cs="Arial"/>
          <w:szCs w:val="20"/>
          <w:lang w:eastAsia="en-US"/>
        </w:rPr>
        <w:t xml:space="preserve"> 3 gadu % izmaiņas, (2010=100);</w:t>
      </w:r>
    </w:p>
    <w:p w14:paraId="34EC0C0D"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Mājokļu cenu indekss (2010=100), gada % izmaiņas;</w:t>
      </w:r>
    </w:p>
    <w:p w14:paraId="5E970BCA"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 xml:space="preserve">Privātā sektora konsolidētā </w:t>
      </w:r>
      <w:proofErr w:type="spellStart"/>
      <w:r w:rsidRPr="00FD1578">
        <w:rPr>
          <w:rFonts w:eastAsia="Calibri" w:cs="Arial"/>
          <w:szCs w:val="20"/>
          <w:lang w:eastAsia="en-US"/>
        </w:rPr>
        <w:t>kredītplūsma</w:t>
      </w:r>
      <w:proofErr w:type="spellEnd"/>
      <w:r w:rsidRPr="00FD1578">
        <w:rPr>
          <w:rFonts w:eastAsia="Calibri" w:cs="Arial"/>
          <w:szCs w:val="20"/>
          <w:lang w:eastAsia="en-US"/>
        </w:rPr>
        <w:t>, % no IKP;</w:t>
      </w:r>
    </w:p>
    <w:p w14:paraId="63AC1FA5"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Privātā sektora konsolidētais parāds, % no IKP;</w:t>
      </w:r>
    </w:p>
    <w:p w14:paraId="5D46DFEC"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Vispārējās valdības sektora parāds, % no IKP;</w:t>
      </w:r>
    </w:p>
    <w:p w14:paraId="0309388E"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Bezdarba līmenis, 3 gadu vidējais;</w:t>
      </w:r>
    </w:p>
    <w:p w14:paraId="13CB4E92"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Finanšu sektora nekonsolidētās saistības, 1 gada % izmaiņas;</w:t>
      </w:r>
    </w:p>
    <w:p w14:paraId="7991E63E"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 xml:space="preserve">Iedzīvotāju ekonomiskās aktivitātes līmenis – 3 gadu izmaiņas </w:t>
      </w:r>
      <w:proofErr w:type="spellStart"/>
      <w:r w:rsidRPr="00FD1578">
        <w:rPr>
          <w:rFonts w:eastAsia="Calibri" w:cs="Arial"/>
          <w:szCs w:val="20"/>
          <w:lang w:eastAsia="en-US"/>
        </w:rPr>
        <w:t>pp</w:t>
      </w:r>
      <w:proofErr w:type="spellEnd"/>
      <w:r w:rsidRPr="00FD1578">
        <w:rPr>
          <w:rFonts w:eastAsia="Calibri" w:cs="Arial"/>
          <w:szCs w:val="20"/>
          <w:lang w:eastAsia="en-US"/>
        </w:rPr>
        <w:t xml:space="preserve"> no visiem iedzīvotājiem vecuma grupā no 15 līdz 64 gadiem;</w:t>
      </w:r>
    </w:p>
    <w:p w14:paraId="6D3AD9FF" w14:textId="77777777" w:rsidR="0070161D" w:rsidRPr="00FD1578" w:rsidRDefault="0070161D" w:rsidP="00F87D38">
      <w:pPr>
        <w:numPr>
          <w:ilvl w:val="0"/>
          <w:numId w:val="17"/>
        </w:numPr>
        <w:spacing w:after="0"/>
        <w:ind w:left="720"/>
        <w:contextualSpacing/>
        <w:jc w:val="left"/>
        <w:rPr>
          <w:rFonts w:eastAsia="Calibri" w:cs="Arial"/>
          <w:szCs w:val="20"/>
          <w:lang w:eastAsia="en-US"/>
        </w:rPr>
      </w:pPr>
      <w:r w:rsidRPr="00FD1578">
        <w:rPr>
          <w:rFonts w:eastAsia="Calibri" w:cs="Arial"/>
          <w:szCs w:val="20"/>
          <w:lang w:eastAsia="en-US"/>
        </w:rPr>
        <w:t xml:space="preserve">Ilgtermiņa bezdarba līmenis – 3 gadu izmaiņas </w:t>
      </w:r>
      <w:proofErr w:type="spellStart"/>
      <w:r w:rsidRPr="00FD1578">
        <w:rPr>
          <w:rFonts w:eastAsia="Calibri" w:cs="Arial"/>
          <w:szCs w:val="20"/>
          <w:lang w:eastAsia="en-US"/>
        </w:rPr>
        <w:t>pp</w:t>
      </w:r>
      <w:proofErr w:type="spellEnd"/>
      <w:r w:rsidRPr="00FD1578">
        <w:rPr>
          <w:rFonts w:eastAsia="Calibri" w:cs="Arial"/>
          <w:szCs w:val="20"/>
          <w:lang w:eastAsia="en-US"/>
        </w:rPr>
        <w:t xml:space="preserve"> no ekonomiski aktīvajiem iedzīvotājiem vecuma grupā no 15 līdz 74 gadiem;</w:t>
      </w:r>
    </w:p>
    <w:p w14:paraId="05CA070C" w14:textId="77777777" w:rsidR="0070161D" w:rsidRPr="00FD1578" w:rsidRDefault="0070161D" w:rsidP="00F87D38">
      <w:pPr>
        <w:numPr>
          <w:ilvl w:val="0"/>
          <w:numId w:val="17"/>
        </w:numPr>
        <w:spacing w:after="160"/>
        <w:ind w:left="714" w:hanging="357"/>
        <w:jc w:val="left"/>
        <w:rPr>
          <w:rFonts w:eastAsia="Calibri" w:cs="Arial"/>
          <w:szCs w:val="20"/>
          <w:lang w:eastAsia="en-US"/>
        </w:rPr>
      </w:pPr>
      <w:r w:rsidRPr="00FD1578">
        <w:rPr>
          <w:rFonts w:eastAsia="Calibri" w:cs="Arial"/>
          <w:szCs w:val="20"/>
          <w:lang w:eastAsia="en-US"/>
        </w:rPr>
        <w:t xml:space="preserve">Jauniešu bezdarba līmenis – 3 gadu izmaiņas </w:t>
      </w:r>
      <w:proofErr w:type="spellStart"/>
      <w:r w:rsidRPr="00FD1578">
        <w:rPr>
          <w:rFonts w:eastAsia="Calibri" w:cs="Arial"/>
          <w:szCs w:val="20"/>
          <w:lang w:eastAsia="en-US"/>
        </w:rPr>
        <w:t>pp</w:t>
      </w:r>
      <w:proofErr w:type="spellEnd"/>
      <w:r w:rsidRPr="00FD1578">
        <w:rPr>
          <w:rFonts w:eastAsia="Calibri" w:cs="Arial"/>
          <w:szCs w:val="20"/>
          <w:lang w:eastAsia="en-US"/>
        </w:rPr>
        <w:t xml:space="preserve"> no ekonomiski aktīvajiem iedzīvotājiem vecuma grupā no 15 līdz 24 gadiem.</w:t>
      </w:r>
    </w:p>
    <w:p w14:paraId="327D1121" w14:textId="77777777" w:rsidR="0070161D" w:rsidRPr="00FD1578" w:rsidRDefault="0070161D" w:rsidP="008349F0">
      <w:pPr>
        <w:spacing w:before="120"/>
        <w:ind w:firstLine="709"/>
        <w:rPr>
          <w:rFonts w:eastAsia="Aptos" w:cs="Times New Roman"/>
          <w:kern w:val="2"/>
          <w:szCs w:val="24"/>
          <w:lang w:eastAsia="en-US"/>
          <w14:ligatures w14:val="standardContextual"/>
        </w:rPr>
      </w:pPr>
      <w:r w:rsidRPr="00FD1578">
        <w:rPr>
          <w:rFonts w:eastAsia="Aptos" w:cs="Times New Roman"/>
          <w:kern w:val="2"/>
          <w:szCs w:val="24"/>
          <w:lang w:eastAsia="en-US"/>
          <w14:ligatures w14:val="standardContextual"/>
        </w:rPr>
        <w:t>Lēmums par makroekonomisko nesabalansētību konkrētā dalībvalstī vienmēr tiek balstīts uz padziļinātu, vispārēju situācijas analīzi, ņemot vērā rādītāju dinamiku un attīstības perspektīvas.</w:t>
      </w:r>
    </w:p>
    <w:p w14:paraId="0306FA8E" w14:textId="77777777" w:rsidR="0070161D" w:rsidRPr="00FD1578" w:rsidRDefault="0070161D" w:rsidP="008349F0">
      <w:pPr>
        <w:spacing w:before="240" w:after="240"/>
        <w:ind w:firstLine="0"/>
        <w:jc w:val="center"/>
        <w:outlineLvl w:val="2"/>
        <w:rPr>
          <w:rFonts w:eastAsia="Times New Roman" w:cs="Times New Roman"/>
          <w:b/>
          <w:sz w:val="32"/>
          <w:szCs w:val="20"/>
          <w:lang w:eastAsia="en-US"/>
        </w:rPr>
      </w:pPr>
      <w:bookmarkStart w:id="25" w:name="_Toc178763483"/>
      <w:bookmarkStart w:id="26" w:name="_Toc179356072"/>
      <w:r w:rsidRPr="00FD1578">
        <w:rPr>
          <w:rFonts w:eastAsia="Times New Roman" w:cs="Times New Roman"/>
          <w:b/>
          <w:sz w:val="32"/>
          <w:szCs w:val="20"/>
          <w:lang w:eastAsia="en-US"/>
        </w:rPr>
        <w:t>1.3.1. Pārmērīga makroekonomiskā nesabalansētība un Padziļināto izpētes ziņojumu izstrāde</w:t>
      </w:r>
      <w:bookmarkEnd w:id="25"/>
      <w:bookmarkEnd w:id="26"/>
    </w:p>
    <w:p w14:paraId="3DC6CBB7" w14:textId="77777777" w:rsidR="0070161D" w:rsidRPr="00FD1578" w:rsidRDefault="0070161D" w:rsidP="008349F0">
      <w:pPr>
        <w:rPr>
          <w:rFonts w:eastAsia="Calibri" w:cs="Arial"/>
          <w:szCs w:val="20"/>
          <w:lang w:eastAsia="en-US"/>
        </w:rPr>
      </w:pPr>
      <w:r w:rsidRPr="00FD1578">
        <w:rPr>
          <w:rFonts w:eastAsia="Calibri" w:cs="Arial"/>
          <w:szCs w:val="20"/>
          <w:lang w:eastAsia="en-US"/>
        </w:rPr>
        <w:t>Saskaņā ar 2024. gada Agrās brīdināšanas mehānisma ziņojumu 2024. gadā tiks sagatavoti padziļināti pārskati par 11 dalībvalstīm, kurās bija konstatētas nesabalansētības vai pārmērīgas nesabalansētības arī 2023. gadā. Šīs valstis ir Kipra, Francija, Vācija, Grieķija, Itālija, Ungārija, Nīderlande, Portugāle, Rumānija, Spānija un Zviedrija. Turklāt arī par Slovākiju tiks veikts atsevišķs padziļinātais pārskats, jo bažas rada izmaksu konkurētspēja, maksājumu bilances konti, valdības finanses, mājokļu cenas un mājsaimniecību parāds.</w:t>
      </w:r>
    </w:p>
    <w:p w14:paraId="0E81F2D1" w14:textId="77777777" w:rsidR="0070161D" w:rsidRPr="00FD1578" w:rsidRDefault="0070161D" w:rsidP="008349F0">
      <w:pPr>
        <w:jc w:val="right"/>
        <w:rPr>
          <w:rFonts w:eastAsia="Calibri" w:cs="Arial"/>
          <w:b/>
          <w:bCs/>
          <w:i/>
          <w:iCs/>
          <w:szCs w:val="20"/>
          <w:lang w:eastAsia="en-US"/>
        </w:rPr>
      </w:pPr>
      <w:r w:rsidRPr="00FD1578">
        <w:rPr>
          <w:rFonts w:eastAsia="Calibri" w:cs="Arial"/>
          <w:b/>
          <w:bCs/>
          <w:i/>
          <w:iCs/>
          <w:szCs w:val="20"/>
          <w:lang w:eastAsia="en-US"/>
        </w:rPr>
        <w:t xml:space="preserve">1.4. tabula. 2024. gada Agrās brīdināšanas mehānisma ziņojuma rezultāts </w:t>
      </w:r>
    </w:p>
    <w:tbl>
      <w:tblPr>
        <w:tblStyle w:val="ListTable2-Accent19"/>
        <w:tblW w:w="5000" w:type="pct"/>
        <w:jc w:val="center"/>
        <w:tblInd w:w="0" w:type="dxa"/>
        <w:tblLook w:val="04A0" w:firstRow="1" w:lastRow="0" w:firstColumn="1" w:lastColumn="0" w:noHBand="0" w:noVBand="1"/>
      </w:tblPr>
      <w:tblGrid>
        <w:gridCol w:w="4331"/>
        <w:gridCol w:w="4740"/>
      </w:tblGrid>
      <w:tr w:rsidR="0070161D" w:rsidRPr="00FD1578" w14:paraId="7D45008C" w14:textId="77777777" w:rsidTr="0073287C">
        <w:trPr>
          <w:cnfStyle w:val="100000000000" w:firstRow="1" w:lastRow="0" w:firstColumn="0" w:lastColumn="0" w:oddVBand="0" w:evenVBand="0" w:oddHBand="0"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3969" w:type="dxa"/>
            <w:tcBorders>
              <w:top w:val="single" w:sz="4" w:space="0" w:color="8EAADB"/>
              <w:left w:val="nil"/>
              <w:bottom w:val="single" w:sz="4" w:space="0" w:color="8EAADB"/>
              <w:right w:val="nil"/>
            </w:tcBorders>
            <w:hideMark/>
          </w:tcPr>
          <w:p w14:paraId="2A4D0369" w14:textId="77777777" w:rsidR="0070161D" w:rsidRPr="00FD1578" w:rsidRDefault="0070161D" w:rsidP="00F87D38">
            <w:pPr>
              <w:numPr>
                <w:ilvl w:val="0"/>
                <w:numId w:val="18"/>
              </w:numPr>
              <w:spacing w:after="160"/>
              <w:contextualSpacing/>
              <w:jc w:val="left"/>
              <w:rPr>
                <w:sz w:val="20"/>
                <w:szCs w:val="20"/>
              </w:rPr>
            </w:pPr>
            <w:r w:rsidRPr="00FD1578">
              <w:rPr>
                <w:sz w:val="20"/>
                <w:szCs w:val="20"/>
              </w:rPr>
              <w:t xml:space="preserve">Nesabalansētības netika konstatētas un netiek iniciēta Padziļinātā izpētes ziņojuma izstrāde </w:t>
            </w:r>
          </w:p>
        </w:tc>
        <w:tc>
          <w:tcPr>
            <w:tcW w:w="4343" w:type="dxa"/>
            <w:tcBorders>
              <w:top w:val="single" w:sz="4" w:space="0" w:color="8EAADB"/>
              <w:left w:val="nil"/>
              <w:bottom w:val="single" w:sz="4" w:space="0" w:color="8EAADB"/>
              <w:right w:val="nil"/>
            </w:tcBorders>
            <w:vAlign w:val="center"/>
            <w:hideMark/>
          </w:tcPr>
          <w:p w14:paraId="6788918F" w14:textId="77777777" w:rsidR="0070161D" w:rsidRPr="00FD1578" w:rsidRDefault="0070161D" w:rsidP="008349F0">
            <w:pPr>
              <w:spacing w:before="60" w:after="60"/>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FD1578">
              <w:rPr>
                <w:sz w:val="20"/>
                <w:szCs w:val="20"/>
              </w:rPr>
              <w:t>Austrija, Beļģija, Bulgārija, Igaunija, Īrija, Horvātija, Čehija, Dānija, Latvija, Lietuva, Luksemburga, Malta, Polija, Slovēnija, Somija</w:t>
            </w:r>
          </w:p>
        </w:tc>
      </w:tr>
      <w:tr w:rsidR="0070161D" w:rsidRPr="00FD1578" w14:paraId="6811E340" w14:textId="77777777" w:rsidTr="0073287C">
        <w:trPr>
          <w:cnfStyle w:val="000000100000" w:firstRow="0" w:lastRow="0" w:firstColumn="0" w:lastColumn="0" w:oddVBand="0" w:evenVBand="0" w:oddHBand="1"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3969" w:type="dxa"/>
            <w:tcBorders>
              <w:top w:val="single" w:sz="4" w:space="0" w:color="8EAADB"/>
              <w:left w:val="nil"/>
              <w:bottom w:val="single" w:sz="4" w:space="0" w:color="8EAADB"/>
              <w:right w:val="nil"/>
            </w:tcBorders>
            <w:hideMark/>
          </w:tcPr>
          <w:p w14:paraId="5B3306C0" w14:textId="77777777" w:rsidR="0070161D" w:rsidRPr="00FD1578" w:rsidRDefault="0070161D" w:rsidP="00F87D38">
            <w:pPr>
              <w:numPr>
                <w:ilvl w:val="0"/>
                <w:numId w:val="18"/>
              </w:numPr>
              <w:spacing w:after="160"/>
              <w:contextualSpacing/>
              <w:jc w:val="left"/>
              <w:rPr>
                <w:sz w:val="20"/>
                <w:szCs w:val="20"/>
              </w:rPr>
            </w:pPr>
            <w:r w:rsidRPr="00FD1578">
              <w:rPr>
                <w:sz w:val="20"/>
                <w:szCs w:val="20"/>
              </w:rPr>
              <w:t>Pastāv makroekonomiskās nesabalansētības</w:t>
            </w:r>
          </w:p>
        </w:tc>
        <w:tc>
          <w:tcPr>
            <w:tcW w:w="4343" w:type="dxa"/>
            <w:tcBorders>
              <w:top w:val="single" w:sz="4" w:space="0" w:color="8EAADB"/>
              <w:left w:val="nil"/>
              <w:bottom w:val="single" w:sz="4" w:space="0" w:color="8EAADB"/>
              <w:right w:val="nil"/>
            </w:tcBorders>
            <w:vAlign w:val="center"/>
            <w:hideMark/>
          </w:tcPr>
          <w:p w14:paraId="4F96D262" w14:textId="77777777" w:rsidR="0070161D" w:rsidRPr="00FD1578" w:rsidRDefault="0070161D" w:rsidP="008349F0">
            <w:pPr>
              <w:spacing w:before="60" w:after="60"/>
              <w:ind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FD1578">
              <w:rPr>
                <w:rFonts w:cs="Arial"/>
                <w:sz w:val="20"/>
                <w:szCs w:val="20"/>
              </w:rPr>
              <w:t>Kipra, Francija, Vācija, Grieķija, Itālija, Ungārija, Nīderlande, Portugāle, Rumānija, Spānija, Zviedrija un Slovākija</w:t>
            </w:r>
          </w:p>
        </w:tc>
      </w:tr>
      <w:tr w:rsidR="0070161D" w:rsidRPr="00FD1578" w14:paraId="15BFBF98" w14:textId="77777777" w:rsidTr="0073287C">
        <w:trPr>
          <w:trHeight w:val="498"/>
          <w:jc w:val="center"/>
        </w:trPr>
        <w:tc>
          <w:tcPr>
            <w:cnfStyle w:val="001000000000" w:firstRow="0" w:lastRow="0" w:firstColumn="1" w:lastColumn="0" w:oddVBand="0" w:evenVBand="0" w:oddHBand="0" w:evenHBand="0" w:firstRowFirstColumn="0" w:firstRowLastColumn="0" w:lastRowFirstColumn="0" w:lastRowLastColumn="0"/>
            <w:tcW w:w="3969" w:type="dxa"/>
            <w:tcBorders>
              <w:top w:val="single" w:sz="4" w:space="0" w:color="8EAADB"/>
              <w:left w:val="nil"/>
              <w:bottom w:val="single" w:sz="4" w:space="0" w:color="8EAADB"/>
              <w:right w:val="nil"/>
            </w:tcBorders>
            <w:hideMark/>
          </w:tcPr>
          <w:p w14:paraId="1147EC70" w14:textId="77777777" w:rsidR="0070161D" w:rsidRPr="00FD1578" w:rsidRDefault="0070161D" w:rsidP="00F87D38">
            <w:pPr>
              <w:numPr>
                <w:ilvl w:val="0"/>
                <w:numId w:val="18"/>
              </w:numPr>
              <w:spacing w:after="160"/>
              <w:contextualSpacing/>
              <w:jc w:val="left"/>
              <w:rPr>
                <w:sz w:val="20"/>
                <w:szCs w:val="20"/>
              </w:rPr>
            </w:pPr>
            <w:r w:rsidRPr="00FD1578">
              <w:rPr>
                <w:sz w:val="20"/>
                <w:szCs w:val="20"/>
              </w:rPr>
              <w:t>Kopā no 27 ES dalībvalstīm Padziļinātās izpētes ziņojumi tiks izstrādāti</w:t>
            </w:r>
          </w:p>
        </w:tc>
        <w:tc>
          <w:tcPr>
            <w:tcW w:w="4343" w:type="dxa"/>
            <w:tcBorders>
              <w:top w:val="single" w:sz="4" w:space="0" w:color="8EAADB"/>
              <w:left w:val="nil"/>
              <w:bottom w:val="single" w:sz="4" w:space="0" w:color="8EAADB"/>
              <w:right w:val="nil"/>
            </w:tcBorders>
            <w:vAlign w:val="center"/>
            <w:hideMark/>
          </w:tcPr>
          <w:p w14:paraId="0F464488" w14:textId="77777777" w:rsidR="0070161D" w:rsidRPr="00FD1578" w:rsidRDefault="0070161D" w:rsidP="008349F0">
            <w:pPr>
              <w:spacing w:before="60" w:after="60"/>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FD1578">
              <w:rPr>
                <w:sz w:val="20"/>
                <w:szCs w:val="20"/>
              </w:rPr>
              <w:t>12 dalībvalstīs</w:t>
            </w:r>
          </w:p>
        </w:tc>
      </w:tr>
    </w:tbl>
    <w:p w14:paraId="7825E7CF" w14:textId="77777777" w:rsidR="0070161D" w:rsidRPr="00FD1578" w:rsidRDefault="0070161D" w:rsidP="008349F0">
      <w:pPr>
        <w:spacing w:before="240"/>
        <w:rPr>
          <w:rFonts w:eastAsia="Calibri" w:cs="Arial"/>
          <w:szCs w:val="20"/>
          <w:lang w:eastAsia="en-US"/>
        </w:rPr>
      </w:pPr>
      <w:r w:rsidRPr="00FD1578">
        <w:rPr>
          <w:rFonts w:eastAsia="Calibri" w:cs="Arial"/>
          <w:szCs w:val="20"/>
          <w:lang w:eastAsia="en-US"/>
        </w:rPr>
        <w:t>Par pārējām dalībvalstīm netiks veiktas padziļinātās pārbaudes, jo nesabalansētības nav konstatētas, kaut Latvijas gadījumā četru rādītāju robežvērtības ir pārkāptas. Turklāt par Latviju, Lietuvu, Igauniju, Čehiju un Luksemburgu 2023. gada pavasarī jau tika veikts padziļināts izvērtējums, taču netika konstatētas nesabalansētības vai pārmērīgas nesabalansētības.</w:t>
      </w:r>
    </w:p>
    <w:p w14:paraId="613AD5E0" w14:textId="77777777" w:rsidR="0070161D" w:rsidRPr="00FD1578" w:rsidRDefault="0070161D" w:rsidP="008349F0">
      <w:pPr>
        <w:ind w:firstLine="0"/>
        <w:jc w:val="center"/>
        <w:rPr>
          <w:rFonts w:eastAsia="Calibri" w:cs="Arial"/>
          <w:b/>
          <w:bCs/>
          <w:i/>
          <w:iCs/>
          <w:szCs w:val="20"/>
          <w:lang w:eastAsia="en-US"/>
        </w:rPr>
      </w:pPr>
      <w:r w:rsidRPr="00FD1578">
        <w:rPr>
          <w:rFonts w:ascii="Calibri" w:eastAsia="Calibri" w:hAnsi="Calibri" w:cs="Times New Roman"/>
          <w:noProof/>
          <w:sz w:val="22"/>
          <w:lang w:eastAsia="en-US"/>
        </w:rPr>
        <w:lastRenderedPageBreak/>
        <w:drawing>
          <wp:inline distT="0" distB="0" distL="0" distR="0" wp14:anchorId="37DC6179" wp14:editId="1C94294A">
            <wp:extent cx="5276850" cy="3619500"/>
            <wp:effectExtent l="0" t="0" r="0" b="0"/>
            <wp:docPr id="28" name="Chart 1">
              <a:extLst xmlns:a="http://schemas.openxmlformats.org/drawingml/2006/main">
                <a:ext uri="{FF2B5EF4-FFF2-40B4-BE49-F238E27FC236}">
                  <a16:creationId xmlns:a16="http://schemas.microsoft.com/office/drawing/2014/main" id="{0E88124D-4D46-43D9-90EF-F946BB9A62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FD1578">
        <w:rPr>
          <w:rFonts w:eastAsia="Calibri" w:cs="Arial"/>
          <w:szCs w:val="20"/>
          <w:lang w:eastAsia="en-US"/>
        </w:rPr>
        <w:br/>
      </w:r>
      <w:r w:rsidRPr="00FD1578">
        <w:rPr>
          <w:rFonts w:eastAsia="Calibri" w:cs="Arial"/>
          <w:b/>
          <w:bCs/>
          <w:i/>
          <w:iCs/>
          <w:szCs w:val="20"/>
          <w:lang w:eastAsia="en-US"/>
        </w:rPr>
        <w:t xml:space="preserve">1.26. att. Valstu skaits, kurās pārsniegts Agrās brīdināšanas mehānisma rādītāju noteiktais </w:t>
      </w:r>
      <w:proofErr w:type="spellStart"/>
      <w:r w:rsidRPr="00FD1578">
        <w:rPr>
          <w:rFonts w:eastAsia="Calibri" w:cs="Arial"/>
          <w:b/>
          <w:bCs/>
          <w:i/>
          <w:iCs/>
          <w:szCs w:val="20"/>
          <w:lang w:eastAsia="en-US"/>
        </w:rPr>
        <w:t>robežslieksnis</w:t>
      </w:r>
      <w:proofErr w:type="spellEnd"/>
    </w:p>
    <w:p w14:paraId="292BDEF3" w14:textId="77777777" w:rsidR="0070161D" w:rsidRPr="00FD1578" w:rsidRDefault="0070161D" w:rsidP="008349F0">
      <w:pPr>
        <w:spacing w:before="240" w:after="240"/>
        <w:ind w:firstLine="0"/>
        <w:jc w:val="center"/>
        <w:outlineLvl w:val="2"/>
        <w:rPr>
          <w:rFonts w:eastAsia="Times New Roman" w:cs="Times New Roman"/>
          <w:b/>
          <w:sz w:val="32"/>
          <w:szCs w:val="20"/>
          <w:lang w:eastAsia="en-US"/>
        </w:rPr>
      </w:pPr>
      <w:bookmarkStart w:id="27" w:name="_Toc178763484"/>
      <w:bookmarkStart w:id="28" w:name="_Toc179356073"/>
      <w:r w:rsidRPr="00FD1578">
        <w:rPr>
          <w:rFonts w:eastAsia="Times New Roman" w:cs="Times New Roman"/>
          <w:b/>
          <w:sz w:val="32"/>
          <w:szCs w:val="20"/>
          <w:lang w:eastAsia="en-US"/>
        </w:rPr>
        <w:t>1.3.2. Latvijas ekonomiskās situācijas novērtējums 2024. gada Agrās brīdināšanas mehānisma ziņojumā un iespējamās tendences 2025. gada ziņojumā</w:t>
      </w:r>
      <w:bookmarkEnd w:id="27"/>
      <w:bookmarkEnd w:id="28"/>
    </w:p>
    <w:p w14:paraId="1314CB53" w14:textId="77777777" w:rsidR="0070161D" w:rsidRPr="00FD1578" w:rsidRDefault="0070161D" w:rsidP="008349F0">
      <w:pPr>
        <w:ind w:firstLine="709"/>
        <w:rPr>
          <w:rFonts w:eastAsia="Aptos" w:cs="Times New Roman"/>
          <w:kern w:val="2"/>
          <w:szCs w:val="24"/>
          <w:lang w:eastAsia="en-US"/>
          <w14:ligatures w14:val="standardContextual"/>
        </w:rPr>
      </w:pPr>
      <w:r w:rsidRPr="00FD1578">
        <w:rPr>
          <w:rFonts w:eastAsia="Aptos" w:cs="Times New Roman"/>
          <w:kern w:val="2"/>
          <w:szCs w:val="24"/>
          <w:lang w:eastAsia="en-US"/>
          <w14:ligatures w14:val="standardContextual"/>
        </w:rPr>
        <w:t xml:space="preserve">Neskatoties uz četru rādītāju robežvērtību pārsniegšanu, nesabalansētības Latvijā nav konstatētas. Ziņojumā Latvija, Lietuva, Igaunija, Čehija un Luksemburga ierindotas starp tām dalībvalstīm, kur atsevišķas jomas var radīt riskus nākotnē. Četri </w:t>
      </w:r>
      <w:proofErr w:type="spellStart"/>
      <w:r w:rsidRPr="00FD1578">
        <w:rPr>
          <w:rFonts w:eastAsia="Aptos" w:cs="Times New Roman"/>
          <w:kern w:val="2"/>
          <w:szCs w:val="24"/>
          <w:lang w:eastAsia="en-US"/>
          <w14:ligatures w14:val="standardContextual"/>
        </w:rPr>
        <w:t>pamatrādītāji</w:t>
      </w:r>
      <w:proofErr w:type="spellEnd"/>
      <w:r w:rsidRPr="00FD1578">
        <w:rPr>
          <w:rFonts w:eastAsia="Aptos" w:cs="Times New Roman"/>
          <w:kern w:val="2"/>
          <w:szCs w:val="24"/>
          <w:lang w:eastAsia="en-US"/>
          <w14:ligatures w14:val="standardContextual"/>
        </w:rPr>
        <w:t xml:space="preserve">, kas 2024. gada ziņojumā Latvijai pārsniedza noteiktās robežvērtības, bija – reālais efektīvais valūtas maiņas kurss, nominālās vienības darbaspēka izmaksu indekss, ekonomiski aktīvo iedzīvotāju īpatsvars procentos no visiem iedzīvotājiem vecuma grupā 15 līdz 64 gadiem un jauniešu bezdarba līmenis procentos no ekonomiski aktīvajiem iedzīvotājiem vecuma grupā no 15 līdz 24 gadiem. </w:t>
      </w:r>
    </w:p>
    <w:p w14:paraId="1FC8E7BA" w14:textId="77777777" w:rsidR="0070161D" w:rsidRPr="00FD1578" w:rsidRDefault="0070161D" w:rsidP="008349F0">
      <w:pPr>
        <w:spacing w:after="160"/>
        <w:ind w:firstLine="0"/>
        <w:jc w:val="right"/>
        <w:rPr>
          <w:rFonts w:ascii="Calibri" w:eastAsia="Calibri" w:hAnsi="Calibri" w:cs="Times New Roman"/>
          <w:b/>
          <w:bCs/>
          <w:i/>
          <w:szCs w:val="24"/>
          <w:lang w:eastAsia="x-none"/>
        </w:rPr>
      </w:pPr>
      <w:r w:rsidRPr="00FD1578">
        <w:rPr>
          <w:rFonts w:eastAsia="Calibri" w:cs="Times New Roman"/>
          <w:b/>
          <w:bCs/>
          <w:i/>
          <w:szCs w:val="24"/>
          <w:lang w:eastAsia="x-none"/>
        </w:rPr>
        <w:t xml:space="preserve">1.5. tabula. Agrās brīdināšanas mehānismā noteikto </w:t>
      </w:r>
      <w:proofErr w:type="spellStart"/>
      <w:r w:rsidRPr="00FD1578">
        <w:rPr>
          <w:rFonts w:eastAsia="Calibri" w:cs="Times New Roman"/>
          <w:b/>
          <w:bCs/>
          <w:i/>
          <w:szCs w:val="24"/>
          <w:lang w:eastAsia="x-none"/>
        </w:rPr>
        <w:t>pamatrādītāju</w:t>
      </w:r>
      <w:proofErr w:type="spellEnd"/>
      <w:r w:rsidRPr="00FD1578">
        <w:rPr>
          <w:rFonts w:eastAsia="Calibri" w:cs="Times New Roman"/>
          <w:b/>
          <w:bCs/>
          <w:i/>
          <w:szCs w:val="24"/>
          <w:lang w:eastAsia="x-none"/>
        </w:rPr>
        <w:t xml:space="preserve"> vērtības Latvijai</w:t>
      </w:r>
    </w:p>
    <w:tbl>
      <w:tblPr>
        <w:tblpPr w:leftFromText="180" w:rightFromText="180" w:bottomFromText="160" w:vertAnchor="text" w:horzAnchor="margin" w:tblpXSpec="center" w:tblpY="30"/>
        <w:tblW w:w="5000" w:type="pct"/>
        <w:tblBorders>
          <w:top w:val="single" w:sz="4" w:space="0" w:color="auto"/>
          <w:bottom w:val="single" w:sz="4" w:space="0" w:color="auto"/>
          <w:insideH w:val="single" w:sz="4" w:space="0" w:color="auto"/>
        </w:tblBorders>
        <w:tblLayout w:type="fixed"/>
        <w:tblCellMar>
          <w:left w:w="57" w:type="dxa"/>
          <w:right w:w="57" w:type="dxa"/>
        </w:tblCellMar>
        <w:tblLook w:val="04A0" w:firstRow="1" w:lastRow="0" w:firstColumn="1" w:lastColumn="0" w:noHBand="0" w:noVBand="1"/>
      </w:tblPr>
      <w:tblGrid>
        <w:gridCol w:w="3096"/>
        <w:gridCol w:w="1085"/>
        <w:gridCol w:w="773"/>
        <w:gridCol w:w="823"/>
        <w:gridCol w:w="823"/>
        <w:gridCol w:w="823"/>
        <w:gridCol w:w="823"/>
        <w:gridCol w:w="825"/>
      </w:tblGrid>
      <w:tr w:rsidR="0070161D" w:rsidRPr="00FD1578" w14:paraId="74A570D6" w14:textId="77777777" w:rsidTr="00D060E5">
        <w:trPr>
          <w:trHeight w:val="290"/>
          <w:tblHeader/>
        </w:trPr>
        <w:tc>
          <w:tcPr>
            <w:tcW w:w="2834" w:type="dxa"/>
            <w:tcBorders>
              <w:top w:val="single" w:sz="4" w:space="0" w:color="auto"/>
              <w:left w:val="nil"/>
              <w:bottom w:val="single" w:sz="4" w:space="0" w:color="auto"/>
              <w:right w:val="nil"/>
            </w:tcBorders>
            <w:noWrap/>
            <w:hideMark/>
          </w:tcPr>
          <w:p w14:paraId="796E835D" w14:textId="77777777" w:rsidR="0070161D" w:rsidRPr="00FD1578" w:rsidRDefault="0070161D" w:rsidP="008349F0">
            <w:pPr>
              <w:spacing w:after="160"/>
              <w:ind w:firstLine="0"/>
              <w:jc w:val="left"/>
              <w:rPr>
                <w:rFonts w:ascii="Calibri" w:eastAsia="Calibri" w:hAnsi="Calibri" w:cs="Times New Roman"/>
                <w:b/>
                <w:bCs/>
                <w:i/>
                <w:szCs w:val="24"/>
                <w:lang w:eastAsia="x-none"/>
              </w:rPr>
            </w:pPr>
          </w:p>
        </w:tc>
        <w:tc>
          <w:tcPr>
            <w:tcW w:w="1701" w:type="dxa"/>
            <w:gridSpan w:val="2"/>
            <w:tcBorders>
              <w:top w:val="single" w:sz="4" w:space="0" w:color="auto"/>
              <w:left w:val="nil"/>
              <w:bottom w:val="single" w:sz="4" w:space="0" w:color="auto"/>
              <w:right w:val="nil"/>
            </w:tcBorders>
            <w:noWrap/>
            <w:vAlign w:val="center"/>
            <w:hideMark/>
          </w:tcPr>
          <w:p w14:paraId="1FB27ADA"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Robežvērtības</w:t>
            </w:r>
          </w:p>
        </w:tc>
        <w:tc>
          <w:tcPr>
            <w:tcW w:w="754" w:type="dxa"/>
            <w:tcBorders>
              <w:top w:val="single" w:sz="4" w:space="0" w:color="auto"/>
              <w:left w:val="nil"/>
              <w:bottom w:val="single" w:sz="4" w:space="0" w:color="auto"/>
              <w:right w:val="nil"/>
            </w:tcBorders>
            <w:noWrap/>
            <w:vAlign w:val="center"/>
            <w:hideMark/>
          </w:tcPr>
          <w:p w14:paraId="1D1FBE9C" w14:textId="77777777" w:rsidR="0070161D" w:rsidRPr="00FD1578" w:rsidRDefault="0070161D" w:rsidP="008349F0">
            <w:pPr>
              <w:spacing w:after="0"/>
              <w:ind w:firstLine="0"/>
              <w:jc w:val="center"/>
              <w:rPr>
                <w:rFonts w:eastAsia="Calibri" w:cs="Times New Roman"/>
                <w:b/>
                <w:bCs/>
                <w:color w:val="000000"/>
                <w:sz w:val="18"/>
                <w:szCs w:val="18"/>
                <w:lang w:eastAsia="en-US"/>
              </w:rPr>
            </w:pPr>
            <w:r w:rsidRPr="00FD1578">
              <w:rPr>
                <w:rFonts w:eastAsia="Calibri" w:cs="Times New Roman"/>
                <w:b/>
                <w:bCs/>
                <w:color w:val="000000"/>
                <w:sz w:val="18"/>
                <w:szCs w:val="18"/>
                <w:lang w:eastAsia="en-US"/>
              </w:rPr>
              <w:t>2020</w:t>
            </w:r>
          </w:p>
        </w:tc>
        <w:tc>
          <w:tcPr>
            <w:tcW w:w="754" w:type="dxa"/>
            <w:tcBorders>
              <w:top w:val="single" w:sz="4" w:space="0" w:color="auto"/>
              <w:left w:val="nil"/>
              <w:bottom w:val="single" w:sz="4" w:space="0" w:color="auto"/>
              <w:right w:val="nil"/>
            </w:tcBorders>
            <w:noWrap/>
            <w:vAlign w:val="center"/>
            <w:hideMark/>
          </w:tcPr>
          <w:p w14:paraId="65E0301A" w14:textId="77777777" w:rsidR="0070161D" w:rsidRPr="00FD1578" w:rsidRDefault="0070161D" w:rsidP="008349F0">
            <w:pPr>
              <w:spacing w:after="0"/>
              <w:ind w:firstLine="0"/>
              <w:jc w:val="center"/>
              <w:rPr>
                <w:rFonts w:eastAsia="Calibri" w:cs="Times New Roman"/>
                <w:b/>
                <w:bCs/>
                <w:color w:val="000000"/>
                <w:sz w:val="18"/>
                <w:szCs w:val="18"/>
                <w:lang w:eastAsia="en-US"/>
              </w:rPr>
            </w:pPr>
            <w:r w:rsidRPr="00FD1578">
              <w:rPr>
                <w:rFonts w:eastAsia="Calibri" w:cs="Times New Roman"/>
                <w:b/>
                <w:bCs/>
                <w:color w:val="000000"/>
                <w:sz w:val="18"/>
                <w:szCs w:val="18"/>
                <w:lang w:eastAsia="en-US"/>
              </w:rPr>
              <w:t>2021</w:t>
            </w:r>
          </w:p>
        </w:tc>
        <w:tc>
          <w:tcPr>
            <w:tcW w:w="754" w:type="dxa"/>
            <w:tcBorders>
              <w:top w:val="single" w:sz="4" w:space="0" w:color="auto"/>
              <w:left w:val="nil"/>
              <w:bottom w:val="single" w:sz="4" w:space="0" w:color="auto"/>
              <w:right w:val="nil"/>
            </w:tcBorders>
            <w:noWrap/>
            <w:vAlign w:val="center"/>
            <w:hideMark/>
          </w:tcPr>
          <w:p w14:paraId="64A22F95" w14:textId="77777777" w:rsidR="0070161D" w:rsidRPr="00FD1578" w:rsidRDefault="0070161D" w:rsidP="008349F0">
            <w:pPr>
              <w:spacing w:after="0"/>
              <w:ind w:firstLine="0"/>
              <w:jc w:val="center"/>
              <w:rPr>
                <w:rFonts w:eastAsia="Calibri" w:cs="Times New Roman"/>
                <w:b/>
                <w:bCs/>
                <w:color w:val="000000"/>
                <w:sz w:val="18"/>
                <w:szCs w:val="18"/>
                <w:lang w:eastAsia="en-US"/>
              </w:rPr>
            </w:pPr>
            <w:r w:rsidRPr="00FD1578">
              <w:rPr>
                <w:rFonts w:eastAsia="Calibri" w:cs="Times New Roman"/>
                <w:b/>
                <w:bCs/>
                <w:color w:val="000000"/>
                <w:sz w:val="18"/>
                <w:szCs w:val="18"/>
                <w:lang w:eastAsia="en-US"/>
              </w:rPr>
              <w:t>2022</w:t>
            </w:r>
          </w:p>
        </w:tc>
        <w:tc>
          <w:tcPr>
            <w:tcW w:w="754" w:type="dxa"/>
            <w:tcBorders>
              <w:top w:val="single" w:sz="4" w:space="0" w:color="auto"/>
              <w:left w:val="nil"/>
              <w:bottom w:val="single" w:sz="4" w:space="0" w:color="auto"/>
              <w:right w:val="nil"/>
            </w:tcBorders>
            <w:noWrap/>
            <w:vAlign w:val="center"/>
            <w:hideMark/>
          </w:tcPr>
          <w:p w14:paraId="3D0854AD" w14:textId="77777777" w:rsidR="0070161D" w:rsidRPr="00FD1578" w:rsidRDefault="0070161D" w:rsidP="008349F0">
            <w:pPr>
              <w:spacing w:after="0"/>
              <w:ind w:firstLine="0"/>
              <w:jc w:val="center"/>
              <w:rPr>
                <w:rFonts w:eastAsia="Calibri" w:cs="Times New Roman"/>
                <w:b/>
                <w:bCs/>
                <w:color w:val="000000"/>
                <w:sz w:val="18"/>
                <w:szCs w:val="18"/>
                <w:lang w:eastAsia="en-US"/>
              </w:rPr>
            </w:pPr>
            <w:r w:rsidRPr="00FD1578">
              <w:rPr>
                <w:rFonts w:eastAsia="Calibri" w:cs="Times New Roman"/>
                <w:b/>
                <w:bCs/>
                <w:color w:val="000000"/>
                <w:sz w:val="18"/>
                <w:szCs w:val="18"/>
                <w:lang w:eastAsia="en-US"/>
              </w:rPr>
              <w:t>2023</w:t>
            </w:r>
          </w:p>
        </w:tc>
        <w:tc>
          <w:tcPr>
            <w:tcW w:w="755" w:type="dxa"/>
            <w:tcBorders>
              <w:top w:val="single" w:sz="4" w:space="0" w:color="auto"/>
              <w:left w:val="nil"/>
              <w:bottom w:val="single" w:sz="4" w:space="0" w:color="auto"/>
              <w:right w:val="nil"/>
            </w:tcBorders>
            <w:noWrap/>
            <w:vAlign w:val="center"/>
            <w:hideMark/>
          </w:tcPr>
          <w:p w14:paraId="03A539C2" w14:textId="77777777" w:rsidR="0070161D" w:rsidRPr="00FD1578" w:rsidRDefault="0070161D" w:rsidP="008349F0">
            <w:pPr>
              <w:spacing w:after="0"/>
              <w:ind w:firstLine="0"/>
              <w:jc w:val="center"/>
              <w:rPr>
                <w:rFonts w:eastAsia="Calibri" w:cs="Times New Roman"/>
                <w:b/>
                <w:bCs/>
                <w:color w:val="000000"/>
                <w:sz w:val="18"/>
                <w:szCs w:val="18"/>
                <w:lang w:eastAsia="en-US"/>
              </w:rPr>
            </w:pPr>
            <w:r w:rsidRPr="00FD1578">
              <w:rPr>
                <w:rFonts w:eastAsia="Calibri" w:cs="Times New Roman"/>
                <w:b/>
                <w:bCs/>
                <w:color w:val="000000"/>
                <w:sz w:val="18"/>
                <w:szCs w:val="18"/>
                <w:lang w:eastAsia="en-US"/>
              </w:rPr>
              <w:t>2024p</w:t>
            </w:r>
          </w:p>
        </w:tc>
      </w:tr>
      <w:tr w:rsidR="0070161D" w:rsidRPr="00FD1578" w14:paraId="30FC73BE"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09E6A5C6" w14:textId="77777777" w:rsidR="0070161D" w:rsidRPr="00FD1578" w:rsidRDefault="0070161D" w:rsidP="008349F0">
            <w:pPr>
              <w:spacing w:after="0"/>
              <w:ind w:firstLine="0"/>
              <w:jc w:val="left"/>
              <w:rPr>
                <w:rFonts w:eastAsia="Calibri" w:cs="Times New Roman"/>
                <w:sz w:val="22"/>
                <w:lang w:eastAsia="en-US"/>
              </w:rPr>
            </w:pPr>
            <w:r w:rsidRPr="00FD1578">
              <w:rPr>
                <w:rFonts w:eastAsia="Calibri" w:cs="Times New Roman"/>
                <w:color w:val="000000"/>
                <w:sz w:val="18"/>
                <w:szCs w:val="18"/>
                <w:lang w:eastAsia="en-US"/>
              </w:rPr>
              <w:t>Tekošā konta bilance % no IKP</w:t>
            </w:r>
          </w:p>
        </w:tc>
        <w:tc>
          <w:tcPr>
            <w:tcW w:w="993" w:type="dxa"/>
            <w:tcBorders>
              <w:top w:val="single" w:sz="4" w:space="0" w:color="auto"/>
              <w:left w:val="nil"/>
              <w:bottom w:val="single" w:sz="4" w:space="0" w:color="auto"/>
              <w:right w:val="nil"/>
            </w:tcBorders>
            <w:noWrap/>
            <w:vAlign w:val="center"/>
            <w:hideMark/>
          </w:tcPr>
          <w:p w14:paraId="70726349"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3 gadu vidējais</w:t>
            </w:r>
          </w:p>
        </w:tc>
        <w:tc>
          <w:tcPr>
            <w:tcW w:w="708" w:type="dxa"/>
            <w:tcBorders>
              <w:top w:val="single" w:sz="4" w:space="0" w:color="auto"/>
              <w:left w:val="nil"/>
              <w:bottom w:val="single" w:sz="4" w:space="0" w:color="auto"/>
              <w:right w:val="nil"/>
            </w:tcBorders>
            <w:vAlign w:val="center"/>
            <w:hideMark/>
          </w:tcPr>
          <w:p w14:paraId="6F57D6DC"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w:t>
            </w:r>
          </w:p>
        </w:tc>
        <w:tc>
          <w:tcPr>
            <w:tcW w:w="754" w:type="dxa"/>
            <w:tcBorders>
              <w:top w:val="single" w:sz="4" w:space="0" w:color="auto"/>
              <w:left w:val="nil"/>
              <w:bottom w:val="single" w:sz="4" w:space="0" w:color="auto"/>
              <w:right w:val="nil"/>
            </w:tcBorders>
            <w:noWrap/>
            <w:vAlign w:val="center"/>
            <w:hideMark/>
          </w:tcPr>
          <w:p w14:paraId="17DAB321"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0,7</w:t>
            </w:r>
          </w:p>
        </w:tc>
        <w:tc>
          <w:tcPr>
            <w:tcW w:w="754" w:type="dxa"/>
            <w:tcBorders>
              <w:top w:val="single" w:sz="4" w:space="0" w:color="auto"/>
              <w:left w:val="nil"/>
              <w:bottom w:val="single" w:sz="4" w:space="0" w:color="auto"/>
              <w:right w:val="nil"/>
            </w:tcBorders>
            <w:noWrap/>
            <w:vAlign w:val="center"/>
            <w:hideMark/>
          </w:tcPr>
          <w:p w14:paraId="3C16C08C"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-0,5</w:t>
            </w:r>
          </w:p>
        </w:tc>
        <w:tc>
          <w:tcPr>
            <w:tcW w:w="754" w:type="dxa"/>
            <w:tcBorders>
              <w:top w:val="single" w:sz="4" w:space="0" w:color="auto"/>
              <w:left w:val="nil"/>
              <w:bottom w:val="single" w:sz="4" w:space="0" w:color="auto"/>
              <w:right w:val="nil"/>
            </w:tcBorders>
            <w:noWrap/>
            <w:vAlign w:val="center"/>
            <w:hideMark/>
          </w:tcPr>
          <w:p w14:paraId="4FE5803E"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-1,9</w:t>
            </w:r>
          </w:p>
        </w:tc>
        <w:tc>
          <w:tcPr>
            <w:tcW w:w="754" w:type="dxa"/>
            <w:tcBorders>
              <w:top w:val="single" w:sz="4" w:space="0" w:color="auto"/>
              <w:left w:val="nil"/>
              <w:bottom w:val="single" w:sz="4" w:space="0" w:color="auto"/>
              <w:right w:val="nil"/>
            </w:tcBorders>
            <w:shd w:val="clear" w:color="auto" w:fill="FBE4D5"/>
            <w:noWrap/>
            <w:vAlign w:val="center"/>
            <w:hideMark/>
          </w:tcPr>
          <w:p w14:paraId="3275AC02"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-4,2</w:t>
            </w:r>
          </w:p>
        </w:tc>
        <w:tc>
          <w:tcPr>
            <w:tcW w:w="755" w:type="dxa"/>
            <w:tcBorders>
              <w:top w:val="single" w:sz="4" w:space="0" w:color="auto"/>
              <w:left w:val="nil"/>
              <w:bottom w:val="single" w:sz="4" w:space="0" w:color="auto"/>
              <w:right w:val="nil"/>
            </w:tcBorders>
            <w:noWrap/>
            <w:vAlign w:val="center"/>
            <w:hideMark/>
          </w:tcPr>
          <w:p w14:paraId="67548844"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-4,0</w:t>
            </w:r>
          </w:p>
        </w:tc>
      </w:tr>
      <w:tr w:rsidR="0070161D" w:rsidRPr="00FD1578" w14:paraId="025A923C"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5FF10E19"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Neto starptautiskā investīciju pozīcija</w:t>
            </w:r>
          </w:p>
        </w:tc>
        <w:tc>
          <w:tcPr>
            <w:tcW w:w="993" w:type="dxa"/>
            <w:tcBorders>
              <w:top w:val="single" w:sz="4" w:space="0" w:color="auto"/>
              <w:left w:val="nil"/>
              <w:bottom w:val="single" w:sz="4" w:space="0" w:color="auto"/>
              <w:right w:val="nil"/>
            </w:tcBorders>
            <w:noWrap/>
            <w:vAlign w:val="center"/>
            <w:hideMark/>
          </w:tcPr>
          <w:p w14:paraId="3DB6B943"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no IKP</w:t>
            </w:r>
          </w:p>
        </w:tc>
        <w:tc>
          <w:tcPr>
            <w:tcW w:w="708" w:type="dxa"/>
            <w:tcBorders>
              <w:top w:val="single" w:sz="4" w:space="0" w:color="auto"/>
              <w:left w:val="nil"/>
              <w:bottom w:val="single" w:sz="4" w:space="0" w:color="auto"/>
              <w:right w:val="nil"/>
            </w:tcBorders>
            <w:vAlign w:val="center"/>
            <w:hideMark/>
          </w:tcPr>
          <w:p w14:paraId="25EE1390"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-35%</w:t>
            </w:r>
          </w:p>
        </w:tc>
        <w:tc>
          <w:tcPr>
            <w:tcW w:w="754" w:type="dxa"/>
            <w:tcBorders>
              <w:top w:val="single" w:sz="4" w:space="0" w:color="auto"/>
              <w:left w:val="nil"/>
              <w:bottom w:val="single" w:sz="4" w:space="0" w:color="auto"/>
              <w:right w:val="nil"/>
            </w:tcBorders>
            <w:noWrap/>
            <w:vAlign w:val="center"/>
            <w:hideMark/>
          </w:tcPr>
          <w:p w14:paraId="39713515"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-34,0</w:t>
            </w:r>
          </w:p>
        </w:tc>
        <w:tc>
          <w:tcPr>
            <w:tcW w:w="754" w:type="dxa"/>
            <w:tcBorders>
              <w:top w:val="single" w:sz="4" w:space="0" w:color="auto"/>
              <w:left w:val="nil"/>
              <w:bottom w:val="single" w:sz="4" w:space="0" w:color="auto"/>
              <w:right w:val="nil"/>
            </w:tcBorders>
            <w:noWrap/>
            <w:vAlign w:val="center"/>
            <w:hideMark/>
          </w:tcPr>
          <w:p w14:paraId="470E4231"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sz w:val="18"/>
                <w:szCs w:val="18"/>
                <w:lang w:eastAsia="en-US"/>
              </w:rPr>
              <w:t>-27,3</w:t>
            </w:r>
          </w:p>
        </w:tc>
        <w:tc>
          <w:tcPr>
            <w:tcW w:w="754" w:type="dxa"/>
            <w:tcBorders>
              <w:top w:val="single" w:sz="4" w:space="0" w:color="auto"/>
              <w:left w:val="nil"/>
              <w:bottom w:val="single" w:sz="4" w:space="0" w:color="auto"/>
              <w:right w:val="nil"/>
            </w:tcBorders>
            <w:noWrap/>
            <w:vAlign w:val="center"/>
            <w:hideMark/>
          </w:tcPr>
          <w:p w14:paraId="090E2A4B"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sz w:val="18"/>
                <w:szCs w:val="18"/>
                <w:lang w:eastAsia="en-US"/>
              </w:rPr>
              <w:t>-26,5</w:t>
            </w:r>
          </w:p>
        </w:tc>
        <w:tc>
          <w:tcPr>
            <w:tcW w:w="754" w:type="dxa"/>
            <w:tcBorders>
              <w:top w:val="single" w:sz="4" w:space="0" w:color="auto"/>
              <w:left w:val="nil"/>
              <w:bottom w:val="single" w:sz="4" w:space="0" w:color="auto"/>
              <w:right w:val="nil"/>
            </w:tcBorders>
            <w:noWrap/>
            <w:vAlign w:val="center"/>
            <w:hideMark/>
          </w:tcPr>
          <w:p w14:paraId="7F794693"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sz w:val="18"/>
                <w:szCs w:val="18"/>
                <w:lang w:eastAsia="en-US"/>
              </w:rPr>
              <w:t>-24,6</w:t>
            </w:r>
          </w:p>
        </w:tc>
        <w:tc>
          <w:tcPr>
            <w:tcW w:w="755" w:type="dxa"/>
            <w:tcBorders>
              <w:top w:val="single" w:sz="4" w:space="0" w:color="auto"/>
              <w:left w:val="nil"/>
              <w:bottom w:val="single" w:sz="4" w:space="0" w:color="auto"/>
              <w:right w:val="nil"/>
            </w:tcBorders>
            <w:noWrap/>
            <w:vAlign w:val="center"/>
            <w:hideMark/>
          </w:tcPr>
          <w:p w14:paraId="6A95729B"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sz w:val="18"/>
                <w:szCs w:val="18"/>
                <w:lang w:eastAsia="en-US"/>
              </w:rPr>
              <w:t>-22,6</w:t>
            </w:r>
          </w:p>
        </w:tc>
      </w:tr>
      <w:tr w:rsidR="0070161D" w:rsidRPr="00FD1578" w14:paraId="3152FC0F"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67A8A6D1"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Reālais efektīvais valūtas maiņas kurss – 42 tirdzniecības partneri</w:t>
            </w:r>
          </w:p>
        </w:tc>
        <w:tc>
          <w:tcPr>
            <w:tcW w:w="993" w:type="dxa"/>
            <w:tcBorders>
              <w:top w:val="single" w:sz="4" w:space="0" w:color="auto"/>
              <w:left w:val="nil"/>
              <w:bottom w:val="single" w:sz="4" w:space="0" w:color="auto"/>
              <w:right w:val="nil"/>
            </w:tcBorders>
            <w:noWrap/>
            <w:vAlign w:val="center"/>
            <w:hideMark/>
          </w:tcPr>
          <w:p w14:paraId="4C148169"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3 gadu % izmaiņas</w:t>
            </w:r>
          </w:p>
        </w:tc>
        <w:tc>
          <w:tcPr>
            <w:tcW w:w="708" w:type="dxa"/>
            <w:tcBorders>
              <w:top w:val="single" w:sz="4" w:space="0" w:color="auto"/>
              <w:left w:val="nil"/>
              <w:bottom w:val="single" w:sz="4" w:space="0" w:color="auto"/>
              <w:right w:val="nil"/>
            </w:tcBorders>
            <w:vAlign w:val="center"/>
            <w:hideMark/>
          </w:tcPr>
          <w:p w14:paraId="49B56FB0"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±5%</w:t>
            </w:r>
          </w:p>
        </w:tc>
        <w:tc>
          <w:tcPr>
            <w:tcW w:w="754" w:type="dxa"/>
            <w:tcBorders>
              <w:top w:val="single" w:sz="4" w:space="0" w:color="auto"/>
              <w:left w:val="nil"/>
              <w:bottom w:val="single" w:sz="4" w:space="0" w:color="auto"/>
              <w:right w:val="nil"/>
            </w:tcBorders>
            <w:shd w:val="clear" w:color="auto" w:fill="FBE4D5"/>
            <w:noWrap/>
            <w:vAlign w:val="center"/>
            <w:hideMark/>
          </w:tcPr>
          <w:p w14:paraId="508A84E9"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sz w:val="18"/>
                <w:szCs w:val="18"/>
                <w:lang w:eastAsia="en-US"/>
              </w:rPr>
              <w:t>5,9</w:t>
            </w:r>
          </w:p>
        </w:tc>
        <w:tc>
          <w:tcPr>
            <w:tcW w:w="754" w:type="dxa"/>
            <w:tcBorders>
              <w:top w:val="single" w:sz="4" w:space="0" w:color="auto"/>
              <w:left w:val="nil"/>
              <w:bottom w:val="single" w:sz="4" w:space="0" w:color="auto"/>
              <w:right w:val="nil"/>
            </w:tcBorders>
            <w:noWrap/>
            <w:vAlign w:val="center"/>
            <w:hideMark/>
          </w:tcPr>
          <w:p w14:paraId="6D19AD8B"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2,3</w:t>
            </w:r>
          </w:p>
        </w:tc>
        <w:tc>
          <w:tcPr>
            <w:tcW w:w="754" w:type="dxa"/>
            <w:tcBorders>
              <w:top w:val="single" w:sz="4" w:space="0" w:color="auto"/>
              <w:left w:val="nil"/>
              <w:bottom w:val="single" w:sz="4" w:space="0" w:color="auto"/>
              <w:right w:val="nil"/>
            </w:tcBorders>
            <w:shd w:val="clear" w:color="auto" w:fill="FBE4D5"/>
            <w:noWrap/>
            <w:vAlign w:val="center"/>
            <w:hideMark/>
          </w:tcPr>
          <w:p w14:paraId="0D23919B"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5,7</w:t>
            </w:r>
          </w:p>
        </w:tc>
        <w:tc>
          <w:tcPr>
            <w:tcW w:w="754" w:type="dxa"/>
            <w:tcBorders>
              <w:top w:val="single" w:sz="4" w:space="0" w:color="auto"/>
              <w:left w:val="nil"/>
              <w:bottom w:val="single" w:sz="4" w:space="0" w:color="auto"/>
              <w:right w:val="nil"/>
            </w:tcBorders>
            <w:shd w:val="clear" w:color="auto" w:fill="FBE4D5"/>
            <w:noWrap/>
            <w:vAlign w:val="center"/>
            <w:hideMark/>
          </w:tcPr>
          <w:p w14:paraId="28958E33"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10,8</w:t>
            </w:r>
          </w:p>
        </w:tc>
        <w:tc>
          <w:tcPr>
            <w:tcW w:w="755" w:type="dxa"/>
            <w:tcBorders>
              <w:top w:val="single" w:sz="4" w:space="0" w:color="auto"/>
              <w:left w:val="nil"/>
              <w:bottom w:val="single" w:sz="4" w:space="0" w:color="auto"/>
              <w:right w:val="nil"/>
            </w:tcBorders>
            <w:shd w:val="clear" w:color="auto" w:fill="FBE4D5"/>
            <w:noWrap/>
            <w:vAlign w:val="center"/>
            <w:hideMark/>
          </w:tcPr>
          <w:p w14:paraId="0C7CF86C"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7,2</w:t>
            </w:r>
          </w:p>
        </w:tc>
      </w:tr>
      <w:tr w:rsidR="0070161D" w:rsidRPr="00FD1578" w14:paraId="017C3E63"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579CA776"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Eksporta tirgus daļa % no pasaules eksporta</w:t>
            </w:r>
          </w:p>
        </w:tc>
        <w:tc>
          <w:tcPr>
            <w:tcW w:w="993" w:type="dxa"/>
            <w:tcBorders>
              <w:top w:val="single" w:sz="4" w:space="0" w:color="auto"/>
              <w:left w:val="nil"/>
              <w:bottom w:val="single" w:sz="4" w:space="0" w:color="auto"/>
              <w:right w:val="nil"/>
            </w:tcBorders>
            <w:noWrap/>
            <w:vAlign w:val="center"/>
            <w:hideMark/>
          </w:tcPr>
          <w:p w14:paraId="2FD135CE"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5 gadu % izmaiņas</w:t>
            </w:r>
          </w:p>
        </w:tc>
        <w:tc>
          <w:tcPr>
            <w:tcW w:w="708" w:type="dxa"/>
            <w:tcBorders>
              <w:top w:val="single" w:sz="4" w:space="0" w:color="auto"/>
              <w:left w:val="nil"/>
              <w:bottom w:val="single" w:sz="4" w:space="0" w:color="auto"/>
              <w:right w:val="nil"/>
            </w:tcBorders>
            <w:vAlign w:val="center"/>
            <w:hideMark/>
          </w:tcPr>
          <w:p w14:paraId="0809F4CF"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-6%</w:t>
            </w:r>
          </w:p>
        </w:tc>
        <w:tc>
          <w:tcPr>
            <w:tcW w:w="754" w:type="dxa"/>
            <w:tcBorders>
              <w:top w:val="single" w:sz="4" w:space="0" w:color="auto"/>
              <w:left w:val="nil"/>
              <w:bottom w:val="single" w:sz="4" w:space="0" w:color="auto"/>
              <w:right w:val="nil"/>
            </w:tcBorders>
            <w:noWrap/>
            <w:vAlign w:val="center"/>
            <w:hideMark/>
          </w:tcPr>
          <w:p w14:paraId="01015BEE"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14,1</w:t>
            </w:r>
          </w:p>
        </w:tc>
        <w:tc>
          <w:tcPr>
            <w:tcW w:w="754" w:type="dxa"/>
            <w:tcBorders>
              <w:top w:val="single" w:sz="4" w:space="0" w:color="auto"/>
              <w:left w:val="nil"/>
              <w:bottom w:val="single" w:sz="4" w:space="0" w:color="auto"/>
              <w:right w:val="nil"/>
            </w:tcBorders>
            <w:noWrap/>
            <w:vAlign w:val="center"/>
            <w:hideMark/>
          </w:tcPr>
          <w:p w14:paraId="2C306BD0"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7,8</w:t>
            </w:r>
          </w:p>
        </w:tc>
        <w:tc>
          <w:tcPr>
            <w:tcW w:w="754" w:type="dxa"/>
            <w:tcBorders>
              <w:top w:val="single" w:sz="4" w:space="0" w:color="auto"/>
              <w:left w:val="nil"/>
              <w:bottom w:val="single" w:sz="4" w:space="0" w:color="auto"/>
              <w:right w:val="nil"/>
            </w:tcBorders>
            <w:noWrap/>
            <w:vAlign w:val="center"/>
            <w:hideMark/>
          </w:tcPr>
          <w:p w14:paraId="58A4E6CD"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13,0</w:t>
            </w:r>
          </w:p>
        </w:tc>
        <w:tc>
          <w:tcPr>
            <w:tcW w:w="754" w:type="dxa"/>
            <w:tcBorders>
              <w:top w:val="single" w:sz="4" w:space="0" w:color="auto"/>
              <w:left w:val="nil"/>
              <w:bottom w:val="single" w:sz="4" w:space="0" w:color="auto"/>
              <w:right w:val="nil"/>
            </w:tcBorders>
            <w:noWrap/>
            <w:vAlign w:val="center"/>
            <w:hideMark/>
          </w:tcPr>
          <w:p w14:paraId="49371C74"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-2,9</w:t>
            </w:r>
          </w:p>
        </w:tc>
        <w:tc>
          <w:tcPr>
            <w:tcW w:w="755" w:type="dxa"/>
            <w:tcBorders>
              <w:top w:val="single" w:sz="4" w:space="0" w:color="auto"/>
              <w:left w:val="nil"/>
              <w:bottom w:val="single" w:sz="4" w:space="0" w:color="auto"/>
              <w:right w:val="nil"/>
            </w:tcBorders>
            <w:noWrap/>
            <w:vAlign w:val="center"/>
            <w:hideMark/>
          </w:tcPr>
          <w:p w14:paraId="624B655B"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6,9</w:t>
            </w:r>
          </w:p>
        </w:tc>
      </w:tr>
      <w:tr w:rsidR="0070161D" w:rsidRPr="00FD1578" w14:paraId="5F88A9F6"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167205C7"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Nominālās darbaspēka vienības izmaksu indekss (2010=100)</w:t>
            </w:r>
          </w:p>
        </w:tc>
        <w:tc>
          <w:tcPr>
            <w:tcW w:w="993" w:type="dxa"/>
            <w:tcBorders>
              <w:top w:val="single" w:sz="4" w:space="0" w:color="auto"/>
              <w:left w:val="nil"/>
              <w:bottom w:val="single" w:sz="4" w:space="0" w:color="auto"/>
              <w:right w:val="nil"/>
            </w:tcBorders>
            <w:noWrap/>
            <w:vAlign w:val="center"/>
            <w:hideMark/>
          </w:tcPr>
          <w:p w14:paraId="2F546468"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3 gadu % izmaiņas</w:t>
            </w:r>
          </w:p>
        </w:tc>
        <w:tc>
          <w:tcPr>
            <w:tcW w:w="708" w:type="dxa"/>
            <w:tcBorders>
              <w:top w:val="single" w:sz="4" w:space="0" w:color="auto"/>
              <w:left w:val="nil"/>
              <w:bottom w:val="single" w:sz="4" w:space="0" w:color="auto"/>
              <w:right w:val="nil"/>
            </w:tcBorders>
            <w:vAlign w:val="center"/>
            <w:hideMark/>
          </w:tcPr>
          <w:p w14:paraId="539CC934"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9%</w:t>
            </w:r>
          </w:p>
        </w:tc>
        <w:tc>
          <w:tcPr>
            <w:tcW w:w="754" w:type="dxa"/>
            <w:tcBorders>
              <w:top w:val="single" w:sz="4" w:space="0" w:color="auto"/>
              <w:left w:val="nil"/>
              <w:bottom w:val="single" w:sz="4" w:space="0" w:color="auto"/>
              <w:right w:val="nil"/>
            </w:tcBorders>
            <w:shd w:val="clear" w:color="auto" w:fill="FBE4D5"/>
            <w:noWrap/>
            <w:vAlign w:val="center"/>
            <w:hideMark/>
          </w:tcPr>
          <w:p w14:paraId="40DFA2CD"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sz w:val="18"/>
                <w:szCs w:val="18"/>
                <w:lang w:eastAsia="en-US"/>
              </w:rPr>
              <w:t>19,2</w:t>
            </w:r>
          </w:p>
        </w:tc>
        <w:tc>
          <w:tcPr>
            <w:tcW w:w="754" w:type="dxa"/>
            <w:tcBorders>
              <w:top w:val="single" w:sz="4" w:space="0" w:color="auto"/>
              <w:left w:val="nil"/>
              <w:bottom w:val="single" w:sz="4" w:space="0" w:color="auto"/>
              <w:right w:val="nil"/>
            </w:tcBorders>
            <w:shd w:val="clear" w:color="auto" w:fill="FBE4D5"/>
            <w:noWrap/>
            <w:vAlign w:val="center"/>
            <w:hideMark/>
          </w:tcPr>
          <w:p w14:paraId="5E75589B"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sz w:val="18"/>
                <w:szCs w:val="18"/>
                <w:lang w:eastAsia="en-US"/>
              </w:rPr>
              <w:t>11,5</w:t>
            </w:r>
          </w:p>
        </w:tc>
        <w:tc>
          <w:tcPr>
            <w:tcW w:w="754" w:type="dxa"/>
            <w:tcBorders>
              <w:top w:val="single" w:sz="4" w:space="0" w:color="auto"/>
              <w:left w:val="nil"/>
              <w:bottom w:val="single" w:sz="4" w:space="0" w:color="auto"/>
              <w:right w:val="nil"/>
            </w:tcBorders>
            <w:shd w:val="clear" w:color="auto" w:fill="FBE4D5"/>
            <w:noWrap/>
            <w:vAlign w:val="center"/>
            <w:hideMark/>
          </w:tcPr>
          <w:p w14:paraId="56D50CBF"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sz w:val="18"/>
                <w:szCs w:val="18"/>
                <w:lang w:eastAsia="en-US"/>
              </w:rPr>
              <w:t>16,9</w:t>
            </w:r>
          </w:p>
        </w:tc>
        <w:tc>
          <w:tcPr>
            <w:tcW w:w="754" w:type="dxa"/>
            <w:tcBorders>
              <w:top w:val="single" w:sz="4" w:space="0" w:color="auto"/>
              <w:left w:val="nil"/>
              <w:bottom w:val="single" w:sz="4" w:space="0" w:color="auto"/>
              <w:right w:val="nil"/>
            </w:tcBorders>
            <w:shd w:val="clear" w:color="auto" w:fill="FBE4D5"/>
            <w:noWrap/>
            <w:vAlign w:val="center"/>
            <w:hideMark/>
          </w:tcPr>
          <w:p w14:paraId="4656DE71"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sz w:val="18"/>
                <w:szCs w:val="18"/>
                <w:lang w:eastAsia="en-US"/>
              </w:rPr>
              <w:t>25,8</w:t>
            </w:r>
          </w:p>
        </w:tc>
        <w:tc>
          <w:tcPr>
            <w:tcW w:w="755" w:type="dxa"/>
            <w:tcBorders>
              <w:top w:val="single" w:sz="4" w:space="0" w:color="auto"/>
              <w:left w:val="nil"/>
              <w:bottom w:val="single" w:sz="4" w:space="0" w:color="auto"/>
              <w:right w:val="nil"/>
            </w:tcBorders>
            <w:shd w:val="clear" w:color="auto" w:fill="FBE4D5"/>
            <w:noWrap/>
            <w:vAlign w:val="center"/>
            <w:hideMark/>
          </w:tcPr>
          <w:p w14:paraId="0DA073D7"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sz w:val="18"/>
                <w:szCs w:val="18"/>
                <w:lang w:eastAsia="en-US"/>
              </w:rPr>
              <w:t>30,2</w:t>
            </w:r>
          </w:p>
        </w:tc>
      </w:tr>
      <w:tr w:rsidR="0070161D" w:rsidRPr="00FD1578" w14:paraId="2B5024C2"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18ED3EAD"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Mājokļu cenu indekss (2015=100)</w:t>
            </w:r>
          </w:p>
        </w:tc>
        <w:tc>
          <w:tcPr>
            <w:tcW w:w="993" w:type="dxa"/>
            <w:tcBorders>
              <w:top w:val="single" w:sz="4" w:space="0" w:color="auto"/>
              <w:left w:val="nil"/>
              <w:bottom w:val="single" w:sz="4" w:space="0" w:color="auto"/>
              <w:right w:val="nil"/>
            </w:tcBorders>
            <w:noWrap/>
            <w:vAlign w:val="center"/>
            <w:hideMark/>
          </w:tcPr>
          <w:p w14:paraId="608A336F"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 gada % izmaiņas</w:t>
            </w:r>
          </w:p>
        </w:tc>
        <w:tc>
          <w:tcPr>
            <w:tcW w:w="708" w:type="dxa"/>
            <w:tcBorders>
              <w:top w:val="single" w:sz="4" w:space="0" w:color="auto"/>
              <w:left w:val="nil"/>
              <w:bottom w:val="single" w:sz="4" w:space="0" w:color="auto"/>
              <w:right w:val="nil"/>
            </w:tcBorders>
            <w:vAlign w:val="center"/>
            <w:hideMark/>
          </w:tcPr>
          <w:p w14:paraId="30E41932"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6%</w:t>
            </w:r>
          </w:p>
        </w:tc>
        <w:tc>
          <w:tcPr>
            <w:tcW w:w="754" w:type="dxa"/>
            <w:tcBorders>
              <w:top w:val="single" w:sz="4" w:space="0" w:color="auto"/>
              <w:left w:val="nil"/>
              <w:bottom w:val="single" w:sz="4" w:space="0" w:color="auto"/>
              <w:right w:val="nil"/>
            </w:tcBorders>
            <w:noWrap/>
            <w:vAlign w:val="center"/>
            <w:hideMark/>
          </w:tcPr>
          <w:p w14:paraId="39A74DE9"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3,5</w:t>
            </w:r>
          </w:p>
        </w:tc>
        <w:tc>
          <w:tcPr>
            <w:tcW w:w="754" w:type="dxa"/>
            <w:tcBorders>
              <w:top w:val="single" w:sz="4" w:space="0" w:color="auto"/>
              <w:left w:val="nil"/>
              <w:bottom w:val="single" w:sz="4" w:space="0" w:color="auto"/>
              <w:right w:val="nil"/>
            </w:tcBorders>
            <w:shd w:val="clear" w:color="auto" w:fill="FBE4D5"/>
            <w:noWrap/>
            <w:vAlign w:val="center"/>
            <w:hideMark/>
          </w:tcPr>
          <w:p w14:paraId="6264A6B4"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7,2</w:t>
            </w:r>
          </w:p>
        </w:tc>
        <w:tc>
          <w:tcPr>
            <w:tcW w:w="754" w:type="dxa"/>
            <w:tcBorders>
              <w:top w:val="single" w:sz="4" w:space="0" w:color="auto"/>
              <w:left w:val="nil"/>
              <w:bottom w:val="single" w:sz="4" w:space="0" w:color="auto"/>
              <w:right w:val="nil"/>
            </w:tcBorders>
            <w:noWrap/>
            <w:vAlign w:val="center"/>
            <w:hideMark/>
          </w:tcPr>
          <w:p w14:paraId="4A5C3709"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sz w:val="18"/>
                <w:szCs w:val="18"/>
                <w:lang w:eastAsia="en-US"/>
              </w:rPr>
              <w:t>0,4</w:t>
            </w:r>
          </w:p>
        </w:tc>
        <w:tc>
          <w:tcPr>
            <w:tcW w:w="754" w:type="dxa"/>
            <w:tcBorders>
              <w:top w:val="single" w:sz="4" w:space="0" w:color="auto"/>
              <w:left w:val="nil"/>
              <w:bottom w:val="single" w:sz="4" w:space="0" w:color="auto"/>
              <w:right w:val="nil"/>
            </w:tcBorders>
            <w:noWrap/>
            <w:vAlign w:val="center"/>
            <w:hideMark/>
          </w:tcPr>
          <w:p w14:paraId="4EB82079"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-4,0</w:t>
            </w:r>
          </w:p>
        </w:tc>
        <w:tc>
          <w:tcPr>
            <w:tcW w:w="755" w:type="dxa"/>
            <w:tcBorders>
              <w:top w:val="single" w:sz="4" w:space="0" w:color="auto"/>
              <w:left w:val="nil"/>
              <w:bottom w:val="single" w:sz="4" w:space="0" w:color="auto"/>
              <w:right w:val="nil"/>
            </w:tcBorders>
            <w:noWrap/>
            <w:vAlign w:val="center"/>
            <w:hideMark/>
          </w:tcPr>
          <w:p w14:paraId="08C29162"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-1,2</w:t>
            </w:r>
          </w:p>
        </w:tc>
      </w:tr>
      <w:tr w:rsidR="0070161D" w:rsidRPr="00FD1578" w14:paraId="413A38E5"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3C9EFD3E"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 xml:space="preserve">Privātā sektora </w:t>
            </w:r>
            <w:proofErr w:type="spellStart"/>
            <w:r w:rsidRPr="00FD1578">
              <w:rPr>
                <w:rFonts w:eastAsia="Calibri" w:cs="Times New Roman"/>
                <w:color w:val="000000"/>
                <w:sz w:val="18"/>
                <w:szCs w:val="18"/>
                <w:lang w:eastAsia="en-US"/>
              </w:rPr>
              <w:t>kredītplūsma</w:t>
            </w:r>
            <w:proofErr w:type="spellEnd"/>
            <w:r w:rsidRPr="00FD1578">
              <w:rPr>
                <w:rFonts w:eastAsia="Calibri" w:cs="Times New Roman"/>
                <w:color w:val="000000"/>
                <w:sz w:val="18"/>
                <w:szCs w:val="18"/>
                <w:lang w:eastAsia="en-US"/>
              </w:rPr>
              <w:t xml:space="preserve"> – konsolidēta</w:t>
            </w:r>
          </w:p>
        </w:tc>
        <w:tc>
          <w:tcPr>
            <w:tcW w:w="993" w:type="dxa"/>
            <w:tcBorders>
              <w:top w:val="single" w:sz="4" w:space="0" w:color="auto"/>
              <w:left w:val="nil"/>
              <w:bottom w:val="single" w:sz="4" w:space="0" w:color="auto"/>
              <w:right w:val="nil"/>
            </w:tcBorders>
            <w:noWrap/>
            <w:vAlign w:val="center"/>
            <w:hideMark/>
          </w:tcPr>
          <w:p w14:paraId="3A661A67"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no IKP</w:t>
            </w:r>
          </w:p>
        </w:tc>
        <w:tc>
          <w:tcPr>
            <w:tcW w:w="708" w:type="dxa"/>
            <w:tcBorders>
              <w:top w:val="single" w:sz="4" w:space="0" w:color="auto"/>
              <w:left w:val="nil"/>
              <w:bottom w:val="single" w:sz="4" w:space="0" w:color="auto"/>
              <w:right w:val="nil"/>
            </w:tcBorders>
            <w:vAlign w:val="center"/>
            <w:hideMark/>
          </w:tcPr>
          <w:p w14:paraId="7A0FA3F3"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14%</w:t>
            </w:r>
          </w:p>
        </w:tc>
        <w:tc>
          <w:tcPr>
            <w:tcW w:w="754" w:type="dxa"/>
            <w:tcBorders>
              <w:top w:val="single" w:sz="4" w:space="0" w:color="auto"/>
              <w:left w:val="nil"/>
              <w:bottom w:val="single" w:sz="4" w:space="0" w:color="auto"/>
              <w:right w:val="nil"/>
            </w:tcBorders>
            <w:noWrap/>
            <w:vAlign w:val="center"/>
            <w:hideMark/>
          </w:tcPr>
          <w:p w14:paraId="4511ACDE"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-1,8</w:t>
            </w:r>
          </w:p>
        </w:tc>
        <w:tc>
          <w:tcPr>
            <w:tcW w:w="754" w:type="dxa"/>
            <w:tcBorders>
              <w:top w:val="single" w:sz="4" w:space="0" w:color="auto"/>
              <w:left w:val="nil"/>
              <w:bottom w:val="single" w:sz="4" w:space="0" w:color="auto"/>
              <w:right w:val="nil"/>
            </w:tcBorders>
            <w:noWrap/>
            <w:vAlign w:val="center"/>
            <w:hideMark/>
          </w:tcPr>
          <w:p w14:paraId="5221A9C6"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0,9</w:t>
            </w:r>
          </w:p>
        </w:tc>
        <w:tc>
          <w:tcPr>
            <w:tcW w:w="754" w:type="dxa"/>
            <w:tcBorders>
              <w:top w:val="single" w:sz="4" w:space="0" w:color="auto"/>
              <w:left w:val="nil"/>
              <w:bottom w:val="single" w:sz="4" w:space="0" w:color="auto"/>
              <w:right w:val="nil"/>
            </w:tcBorders>
            <w:noWrap/>
            <w:vAlign w:val="center"/>
            <w:hideMark/>
          </w:tcPr>
          <w:p w14:paraId="707AE4B2"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3,0</w:t>
            </w:r>
          </w:p>
        </w:tc>
        <w:tc>
          <w:tcPr>
            <w:tcW w:w="754" w:type="dxa"/>
            <w:tcBorders>
              <w:top w:val="single" w:sz="4" w:space="0" w:color="auto"/>
              <w:left w:val="nil"/>
              <w:bottom w:val="single" w:sz="4" w:space="0" w:color="auto"/>
              <w:right w:val="nil"/>
            </w:tcBorders>
            <w:noWrap/>
            <w:vAlign w:val="center"/>
            <w:hideMark/>
          </w:tcPr>
          <w:p w14:paraId="35A483B7"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1,6p</w:t>
            </w:r>
          </w:p>
        </w:tc>
        <w:tc>
          <w:tcPr>
            <w:tcW w:w="755" w:type="dxa"/>
            <w:tcBorders>
              <w:top w:val="single" w:sz="4" w:space="0" w:color="auto"/>
              <w:left w:val="nil"/>
              <w:bottom w:val="single" w:sz="4" w:space="0" w:color="auto"/>
              <w:right w:val="nil"/>
            </w:tcBorders>
            <w:noWrap/>
            <w:vAlign w:val="center"/>
            <w:hideMark/>
          </w:tcPr>
          <w:p w14:paraId="035DD17C"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1,3</w:t>
            </w:r>
          </w:p>
        </w:tc>
      </w:tr>
      <w:tr w:rsidR="0070161D" w:rsidRPr="00FD1578" w14:paraId="5FA5C602"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71A58187"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Privātā sektora konsolidētais parāds</w:t>
            </w:r>
          </w:p>
        </w:tc>
        <w:tc>
          <w:tcPr>
            <w:tcW w:w="993" w:type="dxa"/>
            <w:tcBorders>
              <w:top w:val="single" w:sz="4" w:space="0" w:color="auto"/>
              <w:left w:val="nil"/>
              <w:bottom w:val="single" w:sz="4" w:space="0" w:color="auto"/>
              <w:right w:val="nil"/>
            </w:tcBorders>
            <w:noWrap/>
            <w:vAlign w:val="center"/>
            <w:hideMark/>
          </w:tcPr>
          <w:p w14:paraId="75671E29"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no IKP</w:t>
            </w:r>
          </w:p>
        </w:tc>
        <w:tc>
          <w:tcPr>
            <w:tcW w:w="708" w:type="dxa"/>
            <w:tcBorders>
              <w:top w:val="single" w:sz="4" w:space="0" w:color="auto"/>
              <w:left w:val="nil"/>
              <w:bottom w:val="single" w:sz="4" w:space="0" w:color="auto"/>
              <w:right w:val="nil"/>
            </w:tcBorders>
            <w:vAlign w:val="center"/>
            <w:hideMark/>
          </w:tcPr>
          <w:p w14:paraId="0FFD107F"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133%</w:t>
            </w:r>
          </w:p>
        </w:tc>
        <w:tc>
          <w:tcPr>
            <w:tcW w:w="754" w:type="dxa"/>
            <w:tcBorders>
              <w:top w:val="single" w:sz="4" w:space="0" w:color="auto"/>
              <w:left w:val="nil"/>
              <w:bottom w:val="single" w:sz="4" w:space="0" w:color="auto"/>
              <w:right w:val="nil"/>
            </w:tcBorders>
            <w:noWrap/>
            <w:vAlign w:val="center"/>
            <w:hideMark/>
          </w:tcPr>
          <w:p w14:paraId="7A6E8684"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65,2</w:t>
            </w:r>
          </w:p>
        </w:tc>
        <w:tc>
          <w:tcPr>
            <w:tcW w:w="754" w:type="dxa"/>
            <w:tcBorders>
              <w:top w:val="single" w:sz="4" w:space="0" w:color="auto"/>
              <w:left w:val="nil"/>
              <w:bottom w:val="single" w:sz="4" w:space="0" w:color="auto"/>
              <w:right w:val="nil"/>
            </w:tcBorders>
            <w:noWrap/>
            <w:vAlign w:val="center"/>
            <w:hideMark/>
          </w:tcPr>
          <w:p w14:paraId="7D2B607F"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58,5</w:t>
            </w:r>
          </w:p>
        </w:tc>
        <w:tc>
          <w:tcPr>
            <w:tcW w:w="754" w:type="dxa"/>
            <w:tcBorders>
              <w:top w:val="single" w:sz="4" w:space="0" w:color="auto"/>
              <w:left w:val="nil"/>
              <w:bottom w:val="single" w:sz="4" w:space="0" w:color="auto"/>
              <w:right w:val="nil"/>
            </w:tcBorders>
            <w:noWrap/>
            <w:vAlign w:val="center"/>
            <w:hideMark/>
          </w:tcPr>
          <w:p w14:paraId="0421F3BB"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52,5</w:t>
            </w:r>
          </w:p>
        </w:tc>
        <w:tc>
          <w:tcPr>
            <w:tcW w:w="754" w:type="dxa"/>
            <w:tcBorders>
              <w:top w:val="single" w:sz="4" w:space="0" w:color="auto"/>
              <w:left w:val="nil"/>
              <w:bottom w:val="single" w:sz="4" w:space="0" w:color="auto"/>
              <w:right w:val="nil"/>
            </w:tcBorders>
            <w:noWrap/>
            <w:vAlign w:val="center"/>
            <w:hideMark/>
          </w:tcPr>
          <w:p w14:paraId="25900FB2"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50,7p</w:t>
            </w:r>
          </w:p>
        </w:tc>
        <w:tc>
          <w:tcPr>
            <w:tcW w:w="755" w:type="dxa"/>
            <w:tcBorders>
              <w:top w:val="single" w:sz="4" w:space="0" w:color="auto"/>
              <w:left w:val="nil"/>
              <w:bottom w:val="single" w:sz="4" w:space="0" w:color="auto"/>
              <w:right w:val="nil"/>
            </w:tcBorders>
            <w:noWrap/>
            <w:vAlign w:val="center"/>
            <w:hideMark/>
          </w:tcPr>
          <w:p w14:paraId="22B6F370"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48,6</w:t>
            </w:r>
          </w:p>
        </w:tc>
      </w:tr>
      <w:tr w:rsidR="0070161D" w:rsidRPr="00FD1578" w14:paraId="37F2AA68"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75AA2F03"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Vispārējais valdības parāds</w:t>
            </w:r>
          </w:p>
        </w:tc>
        <w:tc>
          <w:tcPr>
            <w:tcW w:w="993" w:type="dxa"/>
            <w:tcBorders>
              <w:top w:val="single" w:sz="4" w:space="0" w:color="auto"/>
              <w:left w:val="nil"/>
              <w:bottom w:val="single" w:sz="4" w:space="0" w:color="auto"/>
              <w:right w:val="nil"/>
            </w:tcBorders>
            <w:noWrap/>
            <w:vAlign w:val="center"/>
            <w:hideMark/>
          </w:tcPr>
          <w:p w14:paraId="1CDA82B3"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no IKP</w:t>
            </w:r>
          </w:p>
        </w:tc>
        <w:tc>
          <w:tcPr>
            <w:tcW w:w="708" w:type="dxa"/>
            <w:tcBorders>
              <w:top w:val="single" w:sz="4" w:space="0" w:color="auto"/>
              <w:left w:val="nil"/>
              <w:bottom w:val="single" w:sz="4" w:space="0" w:color="auto"/>
              <w:right w:val="nil"/>
            </w:tcBorders>
            <w:vAlign w:val="center"/>
            <w:hideMark/>
          </w:tcPr>
          <w:p w14:paraId="05D4C334"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60%</w:t>
            </w:r>
          </w:p>
        </w:tc>
        <w:tc>
          <w:tcPr>
            <w:tcW w:w="754" w:type="dxa"/>
            <w:tcBorders>
              <w:top w:val="single" w:sz="4" w:space="0" w:color="auto"/>
              <w:left w:val="nil"/>
              <w:bottom w:val="single" w:sz="4" w:space="0" w:color="auto"/>
              <w:right w:val="nil"/>
            </w:tcBorders>
            <w:noWrap/>
            <w:vAlign w:val="center"/>
            <w:hideMark/>
          </w:tcPr>
          <w:p w14:paraId="4E5161E1"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42,2</w:t>
            </w:r>
          </w:p>
        </w:tc>
        <w:tc>
          <w:tcPr>
            <w:tcW w:w="754" w:type="dxa"/>
            <w:tcBorders>
              <w:top w:val="single" w:sz="4" w:space="0" w:color="auto"/>
              <w:left w:val="nil"/>
              <w:bottom w:val="single" w:sz="4" w:space="0" w:color="auto"/>
              <w:right w:val="nil"/>
            </w:tcBorders>
            <w:noWrap/>
            <w:vAlign w:val="center"/>
            <w:hideMark/>
          </w:tcPr>
          <w:p w14:paraId="2324D33A"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44,0</w:t>
            </w:r>
          </w:p>
        </w:tc>
        <w:tc>
          <w:tcPr>
            <w:tcW w:w="754" w:type="dxa"/>
            <w:tcBorders>
              <w:top w:val="single" w:sz="4" w:space="0" w:color="auto"/>
              <w:left w:val="nil"/>
              <w:bottom w:val="single" w:sz="4" w:space="0" w:color="auto"/>
              <w:right w:val="nil"/>
            </w:tcBorders>
            <w:noWrap/>
            <w:vAlign w:val="center"/>
            <w:hideMark/>
          </w:tcPr>
          <w:p w14:paraId="56C80D6B"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41,8</w:t>
            </w:r>
          </w:p>
        </w:tc>
        <w:tc>
          <w:tcPr>
            <w:tcW w:w="754" w:type="dxa"/>
            <w:tcBorders>
              <w:top w:val="single" w:sz="4" w:space="0" w:color="auto"/>
              <w:left w:val="nil"/>
              <w:bottom w:val="single" w:sz="4" w:space="0" w:color="auto"/>
              <w:right w:val="nil"/>
            </w:tcBorders>
            <w:noWrap/>
            <w:vAlign w:val="center"/>
            <w:hideMark/>
          </w:tcPr>
          <w:p w14:paraId="53B7A84C"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43,6</w:t>
            </w:r>
          </w:p>
        </w:tc>
        <w:tc>
          <w:tcPr>
            <w:tcW w:w="755" w:type="dxa"/>
            <w:tcBorders>
              <w:top w:val="single" w:sz="4" w:space="0" w:color="auto"/>
              <w:left w:val="nil"/>
              <w:bottom w:val="single" w:sz="4" w:space="0" w:color="auto"/>
              <w:right w:val="nil"/>
            </w:tcBorders>
            <w:noWrap/>
            <w:vAlign w:val="center"/>
            <w:hideMark/>
          </w:tcPr>
          <w:p w14:paraId="47C05110"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42,3</w:t>
            </w:r>
          </w:p>
        </w:tc>
      </w:tr>
      <w:tr w:rsidR="0070161D" w:rsidRPr="00FD1578" w14:paraId="74DF941C"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73801837"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lastRenderedPageBreak/>
              <w:t>Bezdarba līmenis</w:t>
            </w:r>
          </w:p>
        </w:tc>
        <w:tc>
          <w:tcPr>
            <w:tcW w:w="993" w:type="dxa"/>
            <w:tcBorders>
              <w:top w:val="single" w:sz="4" w:space="0" w:color="auto"/>
              <w:left w:val="nil"/>
              <w:bottom w:val="single" w:sz="4" w:space="0" w:color="auto"/>
              <w:right w:val="nil"/>
            </w:tcBorders>
            <w:noWrap/>
            <w:vAlign w:val="center"/>
            <w:hideMark/>
          </w:tcPr>
          <w:p w14:paraId="142DFE47"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3 gadu vidējais</w:t>
            </w:r>
          </w:p>
        </w:tc>
        <w:tc>
          <w:tcPr>
            <w:tcW w:w="708" w:type="dxa"/>
            <w:tcBorders>
              <w:top w:val="single" w:sz="4" w:space="0" w:color="auto"/>
              <w:left w:val="nil"/>
              <w:bottom w:val="single" w:sz="4" w:space="0" w:color="auto"/>
              <w:right w:val="nil"/>
            </w:tcBorders>
            <w:vAlign w:val="center"/>
            <w:hideMark/>
          </w:tcPr>
          <w:p w14:paraId="4380ACDB"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10%</w:t>
            </w:r>
          </w:p>
        </w:tc>
        <w:tc>
          <w:tcPr>
            <w:tcW w:w="754" w:type="dxa"/>
            <w:tcBorders>
              <w:top w:val="single" w:sz="4" w:space="0" w:color="auto"/>
              <w:left w:val="nil"/>
              <w:bottom w:val="single" w:sz="4" w:space="0" w:color="auto"/>
              <w:right w:val="nil"/>
            </w:tcBorders>
            <w:noWrap/>
            <w:vAlign w:val="center"/>
            <w:hideMark/>
          </w:tcPr>
          <w:p w14:paraId="3A7416D7"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7,3</w:t>
            </w:r>
          </w:p>
        </w:tc>
        <w:tc>
          <w:tcPr>
            <w:tcW w:w="754" w:type="dxa"/>
            <w:tcBorders>
              <w:top w:val="single" w:sz="4" w:space="0" w:color="auto"/>
              <w:left w:val="nil"/>
              <w:bottom w:val="single" w:sz="4" w:space="0" w:color="auto"/>
              <w:right w:val="nil"/>
            </w:tcBorders>
            <w:noWrap/>
            <w:vAlign w:val="center"/>
            <w:hideMark/>
          </w:tcPr>
          <w:p w14:paraId="129D0250"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7,3</w:t>
            </w:r>
          </w:p>
        </w:tc>
        <w:tc>
          <w:tcPr>
            <w:tcW w:w="754" w:type="dxa"/>
            <w:tcBorders>
              <w:top w:val="single" w:sz="4" w:space="0" w:color="auto"/>
              <w:left w:val="nil"/>
              <w:bottom w:val="single" w:sz="4" w:space="0" w:color="auto"/>
              <w:right w:val="nil"/>
            </w:tcBorders>
            <w:noWrap/>
            <w:vAlign w:val="center"/>
            <w:hideMark/>
          </w:tcPr>
          <w:p w14:paraId="2C6E6020"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6,9</w:t>
            </w:r>
          </w:p>
        </w:tc>
        <w:tc>
          <w:tcPr>
            <w:tcW w:w="754" w:type="dxa"/>
            <w:tcBorders>
              <w:top w:val="single" w:sz="4" w:space="0" w:color="auto"/>
              <w:left w:val="nil"/>
              <w:bottom w:val="single" w:sz="4" w:space="0" w:color="auto"/>
              <w:right w:val="nil"/>
            </w:tcBorders>
            <w:noWrap/>
            <w:vAlign w:val="center"/>
            <w:hideMark/>
          </w:tcPr>
          <w:p w14:paraId="216A73C8"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sz w:val="18"/>
                <w:szCs w:val="18"/>
                <w:lang w:eastAsia="en-US"/>
              </w:rPr>
              <w:t>7,0</w:t>
            </w:r>
          </w:p>
        </w:tc>
        <w:tc>
          <w:tcPr>
            <w:tcW w:w="755" w:type="dxa"/>
            <w:tcBorders>
              <w:top w:val="single" w:sz="4" w:space="0" w:color="auto"/>
              <w:left w:val="nil"/>
              <w:bottom w:val="single" w:sz="4" w:space="0" w:color="auto"/>
              <w:right w:val="nil"/>
            </w:tcBorders>
            <w:noWrap/>
            <w:vAlign w:val="center"/>
            <w:hideMark/>
          </w:tcPr>
          <w:p w14:paraId="0BE8966D"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sz w:val="18"/>
                <w:szCs w:val="18"/>
                <w:lang w:eastAsia="en-US"/>
              </w:rPr>
              <w:t>6,8</w:t>
            </w:r>
          </w:p>
        </w:tc>
      </w:tr>
      <w:tr w:rsidR="0070161D" w:rsidRPr="00FD1578" w14:paraId="2DEC8BAD"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4041DF12"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Finanšu sektora saistības kopā –nekonsolidētas</w:t>
            </w:r>
          </w:p>
        </w:tc>
        <w:tc>
          <w:tcPr>
            <w:tcW w:w="993" w:type="dxa"/>
            <w:tcBorders>
              <w:top w:val="single" w:sz="4" w:space="0" w:color="auto"/>
              <w:left w:val="nil"/>
              <w:bottom w:val="single" w:sz="4" w:space="0" w:color="auto"/>
              <w:right w:val="nil"/>
            </w:tcBorders>
            <w:noWrap/>
            <w:vAlign w:val="center"/>
            <w:hideMark/>
          </w:tcPr>
          <w:p w14:paraId="3A179AC5"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 gada % izmaiņas</w:t>
            </w:r>
          </w:p>
        </w:tc>
        <w:tc>
          <w:tcPr>
            <w:tcW w:w="708" w:type="dxa"/>
            <w:tcBorders>
              <w:top w:val="single" w:sz="4" w:space="0" w:color="auto"/>
              <w:left w:val="nil"/>
              <w:bottom w:val="single" w:sz="4" w:space="0" w:color="auto"/>
              <w:right w:val="nil"/>
            </w:tcBorders>
            <w:vAlign w:val="center"/>
            <w:hideMark/>
          </w:tcPr>
          <w:p w14:paraId="36993A41"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16,5%</w:t>
            </w:r>
          </w:p>
        </w:tc>
        <w:tc>
          <w:tcPr>
            <w:tcW w:w="754" w:type="dxa"/>
            <w:tcBorders>
              <w:top w:val="single" w:sz="4" w:space="0" w:color="auto"/>
              <w:left w:val="nil"/>
              <w:bottom w:val="single" w:sz="4" w:space="0" w:color="auto"/>
              <w:right w:val="nil"/>
            </w:tcBorders>
            <w:noWrap/>
            <w:vAlign w:val="center"/>
            <w:hideMark/>
          </w:tcPr>
          <w:p w14:paraId="2F5C9C6B"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10,6</w:t>
            </w:r>
          </w:p>
        </w:tc>
        <w:tc>
          <w:tcPr>
            <w:tcW w:w="754" w:type="dxa"/>
            <w:tcBorders>
              <w:top w:val="single" w:sz="4" w:space="0" w:color="auto"/>
              <w:left w:val="nil"/>
              <w:bottom w:val="single" w:sz="4" w:space="0" w:color="auto"/>
              <w:right w:val="nil"/>
            </w:tcBorders>
            <w:noWrap/>
            <w:vAlign w:val="center"/>
            <w:hideMark/>
          </w:tcPr>
          <w:p w14:paraId="0EE96F52"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13,3</w:t>
            </w:r>
          </w:p>
        </w:tc>
        <w:tc>
          <w:tcPr>
            <w:tcW w:w="754" w:type="dxa"/>
            <w:tcBorders>
              <w:top w:val="single" w:sz="4" w:space="0" w:color="auto"/>
              <w:left w:val="nil"/>
              <w:bottom w:val="single" w:sz="4" w:space="0" w:color="auto"/>
              <w:right w:val="nil"/>
            </w:tcBorders>
            <w:noWrap/>
            <w:vAlign w:val="center"/>
            <w:hideMark/>
          </w:tcPr>
          <w:p w14:paraId="2C6043FA"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4,1</w:t>
            </w:r>
          </w:p>
        </w:tc>
        <w:tc>
          <w:tcPr>
            <w:tcW w:w="754" w:type="dxa"/>
            <w:tcBorders>
              <w:top w:val="single" w:sz="4" w:space="0" w:color="auto"/>
              <w:left w:val="nil"/>
              <w:bottom w:val="single" w:sz="4" w:space="0" w:color="auto"/>
              <w:right w:val="nil"/>
            </w:tcBorders>
            <w:noWrap/>
            <w:vAlign w:val="center"/>
            <w:hideMark/>
          </w:tcPr>
          <w:p w14:paraId="041CA797"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-0,1p</w:t>
            </w:r>
          </w:p>
        </w:tc>
        <w:tc>
          <w:tcPr>
            <w:tcW w:w="755" w:type="dxa"/>
            <w:tcBorders>
              <w:top w:val="single" w:sz="4" w:space="0" w:color="auto"/>
              <w:left w:val="nil"/>
              <w:bottom w:val="single" w:sz="4" w:space="0" w:color="auto"/>
              <w:right w:val="nil"/>
            </w:tcBorders>
            <w:noWrap/>
            <w:vAlign w:val="center"/>
          </w:tcPr>
          <w:p w14:paraId="5A55F032" w14:textId="77777777" w:rsidR="0070161D" w:rsidRPr="00FD1578" w:rsidRDefault="0070161D" w:rsidP="008349F0">
            <w:pPr>
              <w:spacing w:after="0"/>
              <w:ind w:firstLine="0"/>
              <w:jc w:val="center"/>
              <w:rPr>
                <w:rFonts w:eastAsia="Calibri" w:cs="Times New Roman"/>
                <w:sz w:val="18"/>
                <w:szCs w:val="18"/>
                <w:lang w:eastAsia="en-US"/>
              </w:rPr>
            </w:pPr>
          </w:p>
        </w:tc>
      </w:tr>
      <w:tr w:rsidR="0070161D" w:rsidRPr="00FD1578" w14:paraId="7A3A7875"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66B739B2"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Ekonomiski aktīvo iedzīvotāju īpatsvars % no visiem iedzīvotājiem vecuma grupā no 15-64 gadiem</w:t>
            </w:r>
          </w:p>
        </w:tc>
        <w:tc>
          <w:tcPr>
            <w:tcW w:w="993" w:type="dxa"/>
            <w:tcBorders>
              <w:top w:val="single" w:sz="4" w:space="0" w:color="auto"/>
              <w:left w:val="nil"/>
              <w:bottom w:val="single" w:sz="4" w:space="0" w:color="auto"/>
              <w:right w:val="nil"/>
            </w:tcBorders>
            <w:noWrap/>
            <w:vAlign w:val="center"/>
            <w:hideMark/>
          </w:tcPr>
          <w:p w14:paraId="1E2D574E"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xml:space="preserve">3 gadu izmaiņas </w:t>
            </w:r>
            <w:proofErr w:type="spellStart"/>
            <w:r w:rsidRPr="00FD1578">
              <w:rPr>
                <w:rFonts w:eastAsia="Calibri" w:cs="Times New Roman"/>
                <w:color w:val="000000"/>
                <w:sz w:val="18"/>
                <w:szCs w:val="18"/>
                <w:lang w:eastAsia="en-US"/>
              </w:rPr>
              <w:t>pp</w:t>
            </w:r>
            <w:proofErr w:type="spellEnd"/>
          </w:p>
        </w:tc>
        <w:tc>
          <w:tcPr>
            <w:tcW w:w="708" w:type="dxa"/>
            <w:tcBorders>
              <w:top w:val="single" w:sz="4" w:space="0" w:color="auto"/>
              <w:left w:val="nil"/>
              <w:bottom w:val="single" w:sz="4" w:space="0" w:color="auto"/>
              <w:right w:val="nil"/>
            </w:tcBorders>
            <w:vAlign w:val="center"/>
            <w:hideMark/>
          </w:tcPr>
          <w:p w14:paraId="4C7B058E"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xml:space="preserve">-0.2 </w:t>
            </w:r>
            <w:proofErr w:type="spellStart"/>
            <w:r w:rsidRPr="00FD1578">
              <w:rPr>
                <w:rFonts w:eastAsia="Calibri" w:cs="Times New Roman"/>
                <w:color w:val="000000"/>
                <w:sz w:val="18"/>
                <w:szCs w:val="18"/>
                <w:lang w:eastAsia="en-US"/>
              </w:rPr>
              <w:t>pp</w:t>
            </w:r>
            <w:proofErr w:type="spellEnd"/>
          </w:p>
        </w:tc>
        <w:tc>
          <w:tcPr>
            <w:tcW w:w="754" w:type="dxa"/>
            <w:tcBorders>
              <w:top w:val="single" w:sz="4" w:space="0" w:color="auto"/>
              <w:left w:val="nil"/>
              <w:bottom w:val="single" w:sz="4" w:space="0" w:color="auto"/>
              <w:right w:val="nil"/>
            </w:tcBorders>
            <w:noWrap/>
            <w:vAlign w:val="center"/>
            <w:hideMark/>
          </w:tcPr>
          <w:p w14:paraId="2690F799"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1,1</w:t>
            </w:r>
          </w:p>
        </w:tc>
        <w:tc>
          <w:tcPr>
            <w:tcW w:w="754" w:type="dxa"/>
            <w:tcBorders>
              <w:top w:val="single" w:sz="4" w:space="0" w:color="auto"/>
              <w:left w:val="nil"/>
              <w:bottom w:val="single" w:sz="4" w:space="0" w:color="auto"/>
              <w:right w:val="nil"/>
            </w:tcBorders>
            <w:shd w:val="clear" w:color="auto" w:fill="FBE4D5"/>
            <w:noWrap/>
            <w:vAlign w:val="center"/>
            <w:hideMark/>
          </w:tcPr>
          <w:p w14:paraId="22776859"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-1,8</w:t>
            </w:r>
          </w:p>
        </w:tc>
        <w:tc>
          <w:tcPr>
            <w:tcW w:w="754" w:type="dxa"/>
            <w:tcBorders>
              <w:top w:val="single" w:sz="4" w:space="0" w:color="auto"/>
              <w:left w:val="nil"/>
              <w:bottom w:val="single" w:sz="4" w:space="0" w:color="auto"/>
              <w:right w:val="nil"/>
            </w:tcBorders>
            <w:shd w:val="clear" w:color="auto" w:fill="FBE4D5"/>
            <w:noWrap/>
            <w:vAlign w:val="center"/>
            <w:hideMark/>
          </w:tcPr>
          <w:p w14:paraId="59EAE7E9"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-0,5</w:t>
            </w:r>
          </w:p>
        </w:tc>
        <w:tc>
          <w:tcPr>
            <w:tcW w:w="754" w:type="dxa"/>
            <w:tcBorders>
              <w:top w:val="single" w:sz="4" w:space="0" w:color="auto"/>
              <w:left w:val="nil"/>
              <w:bottom w:val="single" w:sz="4" w:space="0" w:color="auto"/>
              <w:right w:val="nil"/>
            </w:tcBorders>
            <w:shd w:val="clear" w:color="auto" w:fill="FBE4D5"/>
            <w:noWrap/>
            <w:vAlign w:val="center"/>
            <w:hideMark/>
          </w:tcPr>
          <w:p w14:paraId="23CFBDB9"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-1,4</w:t>
            </w:r>
          </w:p>
        </w:tc>
        <w:tc>
          <w:tcPr>
            <w:tcW w:w="755" w:type="dxa"/>
            <w:tcBorders>
              <w:top w:val="single" w:sz="4" w:space="0" w:color="auto"/>
              <w:left w:val="nil"/>
              <w:bottom w:val="single" w:sz="4" w:space="0" w:color="auto"/>
              <w:right w:val="nil"/>
            </w:tcBorders>
            <w:noWrap/>
            <w:vAlign w:val="center"/>
            <w:hideMark/>
          </w:tcPr>
          <w:p w14:paraId="73AE2125" w14:textId="77777777" w:rsidR="0070161D" w:rsidRPr="00FD1578" w:rsidRDefault="0070161D" w:rsidP="008349F0">
            <w:pPr>
              <w:spacing w:after="0"/>
              <w:ind w:firstLine="0"/>
              <w:jc w:val="center"/>
              <w:rPr>
                <w:rFonts w:eastAsia="Calibri" w:cs="Times New Roman"/>
                <w:sz w:val="18"/>
                <w:szCs w:val="18"/>
                <w:lang w:eastAsia="en-US"/>
              </w:rPr>
            </w:pPr>
            <w:r w:rsidRPr="00FD1578">
              <w:rPr>
                <w:rFonts w:eastAsia="Calibri" w:cs="Times New Roman"/>
                <w:color w:val="000000"/>
                <w:sz w:val="18"/>
                <w:szCs w:val="18"/>
                <w:lang w:eastAsia="en-US"/>
              </w:rPr>
              <w:t>1,1</w:t>
            </w:r>
          </w:p>
        </w:tc>
      </w:tr>
      <w:tr w:rsidR="0070161D" w:rsidRPr="00FD1578" w14:paraId="5E44E8A4"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302C0FA0"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Ilgtermiņa bezdarba līmenis % no ekonomiski aktīvajiem iedzīvotājiem vecuma grupā no 15-74 gadiem</w:t>
            </w:r>
          </w:p>
        </w:tc>
        <w:tc>
          <w:tcPr>
            <w:tcW w:w="993" w:type="dxa"/>
            <w:tcBorders>
              <w:top w:val="single" w:sz="4" w:space="0" w:color="auto"/>
              <w:left w:val="nil"/>
              <w:bottom w:val="single" w:sz="4" w:space="0" w:color="auto"/>
              <w:right w:val="nil"/>
            </w:tcBorders>
            <w:noWrap/>
            <w:vAlign w:val="center"/>
            <w:hideMark/>
          </w:tcPr>
          <w:p w14:paraId="25602EFD"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xml:space="preserve">3 gadu izmaiņas </w:t>
            </w:r>
            <w:proofErr w:type="spellStart"/>
            <w:r w:rsidRPr="00FD1578">
              <w:rPr>
                <w:rFonts w:eastAsia="Calibri" w:cs="Times New Roman"/>
                <w:color w:val="000000"/>
                <w:sz w:val="18"/>
                <w:szCs w:val="18"/>
                <w:lang w:eastAsia="en-US"/>
              </w:rPr>
              <w:t>pp</w:t>
            </w:r>
            <w:proofErr w:type="spellEnd"/>
          </w:p>
        </w:tc>
        <w:tc>
          <w:tcPr>
            <w:tcW w:w="708" w:type="dxa"/>
            <w:tcBorders>
              <w:top w:val="single" w:sz="4" w:space="0" w:color="auto"/>
              <w:left w:val="nil"/>
              <w:bottom w:val="single" w:sz="4" w:space="0" w:color="auto"/>
              <w:right w:val="nil"/>
            </w:tcBorders>
            <w:vAlign w:val="center"/>
            <w:hideMark/>
          </w:tcPr>
          <w:p w14:paraId="75F76CC9"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xml:space="preserve">0.5 </w:t>
            </w:r>
            <w:proofErr w:type="spellStart"/>
            <w:r w:rsidRPr="00FD1578">
              <w:rPr>
                <w:rFonts w:eastAsia="Calibri" w:cs="Times New Roman"/>
                <w:color w:val="000000"/>
                <w:sz w:val="18"/>
                <w:szCs w:val="18"/>
                <w:lang w:eastAsia="en-US"/>
              </w:rPr>
              <w:t>pp</w:t>
            </w:r>
            <w:proofErr w:type="spellEnd"/>
          </w:p>
        </w:tc>
        <w:tc>
          <w:tcPr>
            <w:tcW w:w="754" w:type="dxa"/>
            <w:tcBorders>
              <w:top w:val="single" w:sz="4" w:space="0" w:color="auto"/>
              <w:left w:val="nil"/>
              <w:bottom w:val="single" w:sz="4" w:space="0" w:color="auto"/>
              <w:right w:val="nil"/>
            </w:tcBorders>
            <w:noWrap/>
            <w:vAlign w:val="center"/>
            <w:hideMark/>
          </w:tcPr>
          <w:p w14:paraId="301542CC"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-1,2</w:t>
            </w:r>
          </w:p>
        </w:tc>
        <w:tc>
          <w:tcPr>
            <w:tcW w:w="754" w:type="dxa"/>
            <w:tcBorders>
              <w:top w:val="single" w:sz="4" w:space="0" w:color="auto"/>
              <w:left w:val="nil"/>
              <w:bottom w:val="single" w:sz="4" w:space="0" w:color="auto"/>
              <w:right w:val="nil"/>
            </w:tcBorders>
            <w:noWrap/>
            <w:vAlign w:val="center"/>
            <w:hideMark/>
          </w:tcPr>
          <w:p w14:paraId="3AB0559D"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-1,1</w:t>
            </w:r>
          </w:p>
        </w:tc>
        <w:tc>
          <w:tcPr>
            <w:tcW w:w="754" w:type="dxa"/>
            <w:tcBorders>
              <w:top w:val="single" w:sz="4" w:space="0" w:color="auto"/>
              <w:left w:val="nil"/>
              <w:bottom w:val="single" w:sz="4" w:space="0" w:color="auto"/>
              <w:right w:val="nil"/>
            </w:tcBorders>
            <w:noWrap/>
            <w:vAlign w:val="center"/>
            <w:hideMark/>
          </w:tcPr>
          <w:p w14:paraId="19D14925"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-0,7</w:t>
            </w:r>
          </w:p>
        </w:tc>
        <w:tc>
          <w:tcPr>
            <w:tcW w:w="754" w:type="dxa"/>
            <w:tcBorders>
              <w:top w:val="single" w:sz="4" w:space="0" w:color="auto"/>
              <w:left w:val="nil"/>
              <w:bottom w:val="single" w:sz="4" w:space="0" w:color="auto"/>
              <w:right w:val="nil"/>
            </w:tcBorders>
            <w:noWrap/>
            <w:vAlign w:val="center"/>
            <w:hideMark/>
          </w:tcPr>
          <w:p w14:paraId="0CEFD381"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-0,6</w:t>
            </w:r>
          </w:p>
        </w:tc>
        <w:tc>
          <w:tcPr>
            <w:tcW w:w="755" w:type="dxa"/>
            <w:tcBorders>
              <w:top w:val="single" w:sz="4" w:space="0" w:color="auto"/>
              <w:left w:val="nil"/>
              <w:bottom w:val="single" w:sz="4" w:space="0" w:color="auto"/>
              <w:right w:val="nil"/>
            </w:tcBorders>
            <w:noWrap/>
            <w:vAlign w:val="center"/>
          </w:tcPr>
          <w:p w14:paraId="6791C524" w14:textId="77777777" w:rsidR="0070161D" w:rsidRPr="00FD1578" w:rsidRDefault="0070161D" w:rsidP="008349F0">
            <w:pPr>
              <w:spacing w:after="0"/>
              <w:ind w:firstLine="0"/>
              <w:jc w:val="center"/>
              <w:rPr>
                <w:rFonts w:eastAsia="Calibri" w:cs="Times New Roman"/>
                <w:sz w:val="18"/>
                <w:szCs w:val="18"/>
                <w:lang w:eastAsia="en-US"/>
              </w:rPr>
            </w:pPr>
          </w:p>
        </w:tc>
      </w:tr>
      <w:tr w:rsidR="0070161D" w:rsidRPr="00FD1578" w14:paraId="6B206132" w14:textId="77777777" w:rsidTr="0073287C">
        <w:trPr>
          <w:trHeight w:val="290"/>
        </w:trPr>
        <w:tc>
          <w:tcPr>
            <w:tcW w:w="2834" w:type="dxa"/>
            <w:tcBorders>
              <w:top w:val="single" w:sz="4" w:space="0" w:color="auto"/>
              <w:left w:val="nil"/>
              <w:bottom w:val="single" w:sz="4" w:space="0" w:color="auto"/>
              <w:right w:val="nil"/>
            </w:tcBorders>
            <w:noWrap/>
            <w:vAlign w:val="center"/>
            <w:hideMark/>
          </w:tcPr>
          <w:p w14:paraId="149DD15E" w14:textId="77777777" w:rsidR="0070161D" w:rsidRPr="00FD1578" w:rsidRDefault="0070161D" w:rsidP="008349F0">
            <w:pPr>
              <w:spacing w:after="0"/>
              <w:ind w:firstLine="0"/>
              <w:jc w:val="left"/>
              <w:rPr>
                <w:rFonts w:eastAsia="Calibri" w:cs="Times New Roman"/>
                <w:color w:val="000000"/>
                <w:sz w:val="18"/>
                <w:szCs w:val="18"/>
                <w:lang w:eastAsia="en-US"/>
              </w:rPr>
            </w:pPr>
            <w:r w:rsidRPr="00FD1578">
              <w:rPr>
                <w:rFonts w:eastAsia="Calibri" w:cs="Times New Roman"/>
                <w:color w:val="000000"/>
                <w:sz w:val="18"/>
                <w:szCs w:val="18"/>
                <w:lang w:eastAsia="en-US"/>
              </w:rPr>
              <w:t>Jauniešu bezdarba līmenis % no ekonomiski aktīvajiem iedzīvotājiem vecuma grupā no 15-24 gadiem</w:t>
            </w:r>
          </w:p>
        </w:tc>
        <w:tc>
          <w:tcPr>
            <w:tcW w:w="993" w:type="dxa"/>
            <w:tcBorders>
              <w:top w:val="single" w:sz="4" w:space="0" w:color="auto"/>
              <w:left w:val="nil"/>
              <w:bottom w:val="single" w:sz="4" w:space="0" w:color="auto"/>
              <w:right w:val="nil"/>
            </w:tcBorders>
            <w:noWrap/>
            <w:vAlign w:val="center"/>
            <w:hideMark/>
          </w:tcPr>
          <w:p w14:paraId="0575CB4F"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xml:space="preserve">3 gadu izmaiņas </w:t>
            </w:r>
            <w:proofErr w:type="spellStart"/>
            <w:r w:rsidRPr="00FD1578">
              <w:rPr>
                <w:rFonts w:eastAsia="Calibri" w:cs="Times New Roman"/>
                <w:color w:val="000000"/>
                <w:sz w:val="18"/>
                <w:szCs w:val="18"/>
                <w:lang w:eastAsia="en-US"/>
              </w:rPr>
              <w:t>pp</w:t>
            </w:r>
            <w:proofErr w:type="spellEnd"/>
          </w:p>
        </w:tc>
        <w:tc>
          <w:tcPr>
            <w:tcW w:w="708" w:type="dxa"/>
            <w:tcBorders>
              <w:top w:val="single" w:sz="4" w:space="0" w:color="auto"/>
              <w:left w:val="nil"/>
              <w:bottom w:val="single" w:sz="4" w:space="0" w:color="auto"/>
              <w:right w:val="nil"/>
            </w:tcBorders>
            <w:vAlign w:val="center"/>
            <w:hideMark/>
          </w:tcPr>
          <w:p w14:paraId="1305461B"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 xml:space="preserve">2 </w:t>
            </w:r>
            <w:proofErr w:type="spellStart"/>
            <w:r w:rsidRPr="00FD1578">
              <w:rPr>
                <w:rFonts w:eastAsia="Calibri" w:cs="Times New Roman"/>
                <w:color w:val="000000"/>
                <w:sz w:val="18"/>
                <w:szCs w:val="18"/>
                <w:lang w:eastAsia="en-US"/>
              </w:rPr>
              <w:t>pp</w:t>
            </w:r>
            <w:proofErr w:type="spellEnd"/>
          </w:p>
        </w:tc>
        <w:tc>
          <w:tcPr>
            <w:tcW w:w="754" w:type="dxa"/>
            <w:tcBorders>
              <w:top w:val="single" w:sz="4" w:space="0" w:color="auto"/>
              <w:left w:val="nil"/>
              <w:bottom w:val="single" w:sz="4" w:space="0" w:color="auto"/>
              <w:right w:val="nil"/>
            </w:tcBorders>
            <w:noWrap/>
            <w:vAlign w:val="center"/>
            <w:hideMark/>
          </w:tcPr>
          <w:p w14:paraId="4C5F3A52"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-2,1</w:t>
            </w:r>
          </w:p>
        </w:tc>
        <w:tc>
          <w:tcPr>
            <w:tcW w:w="754" w:type="dxa"/>
            <w:tcBorders>
              <w:top w:val="single" w:sz="4" w:space="0" w:color="auto"/>
              <w:left w:val="nil"/>
              <w:bottom w:val="single" w:sz="4" w:space="0" w:color="auto"/>
              <w:right w:val="nil"/>
            </w:tcBorders>
            <w:shd w:val="clear" w:color="auto" w:fill="FBE4D5"/>
            <w:noWrap/>
            <w:vAlign w:val="center"/>
            <w:hideMark/>
          </w:tcPr>
          <w:p w14:paraId="7C4D44AF"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2,6</w:t>
            </w:r>
          </w:p>
        </w:tc>
        <w:tc>
          <w:tcPr>
            <w:tcW w:w="754" w:type="dxa"/>
            <w:tcBorders>
              <w:top w:val="single" w:sz="4" w:space="0" w:color="auto"/>
              <w:left w:val="nil"/>
              <w:bottom w:val="single" w:sz="4" w:space="0" w:color="auto"/>
              <w:right w:val="nil"/>
            </w:tcBorders>
            <w:shd w:val="clear" w:color="auto" w:fill="FBE4D5"/>
            <w:noWrap/>
            <w:vAlign w:val="center"/>
            <w:hideMark/>
          </w:tcPr>
          <w:p w14:paraId="3B50F92B"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2,6</w:t>
            </w:r>
          </w:p>
        </w:tc>
        <w:tc>
          <w:tcPr>
            <w:tcW w:w="754" w:type="dxa"/>
            <w:tcBorders>
              <w:top w:val="single" w:sz="4" w:space="0" w:color="auto"/>
              <w:left w:val="nil"/>
              <w:bottom w:val="single" w:sz="4" w:space="0" w:color="auto"/>
              <w:right w:val="nil"/>
            </w:tcBorders>
            <w:noWrap/>
            <w:vAlign w:val="center"/>
            <w:hideMark/>
          </w:tcPr>
          <w:p w14:paraId="2C73A962" w14:textId="77777777" w:rsidR="0070161D" w:rsidRPr="00FD1578" w:rsidRDefault="0070161D" w:rsidP="008349F0">
            <w:pPr>
              <w:spacing w:after="0"/>
              <w:ind w:firstLine="0"/>
              <w:jc w:val="center"/>
              <w:rPr>
                <w:rFonts w:eastAsia="Calibri" w:cs="Times New Roman"/>
                <w:color w:val="000000"/>
                <w:sz w:val="18"/>
                <w:szCs w:val="18"/>
                <w:lang w:eastAsia="en-US"/>
              </w:rPr>
            </w:pPr>
            <w:r w:rsidRPr="00FD1578">
              <w:rPr>
                <w:rFonts w:eastAsia="Calibri" w:cs="Times New Roman"/>
                <w:color w:val="000000"/>
                <w:sz w:val="18"/>
                <w:szCs w:val="18"/>
                <w:lang w:eastAsia="en-US"/>
              </w:rPr>
              <w:t>-2,6</w:t>
            </w:r>
          </w:p>
        </w:tc>
        <w:tc>
          <w:tcPr>
            <w:tcW w:w="755" w:type="dxa"/>
            <w:tcBorders>
              <w:top w:val="single" w:sz="4" w:space="0" w:color="auto"/>
              <w:left w:val="nil"/>
              <w:bottom w:val="single" w:sz="4" w:space="0" w:color="auto"/>
              <w:right w:val="nil"/>
            </w:tcBorders>
            <w:noWrap/>
            <w:vAlign w:val="center"/>
          </w:tcPr>
          <w:p w14:paraId="6C35E85E" w14:textId="77777777" w:rsidR="0070161D" w:rsidRPr="00FD1578" w:rsidRDefault="0070161D" w:rsidP="008349F0">
            <w:pPr>
              <w:spacing w:after="0"/>
              <w:ind w:firstLine="0"/>
              <w:jc w:val="center"/>
              <w:rPr>
                <w:rFonts w:eastAsia="Calibri" w:cs="Times New Roman"/>
                <w:sz w:val="18"/>
                <w:szCs w:val="18"/>
                <w:lang w:eastAsia="en-US"/>
              </w:rPr>
            </w:pPr>
          </w:p>
        </w:tc>
      </w:tr>
    </w:tbl>
    <w:p w14:paraId="543DAF87" w14:textId="77777777" w:rsidR="0070161D" w:rsidRPr="00FD1578" w:rsidRDefault="0070161D" w:rsidP="008349F0">
      <w:pPr>
        <w:spacing w:before="120"/>
        <w:ind w:firstLine="709"/>
        <w:rPr>
          <w:rFonts w:eastAsia="Aptos" w:cs="Times New Roman"/>
          <w:kern w:val="2"/>
          <w:szCs w:val="24"/>
          <w:lang w:eastAsia="en-US"/>
          <w14:ligatures w14:val="standardContextual"/>
        </w:rPr>
      </w:pPr>
      <w:r w:rsidRPr="00FD1578">
        <w:rPr>
          <w:rFonts w:eastAsia="Aptos" w:cs="Times New Roman"/>
          <w:kern w:val="2"/>
          <w:szCs w:val="24"/>
          <w:lang w:eastAsia="en-US"/>
          <w14:ligatures w14:val="standardContextual"/>
        </w:rPr>
        <w:t xml:space="preserve">Arī 2025. gada ziņojumā četri rādītāji Latvijā varētu pārsniegt noteiktās robežvērtības. Lai gan uzlabojumi ir bijuši rādītājā jauniešu bezdarba līmenis procentos no ekonomiski aktīvajiem iedzīvotājiem vecuma grupā no 15 līdz 24 gadiem, nelielu pārsniegumu varētu uzrādīt tekošā konta 3 gadu vidējais </w:t>
      </w:r>
      <w:proofErr w:type="spellStart"/>
      <w:r w:rsidRPr="00FD1578">
        <w:rPr>
          <w:rFonts w:eastAsia="Aptos" w:cs="Times New Roman"/>
          <w:kern w:val="2"/>
          <w:szCs w:val="24"/>
          <w:lang w:eastAsia="en-US"/>
          <w14:ligatures w14:val="standardContextual"/>
        </w:rPr>
        <w:t>pamatrādītājs</w:t>
      </w:r>
      <w:proofErr w:type="spellEnd"/>
      <w:r w:rsidRPr="00FD1578">
        <w:rPr>
          <w:rFonts w:eastAsia="Aptos" w:cs="Times New Roman"/>
          <w:kern w:val="2"/>
          <w:szCs w:val="24"/>
          <w:lang w:eastAsia="en-US"/>
          <w14:ligatures w14:val="standardContextual"/>
        </w:rPr>
        <w:t>, kurš šā gada ziņojumā varētu noslīdēt līdz -4,2% (robežvērtība -4,0%). Tomēr 2024. gada pirmo divu ceturkšņu dati rāda, ka šis rādītājs uzlabojas un 2024. gada pirmajā pusgadā vidējais rādītājs ir jau -2,3%, kas nozīmē, ka jau 2024. gadā tas varētu atkal vairs nepārsniegt noteikto 3 gadu vidējo -4% robežvērtību.</w:t>
      </w:r>
    </w:p>
    <w:p w14:paraId="5D83AB54" w14:textId="77777777" w:rsidR="0070161D" w:rsidRPr="00FD1578" w:rsidRDefault="0070161D" w:rsidP="008349F0">
      <w:pPr>
        <w:ind w:firstLine="709"/>
        <w:rPr>
          <w:rFonts w:eastAsia="Aptos" w:cs="Times New Roman"/>
          <w:kern w:val="2"/>
          <w:szCs w:val="24"/>
          <w:lang w:eastAsia="en-US"/>
          <w14:ligatures w14:val="standardContextual"/>
        </w:rPr>
      </w:pPr>
      <w:r w:rsidRPr="00FD1578">
        <w:rPr>
          <w:rFonts w:eastAsia="Aptos" w:cs="Times New Roman"/>
          <w:kern w:val="2"/>
          <w:szCs w:val="24"/>
          <w:lang w:eastAsia="en-US"/>
          <w14:ligatures w14:val="standardContextual"/>
        </w:rPr>
        <w:t xml:space="preserve">Vēl 2024. gada ziņojumā norādīts, ka izmaksu konkurētspējas problēmas joprojām pastāv un pieaug. Attiecībā uz nominālās vienības darbaspēka izmaksu straujo pieaugumu uzsvērts, ka tas ir noticis jau vairākus gadus un īpaši straujš pieaugums bijis 2022. gadā, nominālās algas straujā pieauguma un zemā darba ražīguma kāpuma dēļ. </w:t>
      </w:r>
      <w:proofErr w:type="spellStart"/>
      <w:r w:rsidRPr="00FD1578">
        <w:rPr>
          <w:rFonts w:eastAsia="Aptos" w:cs="Times New Roman"/>
          <w:i/>
          <w:iCs/>
          <w:kern w:val="2"/>
          <w:szCs w:val="24"/>
          <w:lang w:eastAsia="en-US"/>
          <w14:ligatures w14:val="standardContextual"/>
        </w:rPr>
        <w:t>Eurostat</w:t>
      </w:r>
      <w:proofErr w:type="spellEnd"/>
      <w:r w:rsidRPr="00FD1578">
        <w:rPr>
          <w:rFonts w:eastAsia="Aptos" w:cs="Times New Roman"/>
          <w:i/>
          <w:iCs/>
          <w:kern w:val="2"/>
          <w:szCs w:val="24"/>
          <w:lang w:eastAsia="en-US"/>
          <w14:ligatures w14:val="standardContextual"/>
        </w:rPr>
        <w:t xml:space="preserve"> </w:t>
      </w:r>
      <w:r w:rsidRPr="00FD1578">
        <w:rPr>
          <w:rFonts w:eastAsia="Aptos" w:cs="Times New Roman"/>
          <w:kern w:val="2"/>
          <w:szCs w:val="24"/>
          <w:lang w:eastAsia="en-US"/>
          <w14:ligatures w14:val="standardContextual"/>
        </w:rPr>
        <w:t xml:space="preserve">dati rāda, ka 2023. gadā vienības darbaspēka izmaksas turpināja pieaugt vēl straujāk nekā 2022. gadā, sasniedzot 3 gadu vidējās izmaiņas 25,8% apmērā, ko turpināja veicināt lielais algu pieaugums darbaspēka trūkuma apstākļos, kas Latvijā ir krietni augstāks salīdzinājumā ar citām </w:t>
      </w:r>
      <w:proofErr w:type="spellStart"/>
      <w:r w:rsidRPr="00FD1578">
        <w:rPr>
          <w:rFonts w:eastAsia="Aptos" w:cs="Times New Roman"/>
          <w:i/>
          <w:iCs/>
          <w:kern w:val="2"/>
          <w:szCs w:val="24"/>
          <w:lang w:eastAsia="en-US"/>
          <w14:ligatures w14:val="standardContextual"/>
        </w:rPr>
        <w:t>euro</w:t>
      </w:r>
      <w:proofErr w:type="spellEnd"/>
      <w:r w:rsidRPr="00FD1578">
        <w:rPr>
          <w:rFonts w:eastAsia="Aptos" w:cs="Times New Roman"/>
          <w:kern w:val="2"/>
          <w:szCs w:val="24"/>
          <w:lang w:eastAsia="en-US"/>
          <w14:ligatures w14:val="standardContextual"/>
        </w:rPr>
        <w:t xml:space="preserve"> zonas valstīm. 2024. gadā tiek prognozēts izmaksu pieauguma ievērojams palēninājums, taču, rēķinot 3 gadu procentuālās izmaiņas, rādītājs joprojām pārsniegs noteikto </w:t>
      </w:r>
      <w:proofErr w:type="spellStart"/>
      <w:r w:rsidRPr="00FD1578">
        <w:rPr>
          <w:rFonts w:eastAsia="Aptos" w:cs="Times New Roman"/>
          <w:kern w:val="2"/>
          <w:szCs w:val="24"/>
          <w:lang w:eastAsia="en-US"/>
          <w14:ligatures w14:val="standardContextual"/>
        </w:rPr>
        <w:t>robežslieksni</w:t>
      </w:r>
      <w:proofErr w:type="spellEnd"/>
      <w:r w:rsidRPr="00FD1578">
        <w:rPr>
          <w:rFonts w:eastAsia="Aptos" w:cs="Times New Roman"/>
          <w:kern w:val="2"/>
          <w:szCs w:val="24"/>
          <w:lang w:eastAsia="en-US"/>
          <w14:ligatures w14:val="standardContextual"/>
        </w:rPr>
        <w:t>.</w:t>
      </w:r>
    </w:p>
    <w:p w14:paraId="1F5094D4" w14:textId="77777777" w:rsidR="0070161D" w:rsidRPr="00FD1578" w:rsidRDefault="0070161D" w:rsidP="008349F0">
      <w:pPr>
        <w:keepNext/>
        <w:keepLines/>
        <w:spacing w:before="240" w:after="240"/>
        <w:ind w:firstLine="0"/>
        <w:jc w:val="center"/>
        <w:outlineLvl w:val="1"/>
        <w:rPr>
          <w:rFonts w:eastAsia="Times New Roman" w:cs="Times New Roman"/>
          <w:b/>
          <w:bCs/>
          <w:color w:val="000000"/>
          <w:sz w:val="36"/>
          <w:szCs w:val="28"/>
        </w:rPr>
      </w:pPr>
      <w:bookmarkStart w:id="29" w:name="_Toc178763485"/>
      <w:bookmarkStart w:id="30" w:name="_Toc179356074"/>
      <w:r w:rsidRPr="00FD1578">
        <w:rPr>
          <w:rFonts w:eastAsia="Times New Roman" w:cs="Times New Roman"/>
          <w:b/>
          <w:bCs/>
          <w:color w:val="000000"/>
          <w:sz w:val="36"/>
          <w:szCs w:val="28"/>
        </w:rPr>
        <w:t>1.4. Makroekonomiskās attīstības scenārijs</w:t>
      </w:r>
      <w:bookmarkEnd w:id="29"/>
      <w:bookmarkEnd w:id="30"/>
    </w:p>
    <w:p w14:paraId="716A3E49" w14:textId="77777777" w:rsidR="0070161D" w:rsidRPr="00FD1578" w:rsidRDefault="0070161D" w:rsidP="008349F0">
      <w:pPr>
        <w:rPr>
          <w:rFonts w:eastAsia="Times New Roman" w:cs="Times New Roman"/>
        </w:rPr>
      </w:pPr>
      <w:bookmarkStart w:id="31" w:name="_Hlk115086564"/>
      <w:r w:rsidRPr="00FD1578">
        <w:rPr>
          <w:rFonts w:eastAsia="Times New Roman" w:cs="Times New Roman"/>
        </w:rPr>
        <w:t>Vidēja termiņa makroekonomiskās attīstības scenārijs 2024.-2028. gadam izstrādāts 2024. gada jūnijā, balstoties uz 2024. gada pirmā ceturkšņa IKP datiem, kā arī līdz šā gada jūnijam pieejamo īstermiņa makroekonomisko informāciju. Izstrādājot vidēja termiņa makroekonomiskās attīstības scenāriju, FM ir konsultējusies ar SVF, EK un komercbanku ekspertiem. Makroekonomisko rādītāju prognozes ir saskaņotas ar LB un Ekonomikas ministriju, kā arī tās 2024. gada 10. jūnijā ir apstiprinājusi Fiskālās disciplīnas padome.</w:t>
      </w:r>
    </w:p>
    <w:p w14:paraId="13E47C58" w14:textId="77777777" w:rsidR="0070161D" w:rsidRPr="00FD1578" w:rsidRDefault="0070161D" w:rsidP="008349F0">
      <w:pPr>
        <w:rPr>
          <w:rFonts w:eastAsia="Times New Roman" w:cs="Times New Roman"/>
        </w:rPr>
      </w:pPr>
      <w:r w:rsidRPr="00FD1578">
        <w:rPr>
          <w:rFonts w:eastAsia="Times New Roman" w:cs="Times New Roman"/>
        </w:rPr>
        <w:t>Prognožu pamatā ir pieņēmums, ka 2024. gada 2. pusgadā, atbilstoši EK pavasara prognozēm, Latvijas tirdzniecības partnervalstu ekonomiskā izaugsme kļūs straujāka, tāpēc ekonomikas izaugsmes prognoze šim gadam ir 1,4%, bet 2025. gadam – 2,9%, kas sakrīt ar FM februārī sagatavotās Latvijas Stabilitātes programmas 2024.-2028. gadam prognozēm. Tuvākajos trīs gados ekonomikas izaugsme nedaudz palēnināsies, stabilizējoties līmenī ap 2,5%.</w:t>
      </w:r>
    </w:p>
    <w:p w14:paraId="3F82FF54" w14:textId="77777777" w:rsidR="0070161D" w:rsidRPr="00FD1578" w:rsidRDefault="0070161D" w:rsidP="008349F0">
      <w:pPr>
        <w:rPr>
          <w:rFonts w:eastAsia="Times New Roman" w:cs="Times New Roman"/>
        </w:rPr>
      </w:pPr>
      <w:r w:rsidRPr="00FD1578">
        <w:rPr>
          <w:rFonts w:eastAsia="Times New Roman" w:cs="Times New Roman"/>
        </w:rPr>
        <w:t xml:space="preserve">Pēc neliela krituma 2023. gadā, ko galvenokārt izraisīja ģeopolitiskā situācija un vājā ekonomikas izaugsme ārējos tirgos, 2024. gada sākumā </w:t>
      </w:r>
      <w:r w:rsidRPr="00FD1578">
        <w:rPr>
          <w:rFonts w:eastAsia="Times New Roman" w:cs="Times New Roman"/>
          <w:b/>
          <w:bCs/>
        </w:rPr>
        <w:t>IKP</w:t>
      </w:r>
      <w:r w:rsidRPr="00FD1578">
        <w:rPr>
          <w:rFonts w:eastAsia="Times New Roman" w:cs="Times New Roman"/>
        </w:rPr>
        <w:t xml:space="preserve"> pieaugums ir atjaunojies. Pirmajā ceturksnī izaugsmi veicināja spēcīgs sabiedriskā patēriņa pieaugums un privātā patēriņa atgūšanās pēc iepriekšējo gadu straujā cenu kāpuma. Nākamajos ceturkšņos izaugsmi galvenokārt stimulēs ārējā pieprasījuma atjaunošanās un intensīvāka ES fondu investīciju izmantošana. Pēdējos mēnešos vērojama pakāpeniska uzņēmēju un patērētāju konfidences </w:t>
      </w:r>
      <w:r w:rsidRPr="00FD1578">
        <w:rPr>
          <w:rFonts w:eastAsia="Times New Roman" w:cs="Times New Roman"/>
        </w:rPr>
        <w:lastRenderedPageBreak/>
        <w:t xml:space="preserve">rādītāju uzlabošanās. </w:t>
      </w:r>
      <w:proofErr w:type="spellStart"/>
      <w:r w:rsidRPr="00FD1578">
        <w:rPr>
          <w:rFonts w:eastAsia="Times New Roman" w:cs="Times New Roman"/>
          <w:i/>
          <w:iCs/>
        </w:rPr>
        <w:t>Euro</w:t>
      </w:r>
      <w:proofErr w:type="spellEnd"/>
      <w:r w:rsidRPr="00FD1578">
        <w:rPr>
          <w:rFonts w:eastAsia="Times New Roman" w:cs="Times New Roman"/>
        </w:rPr>
        <w:t xml:space="preserve"> zonas ekonomiskās izaugsmes atjaunošanos veicinās arī procentu likmju samazinājums, ko ECB uzsāka šā gada jūnijā, samazinot procentu likmi par 0,25 </w:t>
      </w:r>
      <w:proofErr w:type="spellStart"/>
      <w:r w:rsidRPr="00FD1578">
        <w:rPr>
          <w:rFonts w:eastAsia="Times New Roman" w:cs="Times New Roman"/>
        </w:rPr>
        <w:t>pp</w:t>
      </w:r>
      <w:proofErr w:type="spellEnd"/>
      <w:r w:rsidRPr="00FD1578">
        <w:rPr>
          <w:rFonts w:eastAsia="Times New Roman" w:cs="Times New Roman"/>
        </w:rPr>
        <w:t>.</w:t>
      </w:r>
    </w:p>
    <w:p w14:paraId="1F8A1EAC" w14:textId="6E7F5FBE" w:rsidR="0070161D" w:rsidRPr="00FD1578" w:rsidRDefault="0070161D" w:rsidP="008349F0">
      <w:pPr>
        <w:rPr>
          <w:rFonts w:eastAsia="Times New Roman" w:cs="Times New Roman"/>
        </w:rPr>
      </w:pPr>
      <w:r w:rsidRPr="00FD1578">
        <w:rPr>
          <w:rFonts w:eastAsia="Times New Roman" w:cs="Times New Roman"/>
        </w:rPr>
        <w:t xml:space="preserve">2023. gadā </w:t>
      </w:r>
      <w:r w:rsidRPr="00FD1578">
        <w:rPr>
          <w:rFonts w:eastAsia="Times New Roman" w:cs="Times New Roman"/>
          <w:b/>
          <w:bCs/>
        </w:rPr>
        <w:t>privāto patēriņu</w:t>
      </w:r>
      <w:r w:rsidRPr="00FD1578">
        <w:rPr>
          <w:rFonts w:eastAsia="Times New Roman" w:cs="Times New Roman"/>
        </w:rPr>
        <w:t xml:space="preserve"> jūtami bremzēja augstā inflācija un pirktspējas samazinājums, ietekmējot iedzīvotāju konfidenci. Līdz ar to scenārijs paredz tikai ļoti mērenu privātā patēriņa pieaugumu 2024. un 2025. gadā, ko lielā mērā nosaka nenoteiktība par savu finanšu situāciju, neskatoties uz pašlaik zemo inflāciju un joprojām augsto algu pieaugumu. Tāpēc kopumā patēriņa izaugsme būs nedaudz zemāka, nekā prognozēts 2024. gada februārī. Atbilstoši aktualizētajām prognozēm 2024. gadā privātā patēriņa pieaugums varētu sasniegt 1,6% un 2025. gadā 1,8%, kas ir attiecīgi par 0,3 un 0,8 </w:t>
      </w:r>
      <w:proofErr w:type="spellStart"/>
      <w:r w:rsidRPr="00FD1578">
        <w:rPr>
          <w:rFonts w:eastAsia="Times New Roman" w:cs="Times New Roman"/>
        </w:rPr>
        <w:t>pp</w:t>
      </w:r>
      <w:proofErr w:type="spellEnd"/>
      <w:r w:rsidRPr="00FD1578">
        <w:rPr>
          <w:rFonts w:eastAsia="Times New Roman" w:cs="Times New Roman"/>
        </w:rPr>
        <w:t xml:space="preserve"> mazāk nekā </w:t>
      </w:r>
      <w:r w:rsidR="00601998">
        <w:rPr>
          <w:rFonts w:eastAsia="Times New Roman" w:cs="Times New Roman"/>
        </w:rPr>
        <w:t xml:space="preserve">2024. gada </w:t>
      </w:r>
      <w:r w:rsidRPr="00FD1578">
        <w:rPr>
          <w:rFonts w:eastAsia="Times New Roman" w:cs="Times New Roman"/>
        </w:rPr>
        <w:t>februāra prognozēs, un</w:t>
      </w:r>
      <w:r w:rsidR="005735FB">
        <w:rPr>
          <w:rFonts w:eastAsia="Times New Roman" w:cs="Times New Roman"/>
        </w:rPr>
        <w:t xml:space="preserve"> </w:t>
      </w:r>
      <w:r w:rsidRPr="00FD1578">
        <w:rPr>
          <w:rFonts w:eastAsia="Times New Roman" w:cs="Times New Roman"/>
        </w:rPr>
        <w:t xml:space="preserve">privātais patēriņš būs ar lielāko devumu (ap 1 </w:t>
      </w:r>
      <w:proofErr w:type="spellStart"/>
      <w:r w:rsidRPr="00FD1578">
        <w:rPr>
          <w:rFonts w:eastAsia="Times New Roman" w:cs="Times New Roman"/>
        </w:rPr>
        <w:t>pp</w:t>
      </w:r>
      <w:proofErr w:type="spellEnd"/>
      <w:r w:rsidRPr="00FD1578">
        <w:rPr>
          <w:rFonts w:eastAsia="Times New Roman" w:cs="Times New Roman"/>
        </w:rPr>
        <w:t>) IKP izaugsmē.</w:t>
      </w:r>
    </w:p>
    <w:p w14:paraId="10C76835" w14:textId="77777777" w:rsidR="0070161D" w:rsidRPr="00FD1578" w:rsidRDefault="0070161D" w:rsidP="008349F0">
      <w:pPr>
        <w:rPr>
          <w:rFonts w:eastAsia="Times New Roman" w:cs="Times New Roman"/>
        </w:rPr>
      </w:pPr>
      <w:r w:rsidRPr="00FD1578">
        <w:rPr>
          <w:rFonts w:eastAsia="Times New Roman" w:cs="Times New Roman"/>
        </w:rPr>
        <w:t xml:space="preserve">Nozīmīgu devumu izaugsmē nodrošinās arī </w:t>
      </w:r>
      <w:r w:rsidRPr="00FD1578">
        <w:rPr>
          <w:rFonts w:eastAsia="Times New Roman" w:cs="Times New Roman"/>
          <w:b/>
          <w:bCs/>
        </w:rPr>
        <w:t>sabiedriskais patēriņš</w:t>
      </w:r>
      <w:r w:rsidRPr="00FD1578">
        <w:rPr>
          <w:rFonts w:eastAsia="Times New Roman" w:cs="Times New Roman"/>
        </w:rPr>
        <w:t>. 2024. gada budžeta izdevumi nodrošinās, ka sabiedriskais patēriņš pieaugs par 4,6%, kas ir saistīts gan ar algu pieaugumu sabiedriskajā sektorā, gan pieaugošo aizsardzības budžetu. Savukārt nākamajos gados pie nemainīgas politikas scenārijs paredz sabiedriskā patēriņa pieaugumu ap 2% gadā.</w:t>
      </w:r>
    </w:p>
    <w:p w14:paraId="4CF563D0" w14:textId="25CA9585" w:rsidR="0070161D" w:rsidRPr="00FD1578" w:rsidRDefault="0070161D" w:rsidP="008349F0">
      <w:pPr>
        <w:rPr>
          <w:rFonts w:eastAsia="Times New Roman" w:cs="Times New Roman"/>
        </w:rPr>
      </w:pPr>
      <w:r w:rsidRPr="00FD1578">
        <w:rPr>
          <w:rFonts w:eastAsia="Times New Roman" w:cs="Times New Roman"/>
          <w:b/>
          <w:bCs/>
        </w:rPr>
        <w:t>Investīciju</w:t>
      </w:r>
      <w:r w:rsidRPr="00FD1578">
        <w:rPr>
          <w:rFonts w:eastAsia="Times New Roman" w:cs="Times New Roman"/>
        </w:rPr>
        <w:t xml:space="preserve"> pieaugums 2024. gadā tiek prognozēts ļoti zems, jo gads sākās ar investīciju samazinājumu, kas sekoja iepriekšējā gada ļoti straujam pieaugumam. Joprojām arī kavējas ES fondu investīciju apguve nozīmīgos projektos. Tādējādi tiek prognozēts, ka 2024. gadā investīciju apjoms palielināsies tikai par 0,3%, kas ir par 3,6 </w:t>
      </w:r>
      <w:proofErr w:type="spellStart"/>
      <w:r w:rsidRPr="00FD1578">
        <w:rPr>
          <w:rFonts w:eastAsia="Times New Roman" w:cs="Times New Roman"/>
        </w:rPr>
        <w:t>pp</w:t>
      </w:r>
      <w:proofErr w:type="spellEnd"/>
      <w:r w:rsidRPr="00FD1578">
        <w:rPr>
          <w:rFonts w:eastAsia="Times New Roman" w:cs="Times New Roman"/>
        </w:rPr>
        <w:t xml:space="preserve"> mazāk nekā </w:t>
      </w:r>
      <w:r w:rsidR="00601998">
        <w:rPr>
          <w:rFonts w:eastAsia="Times New Roman" w:cs="Times New Roman"/>
        </w:rPr>
        <w:t xml:space="preserve">2024. gada </w:t>
      </w:r>
      <w:r w:rsidRPr="00FD1578">
        <w:rPr>
          <w:rFonts w:eastAsia="Times New Roman" w:cs="Times New Roman"/>
        </w:rPr>
        <w:t xml:space="preserve">februāra prognozēs. Savukārt 2025. gadā paredzams, ka investīcijas stimulēs ES fondu un ANM finansējums, kā arī </w:t>
      </w:r>
      <w:r w:rsidRPr="00FD1578">
        <w:rPr>
          <w:rFonts w:eastAsia="Times New Roman" w:cs="Times New Roman"/>
          <w:i/>
          <w:iCs/>
        </w:rPr>
        <w:t xml:space="preserve">Rail </w:t>
      </w:r>
      <w:proofErr w:type="spellStart"/>
      <w:r w:rsidRPr="00FD1578">
        <w:rPr>
          <w:rFonts w:eastAsia="Times New Roman" w:cs="Times New Roman"/>
          <w:i/>
          <w:iCs/>
        </w:rPr>
        <w:t>Baltica</w:t>
      </w:r>
      <w:proofErr w:type="spellEnd"/>
      <w:r w:rsidRPr="00FD1578">
        <w:rPr>
          <w:rFonts w:eastAsia="Times New Roman" w:cs="Times New Roman"/>
        </w:rPr>
        <w:t xml:space="preserve"> projekta realizācija, nodrošinot investīciju pieaugumu par 4,5%, bet turpmākajos gados investīcijas palielināsies vidēji par 2% gadā.</w:t>
      </w:r>
    </w:p>
    <w:p w14:paraId="7D0302FE" w14:textId="77777777" w:rsidR="0070161D" w:rsidRPr="00FD1578" w:rsidRDefault="0070161D" w:rsidP="008349F0">
      <w:pPr>
        <w:rPr>
          <w:rFonts w:eastAsia="Times New Roman" w:cs="Times New Roman"/>
        </w:rPr>
      </w:pPr>
      <w:r w:rsidRPr="00FD1578">
        <w:rPr>
          <w:rFonts w:eastAsia="Times New Roman" w:cs="Times New Roman"/>
        </w:rPr>
        <w:t xml:space="preserve">Attiecībā uz </w:t>
      </w:r>
      <w:r w:rsidRPr="00FD1578">
        <w:rPr>
          <w:rFonts w:eastAsia="Times New Roman" w:cs="Times New Roman"/>
          <w:b/>
          <w:bCs/>
        </w:rPr>
        <w:t>eksporta</w:t>
      </w:r>
      <w:r w:rsidRPr="00FD1578">
        <w:rPr>
          <w:rFonts w:eastAsia="Times New Roman" w:cs="Times New Roman"/>
        </w:rPr>
        <w:t xml:space="preserve"> prognozi, tā dinamiku ietekmēs Latvijas tirdzniecības partneru ekonomiskā aktivitāte, balstoties uz EK pavasara prognozēm. Ārējais pieprasījums 2024. gadā būs mērens, un eksportu vairs neveicinās straujais eksporta cenu pieaugums. Tādējādi eksporta apjoms varētu saglabāties aptuveni iepriekšējā gada līmenī, palielinoties par 0,3%. Savukārt 2025. gadā eksporta pieaugums atjaunosies līdz 3,2%, un līdzīgs, nedaudz straujāks pieaugums ir gaidāms arī vidējā termiņā.</w:t>
      </w:r>
    </w:p>
    <w:bookmarkEnd w:id="31"/>
    <w:p w14:paraId="7796C1B5" w14:textId="77777777" w:rsidR="0070161D" w:rsidRPr="00FD1578" w:rsidRDefault="0070161D" w:rsidP="008349F0">
      <w:pPr>
        <w:spacing w:before="120" w:after="240"/>
        <w:ind w:firstLine="0"/>
        <w:jc w:val="right"/>
        <w:rPr>
          <w:rFonts w:eastAsia="Calibri" w:cs="Times New Roman"/>
          <w:b/>
          <w:i/>
          <w:iCs/>
          <w:szCs w:val="24"/>
        </w:rPr>
      </w:pPr>
      <w:r w:rsidRPr="00FD1578">
        <w:rPr>
          <w:rFonts w:eastAsia="Calibri" w:cs="Times New Roman"/>
          <w:b/>
          <w:i/>
          <w:iCs/>
          <w:szCs w:val="24"/>
        </w:rPr>
        <w:t>1.6. tabula. Makroekonomisko prognožu kopsavilkums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0"/>
        <w:gridCol w:w="942"/>
        <w:gridCol w:w="944"/>
        <w:gridCol w:w="944"/>
        <w:gridCol w:w="943"/>
        <w:gridCol w:w="944"/>
        <w:gridCol w:w="944"/>
      </w:tblGrid>
      <w:tr w:rsidR="0070161D" w:rsidRPr="00FD1578" w14:paraId="46DF021E" w14:textId="77777777" w:rsidTr="0073287C">
        <w:trPr>
          <w:trHeight w:val="300"/>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BDD6EE"/>
            <w:noWrap/>
            <w:vAlign w:val="center"/>
            <w:hideMark/>
          </w:tcPr>
          <w:p w14:paraId="6D922B45" w14:textId="77777777" w:rsidR="0070161D" w:rsidRPr="00FD1578" w:rsidRDefault="0070161D" w:rsidP="008349F0">
            <w:pPr>
              <w:spacing w:after="160"/>
              <w:ind w:firstLine="0"/>
              <w:jc w:val="left"/>
              <w:rPr>
                <w:rFonts w:eastAsia="Calibri" w:cs="Times New Roman"/>
                <w:b/>
                <w:i/>
                <w:iCs/>
                <w:szCs w:val="24"/>
              </w:rPr>
            </w:pPr>
          </w:p>
        </w:tc>
        <w:tc>
          <w:tcPr>
            <w:tcW w:w="863" w:type="dxa"/>
            <w:tcBorders>
              <w:top w:val="single" w:sz="4" w:space="0" w:color="auto"/>
              <w:left w:val="single" w:sz="4" w:space="0" w:color="auto"/>
              <w:bottom w:val="single" w:sz="4" w:space="0" w:color="auto"/>
              <w:right w:val="single" w:sz="4" w:space="0" w:color="auto"/>
            </w:tcBorders>
            <w:shd w:val="clear" w:color="auto" w:fill="BDD6EE"/>
            <w:noWrap/>
            <w:vAlign w:val="center"/>
            <w:hideMark/>
          </w:tcPr>
          <w:p w14:paraId="1B92F346"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2023</w:t>
            </w:r>
          </w:p>
        </w:tc>
        <w:tc>
          <w:tcPr>
            <w:tcW w:w="864" w:type="dxa"/>
            <w:tcBorders>
              <w:top w:val="single" w:sz="4" w:space="0" w:color="auto"/>
              <w:left w:val="single" w:sz="4" w:space="0" w:color="auto"/>
              <w:bottom w:val="single" w:sz="4" w:space="0" w:color="auto"/>
              <w:right w:val="single" w:sz="4" w:space="0" w:color="auto"/>
            </w:tcBorders>
            <w:shd w:val="clear" w:color="auto" w:fill="BDD6EE"/>
            <w:noWrap/>
            <w:vAlign w:val="center"/>
            <w:hideMark/>
          </w:tcPr>
          <w:p w14:paraId="6F8B8BF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2024</w:t>
            </w:r>
          </w:p>
        </w:tc>
        <w:tc>
          <w:tcPr>
            <w:tcW w:w="864" w:type="dxa"/>
            <w:tcBorders>
              <w:top w:val="single" w:sz="4" w:space="0" w:color="auto"/>
              <w:left w:val="single" w:sz="4" w:space="0" w:color="auto"/>
              <w:bottom w:val="single" w:sz="4" w:space="0" w:color="auto"/>
              <w:right w:val="single" w:sz="4" w:space="0" w:color="auto"/>
            </w:tcBorders>
            <w:shd w:val="clear" w:color="auto" w:fill="BDD6EE"/>
            <w:noWrap/>
            <w:vAlign w:val="center"/>
            <w:hideMark/>
          </w:tcPr>
          <w:p w14:paraId="57862E4B"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2025</w:t>
            </w:r>
          </w:p>
        </w:tc>
        <w:tc>
          <w:tcPr>
            <w:tcW w:w="863" w:type="dxa"/>
            <w:tcBorders>
              <w:top w:val="single" w:sz="4" w:space="0" w:color="auto"/>
              <w:left w:val="single" w:sz="4" w:space="0" w:color="auto"/>
              <w:bottom w:val="single" w:sz="4" w:space="0" w:color="auto"/>
              <w:right w:val="single" w:sz="4" w:space="0" w:color="auto"/>
            </w:tcBorders>
            <w:shd w:val="clear" w:color="auto" w:fill="BDD6EE"/>
            <w:noWrap/>
            <w:vAlign w:val="center"/>
            <w:hideMark/>
          </w:tcPr>
          <w:p w14:paraId="51AAD4E0"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2026</w:t>
            </w:r>
          </w:p>
        </w:tc>
        <w:tc>
          <w:tcPr>
            <w:tcW w:w="864" w:type="dxa"/>
            <w:tcBorders>
              <w:top w:val="single" w:sz="4" w:space="0" w:color="auto"/>
              <w:left w:val="single" w:sz="4" w:space="0" w:color="auto"/>
              <w:bottom w:val="single" w:sz="4" w:space="0" w:color="auto"/>
              <w:right w:val="single" w:sz="4" w:space="0" w:color="auto"/>
            </w:tcBorders>
            <w:shd w:val="clear" w:color="auto" w:fill="BDD6EE"/>
            <w:noWrap/>
            <w:vAlign w:val="center"/>
            <w:hideMark/>
          </w:tcPr>
          <w:p w14:paraId="21B58937"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2027</w:t>
            </w:r>
          </w:p>
        </w:tc>
        <w:tc>
          <w:tcPr>
            <w:tcW w:w="864"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C5DD5C7"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2028</w:t>
            </w:r>
          </w:p>
        </w:tc>
      </w:tr>
      <w:tr w:rsidR="0070161D" w:rsidRPr="00FD1578" w14:paraId="51A0C9F4" w14:textId="77777777" w:rsidTr="0073287C">
        <w:trPr>
          <w:trHeight w:val="300"/>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74611608" w14:textId="77777777" w:rsidR="0070161D" w:rsidRPr="00FD1578" w:rsidRDefault="0070161D" w:rsidP="008349F0">
            <w:pPr>
              <w:spacing w:after="0"/>
              <w:ind w:firstLine="0"/>
              <w:jc w:val="left"/>
              <w:rPr>
                <w:rFonts w:eastAsia="Calibri" w:cs="Times New Roman"/>
                <w:b/>
                <w:i/>
                <w:iCs/>
                <w:szCs w:val="24"/>
              </w:rPr>
            </w:pPr>
          </w:p>
        </w:tc>
        <w:tc>
          <w:tcPr>
            <w:tcW w:w="863" w:type="dxa"/>
            <w:tcBorders>
              <w:top w:val="single" w:sz="4" w:space="0" w:color="auto"/>
              <w:left w:val="single" w:sz="4" w:space="0" w:color="auto"/>
              <w:bottom w:val="single" w:sz="4" w:space="0" w:color="auto"/>
              <w:right w:val="single" w:sz="4" w:space="0" w:color="auto"/>
            </w:tcBorders>
            <w:shd w:val="clear" w:color="auto" w:fill="BDD6EE"/>
            <w:noWrap/>
            <w:vAlign w:val="center"/>
            <w:hideMark/>
          </w:tcPr>
          <w:p w14:paraId="4B9728A4"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fakts</w:t>
            </w:r>
          </w:p>
        </w:tc>
        <w:tc>
          <w:tcPr>
            <w:tcW w:w="4319" w:type="dxa"/>
            <w:gridSpan w:val="5"/>
            <w:tcBorders>
              <w:top w:val="single" w:sz="4" w:space="0" w:color="auto"/>
              <w:left w:val="single" w:sz="4" w:space="0" w:color="auto"/>
              <w:bottom w:val="single" w:sz="4" w:space="0" w:color="auto"/>
              <w:right w:val="single" w:sz="4" w:space="0" w:color="auto"/>
            </w:tcBorders>
            <w:shd w:val="clear" w:color="auto" w:fill="BDD6EE"/>
            <w:noWrap/>
            <w:vAlign w:val="center"/>
            <w:hideMark/>
          </w:tcPr>
          <w:p w14:paraId="00FEFF9D"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prognoze</w:t>
            </w:r>
          </w:p>
        </w:tc>
      </w:tr>
      <w:tr w:rsidR="0070161D" w:rsidRPr="00FD1578" w14:paraId="1AA47A6A" w14:textId="77777777" w:rsidTr="0073287C">
        <w:trPr>
          <w:trHeight w:val="3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20707E05" w14:textId="77777777" w:rsidR="0070161D" w:rsidRPr="00FD1578" w:rsidRDefault="0070161D" w:rsidP="008349F0">
            <w:pPr>
              <w:spacing w:after="0"/>
              <w:ind w:firstLine="0"/>
              <w:rPr>
                <w:rFonts w:eastAsia="Times New Roman" w:cs="Times New Roman"/>
                <w:sz w:val="18"/>
                <w:szCs w:val="20"/>
              </w:rPr>
            </w:pPr>
            <w:r w:rsidRPr="00FD1578">
              <w:rPr>
                <w:rFonts w:eastAsia="Times New Roman" w:cs="Times New Roman"/>
                <w:sz w:val="18"/>
                <w:szCs w:val="20"/>
              </w:rPr>
              <w:t xml:space="preserve">Iekšzemes kopprodukts (milj. </w:t>
            </w:r>
            <w:proofErr w:type="spellStart"/>
            <w:r w:rsidRPr="00FD1578">
              <w:rPr>
                <w:rFonts w:eastAsia="Times New Roman" w:cs="Times New Roman"/>
                <w:sz w:val="18"/>
                <w:szCs w:val="20"/>
              </w:rPr>
              <w:t>euro</w:t>
            </w:r>
            <w:proofErr w:type="spellEnd"/>
            <w:r w:rsidRPr="00FD1578">
              <w:rPr>
                <w:rFonts w:eastAsia="Times New Roman" w:cs="Times New Roman"/>
                <w:sz w:val="18"/>
                <w:szCs w:val="20"/>
              </w:rPr>
              <w:t>)</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169F45B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40 348</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7742EE72"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41 894</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5DC2919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44 379</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0C58F3CD"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46 836</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4B8DC90D"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49 349</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966DFCD"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51 851</w:t>
            </w:r>
          </w:p>
        </w:tc>
      </w:tr>
      <w:tr w:rsidR="0070161D" w:rsidRPr="00FD1578" w14:paraId="7C11EA50" w14:textId="77777777" w:rsidTr="0073287C">
        <w:trPr>
          <w:trHeight w:val="3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32F8FE2A" w14:textId="77777777" w:rsidR="0070161D" w:rsidRPr="00FD1578" w:rsidRDefault="0070161D" w:rsidP="008349F0">
            <w:pPr>
              <w:spacing w:after="0"/>
              <w:ind w:left="174" w:firstLine="0"/>
              <w:rPr>
                <w:rFonts w:eastAsia="Times New Roman" w:cs="Times New Roman"/>
                <w:sz w:val="18"/>
                <w:szCs w:val="20"/>
              </w:rPr>
            </w:pPr>
            <w:r w:rsidRPr="00FD1578">
              <w:rPr>
                <w:rFonts w:eastAsia="Times New Roman" w:cs="Times New Roman"/>
                <w:sz w:val="18"/>
                <w:szCs w:val="20"/>
              </w:rPr>
              <w:t>pieaugums faktiskajās cenās (%)</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153B59F1"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5,1</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20F62D5F"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3,8</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1F375F8B"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5,9</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2A591CA8"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5,5</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37AD259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5,4</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8889D94"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5,1</w:t>
            </w:r>
          </w:p>
        </w:tc>
      </w:tr>
      <w:tr w:rsidR="0070161D" w:rsidRPr="00FD1578" w14:paraId="17F30B85" w14:textId="77777777" w:rsidTr="0073287C">
        <w:trPr>
          <w:trHeight w:val="3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5656FE11" w14:textId="77777777" w:rsidR="0070161D" w:rsidRPr="00FD1578" w:rsidRDefault="0070161D" w:rsidP="008349F0">
            <w:pPr>
              <w:spacing w:after="0"/>
              <w:ind w:left="174" w:firstLine="0"/>
              <w:rPr>
                <w:rFonts w:eastAsia="Times New Roman" w:cs="Times New Roman"/>
                <w:sz w:val="18"/>
                <w:szCs w:val="20"/>
              </w:rPr>
            </w:pPr>
            <w:r w:rsidRPr="00FD1578">
              <w:rPr>
                <w:rFonts w:eastAsia="Times New Roman" w:cs="Times New Roman"/>
                <w:sz w:val="18"/>
                <w:szCs w:val="20"/>
              </w:rPr>
              <w:t>pieaugums salīdzināmās cenās (%)</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625DA784"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-0,3</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3DF06EE3"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1,4</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4BDABE93"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2,9</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21CDEB84"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2,8</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73D0DFD2"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2,6</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F277653"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2,3</w:t>
            </w:r>
          </w:p>
        </w:tc>
      </w:tr>
      <w:tr w:rsidR="0070161D" w:rsidRPr="00FD1578" w14:paraId="03AAF3C7" w14:textId="77777777" w:rsidTr="0073287C">
        <w:trPr>
          <w:trHeight w:val="3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620DBE16" w14:textId="77777777" w:rsidR="0070161D" w:rsidRPr="00FD1578" w:rsidRDefault="0070161D" w:rsidP="008349F0">
            <w:pPr>
              <w:spacing w:after="0"/>
              <w:ind w:firstLine="0"/>
              <w:rPr>
                <w:rFonts w:eastAsia="Times New Roman" w:cs="Times New Roman"/>
                <w:sz w:val="18"/>
                <w:szCs w:val="20"/>
              </w:rPr>
            </w:pPr>
            <w:r w:rsidRPr="00FD1578">
              <w:rPr>
                <w:rFonts w:eastAsia="Times New Roman" w:cs="Times New Roman"/>
                <w:sz w:val="18"/>
                <w:szCs w:val="20"/>
              </w:rPr>
              <w:t xml:space="preserve">IKP </w:t>
            </w:r>
            <w:proofErr w:type="spellStart"/>
            <w:r w:rsidRPr="00FD1578">
              <w:rPr>
                <w:rFonts w:eastAsia="Times New Roman" w:cs="Times New Roman"/>
                <w:sz w:val="18"/>
                <w:szCs w:val="20"/>
              </w:rPr>
              <w:t>deflators</w:t>
            </w:r>
            <w:proofErr w:type="spellEnd"/>
            <w:r w:rsidRPr="00FD1578">
              <w:rPr>
                <w:rFonts w:eastAsia="Times New Roman" w:cs="Times New Roman"/>
                <w:sz w:val="18"/>
                <w:szCs w:val="20"/>
              </w:rPr>
              <w:t xml:space="preserve"> (gads pret gadu, %)</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44424ADA"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5,4</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3E3E6683"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2,4</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7AEF76D8"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2,9</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4FAF32B4"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2,7</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0F391582"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2,7</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BFAE835"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2,7</w:t>
            </w:r>
          </w:p>
        </w:tc>
      </w:tr>
      <w:tr w:rsidR="0070161D" w:rsidRPr="00FD1578" w14:paraId="5866CF06" w14:textId="77777777" w:rsidTr="0073287C">
        <w:trPr>
          <w:trHeight w:val="301"/>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5056C773" w14:textId="77777777" w:rsidR="0070161D" w:rsidRPr="00FD1578" w:rsidRDefault="0070161D" w:rsidP="008349F0">
            <w:pPr>
              <w:spacing w:after="0"/>
              <w:ind w:firstLine="0"/>
              <w:rPr>
                <w:rFonts w:eastAsia="Times New Roman" w:cs="Times New Roman"/>
                <w:sz w:val="18"/>
                <w:szCs w:val="20"/>
              </w:rPr>
            </w:pPr>
            <w:r w:rsidRPr="00FD1578">
              <w:rPr>
                <w:rFonts w:eastAsia="Times New Roman" w:cs="Times New Roman"/>
                <w:sz w:val="18"/>
                <w:szCs w:val="20"/>
              </w:rPr>
              <w:t>PCI (gads pret gadu, %)</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2C2E5C6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3,3</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099C6651"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17,3</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500DE50D"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8,5</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40190355"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1,0</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1AA1A507"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2,0</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tcPr>
          <w:p w14:paraId="4644CC84" w14:textId="77777777" w:rsidR="0070161D" w:rsidRPr="00FD1578" w:rsidRDefault="0070161D" w:rsidP="008349F0">
            <w:pPr>
              <w:spacing w:after="0"/>
              <w:ind w:firstLine="0"/>
              <w:jc w:val="center"/>
              <w:rPr>
                <w:rFonts w:eastAsia="Times New Roman" w:cs="Times New Roman"/>
                <w:sz w:val="18"/>
                <w:szCs w:val="20"/>
              </w:rPr>
            </w:pPr>
          </w:p>
        </w:tc>
      </w:tr>
      <w:tr w:rsidR="0070161D" w:rsidRPr="00FD1578" w14:paraId="733B217F" w14:textId="77777777" w:rsidTr="0073287C">
        <w:trPr>
          <w:trHeight w:val="6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7B2108AB" w14:textId="77777777" w:rsidR="0070161D" w:rsidRPr="00FD1578" w:rsidRDefault="0070161D" w:rsidP="008349F0">
            <w:pPr>
              <w:spacing w:after="0"/>
              <w:ind w:firstLine="0"/>
              <w:rPr>
                <w:rFonts w:eastAsia="Times New Roman" w:cs="Times New Roman"/>
                <w:sz w:val="18"/>
                <w:szCs w:val="20"/>
              </w:rPr>
            </w:pPr>
            <w:r w:rsidRPr="00FD1578">
              <w:rPr>
                <w:rFonts w:eastAsia="Times New Roman" w:cs="Times New Roman"/>
                <w:sz w:val="18"/>
                <w:szCs w:val="20"/>
              </w:rPr>
              <w:t xml:space="preserve">Tautsaimniecībā nodarbināto </w:t>
            </w:r>
            <w:proofErr w:type="spellStart"/>
            <w:r w:rsidRPr="00FD1578">
              <w:rPr>
                <w:rFonts w:eastAsia="Times New Roman" w:cs="Times New Roman"/>
                <w:sz w:val="18"/>
                <w:szCs w:val="20"/>
              </w:rPr>
              <w:t>mēn</w:t>
            </w:r>
            <w:proofErr w:type="spellEnd"/>
            <w:r w:rsidRPr="00FD1578">
              <w:rPr>
                <w:rFonts w:eastAsia="Times New Roman" w:cs="Times New Roman"/>
                <w:sz w:val="18"/>
                <w:szCs w:val="20"/>
              </w:rPr>
              <w:t xml:space="preserve">. </w:t>
            </w:r>
            <w:r w:rsidRPr="00FD1578">
              <w:rPr>
                <w:rFonts w:eastAsia="Times New Roman" w:cs="Times New Roman"/>
                <w:sz w:val="18"/>
                <w:szCs w:val="20"/>
              </w:rPr>
              <w:br/>
              <w:t>vid. bruto darba samaksa (</w:t>
            </w:r>
            <w:proofErr w:type="spellStart"/>
            <w:r w:rsidRPr="00FD1578">
              <w:rPr>
                <w:rFonts w:eastAsia="Times New Roman" w:cs="Times New Roman"/>
                <w:sz w:val="18"/>
                <w:szCs w:val="20"/>
              </w:rPr>
              <w:t>euro</w:t>
            </w:r>
            <w:proofErr w:type="spellEnd"/>
            <w:r w:rsidRPr="00FD1578">
              <w:rPr>
                <w:rFonts w:eastAsia="Times New Roman" w:cs="Times New Roman"/>
                <w:sz w:val="18"/>
                <w:szCs w:val="20"/>
              </w:rPr>
              <w:t>)</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3D56931D"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1 537</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3D569747"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1 655</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3DF64D2B"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1 760</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2CFB4450"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1 865</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3E7874C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1 958</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E2597BE"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2 056</w:t>
            </w:r>
          </w:p>
        </w:tc>
      </w:tr>
      <w:tr w:rsidR="0070161D" w:rsidRPr="00FD1578" w14:paraId="50FEB7ED" w14:textId="77777777" w:rsidTr="0073287C">
        <w:trPr>
          <w:trHeight w:val="3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3E80FE4C" w14:textId="77777777" w:rsidR="0070161D" w:rsidRPr="00FD1578" w:rsidRDefault="0070161D" w:rsidP="008349F0">
            <w:pPr>
              <w:spacing w:after="0"/>
              <w:ind w:left="174" w:firstLine="0"/>
              <w:rPr>
                <w:rFonts w:eastAsia="Times New Roman" w:cs="Times New Roman"/>
                <w:sz w:val="18"/>
                <w:szCs w:val="20"/>
              </w:rPr>
            </w:pPr>
            <w:r w:rsidRPr="00FD1578">
              <w:rPr>
                <w:rFonts w:eastAsia="Times New Roman" w:cs="Times New Roman"/>
                <w:sz w:val="18"/>
                <w:szCs w:val="20"/>
              </w:rPr>
              <w:t>pieaugums faktiskajās cenās (%)</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75A87882"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11,9</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5B23F754"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7,7</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0DD44522"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6,3</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236CE73F"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6,0</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23F010B7"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5,0</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BBDF221"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5,0</w:t>
            </w:r>
          </w:p>
        </w:tc>
      </w:tr>
      <w:tr w:rsidR="0070161D" w:rsidRPr="00FD1578" w14:paraId="310FF4E0" w14:textId="77777777" w:rsidTr="0073287C">
        <w:trPr>
          <w:trHeight w:val="3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56E2D411" w14:textId="77777777" w:rsidR="0070161D" w:rsidRPr="00FD1578" w:rsidRDefault="0070161D" w:rsidP="008349F0">
            <w:pPr>
              <w:spacing w:after="0"/>
              <w:ind w:left="174" w:firstLine="0"/>
              <w:rPr>
                <w:rFonts w:eastAsia="Times New Roman" w:cs="Times New Roman"/>
                <w:sz w:val="18"/>
                <w:szCs w:val="20"/>
              </w:rPr>
            </w:pPr>
            <w:r w:rsidRPr="00FD1578">
              <w:rPr>
                <w:rFonts w:eastAsia="Times New Roman" w:cs="Times New Roman"/>
                <w:sz w:val="18"/>
                <w:szCs w:val="20"/>
              </w:rPr>
              <w:t>pieaugums salīdzināmās cenās (%)</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56EE6944"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2,8</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13492E6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6,4</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79869B1B"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4,0</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3BF94BA7"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3,4</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65D80E6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2,4</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CAE2D63"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2,4</w:t>
            </w:r>
          </w:p>
        </w:tc>
      </w:tr>
      <w:tr w:rsidR="0070161D" w:rsidRPr="00FD1578" w14:paraId="01A557C3" w14:textId="77777777" w:rsidTr="0073287C">
        <w:trPr>
          <w:trHeight w:val="6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4C31FAE8" w14:textId="77777777" w:rsidR="0070161D" w:rsidRPr="00FD1578" w:rsidRDefault="0070161D" w:rsidP="008349F0">
            <w:pPr>
              <w:spacing w:after="0"/>
              <w:ind w:firstLine="0"/>
              <w:rPr>
                <w:rFonts w:eastAsia="Times New Roman" w:cs="Times New Roman"/>
                <w:sz w:val="18"/>
                <w:szCs w:val="20"/>
              </w:rPr>
            </w:pPr>
            <w:r w:rsidRPr="00FD1578">
              <w:rPr>
                <w:rFonts w:eastAsia="Times New Roman" w:cs="Times New Roman"/>
                <w:sz w:val="18"/>
                <w:szCs w:val="20"/>
              </w:rPr>
              <w:t>Nodarbinātība (tūkst. iedzīvotāju</w:t>
            </w:r>
            <w:r w:rsidRPr="00FD1578">
              <w:rPr>
                <w:rFonts w:eastAsia="Times New Roman" w:cs="Times New Roman"/>
                <w:sz w:val="18"/>
                <w:szCs w:val="20"/>
              </w:rPr>
              <w:br/>
              <w:t xml:space="preserve">atbilstoši darbaspēka </w:t>
            </w:r>
            <w:proofErr w:type="spellStart"/>
            <w:r w:rsidRPr="00FD1578">
              <w:rPr>
                <w:rFonts w:eastAsia="Times New Roman" w:cs="Times New Roman"/>
                <w:sz w:val="18"/>
                <w:szCs w:val="20"/>
              </w:rPr>
              <w:t>apsekojumiem</w:t>
            </w:r>
            <w:proofErr w:type="spellEnd"/>
            <w:r w:rsidRPr="00FD1578">
              <w:rPr>
                <w:rFonts w:eastAsia="Times New Roman" w:cs="Times New Roman"/>
                <w:sz w:val="18"/>
                <w:szCs w:val="20"/>
              </w:rPr>
              <w:t>)</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347385B3"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884</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4EDD01B0"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884</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0F9698BA"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884</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1F6DDE9B"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883</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55019B47"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882</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9AECAC2"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878</w:t>
            </w:r>
          </w:p>
        </w:tc>
      </w:tr>
      <w:tr w:rsidR="0070161D" w:rsidRPr="00FD1578" w14:paraId="47029C26" w14:textId="77777777" w:rsidTr="0073287C">
        <w:trPr>
          <w:trHeight w:val="3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3F247ACE" w14:textId="77777777" w:rsidR="0070161D" w:rsidRPr="00FD1578" w:rsidRDefault="0070161D" w:rsidP="008349F0">
            <w:pPr>
              <w:spacing w:after="0"/>
              <w:ind w:left="174" w:firstLine="0"/>
              <w:rPr>
                <w:rFonts w:eastAsia="Times New Roman" w:cs="Times New Roman"/>
                <w:sz w:val="18"/>
                <w:szCs w:val="20"/>
              </w:rPr>
            </w:pPr>
            <w:r w:rsidRPr="00FD1578">
              <w:rPr>
                <w:rFonts w:eastAsia="Times New Roman" w:cs="Times New Roman"/>
                <w:sz w:val="18"/>
                <w:szCs w:val="20"/>
              </w:rPr>
              <w:t>pieaugums (%)</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7587F5B1"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-0,2</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7BE99031"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0,0</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4A4DA29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0,0</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1F64096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-0,1</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5BCA4A67"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-0,2</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A9526E8"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-0,4</w:t>
            </w:r>
          </w:p>
        </w:tc>
      </w:tr>
      <w:tr w:rsidR="0070161D" w:rsidRPr="00FD1578" w14:paraId="7A2D5053" w14:textId="77777777" w:rsidTr="0073287C">
        <w:trPr>
          <w:trHeight w:val="300"/>
          <w:jc w:val="center"/>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4A2D4009" w14:textId="77777777" w:rsidR="0070161D" w:rsidRPr="00FD1578" w:rsidRDefault="0070161D" w:rsidP="008349F0">
            <w:pPr>
              <w:spacing w:after="0"/>
              <w:ind w:firstLine="0"/>
              <w:rPr>
                <w:rFonts w:eastAsia="Times New Roman" w:cs="Times New Roman"/>
                <w:sz w:val="18"/>
                <w:szCs w:val="20"/>
              </w:rPr>
            </w:pPr>
            <w:r w:rsidRPr="00FD1578">
              <w:rPr>
                <w:rFonts w:eastAsia="Times New Roman" w:cs="Times New Roman"/>
                <w:sz w:val="18"/>
                <w:szCs w:val="20"/>
              </w:rPr>
              <w:t xml:space="preserve">Bezdarba līmenis (gada vidējais, </w:t>
            </w:r>
            <w:r w:rsidRPr="00FD1578">
              <w:rPr>
                <w:rFonts w:eastAsia="Times New Roman" w:cs="Times New Roman"/>
                <w:sz w:val="18"/>
                <w:szCs w:val="20"/>
              </w:rPr>
              <w:br/>
              <w:t xml:space="preserve">% no ekon. aktīviem </w:t>
            </w:r>
            <w:proofErr w:type="spellStart"/>
            <w:r w:rsidRPr="00FD1578">
              <w:rPr>
                <w:rFonts w:eastAsia="Times New Roman" w:cs="Times New Roman"/>
                <w:sz w:val="18"/>
                <w:szCs w:val="20"/>
              </w:rPr>
              <w:t>iedzīv</w:t>
            </w:r>
            <w:proofErr w:type="spellEnd"/>
            <w:r w:rsidRPr="00FD1578">
              <w:rPr>
                <w:rFonts w:eastAsia="Times New Roman" w:cs="Times New Roman"/>
                <w:sz w:val="18"/>
                <w:szCs w:val="20"/>
              </w:rPr>
              <w:t>.)</w:t>
            </w:r>
          </w:p>
        </w:tc>
        <w:tc>
          <w:tcPr>
            <w:tcW w:w="8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70" w:type="dxa"/>
            </w:tcMar>
            <w:vAlign w:val="center"/>
            <w:hideMark/>
          </w:tcPr>
          <w:p w14:paraId="44FE7821"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6,5</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7153622D"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6,7</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26EA5089"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6,3</w:t>
            </w:r>
          </w:p>
        </w:tc>
        <w:tc>
          <w:tcPr>
            <w:tcW w:w="863"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062058BC"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6,0</w:t>
            </w:r>
          </w:p>
        </w:tc>
        <w:tc>
          <w:tcPr>
            <w:tcW w:w="864" w:type="dxa"/>
            <w:tcBorders>
              <w:top w:val="single" w:sz="4" w:space="0" w:color="auto"/>
              <w:left w:val="single" w:sz="4" w:space="0" w:color="auto"/>
              <w:bottom w:val="single" w:sz="4" w:space="0" w:color="auto"/>
              <w:right w:val="single" w:sz="4" w:space="0" w:color="auto"/>
            </w:tcBorders>
            <w:shd w:val="clear" w:color="auto" w:fill="F2F2F2"/>
            <w:noWrap/>
            <w:tcMar>
              <w:top w:w="0" w:type="dxa"/>
              <w:left w:w="108" w:type="dxa"/>
              <w:bottom w:w="0" w:type="dxa"/>
              <w:right w:w="170" w:type="dxa"/>
            </w:tcMar>
            <w:vAlign w:val="center"/>
            <w:hideMark/>
          </w:tcPr>
          <w:p w14:paraId="21F8EA48"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5,5</w:t>
            </w:r>
          </w:p>
        </w:tc>
        <w:tc>
          <w:tcPr>
            <w:tcW w:w="86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54098A8" w14:textId="77777777" w:rsidR="0070161D" w:rsidRPr="00FD1578" w:rsidRDefault="0070161D" w:rsidP="008349F0">
            <w:pPr>
              <w:spacing w:after="0"/>
              <w:ind w:firstLine="0"/>
              <w:jc w:val="center"/>
              <w:rPr>
                <w:rFonts w:eastAsia="Times New Roman" w:cs="Times New Roman"/>
                <w:sz w:val="18"/>
                <w:szCs w:val="20"/>
              </w:rPr>
            </w:pPr>
            <w:r w:rsidRPr="00FD1578">
              <w:rPr>
                <w:rFonts w:eastAsia="Times New Roman" w:cs="Times New Roman"/>
                <w:sz w:val="18"/>
                <w:szCs w:val="20"/>
              </w:rPr>
              <w:t>4,9</w:t>
            </w:r>
          </w:p>
        </w:tc>
      </w:tr>
    </w:tbl>
    <w:p w14:paraId="376F848D" w14:textId="4B5D6D59" w:rsidR="0070161D" w:rsidRPr="00FD1578" w:rsidRDefault="0070161D" w:rsidP="008349F0">
      <w:pPr>
        <w:spacing w:before="120"/>
        <w:rPr>
          <w:rFonts w:eastAsia="Times New Roman" w:cs="Times New Roman"/>
        </w:rPr>
      </w:pPr>
      <w:r w:rsidRPr="00FD1578">
        <w:rPr>
          <w:rFonts w:eastAsia="Times New Roman" w:cs="Times New Roman"/>
          <w:b/>
          <w:bCs/>
        </w:rPr>
        <w:t>Inflācija</w:t>
      </w:r>
      <w:r w:rsidRPr="00FD1578">
        <w:rPr>
          <w:rFonts w:eastAsia="Times New Roman" w:cs="Times New Roman"/>
        </w:rPr>
        <w:t xml:space="preserve"> 2024. gada pirmajos mēnešos mazinājusies nedaudz straujāk nekā prognozēts, jo energoresursu cenu samazinājums bijis straujāks nekā gaidīts gada sākumā. Tāpēc </w:t>
      </w:r>
      <w:r w:rsidRPr="00FD1578">
        <w:rPr>
          <w:rFonts w:eastAsia="Times New Roman" w:cs="Times New Roman"/>
        </w:rPr>
        <w:lastRenderedPageBreak/>
        <w:t xml:space="preserve">2024. gada kopējā patēriņa cenu pieauguma prognoze ir pazemināta līdz 1,2%, kas ir par 0,4 </w:t>
      </w:r>
      <w:proofErr w:type="spellStart"/>
      <w:r w:rsidRPr="00FD1578">
        <w:rPr>
          <w:rFonts w:eastAsia="Times New Roman" w:cs="Times New Roman"/>
        </w:rPr>
        <w:t>pp</w:t>
      </w:r>
      <w:proofErr w:type="spellEnd"/>
      <w:r w:rsidRPr="00FD1578">
        <w:rPr>
          <w:rFonts w:eastAsia="Times New Roman" w:cs="Times New Roman"/>
        </w:rPr>
        <w:t xml:space="preserve"> mazāk nekā FM paredzēja </w:t>
      </w:r>
      <w:r w:rsidR="00946035">
        <w:rPr>
          <w:rFonts w:eastAsia="Times New Roman" w:cs="Times New Roman"/>
        </w:rPr>
        <w:t xml:space="preserve">2024. gada </w:t>
      </w:r>
      <w:r w:rsidRPr="00FD1578">
        <w:rPr>
          <w:rFonts w:eastAsia="Times New Roman" w:cs="Times New Roman"/>
        </w:rPr>
        <w:t>februārī. 2025. gadā sagaidāms inflācijas pieaugums līdz 2,2%, bet vidējā termiņā, līdz 2028. gadam, prognozēta inflācijas stabilizēšanās ap 2,5% gadā, kas atbilst konverģējošas valsts cenu pieauguma līmenim.</w:t>
      </w:r>
    </w:p>
    <w:p w14:paraId="4C3CED90" w14:textId="6EBB86B5" w:rsidR="0070161D" w:rsidRPr="00FD1578" w:rsidRDefault="0070161D" w:rsidP="008349F0">
      <w:pPr>
        <w:rPr>
          <w:rFonts w:eastAsia="Times New Roman" w:cs="Times New Roman"/>
        </w:rPr>
      </w:pPr>
      <w:r w:rsidRPr="00FD1578">
        <w:rPr>
          <w:rFonts w:eastAsia="Times New Roman" w:cs="Times New Roman"/>
        </w:rPr>
        <w:t xml:space="preserve">2024. gada sākumā mēneša vidējā </w:t>
      </w:r>
      <w:r w:rsidRPr="00FD1578">
        <w:rPr>
          <w:rFonts w:eastAsia="Times New Roman" w:cs="Times New Roman"/>
          <w:b/>
          <w:bCs/>
        </w:rPr>
        <w:t>darba samaksa</w:t>
      </w:r>
      <w:r w:rsidRPr="00FD1578">
        <w:rPr>
          <w:rFonts w:eastAsia="Times New Roman" w:cs="Times New Roman"/>
        </w:rPr>
        <w:t xml:space="preserve"> turpināja strauji augt, pateicoties minimālās darba algas paaugstināšanai un valsts budžeta izdevumu palielināšanai darbinieku algām sabiedriskajā sektorā. Tādējādi tautsaimniecībā nodarbināto mēneša vidējā bruto darba samaksa</w:t>
      </w:r>
      <w:r w:rsidR="005735FB">
        <w:rPr>
          <w:rFonts w:eastAsia="Times New Roman" w:cs="Times New Roman"/>
        </w:rPr>
        <w:t xml:space="preserve"> </w:t>
      </w:r>
      <w:r w:rsidRPr="00FD1578">
        <w:rPr>
          <w:rFonts w:eastAsia="Times New Roman" w:cs="Times New Roman"/>
        </w:rPr>
        <w:t>2024. gadā pieaugs par 7,7%, bet 2025. gadā par 6,3%. Vidējā termiņā ir sagaidāms, ka algu pieauguma temps palēnināsies un tuvosies produktivitātes pieauguma tempam, stabilizējoties 5% līmenī.</w:t>
      </w:r>
    </w:p>
    <w:p w14:paraId="58728D12" w14:textId="637DC296" w:rsidR="0070161D" w:rsidRPr="00FD1578" w:rsidRDefault="0070161D" w:rsidP="008349F0">
      <w:pPr>
        <w:rPr>
          <w:rFonts w:eastAsia="Times New Roman" w:cs="Times New Roman"/>
        </w:rPr>
      </w:pPr>
      <w:r w:rsidRPr="00FD1578">
        <w:rPr>
          <w:rFonts w:eastAsia="Times New Roman" w:cs="Times New Roman"/>
        </w:rPr>
        <w:t xml:space="preserve">Ekonomikas krituma dēļ pagājušā gada beigās un </w:t>
      </w:r>
      <w:r w:rsidR="00946035">
        <w:rPr>
          <w:rFonts w:eastAsia="Times New Roman" w:cs="Times New Roman"/>
        </w:rPr>
        <w:t>2024.</w:t>
      </w:r>
      <w:r w:rsidR="00946035" w:rsidRPr="00FD1578">
        <w:rPr>
          <w:rFonts w:eastAsia="Times New Roman" w:cs="Times New Roman"/>
        </w:rPr>
        <w:t xml:space="preserve"> </w:t>
      </w:r>
      <w:r w:rsidRPr="00FD1578">
        <w:rPr>
          <w:rFonts w:eastAsia="Times New Roman" w:cs="Times New Roman"/>
        </w:rPr>
        <w:t xml:space="preserve">gada pirmajos mēnešos </w:t>
      </w:r>
      <w:r w:rsidRPr="00FD1578">
        <w:rPr>
          <w:rFonts w:eastAsia="Times New Roman" w:cs="Times New Roman"/>
          <w:b/>
          <w:bCs/>
        </w:rPr>
        <w:t>bezdarba līmenis</w:t>
      </w:r>
      <w:r w:rsidRPr="00FD1578">
        <w:rPr>
          <w:rFonts w:eastAsia="Times New Roman" w:cs="Times New Roman"/>
        </w:rPr>
        <w:t xml:space="preserve"> ir nedaudz palielinājies, un bezdarba prognoze ir koriģēta uz augšu – līdz 6,7% 2024. gadam un 6,3% 2025. gadam. Neskatoties uz šo korekciju, kopējā bezdarba līmeņa samazināšanās tendence saglabājas, ko veicina darbspējas vecuma iedzīvotāju skaita samazināšanās un straujāka ekonomiskās izaugsmes atjaunošanās. Līdz 2028. gadam bezdarba līmenis varētu noslīdēt līdz 5,0%. Tautsaimniecībā nodarbināto iedzīvotāju skaits saglabāsies stabils, ap 884 tūkst., ar nelielu samazinājuma tendenci.</w:t>
      </w:r>
    </w:p>
    <w:p w14:paraId="3D9ACAA0" w14:textId="77777777" w:rsidR="0070161D" w:rsidRPr="00FD1578" w:rsidRDefault="0070161D" w:rsidP="008349F0">
      <w:pPr>
        <w:rPr>
          <w:rFonts w:eastAsia="Times New Roman" w:cs="Times New Roman"/>
        </w:rPr>
      </w:pPr>
      <w:r w:rsidRPr="00FD1578">
        <w:rPr>
          <w:rFonts w:eastAsia="Times New Roman" w:cs="Times New Roman"/>
        </w:rPr>
        <w:t>Izstrādājot makroekonomisko rādītāju prognozes, FM pieņēma, ka ģeopolitiskā situācija būtiski nepasliktināsies. Tika izvērtēti gan ārējie, gan iekšējie riski. Prognozes joprojām ir izstrādātas ļoti augstas nenoteiktības apstākļos, un būtiskākie negatīvie riski ir saistīti ar ģeopolitisko situāciju, kur pieaugoša spriedze var ievērojami vājināt investoru un patērētāju pārliecību, atkārtoti izraisīt strauju energoresursu cenu kāpumu vai piegādes ķēžu traucējumus. Citu risku vidū ir Latvijas ārējo tirdzniecības partnervalstu izaugsmes vājināšanās, inflācijas un procentu likmju ilgstoša saglabāšanās augstākā līmenī nekā prognozēts, kā arī kavēšanās ar ES fondu investīciju projektu realizāciju.</w:t>
      </w:r>
    </w:p>
    <w:p w14:paraId="765C22DB" w14:textId="77777777" w:rsidR="0070161D" w:rsidRPr="00FD1578" w:rsidRDefault="0070161D" w:rsidP="008349F0">
      <w:pPr>
        <w:rPr>
          <w:rFonts w:eastAsia="Times New Roman" w:cs="Times New Roman"/>
        </w:rPr>
      </w:pPr>
      <w:r w:rsidRPr="00FD1578">
        <w:rPr>
          <w:rFonts w:eastAsia="Times New Roman" w:cs="Times New Roman"/>
        </w:rPr>
        <w:t>FM prognozes par ekonomikas attīstību ir nedaudz piesardzīgākas, taču ļoti tuvas EK 2024. gada 15. maijā publiskotajām prognozēm, kas paredz, ka Latvijas IKP 2024. gadā palielināsies par 1,7% un 2025. gadā – par 2,6%. EK 2024. gadam Latvijai prognozējusi nedaudz augstāku patēriņa cenu pieaugumu, paredzot gada vidējo inflāciju 1,6% apmērā, kamēr 2025. gadā prognozēta 2,0% inflācija.</w:t>
      </w:r>
    </w:p>
    <w:p w14:paraId="47B21761" w14:textId="77777777" w:rsidR="0070161D" w:rsidRPr="00FD1578" w:rsidRDefault="0070161D" w:rsidP="008349F0">
      <w:pPr>
        <w:spacing w:after="0"/>
        <w:rPr>
          <w:rFonts w:eastAsia="Times New Roman" w:cs="Times New Roman"/>
        </w:rPr>
      </w:pPr>
    </w:p>
    <w:p w14:paraId="1637CCC4" w14:textId="77777777" w:rsidR="0070161D" w:rsidRPr="00FD1578" w:rsidRDefault="0070161D" w:rsidP="008349F0">
      <w:pPr>
        <w:jc w:val="center"/>
        <w:rPr>
          <w:rFonts w:eastAsia="Times New Roman"/>
          <w:b/>
          <w:bCs/>
          <w:lang w:eastAsia="en-US"/>
        </w:rPr>
      </w:pPr>
      <w:r w:rsidRPr="00FD1578">
        <w:rPr>
          <w:rFonts w:eastAsia="Times New Roman"/>
          <w:b/>
          <w:bCs/>
          <w:lang w:eastAsia="en-US"/>
        </w:rPr>
        <w:t>Makroekonomiskās attīstības scenārija riski</w:t>
      </w:r>
    </w:p>
    <w:p w14:paraId="75B73D96" w14:textId="5A6ADBB5" w:rsidR="0070161D" w:rsidRPr="00FD1578" w:rsidRDefault="0070161D" w:rsidP="008349F0">
      <w:pPr>
        <w:rPr>
          <w:rFonts w:eastAsia="Calibri" w:cs="Times New Roman"/>
        </w:rPr>
      </w:pPr>
      <w:r w:rsidRPr="00FD1578">
        <w:rPr>
          <w:rFonts w:eastAsia="Calibri" w:cs="Times New Roman"/>
        </w:rPr>
        <w:t xml:space="preserve">Izstrādājot makroekonomisko rādītāju prognozes, </w:t>
      </w:r>
      <w:r w:rsidR="00946035">
        <w:rPr>
          <w:rFonts w:eastAsia="Calibri" w:cs="Times New Roman"/>
        </w:rPr>
        <w:t>FM</w:t>
      </w:r>
      <w:r w:rsidRPr="00FD1578">
        <w:rPr>
          <w:rFonts w:eastAsia="Calibri" w:cs="Times New Roman"/>
        </w:rPr>
        <w:t xml:space="preserve"> izmanto piesardzīgus pieņēmumus un izvērtē gan ārējos, gan iekšējos riskus, norādot, ka prognozes joprojām tiek veidotas augstas nenoteiktības apstākļos. Lielākie negatīvie riski, tāpat kā iepriekš, ir saistīti ar ģeopolitisko situāciju, kas palielinātu energoresursu cenu svārstības un negatīvi ietekmētu ekonomikas izaugsmi. Turklāt ECB varētu uzturēt augstas procentu likmes, kas varētu vēl vairāk kavēt privāto patēriņu un investīcijas.</w:t>
      </w:r>
    </w:p>
    <w:p w14:paraId="11C2A126" w14:textId="77777777" w:rsidR="0070161D" w:rsidRPr="00FD1578" w:rsidRDefault="0070161D" w:rsidP="008349F0">
      <w:pPr>
        <w:rPr>
          <w:rFonts w:eastAsia="Calibri" w:cs="Times New Roman"/>
        </w:rPr>
      </w:pPr>
      <w:r w:rsidRPr="00FD1578">
        <w:rPr>
          <w:rFonts w:eastAsia="Calibri" w:cs="Times New Roman"/>
        </w:rPr>
        <w:t xml:space="preserve">Jāatzīmē, ka 2024. gada 1. pusgada IKP izaugsme ir zemāka nekā tika prognozēts 2024. gada jūnijā. To lielā mērā ietekmēja tas, ka ārējos tirgos pieprasījums pēc Latvijas precēm un pakalpojumiem pagaidām atjaunojas lēnāk nekā gaidīts. </w:t>
      </w:r>
      <w:r w:rsidRPr="00FD1578">
        <w:rPr>
          <w:rFonts w:eastAsia="Times New Roman" w:cs="Times New Roman"/>
        </w:rPr>
        <w:t>Tomēr nākamajos ceturkšņos joprojām ir gaidāma spēcīgāka ārējā pieprasījuma atjaunošanās, par ko signalizē prognozētā straujāka ekonomikas izaugsme Eiropā, gan pēdējo mēnešu faktiskie dati, gan apsteidzošie indikatori – tajā skaitā EK veidotā ekonomikas sentimenta indeksa paaugstināšanās augustā gan ES kopumā, gan Latvijā un arī Lietuvā.</w:t>
      </w:r>
    </w:p>
    <w:p w14:paraId="72ACF9CE" w14:textId="030C4EE2" w:rsidR="0070161D" w:rsidRPr="00FD1578" w:rsidRDefault="0070161D" w:rsidP="008349F0">
      <w:pPr>
        <w:rPr>
          <w:rFonts w:eastAsia="Calibri" w:cs="Times New Roman"/>
        </w:rPr>
      </w:pPr>
      <w:r w:rsidRPr="00FD1578">
        <w:rPr>
          <w:rFonts w:eastAsia="Calibri" w:cs="Times New Roman"/>
        </w:rPr>
        <w:t xml:space="preserve">Savukārt pozitīvie riski var veicināt straujāku izaugsmi, piemēram, karadarbības izbeigšana Ukrainā, kas uzlabotu drošību un investīciju klimatu reģionā. Papildu stimulu var nodrošināt arī straujāka ES fondu līdzekļu izmantošana un nozīmīgu projektu, piemēram, </w:t>
      </w:r>
      <w:r w:rsidRPr="00FD1578">
        <w:rPr>
          <w:rFonts w:eastAsia="Calibri" w:cs="Times New Roman"/>
          <w:i/>
          <w:iCs/>
        </w:rPr>
        <w:t xml:space="preserve">Rail </w:t>
      </w:r>
      <w:proofErr w:type="spellStart"/>
      <w:r w:rsidRPr="00FD1578">
        <w:rPr>
          <w:rFonts w:eastAsia="Calibri" w:cs="Times New Roman"/>
          <w:i/>
          <w:iCs/>
        </w:rPr>
        <w:lastRenderedPageBreak/>
        <w:t>Baltica</w:t>
      </w:r>
      <w:proofErr w:type="spellEnd"/>
      <w:r w:rsidRPr="00FD1578">
        <w:rPr>
          <w:rFonts w:eastAsia="Calibri" w:cs="Times New Roman"/>
        </w:rPr>
        <w:t xml:space="preserve"> un AN</w:t>
      </w:r>
      <w:r w:rsidR="007F32BC">
        <w:rPr>
          <w:rFonts w:eastAsia="Calibri" w:cs="Times New Roman"/>
        </w:rPr>
        <w:t>M plāna</w:t>
      </w:r>
      <w:r w:rsidRPr="00FD1578">
        <w:rPr>
          <w:rFonts w:eastAsia="Calibri" w:cs="Times New Roman"/>
        </w:rPr>
        <w:t xml:space="preserve"> īstenošana, kā arī iespējami ātrāka globālo piegāžu ķēžu problēmu atrisināšana, kas varētu veicināt straujāku izaugsmi Latvijas tirdzniecības partneru ekonomikās.</w:t>
      </w:r>
    </w:p>
    <w:p w14:paraId="70F84D38" w14:textId="77777777" w:rsidR="0070161D" w:rsidRPr="00FD1578" w:rsidRDefault="0070161D" w:rsidP="008349F0">
      <w:pPr>
        <w:keepNext/>
        <w:keepLines/>
        <w:spacing w:before="240" w:after="240"/>
        <w:ind w:firstLine="0"/>
        <w:jc w:val="center"/>
        <w:outlineLvl w:val="1"/>
        <w:rPr>
          <w:rFonts w:eastAsia="Times New Roman" w:cs="Times New Roman"/>
          <w:b/>
          <w:bCs/>
          <w:color w:val="000000"/>
          <w:sz w:val="36"/>
          <w:szCs w:val="28"/>
        </w:rPr>
      </w:pPr>
      <w:bookmarkStart w:id="32" w:name="_Toc178763486"/>
      <w:bookmarkStart w:id="33" w:name="_Toc179356075"/>
      <w:r w:rsidRPr="00FD1578">
        <w:rPr>
          <w:rFonts w:eastAsia="Times New Roman" w:cs="Times New Roman"/>
          <w:b/>
          <w:bCs/>
          <w:color w:val="000000"/>
          <w:sz w:val="36"/>
          <w:szCs w:val="28"/>
        </w:rPr>
        <w:t>1.5. Jutīguma analīze</w:t>
      </w:r>
      <w:bookmarkEnd w:id="32"/>
      <w:bookmarkEnd w:id="33"/>
    </w:p>
    <w:p w14:paraId="18AD5660" w14:textId="2FEEFB84" w:rsidR="00E96BB6" w:rsidRPr="00E96BB6" w:rsidRDefault="00E96BB6" w:rsidP="008349F0">
      <w:pPr>
        <w:rPr>
          <w:rFonts w:eastAsia="Calibri" w:cs="Times New Roman"/>
        </w:rPr>
      </w:pPr>
      <w:r w:rsidRPr="00E96BB6">
        <w:rPr>
          <w:rFonts w:eastAsia="Calibri" w:cs="Times New Roman"/>
        </w:rPr>
        <w:t>Ņemot vērā iespējamos pozitīvos un negatīvos riskus ekonomikas izaugsmei, FM ir izstrādājusi divus alternatīvus ekonomikas attīstības scenārijus laika posmam no 2024. līdz 2028. gadam, kad realizētos viens vai vairāki no iepriekšminētajiem riskiem. Šajos scenārijos ir modelēta šo risku realizēšanās ietekme uz dažādiem makroekonomiskajiem rādītājiem un budžeta ieņēmumiem.</w:t>
      </w:r>
    </w:p>
    <w:p w14:paraId="0D6407AF" w14:textId="470EF1AC" w:rsidR="00E96BB6" w:rsidRPr="00E96BB6" w:rsidRDefault="00E96BB6" w:rsidP="00E96BB6">
      <w:pPr>
        <w:spacing w:before="240" w:after="240"/>
        <w:ind w:firstLine="0"/>
        <w:jc w:val="center"/>
        <w:outlineLvl w:val="2"/>
        <w:rPr>
          <w:rFonts w:eastAsia="Times New Roman" w:cs="Times New Roman"/>
          <w:b/>
          <w:sz w:val="32"/>
          <w:szCs w:val="20"/>
          <w:lang w:eastAsia="en-US"/>
        </w:rPr>
      </w:pPr>
      <w:bookmarkStart w:id="34" w:name="_Toc179356076"/>
      <w:r w:rsidRPr="00E96BB6">
        <w:rPr>
          <w:rFonts w:eastAsia="Times New Roman" w:cs="Times New Roman"/>
          <w:b/>
          <w:sz w:val="32"/>
          <w:szCs w:val="20"/>
          <w:lang w:eastAsia="en-US"/>
        </w:rPr>
        <w:t>1.5.1. Pesimistiskais scenārijs</w:t>
      </w:r>
      <w:bookmarkEnd w:id="34"/>
    </w:p>
    <w:p w14:paraId="728567D3" w14:textId="77777777" w:rsidR="00E96BB6" w:rsidRPr="00E96BB6" w:rsidRDefault="00E96BB6" w:rsidP="00E96BB6">
      <w:pPr>
        <w:rPr>
          <w:rFonts w:eastAsia="Calibri" w:cs="Times New Roman"/>
          <w:noProof/>
        </w:rPr>
      </w:pPr>
      <w:bookmarkStart w:id="35" w:name="_Hlk127201895"/>
      <w:bookmarkStart w:id="36" w:name="_Toc178763487"/>
      <w:r w:rsidRPr="00E96BB6">
        <w:rPr>
          <w:rFonts w:eastAsia="Calibri" w:cs="Times New Roman"/>
          <w:noProof/>
        </w:rPr>
        <w:t>Lielākais negatīvais risks ir ģeopolitiskā nenoteiktība, kas atbilstoši scenārijam būtu viens no iemesliem energoresursu cenu pieaugumam. Tas pasliktinātu investoru un patērētāju noskaņojumu, vēl vairāk bremzējot ekonomikas izaugsmi. Tā rezultātā ekonomiskās izaugsmes palēnināšanās būtu jūtama jau 2024. gada beigās un turpinātos visu 2025. gadu.</w:t>
      </w:r>
    </w:p>
    <w:p w14:paraId="02ED0FB4" w14:textId="7B256015" w:rsidR="00E96BB6" w:rsidRPr="00E96BB6" w:rsidRDefault="00E96BB6" w:rsidP="00E96BB6">
      <w:pPr>
        <w:rPr>
          <w:rFonts w:eastAsia="Calibri" w:cs="Times New Roman"/>
          <w:noProof/>
        </w:rPr>
      </w:pPr>
      <w:r w:rsidRPr="00E96BB6">
        <w:rPr>
          <w:rFonts w:eastAsia="Calibri" w:cs="Times New Roman"/>
          <w:noProof/>
        </w:rPr>
        <w:t xml:space="preserve">Pesimistiskā scenārija īstenošanās gadījumā ECB apstādinātu bāzes likmes tālāku samazinājumu, jo </w:t>
      </w:r>
      <w:r w:rsidRPr="00E96BB6">
        <w:rPr>
          <w:rFonts w:eastAsia="Calibri" w:cs="Times New Roman"/>
          <w:i/>
          <w:iCs/>
          <w:noProof/>
        </w:rPr>
        <w:t>euro</w:t>
      </w:r>
      <w:r w:rsidRPr="00E96BB6">
        <w:rPr>
          <w:rFonts w:eastAsia="Calibri" w:cs="Times New Roman"/>
          <w:noProof/>
        </w:rPr>
        <w:t xml:space="preserve"> zonas inflācija saglabātos virs mērķa līmeņa. Augstās ECB bāzes likmes turpinātu ierobežot kreditēšanu un pieprasījumu arī </w:t>
      </w:r>
      <w:r w:rsidRPr="00E96BB6">
        <w:rPr>
          <w:rFonts w:eastAsia="Calibri" w:cs="Times New Roman"/>
          <w:i/>
          <w:iCs/>
          <w:noProof/>
        </w:rPr>
        <w:t>euro</w:t>
      </w:r>
      <w:r w:rsidRPr="00E96BB6">
        <w:rPr>
          <w:rFonts w:eastAsia="Calibri" w:cs="Times New Roman"/>
          <w:noProof/>
        </w:rPr>
        <w:t xml:space="preserve"> zonā, kas Latvijai nozīmētu arī vājāku eksporta izaugsmi, pastiprinot tā samazinājumu. Vienlaikus privātās investīcijas var samazināties vēl straujāk, kas nozīmētu vājāku izaugsmi arī 2025. gadā.</w:t>
      </w:r>
      <w:r w:rsidRPr="00E96BB6">
        <w:rPr>
          <w:rFonts w:eastAsia="Times New Roman" w:cs="Times New Roman"/>
          <w:noProof/>
        </w:rPr>
        <w:t xml:space="preserve"> Tajā pašā laikā, ņemot vērā relatīvi saspringto darbaspēka tirgu, riska scenārijs neparedz būtiskas izmaiņas darba tirgū – nedz algu, nedz nodarbinātības ziņā.</w:t>
      </w:r>
    </w:p>
    <w:p w14:paraId="5B801E37" w14:textId="1F878742" w:rsidR="00E96BB6" w:rsidRPr="00E96BB6" w:rsidRDefault="00E96BB6" w:rsidP="00E96BB6">
      <w:pPr>
        <w:rPr>
          <w:rFonts w:eastAsia="Calibri" w:cs="Times New Roman"/>
          <w:noProof/>
        </w:rPr>
      </w:pPr>
      <w:r w:rsidRPr="00E96BB6">
        <w:rPr>
          <w:rFonts w:eastAsia="Calibri" w:cs="Times New Roman"/>
          <w:noProof/>
        </w:rPr>
        <w:t>Atbilstoši pesimistiskajam scenārijam 2024. gadā IKP izaugsme salīdzināmajās cenās varētu būt 0,4%, un 2025. gadā tā palielinātos līdz 1,8%, kas attiecīgi būtu par 0,9 un 1,1 pp mazāk nekā bāzes scenārijā. Noturīgāka izaugsme atsāktos tikai 2026. gadā.</w:t>
      </w:r>
    </w:p>
    <w:p w14:paraId="5D141C2B" w14:textId="77777777" w:rsidR="00E96BB6" w:rsidRPr="00E96BB6" w:rsidRDefault="00E96BB6" w:rsidP="00E96BB6">
      <w:pPr>
        <w:ind w:firstLine="0"/>
        <w:jc w:val="right"/>
        <w:rPr>
          <w:rFonts w:eastAsia="Calibri" w:cs="Times New Roman"/>
          <w:b/>
          <w:i/>
          <w:szCs w:val="24"/>
        </w:rPr>
      </w:pPr>
      <w:r w:rsidRPr="00E96BB6">
        <w:rPr>
          <w:rFonts w:eastAsia="Calibri" w:cs="Times New Roman"/>
          <w:b/>
          <w:i/>
          <w:szCs w:val="20"/>
          <w:lang w:eastAsia="en-US"/>
        </w:rPr>
        <w:t xml:space="preserve">1.7. tabula. </w:t>
      </w:r>
      <w:r w:rsidRPr="00E96BB6">
        <w:rPr>
          <w:rFonts w:eastAsia="Calibri" w:cs="Times New Roman"/>
          <w:b/>
          <w:i/>
          <w:szCs w:val="24"/>
        </w:rPr>
        <w:t>Pesimistiskais makroekonomisko rādītāju attīstības scenārijs</w:t>
      </w:r>
    </w:p>
    <w:tbl>
      <w:tblPr>
        <w:tblW w:w="5000" w:type="pct"/>
        <w:jc w:val="center"/>
        <w:tblLayout w:type="fixed"/>
        <w:tblCellMar>
          <w:left w:w="85" w:type="dxa"/>
          <w:right w:w="85" w:type="dxa"/>
        </w:tblCellMar>
        <w:tblLook w:val="04A0" w:firstRow="1" w:lastRow="0" w:firstColumn="1" w:lastColumn="0" w:noHBand="0" w:noVBand="1"/>
      </w:tblPr>
      <w:tblGrid>
        <w:gridCol w:w="3400"/>
        <w:gridCol w:w="889"/>
        <w:gridCol w:w="954"/>
        <w:gridCol w:w="955"/>
        <w:gridCol w:w="954"/>
        <w:gridCol w:w="955"/>
        <w:gridCol w:w="954"/>
      </w:tblGrid>
      <w:tr w:rsidR="00E96BB6" w:rsidRPr="00E96BB6" w14:paraId="6D1954C9" w14:textId="77777777" w:rsidTr="002C61B1">
        <w:trPr>
          <w:trHeight w:val="20"/>
          <w:jc w:val="center"/>
        </w:trPr>
        <w:tc>
          <w:tcPr>
            <w:tcW w:w="3114"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67897596" w14:textId="77777777" w:rsidR="00E96BB6" w:rsidRPr="00E96BB6" w:rsidRDefault="00E96BB6" w:rsidP="002C61B1">
            <w:pPr>
              <w:spacing w:after="0"/>
              <w:ind w:firstLine="0"/>
              <w:rPr>
                <w:rFonts w:cs="Times New Roman"/>
                <w:noProof/>
                <w:sz w:val="20"/>
                <w:szCs w:val="20"/>
              </w:rPr>
            </w:pPr>
          </w:p>
        </w:tc>
        <w:tc>
          <w:tcPr>
            <w:tcW w:w="815"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F70DEC6"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2023</w:t>
            </w:r>
          </w:p>
        </w:tc>
        <w:tc>
          <w:tcPr>
            <w:tcW w:w="873"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481F1F41"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2024</w:t>
            </w:r>
          </w:p>
        </w:tc>
        <w:tc>
          <w:tcPr>
            <w:tcW w:w="874"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6CFEEBD5"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2025</w:t>
            </w:r>
          </w:p>
        </w:tc>
        <w:tc>
          <w:tcPr>
            <w:tcW w:w="873"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0AAA47D0"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2026</w:t>
            </w:r>
          </w:p>
        </w:tc>
        <w:tc>
          <w:tcPr>
            <w:tcW w:w="874"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4191ACBC"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2027</w:t>
            </w:r>
          </w:p>
        </w:tc>
        <w:tc>
          <w:tcPr>
            <w:tcW w:w="873" w:type="dxa"/>
            <w:tcBorders>
              <w:top w:val="single" w:sz="4" w:space="0" w:color="auto"/>
              <w:left w:val="nil"/>
              <w:bottom w:val="single" w:sz="4" w:space="0" w:color="auto"/>
              <w:right w:val="single" w:sz="4" w:space="0" w:color="auto"/>
            </w:tcBorders>
            <w:shd w:val="clear" w:color="auto" w:fill="BDD6EE" w:themeFill="accent1" w:themeFillTint="66"/>
            <w:vAlign w:val="center"/>
          </w:tcPr>
          <w:p w14:paraId="0C9C8EA7"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2028</w:t>
            </w:r>
          </w:p>
        </w:tc>
      </w:tr>
      <w:tr w:rsidR="00E96BB6" w:rsidRPr="00E96BB6" w14:paraId="0B54A8A8" w14:textId="77777777" w:rsidTr="002C61B1">
        <w:trPr>
          <w:trHeight w:val="20"/>
          <w:jc w:val="center"/>
        </w:trPr>
        <w:tc>
          <w:tcPr>
            <w:tcW w:w="3114"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7FD6A517" w14:textId="77777777" w:rsidR="00E96BB6" w:rsidRPr="00E96BB6" w:rsidRDefault="00E96BB6" w:rsidP="002C61B1">
            <w:pPr>
              <w:spacing w:after="0"/>
              <w:ind w:firstLine="0"/>
              <w:rPr>
                <w:rFonts w:cs="Times New Roman"/>
                <w:noProof/>
                <w:sz w:val="20"/>
                <w:szCs w:val="20"/>
              </w:rPr>
            </w:pPr>
          </w:p>
        </w:tc>
        <w:tc>
          <w:tcPr>
            <w:tcW w:w="815"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68887025" w14:textId="77777777" w:rsidR="00E96BB6" w:rsidRPr="00E96BB6" w:rsidRDefault="00E96BB6" w:rsidP="002C61B1">
            <w:pPr>
              <w:spacing w:after="0"/>
              <w:ind w:firstLine="0"/>
              <w:jc w:val="center"/>
              <w:rPr>
                <w:rFonts w:cs="Times New Roman"/>
                <w:noProof/>
                <w:sz w:val="20"/>
                <w:szCs w:val="20"/>
              </w:rPr>
            </w:pPr>
            <w:r w:rsidRPr="00E96BB6">
              <w:rPr>
                <w:rFonts w:cs="Times New Roman"/>
                <w:noProof/>
                <w:sz w:val="20"/>
                <w:szCs w:val="20"/>
              </w:rPr>
              <w:t>Fakts</w:t>
            </w:r>
          </w:p>
        </w:tc>
        <w:tc>
          <w:tcPr>
            <w:tcW w:w="4367" w:type="dxa"/>
            <w:gridSpan w:val="5"/>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554320F8" w14:textId="77777777" w:rsidR="00E96BB6" w:rsidRPr="00E96BB6" w:rsidRDefault="00E96BB6" w:rsidP="002C61B1">
            <w:pPr>
              <w:spacing w:after="0"/>
              <w:ind w:firstLine="0"/>
              <w:jc w:val="center"/>
              <w:rPr>
                <w:rFonts w:cs="Times New Roman"/>
                <w:noProof/>
                <w:sz w:val="20"/>
                <w:szCs w:val="20"/>
              </w:rPr>
            </w:pPr>
            <w:r w:rsidRPr="00E96BB6">
              <w:rPr>
                <w:rFonts w:cs="Times New Roman"/>
                <w:noProof/>
                <w:sz w:val="20"/>
                <w:szCs w:val="20"/>
              </w:rPr>
              <w:t>Prognoze</w:t>
            </w:r>
          </w:p>
        </w:tc>
      </w:tr>
      <w:tr w:rsidR="00E96BB6" w:rsidRPr="00E96BB6" w14:paraId="54D45CD5"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49D6F159" w14:textId="77777777" w:rsidR="00E96BB6" w:rsidRPr="00E96BB6" w:rsidRDefault="00E96BB6" w:rsidP="002C61B1">
            <w:pPr>
              <w:spacing w:after="0"/>
              <w:ind w:firstLine="0"/>
              <w:jc w:val="left"/>
              <w:rPr>
                <w:rFonts w:cs="Times New Roman"/>
                <w:noProof/>
                <w:sz w:val="20"/>
                <w:szCs w:val="20"/>
              </w:rPr>
            </w:pPr>
            <w:r w:rsidRPr="00E96BB6">
              <w:rPr>
                <w:rFonts w:cs="Times New Roman"/>
                <w:noProof/>
                <w:sz w:val="20"/>
                <w:szCs w:val="20"/>
              </w:rPr>
              <w:t xml:space="preserve">Iekšzemes kopprodukts, milj. </w:t>
            </w:r>
            <w:r w:rsidRPr="00E96BB6">
              <w:rPr>
                <w:rFonts w:cs="Times New Roman"/>
                <w:i/>
                <w:noProof/>
                <w:sz w:val="20"/>
                <w:szCs w:val="20"/>
              </w:rPr>
              <w:t>euro</w:t>
            </w:r>
          </w:p>
        </w:tc>
        <w:tc>
          <w:tcPr>
            <w:tcW w:w="815"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55F5C5A3"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40 348</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50ABE40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41 509</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6D584E10"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43 500</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6FB7B45F"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45 910</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758F8463"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48 374</w:t>
            </w:r>
          </w:p>
        </w:tc>
        <w:tc>
          <w:tcPr>
            <w:tcW w:w="873" w:type="dxa"/>
            <w:tcBorders>
              <w:top w:val="nil"/>
              <w:left w:val="nil"/>
              <w:bottom w:val="single" w:sz="4" w:space="0" w:color="auto"/>
              <w:right w:val="single" w:sz="4" w:space="0" w:color="auto"/>
            </w:tcBorders>
            <w:shd w:val="clear" w:color="auto" w:fill="auto"/>
            <w:vAlign w:val="center"/>
          </w:tcPr>
          <w:p w14:paraId="1DD6CF1D"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50 826</w:t>
            </w:r>
          </w:p>
        </w:tc>
      </w:tr>
      <w:tr w:rsidR="00E96BB6" w:rsidRPr="00E96BB6" w14:paraId="4A8F73C1"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71FA344A" w14:textId="77777777" w:rsidR="00E96BB6" w:rsidRPr="00E96BB6" w:rsidRDefault="00E96BB6" w:rsidP="002C61B1">
            <w:pPr>
              <w:spacing w:after="0"/>
              <w:ind w:left="174" w:firstLine="0"/>
              <w:jc w:val="left"/>
              <w:rPr>
                <w:rFonts w:cs="Times New Roman"/>
                <w:noProof/>
                <w:sz w:val="20"/>
                <w:szCs w:val="20"/>
              </w:rPr>
            </w:pPr>
            <w:r w:rsidRPr="00E96BB6">
              <w:rPr>
                <w:rFonts w:cs="Times New Roman"/>
                <w:noProof/>
                <w:sz w:val="20"/>
                <w:szCs w:val="20"/>
              </w:rPr>
              <w:t>izmaiņas faktiskajās cenās, %</w:t>
            </w:r>
          </w:p>
        </w:tc>
        <w:tc>
          <w:tcPr>
            <w:tcW w:w="815" w:type="dxa"/>
            <w:tcBorders>
              <w:top w:val="nil"/>
              <w:left w:val="nil"/>
              <w:bottom w:val="single" w:sz="4" w:space="0" w:color="auto"/>
              <w:right w:val="single" w:sz="4" w:space="0" w:color="auto"/>
            </w:tcBorders>
            <w:shd w:val="clear" w:color="auto" w:fill="auto"/>
            <w:noWrap/>
            <w:tcMar>
              <w:right w:w="170" w:type="dxa"/>
            </w:tcMar>
            <w:vAlign w:val="center"/>
          </w:tcPr>
          <w:p w14:paraId="26B4DDB7"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5,1</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03AA7F70"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2,9</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3EE7A9E1"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4,8</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586CED6F"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5,5</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65DDAD37"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5,4</w:t>
            </w:r>
          </w:p>
        </w:tc>
        <w:tc>
          <w:tcPr>
            <w:tcW w:w="873" w:type="dxa"/>
            <w:tcBorders>
              <w:top w:val="nil"/>
              <w:left w:val="nil"/>
              <w:bottom w:val="single" w:sz="4" w:space="0" w:color="auto"/>
              <w:right w:val="single" w:sz="4" w:space="0" w:color="auto"/>
            </w:tcBorders>
            <w:shd w:val="clear" w:color="auto" w:fill="auto"/>
            <w:vAlign w:val="center"/>
          </w:tcPr>
          <w:p w14:paraId="044AF46C"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5,1</w:t>
            </w:r>
          </w:p>
        </w:tc>
      </w:tr>
      <w:tr w:rsidR="00E96BB6" w:rsidRPr="00E96BB6" w14:paraId="1A9C9D30"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7C588681" w14:textId="77777777" w:rsidR="00E96BB6" w:rsidRPr="00E96BB6" w:rsidRDefault="00E96BB6" w:rsidP="002C61B1">
            <w:pPr>
              <w:spacing w:after="0"/>
              <w:ind w:left="174" w:firstLine="0"/>
              <w:jc w:val="left"/>
              <w:rPr>
                <w:rFonts w:cs="Times New Roman"/>
                <w:noProof/>
                <w:sz w:val="20"/>
                <w:szCs w:val="20"/>
              </w:rPr>
            </w:pPr>
            <w:r w:rsidRPr="00E96BB6">
              <w:rPr>
                <w:rFonts w:cs="Times New Roman"/>
                <w:noProof/>
                <w:sz w:val="20"/>
                <w:szCs w:val="20"/>
              </w:rPr>
              <w:t>izmaiņas salīdzin. cenās, %</w:t>
            </w:r>
          </w:p>
        </w:tc>
        <w:tc>
          <w:tcPr>
            <w:tcW w:w="815" w:type="dxa"/>
            <w:tcBorders>
              <w:top w:val="nil"/>
              <w:left w:val="nil"/>
              <w:bottom w:val="single" w:sz="4" w:space="0" w:color="auto"/>
              <w:right w:val="single" w:sz="4" w:space="0" w:color="auto"/>
            </w:tcBorders>
            <w:shd w:val="clear" w:color="auto" w:fill="auto"/>
            <w:noWrap/>
            <w:tcMar>
              <w:right w:w="170" w:type="dxa"/>
            </w:tcMar>
            <w:vAlign w:val="center"/>
          </w:tcPr>
          <w:p w14:paraId="6B2D096F"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-0,3</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39CFC9D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0,4</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737FAB00"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1,8</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03D0140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2,8</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609D92F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2,6</w:t>
            </w:r>
          </w:p>
        </w:tc>
        <w:tc>
          <w:tcPr>
            <w:tcW w:w="873" w:type="dxa"/>
            <w:tcBorders>
              <w:top w:val="nil"/>
              <w:left w:val="nil"/>
              <w:bottom w:val="single" w:sz="4" w:space="0" w:color="auto"/>
              <w:right w:val="single" w:sz="4" w:space="0" w:color="auto"/>
            </w:tcBorders>
            <w:shd w:val="clear" w:color="auto" w:fill="auto"/>
            <w:vAlign w:val="center"/>
          </w:tcPr>
          <w:p w14:paraId="181C8EBD"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2,3</w:t>
            </w:r>
          </w:p>
        </w:tc>
      </w:tr>
      <w:tr w:rsidR="00E96BB6" w:rsidRPr="00E96BB6" w14:paraId="2888EF7A"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0546FA94" w14:textId="77777777" w:rsidR="00E96BB6" w:rsidRPr="00E96BB6" w:rsidRDefault="00E96BB6" w:rsidP="002C61B1">
            <w:pPr>
              <w:spacing w:after="0"/>
              <w:ind w:left="174" w:firstLine="0"/>
              <w:jc w:val="left"/>
              <w:rPr>
                <w:rFonts w:cs="Times New Roman"/>
                <w:noProof/>
                <w:sz w:val="20"/>
                <w:szCs w:val="20"/>
              </w:rPr>
            </w:pPr>
            <w:r w:rsidRPr="00E96BB6">
              <w:rPr>
                <w:rFonts w:cs="Times New Roman"/>
                <w:noProof/>
                <w:sz w:val="20"/>
                <w:szCs w:val="20"/>
              </w:rPr>
              <w:t>deflators (gads pret gadu), %</w:t>
            </w:r>
          </w:p>
        </w:tc>
        <w:tc>
          <w:tcPr>
            <w:tcW w:w="815" w:type="dxa"/>
            <w:tcBorders>
              <w:top w:val="nil"/>
              <w:left w:val="nil"/>
              <w:bottom w:val="single" w:sz="4" w:space="0" w:color="auto"/>
              <w:right w:val="single" w:sz="4" w:space="0" w:color="auto"/>
            </w:tcBorders>
            <w:shd w:val="clear" w:color="auto" w:fill="auto"/>
            <w:noWrap/>
            <w:tcMar>
              <w:right w:w="170" w:type="dxa"/>
            </w:tcMar>
            <w:vAlign w:val="center"/>
          </w:tcPr>
          <w:p w14:paraId="0F07C5D4"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5,4</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383D0320"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2,4</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17ADA371"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2,9</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7B63DE18"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2,7</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414C39D4"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2,7</w:t>
            </w:r>
          </w:p>
        </w:tc>
        <w:tc>
          <w:tcPr>
            <w:tcW w:w="873" w:type="dxa"/>
            <w:tcBorders>
              <w:top w:val="nil"/>
              <w:left w:val="nil"/>
              <w:bottom w:val="single" w:sz="4" w:space="0" w:color="auto"/>
              <w:right w:val="single" w:sz="4" w:space="0" w:color="auto"/>
            </w:tcBorders>
            <w:shd w:val="clear" w:color="auto" w:fill="auto"/>
            <w:vAlign w:val="center"/>
          </w:tcPr>
          <w:p w14:paraId="24533E47"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2,7</w:t>
            </w:r>
          </w:p>
        </w:tc>
      </w:tr>
      <w:tr w:rsidR="00E96BB6" w:rsidRPr="00E96BB6" w14:paraId="4EFB45B1"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2857F250" w14:textId="77777777" w:rsidR="00E96BB6" w:rsidRPr="00E96BB6" w:rsidRDefault="00E96BB6" w:rsidP="002C61B1">
            <w:pPr>
              <w:spacing w:after="0"/>
              <w:ind w:firstLine="0"/>
              <w:jc w:val="left"/>
              <w:rPr>
                <w:rFonts w:cs="Times New Roman"/>
                <w:noProof/>
                <w:sz w:val="20"/>
                <w:szCs w:val="20"/>
              </w:rPr>
            </w:pPr>
            <w:r w:rsidRPr="00E96BB6">
              <w:rPr>
                <w:rFonts w:cs="Times New Roman"/>
                <w:noProof/>
                <w:sz w:val="20"/>
                <w:szCs w:val="20"/>
              </w:rPr>
              <w:t>PCI (gads pret gadu), %</w:t>
            </w:r>
          </w:p>
        </w:tc>
        <w:tc>
          <w:tcPr>
            <w:tcW w:w="815" w:type="dxa"/>
            <w:tcBorders>
              <w:top w:val="nil"/>
              <w:left w:val="nil"/>
              <w:bottom w:val="single" w:sz="4" w:space="0" w:color="auto"/>
              <w:right w:val="single" w:sz="4" w:space="0" w:color="auto"/>
            </w:tcBorders>
            <w:shd w:val="clear" w:color="auto" w:fill="auto"/>
            <w:noWrap/>
            <w:tcMar>
              <w:right w:w="170" w:type="dxa"/>
            </w:tcMar>
            <w:vAlign w:val="center"/>
          </w:tcPr>
          <w:p w14:paraId="50F7BC7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8,9</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4B069738"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1,2</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56E425B2"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2,2</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0986FC27"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2,5</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1A841985"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2,5</w:t>
            </w:r>
          </w:p>
        </w:tc>
        <w:tc>
          <w:tcPr>
            <w:tcW w:w="873" w:type="dxa"/>
            <w:tcBorders>
              <w:top w:val="nil"/>
              <w:left w:val="nil"/>
              <w:bottom w:val="single" w:sz="4" w:space="0" w:color="auto"/>
              <w:right w:val="single" w:sz="4" w:space="0" w:color="auto"/>
            </w:tcBorders>
            <w:shd w:val="clear" w:color="auto" w:fill="auto"/>
            <w:vAlign w:val="center"/>
          </w:tcPr>
          <w:p w14:paraId="58D3C361"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2,5</w:t>
            </w:r>
          </w:p>
        </w:tc>
      </w:tr>
      <w:tr w:rsidR="00E96BB6" w:rsidRPr="00E96BB6" w14:paraId="76D6EE12"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18AD6EE5" w14:textId="77777777" w:rsidR="00E96BB6" w:rsidRPr="00E96BB6" w:rsidRDefault="00E96BB6" w:rsidP="002C61B1">
            <w:pPr>
              <w:spacing w:after="0"/>
              <w:ind w:firstLine="0"/>
              <w:jc w:val="left"/>
              <w:rPr>
                <w:rFonts w:cs="Times New Roman"/>
                <w:noProof/>
                <w:sz w:val="20"/>
                <w:szCs w:val="20"/>
              </w:rPr>
            </w:pPr>
            <w:r w:rsidRPr="00E96BB6">
              <w:rPr>
                <w:rFonts w:cs="Times New Roman"/>
                <w:noProof/>
                <w:sz w:val="20"/>
                <w:szCs w:val="20"/>
              </w:rPr>
              <w:t xml:space="preserve">Nodarbināto mēn. vid. bruto darba samaksa, </w:t>
            </w:r>
            <w:r w:rsidRPr="00E96BB6">
              <w:rPr>
                <w:rFonts w:cs="Times New Roman"/>
                <w:i/>
                <w:noProof/>
                <w:sz w:val="20"/>
                <w:szCs w:val="20"/>
              </w:rPr>
              <w:t>euro</w:t>
            </w:r>
          </w:p>
        </w:tc>
        <w:tc>
          <w:tcPr>
            <w:tcW w:w="815" w:type="dxa"/>
            <w:tcBorders>
              <w:top w:val="nil"/>
              <w:left w:val="nil"/>
              <w:bottom w:val="single" w:sz="4" w:space="0" w:color="auto"/>
              <w:right w:val="single" w:sz="4" w:space="0" w:color="auto"/>
            </w:tcBorders>
            <w:shd w:val="clear" w:color="auto" w:fill="auto"/>
            <w:noWrap/>
            <w:tcMar>
              <w:right w:w="170" w:type="dxa"/>
            </w:tcMar>
            <w:vAlign w:val="center"/>
          </w:tcPr>
          <w:p w14:paraId="508407A1"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1 537</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74258D6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1 645</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5FAF2B38"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1 743</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5E19EC2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1 848</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23860BE2"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1 940</w:t>
            </w:r>
          </w:p>
        </w:tc>
        <w:tc>
          <w:tcPr>
            <w:tcW w:w="873" w:type="dxa"/>
            <w:tcBorders>
              <w:top w:val="nil"/>
              <w:left w:val="nil"/>
              <w:bottom w:val="single" w:sz="4" w:space="0" w:color="auto"/>
              <w:right w:val="single" w:sz="4" w:space="0" w:color="auto"/>
            </w:tcBorders>
            <w:shd w:val="clear" w:color="auto" w:fill="auto"/>
            <w:vAlign w:val="center"/>
          </w:tcPr>
          <w:p w14:paraId="6882A3E8"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2 037</w:t>
            </w:r>
          </w:p>
        </w:tc>
      </w:tr>
      <w:tr w:rsidR="00E96BB6" w:rsidRPr="00E96BB6" w14:paraId="73AB9FC0"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2E780CDF" w14:textId="77777777" w:rsidR="00E96BB6" w:rsidRPr="00E96BB6" w:rsidRDefault="00E96BB6" w:rsidP="002C61B1">
            <w:pPr>
              <w:spacing w:after="0"/>
              <w:ind w:left="174" w:firstLine="0"/>
              <w:jc w:val="left"/>
              <w:rPr>
                <w:rFonts w:cs="Times New Roman"/>
                <w:noProof/>
                <w:sz w:val="20"/>
                <w:szCs w:val="20"/>
              </w:rPr>
            </w:pPr>
            <w:r w:rsidRPr="00E96BB6">
              <w:rPr>
                <w:rFonts w:cs="Times New Roman"/>
                <w:noProof/>
                <w:sz w:val="20"/>
                <w:szCs w:val="20"/>
              </w:rPr>
              <w:t>izmaiņas faktiskajās cenās, %</w:t>
            </w:r>
          </w:p>
        </w:tc>
        <w:tc>
          <w:tcPr>
            <w:tcW w:w="815" w:type="dxa"/>
            <w:tcBorders>
              <w:top w:val="nil"/>
              <w:left w:val="nil"/>
              <w:bottom w:val="single" w:sz="4" w:space="0" w:color="auto"/>
              <w:right w:val="single" w:sz="4" w:space="0" w:color="auto"/>
            </w:tcBorders>
            <w:shd w:val="clear" w:color="auto" w:fill="auto"/>
            <w:noWrap/>
            <w:tcMar>
              <w:right w:w="170" w:type="dxa"/>
            </w:tcMar>
            <w:vAlign w:val="center"/>
          </w:tcPr>
          <w:p w14:paraId="4E9282E1"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11,9</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65B3D098"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7,0</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3E5655C6"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6,0</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11255EC1"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6,0</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61B0D313"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5,0</w:t>
            </w:r>
          </w:p>
        </w:tc>
        <w:tc>
          <w:tcPr>
            <w:tcW w:w="873" w:type="dxa"/>
            <w:tcBorders>
              <w:top w:val="nil"/>
              <w:left w:val="nil"/>
              <w:bottom w:val="single" w:sz="4" w:space="0" w:color="auto"/>
              <w:right w:val="single" w:sz="4" w:space="0" w:color="auto"/>
            </w:tcBorders>
            <w:shd w:val="clear" w:color="auto" w:fill="auto"/>
            <w:vAlign w:val="center"/>
          </w:tcPr>
          <w:p w14:paraId="579E6C3F"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5,0</w:t>
            </w:r>
          </w:p>
        </w:tc>
      </w:tr>
      <w:tr w:rsidR="00E96BB6" w:rsidRPr="00E96BB6" w14:paraId="0C753FE1"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1A1C740D" w14:textId="77777777" w:rsidR="00E96BB6" w:rsidRPr="00E96BB6" w:rsidRDefault="00E96BB6" w:rsidP="002C61B1">
            <w:pPr>
              <w:spacing w:after="0"/>
              <w:ind w:left="174" w:firstLine="0"/>
              <w:jc w:val="left"/>
              <w:rPr>
                <w:rFonts w:cs="Times New Roman"/>
                <w:noProof/>
                <w:sz w:val="20"/>
                <w:szCs w:val="20"/>
              </w:rPr>
            </w:pPr>
            <w:r w:rsidRPr="00E96BB6">
              <w:rPr>
                <w:rFonts w:cs="Times New Roman"/>
                <w:noProof/>
                <w:sz w:val="20"/>
                <w:szCs w:val="20"/>
              </w:rPr>
              <w:t>izmaiņas salīdzin. cenās, %</w:t>
            </w:r>
          </w:p>
        </w:tc>
        <w:tc>
          <w:tcPr>
            <w:tcW w:w="815" w:type="dxa"/>
            <w:tcBorders>
              <w:top w:val="nil"/>
              <w:left w:val="nil"/>
              <w:bottom w:val="single" w:sz="4" w:space="0" w:color="auto"/>
              <w:right w:val="single" w:sz="4" w:space="0" w:color="auto"/>
            </w:tcBorders>
            <w:shd w:val="clear" w:color="auto" w:fill="auto"/>
            <w:noWrap/>
            <w:tcMar>
              <w:right w:w="170" w:type="dxa"/>
            </w:tcMar>
            <w:vAlign w:val="center"/>
          </w:tcPr>
          <w:p w14:paraId="509CCE65"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2,8</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2AA6D0F5"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5,7</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5CAB1FC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3,7</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2BEF91F4"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3,4</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20BF0400"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2,4</w:t>
            </w:r>
          </w:p>
        </w:tc>
        <w:tc>
          <w:tcPr>
            <w:tcW w:w="873" w:type="dxa"/>
            <w:tcBorders>
              <w:top w:val="nil"/>
              <w:left w:val="nil"/>
              <w:bottom w:val="single" w:sz="4" w:space="0" w:color="auto"/>
              <w:right w:val="single" w:sz="4" w:space="0" w:color="auto"/>
            </w:tcBorders>
            <w:shd w:val="clear" w:color="auto" w:fill="auto"/>
            <w:vAlign w:val="center"/>
          </w:tcPr>
          <w:p w14:paraId="5B093CF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2,4</w:t>
            </w:r>
          </w:p>
        </w:tc>
      </w:tr>
      <w:tr w:rsidR="00E96BB6" w:rsidRPr="00E96BB6" w14:paraId="3C2F47B1"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09205449" w14:textId="77777777" w:rsidR="00E96BB6" w:rsidRPr="00E96BB6" w:rsidRDefault="00E96BB6" w:rsidP="002C61B1">
            <w:pPr>
              <w:spacing w:after="0"/>
              <w:ind w:firstLine="0"/>
              <w:jc w:val="left"/>
              <w:rPr>
                <w:rFonts w:cs="Times New Roman"/>
                <w:noProof/>
                <w:sz w:val="20"/>
                <w:szCs w:val="20"/>
              </w:rPr>
            </w:pPr>
            <w:r w:rsidRPr="00E96BB6">
              <w:rPr>
                <w:rFonts w:cs="Times New Roman"/>
                <w:noProof/>
                <w:sz w:val="20"/>
                <w:szCs w:val="20"/>
              </w:rPr>
              <w:t>Nodarbinātība, tūkst. iedzīvotāju (atbilstoši darbaspēka apsekoj.)</w:t>
            </w:r>
          </w:p>
        </w:tc>
        <w:tc>
          <w:tcPr>
            <w:tcW w:w="815" w:type="dxa"/>
            <w:tcBorders>
              <w:top w:val="nil"/>
              <w:left w:val="nil"/>
              <w:bottom w:val="single" w:sz="4" w:space="0" w:color="auto"/>
              <w:right w:val="single" w:sz="4" w:space="0" w:color="auto"/>
            </w:tcBorders>
            <w:shd w:val="clear" w:color="auto" w:fill="auto"/>
            <w:noWrap/>
            <w:tcMar>
              <w:right w:w="170" w:type="dxa"/>
            </w:tcMar>
            <w:vAlign w:val="center"/>
          </w:tcPr>
          <w:p w14:paraId="384E3B2D"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884</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2C411234"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883</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57641B19"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882</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36706F7D"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882</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1271ED59"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882</w:t>
            </w:r>
          </w:p>
        </w:tc>
        <w:tc>
          <w:tcPr>
            <w:tcW w:w="873" w:type="dxa"/>
            <w:tcBorders>
              <w:top w:val="nil"/>
              <w:left w:val="nil"/>
              <w:bottom w:val="single" w:sz="4" w:space="0" w:color="auto"/>
              <w:right w:val="single" w:sz="4" w:space="0" w:color="auto"/>
            </w:tcBorders>
            <w:shd w:val="clear" w:color="auto" w:fill="auto"/>
            <w:vAlign w:val="center"/>
          </w:tcPr>
          <w:p w14:paraId="37AB2821"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878</w:t>
            </w:r>
          </w:p>
        </w:tc>
      </w:tr>
      <w:tr w:rsidR="00E96BB6" w:rsidRPr="00E96BB6" w14:paraId="6EC75BFB" w14:textId="77777777" w:rsidTr="002C61B1">
        <w:trPr>
          <w:trHeight w:val="2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7CDE12A3" w14:textId="77777777" w:rsidR="00E96BB6" w:rsidRPr="00E96BB6" w:rsidRDefault="00E96BB6" w:rsidP="002C61B1">
            <w:pPr>
              <w:spacing w:after="0"/>
              <w:ind w:left="174" w:firstLine="0"/>
              <w:jc w:val="left"/>
              <w:rPr>
                <w:rFonts w:cs="Times New Roman"/>
                <w:noProof/>
                <w:sz w:val="20"/>
                <w:szCs w:val="20"/>
              </w:rPr>
            </w:pPr>
            <w:r w:rsidRPr="00E96BB6">
              <w:rPr>
                <w:rFonts w:cs="Times New Roman"/>
                <w:noProof/>
                <w:sz w:val="20"/>
                <w:szCs w:val="20"/>
              </w:rPr>
              <w:t>izmaiņas, %</w:t>
            </w:r>
          </w:p>
        </w:tc>
        <w:tc>
          <w:tcPr>
            <w:tcW w:w="815" w:type="dxa"/>
            <w:tcBorders>
              <w:top w:val="nil"/>
              <w:left w:val="nil"/>
              <w:bottom w:val="single" w:sz="4" w:space="0" w:color="auto"/>
              <w:right w:val="single" w:sz="4" w:space="0" w:color="auto"/>
            </w:tcBorders>
            <w:shd w:val="clear" w:color="auto" w:fill="auto"/>
            <w:noWrap/>
            <w:tcMar>
              <w:right w:w="170" w:type="dxa"/>
            </w:tcMar>
            <w:vAlign w:val="center"/>
          </w:tcPr>
          <w:p w14:paraId="6E7DE009"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-0,2</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6E08BDF7"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-0,1</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606CA0F1"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-0,1</w:t>
            </w:r>
          </w:p>
        </w:tc>
        <w:tc>
          <w:tcPr>
            <w:tcW w:w="873" w:type="dxa"/>
            <w:tcBorders>
              <w:top w:val="nil"/>
              <w:left w:val="nil"/>
              <w:bottom w:val="single" w:sz="4" w:space="0" w:color="auto"/>
              <w:right w:val="single" w:sz="4" w:space="0" w:color="auto"/>
            </w:tcBorders>
            <w:shd w:val="clear" w:color="auto" w:fill="auto"/>
            <w:noWrap/>
            <w:tcMar>
              <w:right w:w="170" w:type="dxa"/>
            </w:tcMar>
            <w:vAlign w:val="center"/>
          </w:tcPr>
          <w:p w14:paraId="42673343"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0,0</w:t>
            </w:r>
          </w:p>
        </w:tc>
        <w:tc>
          <w:tcPr>
            <w:tcW w:w="874" w:type="dxa"/>
            <w:tcBorders>
              <w:top w:val="nil"/>
              <w:left w:val="nil"/>
              <w:bottom w:val="single" w:sz="4" w:space="0" w:color="auto"/>
              <w:right w:val="single" w:sz="4" w:space="0" w:color="auto"/>
            </w:tcBorders>
            <w:shd w:val="clear" w:color="auto" w:fill="auto"/>
            <w:noWrap/>
            <w:tcMar>
              <w:right w:w="170" w:type="dxa"/>
            </w:tcMar>
            <w:vAlign w:val="center"/>
          </w:tcPr>
          <w:p w14:paraId="0C2678E5"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-0,1</w:t>
            </w:r>
          </w:p>
        </w:tc>
        <w:tc>
          <w:tcPr>
            <w:tcW w:w="873" w:type="dxa"/>
            <w:tcBorders>
              <w:top w:val="nil"/>
              <w:left w:val="nil"/>
              <w:bottom w:val="single" w:sz="4" w:space="0" w:color="auto"/>
              <w:right w:val="single" w:sz="4" w:space="0" w:color="auto"/>
            </w:tcBorders>
            <w:shd w:val="clear" w:color="auto" w:fill="auto"/>
            <w:vAlign w:val="center"/>
          </w:tcPr>
          <w:p w14:paraId="3AF89DB7"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-0,4</w:t>
            </w:r>
          </w:p>
        </w:tc>
      </w:tr>
      <w:tr w:rsidR="00E96BB6" w:rsidRPr="00E96BB6" w14:paraId="1EA18DE4" w14:textId="77777777" w:rsidTr="002C61B1">
        <w:trPr>
          <w:trHeight w:val="20"/>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989A" w14:textId="77777777" w:rsidR="00E96BB6" w:rsidRPr="00E96BB6" w:rsidRDefault="00E96BB6" w:rsidP="002C61B1">
            <w:pPr>
              <w:spacing w:after="0"/>
              <w:ind w:firstLine="0"/>
              <w:jc w:val="left"/>
              <w:rPr>
                <w:rFonts w:cs="Times New Roman"/>
                <w:noProof/>
                <w:sz w:val="20"/>
                <w:szCs w:val="20"/>
              </w:rPr>
            </w:pPr>
            <w:r w:rsidRPr="00E96BB6">
              <w:rPr>
                <w:rFonts w:cs="Times New Roman"/>
                <w:noProof/>
                <w:sz w:val="20"/>
                <w:szCs w:val="20"/>
              </w:rPr>
              <w:t>Bezdarba līmenis (gada vidējais),</w:t>
            </w:r>
            <w:r w:rsidRPr="00E96BB6">
              <w:rPr>
                <w:rFonts w:cs="Times New Roman"/>
                <w:noProof/>
                <w:sz w:val="20"/>
                <w:szCs w:val="20"/>
              </w:rPr>
              <w:br/>
              <w:t>% no ekon. aktīviem iedzīv.</w:t>
            </w:r>
          </w:p>
        </w:tc>
        <w:tc>
          <w:tcPr>
            <w:tcW w:w="815"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0A8B45D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6,5</w:t>
            </w:r>
          </w:p>
        </w:tc>
        <w:tc>
          <w:tcPr>
            <w:tcW w:w="873"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1C03AA6B"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6,8</w:t>
            </w:r>
          </w:p>
        </w:tc>
        <w:tc>
          <w:tcPr>
            <w:tcW w:w="874"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53AD85C4"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6,5</w:t>
            </w:r>
          </w:p>
        </w:tc>
        <w:tc>
          <w:tcPr>
            <w:tcW w:w="873"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42F18133"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6,1</w:t>
            </w:r>
          </w:p>
        </w:tc>
        <w:tc>
          <w:tcPr>
            <w:tcW w:w="874"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45F668EE"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5,5</w:t>
            </w:r>
          </w:p>
        </w:tc>
        <w:tc>
          <w:tcPr>
            <w:tcW w:w="873" w:type="dxa"/>
            <w:tcBorders>
              <w:top w:val="single" w:sz="4" w:space="0" w:color="auto"/>
              <w:left w:val="nil"/>
              <w:bottom w:val="single" w:sz="4" w:space="0" w:color="auto"/>
              <w:right w:val="single" w:sz="4" w:space="0" w:color="auto"/>
            </w:tcBorders>
            <w:shd w:val="clear" w:color="auto" w:fill="auto"/>
            <w:vAlign w:val="center"/>
          </w:tcPr>
          <w:p w14:paraId="19243F6A" w14:textId="77777777" w:rsidR="00E96BB6" w:rsidRPr="00E96BB6" w:rsidRDefault="00E96BB6" w:rsidP="002C61B1">
            <w:pPr>
              <w:spacing w:after="0"/>
              <w:ind w:firstLine="0"/>
              <w:jc w:val="right"/>
              <w:rPr>
                <w:rFonts w:cs="Times New Roman"/>
                <w:noProof/>
                <w:sz w:val="20"/>
                <w:szCs w:val="20"/>
              </w:rPr>
            </w:pPr>
            <w:r w:rsidRPr="00E96BB6">
              <w:rPr>
                <w:rFonts w:cs="Times New Roman"/>
                <w:noProof/>
                <w:sz w:val="20"/>
                <w:szCs w:val="20"/>
              </w:rPr>
              <w:t>4,9</w:t>
            </w:r>
          </w:p>
        </w:tc>
      </w:tr>
    </w:tbl>
    <w:p w14:paraId="36CD2923" w14:textId="77777777" w:rsidR="00E96BB6" w:rsidRPr="00E96BB6" w:rsidRDefault="00E96BB6" w:rsidP="00E96BB6">
      <w:pPr>
        <w:ind w:firstLine="0"/>
        <w:jc w:val="right"/>
        <w:rPr>
          <w:rFonts w:eastAsia="Calibri" w:cs="Times New Roman"/>
          <w:b/>
          <w:i/>
          <w:szCs w:val="24"/>
          <w:lang w:eastAsia="en-US"/>
        </w:rPr>
      </w:pPr>
    </w:p>
    <w:bookmarkEnd w:id="35"/>
    <w:p w14:paraId="77AFFE3A" w14:textId="77777777" w:rsidR="00E96BB6" w:rsidRPr="00E96BB6" w:rsidRDefault="00E96BB6" w:rsidP="00E96BB6">
      <w:pPr>
        <w:spacing w:after="0"/>
        <w:ind w:firstLine="0"/>
        <w:jc w:val="left"/>
        <w:rPr>
          <w:rFonts w:eastAsia="Times New Roman" w:cs="Times New Roman"/>
          <w:b/>
          <w:color w:val="000000"/>
          <w:sz w:val="28"/>
          <w:szCs w:val="32"/>
        </w:rPr>
      </w:pPr>
      <w:r w:rsidRPr="00E96BB6">
        <w:rPr>
          <w:rFonts w:eastAsia="Times New Roman" w:cs="Times New Roman"/>
          <w:b/>
          <w:color w:val="000000"/>
          <w:sz w:val="28"/>
          <w:szCs w:val="32"/>
        </w:rPr>
        <w:br w:type="page"/>
      </w:r>
    </w:p>
    <w:p w14:paraId="35B8E118" w14:textId="77777777" w:rsidR="00E96BB6" w:rsidRPr="00E96BB6" w:rsidRDefault="00E96BB6" w:rsidP="00E96BB6">
      <w:pPr>
        <w:autoSpaceDE w:val="0"/>
        <w:autoSpaceDN w:val="0"/>
        <w:adjustRightInd w:val="0"/>
        <w:spacing w:before="240" w:after="240"/>
        <w:ind w:firstLine="0"/>
        <w:jc w:val="center"/>
        <w:rPr>
          <w:rFonts w:eastAsia="Times New Roman" w:cs="Times New Roman"/>
          <w:b/>
          <w:color w:val="000000"/>
          <w:sz w:val="28"/>
          <w:szCs w:val="32"/>
        </w:rPr>
      </w:pPr>
      <w:r w:rsidRPr="00E96BB6">
        <w:rPr>
          <w:rFonts w:eastAsia="Times New Roman" w:cs="Times New Roman"/>
          <w:b/>
          <w:color w:val="000000"/>
          <w:sz w:val="28"/>
          <w:szCs w:val="32"/>
        </w:rPr>
        <w:lastRenderedPageBreak/>
        <w:t>Ietekme uz vispārējās valdības budžetu un parādu</w:t>
      </w:r>
    </w:p>
    <w:p w14:paraId="10A03076" w14:textId="3F7E5D44" w:rsidR="00E96BB6" w:rsidRPr="00E96BB6" w:rsidRDefault="00E96BB6" w:rsidP="00E96BB6">
      <w:pPr>
        <w:rPr>
          <w:noProof/>
          <w:szCs w:val="24"/>
        </w:rPr>
      </w:pPr>
      <w:r w:rsidRPr="00E96BB6">
        <w:rPr>
          <w:noProof/>
          <w:color w:val="000000" w:themeColor="text1"/>
        </w:rPr>
        <w:t xml:space="preserve">Ņemot vērā makroekonomiskās attīstības pesimistisko scenāriju, FM ir novērtējusi šī scenārija ietekmi uz vispārējās valdības budžeta bilanci, novērtējot izmaiņas nodokļu un nenodokļu ieņēmumos, kā arī valsts speciālā budžeta izdevumos un valsts parāda apkalpošanas (procentu) izdevumos salīdzinājumā ar bāzes scenāriju. </w:t>
      </w:r>
      <w:r w:rsidRPr="00E96BB6">
        <w:rPr>
          <w:noProof/>
          <w:szCs w:val="24"/>
        </w:rPr>
        <w:t>Rezultātā kopbudžeta nodokļu ieņēmumi, salīdzinot ar bāzes scenāriju 2024.-2028. gadam, pēc naudas plūsmas tiek prognozēti ar samazinājumu 101,5 milj. </w:t>
      </w:r>
      <w:r w:rsidRPr="00E96BB6">
        <w:rPr>
          <w:i/>
          <w:iCs/>
          <w:noProof/>
          <w:szCs w:val="24"/>
        </w:rPr>
        <w:t>euro</w:t>
      </w:r>
      <w:r w:rsidRPr="00E96BB6">
        <w:rPr>
          <w:noProof/>
          <w:szCs w:val="24"/>
        </w:rPr>
        <w:t xml:space="preserve"> 2024. gadā, 211,5 milj. </w:t>
      </w:r>
      <w:r w:rsidRPr="00E96BB6">
        <w:rPr>
          <w:i/>
          <w:iCs/>
          <w:noProof/>
          <w:szCs w:val="24"/>
        </w:rPr>
        <w:t>euro</w:t>
      </w:r>
      <w:r w:rsidRPr="00E96BB6">
        <w:rPr>
          <w:noProof/>
          <w:szCs w:val="24"/>
        </w:rPr>
        <w:t xml:space="preserve"> 2025. gadā, 210,6 milj. </w:t>
      </w:r>
      <w:r w:rsidRPr="00E96BB6">
        <w:rPr>
          <w:i/>
          <w:iCs/>
          <w:noProof/>
          <w:szCs w:val="24"/>
        </w:rPr>
        <w:t>euro</w:t>
      </w:r>
      <w:r w:rsidRPr="00E96BB6">
        <w:rPr>
          <w:noProof/>
          <w:szCs w:val="24"/>
        </w:rPr>
        <w:t xml:space="preserve"> 2026. gadā, 210,2 milj. </w:t>
      </w:r>
      <w:r w:rsidRPr="00E96BB6">
        <w:rPr>
          <w:i/>
          <w:iCs/>
          <w:noProof/>
          <w:szCs w:val="24"/>
        </w:rPr>
        <w:t>euro</w:t>
      </w:r>
      <w:r w:rsidRPr="00E96BB6">
        <w:rPr>
          <w:noProof/>
          <w:szCs w:val="24"/>
        </w:rPr>
        <w:t xml:space="preserve"> 2027. gadā un 226,5 milj. </w:t>
      </w:r>
      <w:r w:rsidRPr="00E96BB6">
        <w:rPr>
          <w:i/>
          <w:iCs/>
          <w:noProof/>
          <w:szCs w:val="24"/>
        </w:rPr>
        <w:t>euro</w:t>
      </w:r>
      <w:r w:rsidRPr="00E96BB6">
        <w:rPr>
          <w:noProof/>
          <w:szCs w:val="24"/>
        </w:rPr>
        <w:t xml:space="preserve"> 2028. gadā, vadoties pēc pesimistiskā scenārijā iezīmētājām tautsaimniecības attīstības tendencēm. </w:t>
      </w:r>
    </w:p>
    <w:p w14:paraId="6C6FD111" w14:textId="77777777" w:rsidR="00E96BB6" w:rsidRPr="00E96BB6" w:rsidRDefault="00E96BB6" w:rsidP="00E96BB6">
      <w:pPr>
        <w:autoSpaceDE w:val="0"/>
        <w:autoSpaceDN w:val="0"/>
        <w:adjustRightInd w:val="0"/>
        <w:spacing w:before="120"/>
        <w:rPr>
          <w:rFonts w:eastAsia="Times New Roman" w:cs="Times New Roman"/>
          <w:noProof/>
          <w:szCs w:val="24"/>
        </w:rPr>
      </w:pPr>
      <w:r w:rsidRPr="00E96BB6">
        <w:rPr>
          <w:rFonts w:eastAsia="Times New Roman" w:cs="Times New Roman"/>
          <w:noProof/>
          <w:szCs w:val="24"/>
        </w:rPr>
        <w:t>Īstenojoties pesimistiskajam scenārijam, 2024. -2028. gadā vispārējās valdības budžeta deficīts tiek prognozēts attiecīgi 2,8% no IKP 2024. gadā, 3,4% no IKP 2025. gadā, 3,1% no IKP 2026. gadā, 2,9% no IKP 2027. gadā un 2,6% no IKP 2028. gadā. Pie šī scenārija bilances pasliktināšanos galvenokārt nosaka zemāki kopbudžeta nodokļu ieņēmumi un augstāki izdevumi procentu izdevumiem, kamēr speciālā budžeta pabalstu izdevumi prognozēti zemākā apmērā kā bāzes scenārijā.</w:t>
      </w:r>
    </w:p>
    <w:p w14:paraId="18B46DD8" w14:textId="77777777" w:rsidR="00E96BB6" w:rsidRPr="00E96BB6" w:rsidRDefault="00E96BB6" w:rsidP="00E96BB6">
      <w:pPr>
        <w:spacing w:before="240"/>
        <w:ind w:firstLine="0"/>
        <w:jc w:val="right"/>
        <w:rPr>
          <w:rFonts w:eastAsia="Calibri" w:cs="Times New Roman"/>
          <w:b/>
          <w:i/>
          <w:noProof/>
          <w:szCs w:val="24"/>
          <w:lang w:eastAsia="en-US"/>
        </w:rPr>
      </w:pPr>
      <w:r w:rsidRPr="00E96BB6">
        <w:rPr>
          <w:rFonts w:eastAsia="Calibri" w:cs="Times New Roman"/>
          <w:b/>
          <w:i/>
          <w:szCs w:val="24"/>
          <w:lang w:eastAsia="en-US"/>
        </w:rPr>
        <w:t xml:space="preserve">1.8. tabula. Pesimistiskā scenārija ietekme uz vispārējās valdības budžetu, </w:t>
      </w:r>
      <w:r w:rsidRPr="00E96BB6">
        <w:rPr>
          <w:rFonts w:eastAsia="Calibri" w:cs="Times New Roman"/>
          <w:b/>
          <w:i/>
          <w:noProof/>
          <w:szCs w:val="24"/>
          <w:lang w:eastAsia="en-US"/>
        </w:rPr>
        <w:t>milj. euro</w:t>
      </w:r>
    </w:p>
    <w:tbl>
      <w:tblPr>
        <w:tblW w:w="9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51"/>
        <w:gridCol w:w="850"/>
        <w:gridCol w:w="851"/>
        <w:gridCol w:w="850"/>
        <w:gridCol w:w="709"/>
        <w:gridCol w:w="709"/>
        <w:gridCol w:w="709"/>
        <w:gridCol w:w="756"/>
      </w:tblGrid>
      <w:tr w:rsidR="00E96BB6" w:rsidRPr="00E96BB6" w14:paraId="63AC2F44" w14:textId="77777777" w:rsidTr="002C61B1">
        <w:trPr>
          <w:trHeight w:val="257"/>
          <w:tblHeader/>
          <w:jc w:val="center"/>
        </w:trPr>
        <w:tc>
          <w:tcPr>
            <w:tcW w:w="2830" w:type="dxa"/>
            <w:shd w:val="clear" w:color="auto" w:fill="BDD6EE" w:themeFill="accent1" w:themeFillTint="66"/>
            <w:vAlign w:val="center"/>
            <w:hideMark/>
          </w:tcPr>
          <w:p w14:paraId="5CE6A3E6" w14:textId="77777777" w:rsidR="00E96BB6" w:rsidRPr="00E96BB6" w:rsidRDefault="00E96BB6" w:rsidP="002C61B1">
            <w:pPr>
              <w:spacing w:after="0"/>
              <w:ind w:firstLine="0"/>
              <w:rPr>
                <w:rFonts w:cs="Times New Roman"/>
                <w:noProof/>
                <w:sz w:val="20"/>
                <w:szCs w:val="20"/>
              </w:rPr>
            </w:pPr>
          </w:p>
        </w:tc>
        <w:tc>
          <w:tcPr>
            <w:tcW w:w="3402" w:type="dxa"/>
            <w:gridSpan w:val="4"/>
            <w:shd w:val="clear" w:color="auto" w:fill="BDD6EE" w:themeFill="accent1" w:themeFillTint="66"/>
            <w:vAlign w:val="center"/>
          </w:tcPr>
          <w:p w14:paraId="172AA3BF"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Pesimistiskais scenārijs</w:t>
            </w:r>
          </w:p>
        </w:tc>
        <w:tc>
          <w:tcPr>
            <w:tcW w:w="2883" w:type="dxa"/>
            <w:gridSpan w:val="4"/>
            <w:shd w:val="clear" w:color="auto" w:fill="BDD6EE" w:themeFill="accent1" w:themeFillTint="66"/>
            <w:vAlign w:val="center"/>
          </w:tcPr>
          <w:p w14:paraId="59D88D28"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Novirze no bāzes scenārija</w:t>
            </w:r>
          </w:p>
        </w:tc>
      </w:tr>
      <w:tr w:rsidR="00E96BB6" w:rsidRPr="00E96BB6" w14:paraId="65235140" w14:textId="77777777" w:rsidTr="002C61B1">
        <w:trPr>
          <w:trHeight w:val="221"/>
          <w:tblHeader/>
          <w:jc w:val="center"/>
        </w:trPr>
        <w:tc>
          <w:tcPr>
            <w:tcW w:w="2830" w:type="dxa"/>
            <w:shd w:val="clear" w:color="auto" w:fill="BDD6EE" w:themeFill="accent1" w:themeFillTint="66"/>
            <w:vAlign w:val="center"/>
            <w:hideMark/>
          </w:tcPr>
          <w:p w14:paraId="5F9E2795" w14:textId="77777777" w:rsidR="00E96BB6" w:rsidRPr="00E96BB6" w:rsidRDefault="00E96BB6" w:rsidP="002C61B1">
            <w:pPr>
              <w:spacing w:after="0"/>
              <w:ind w:firstLine="0"/>
              <w:rPr>
                <w:rFonts w:cs="Times New Roman"/>
                <w:noProof/>
                <w:sz w:val="20"/>
                <w:szCs w:val="20"/>
              </w:rPr>
            </w:pPr>
          </w:p>
        </w:tc>
        <w:tc>
          <w:tcPr>
            <w:tcW w:w="851" w:type="dxa"/>
            <w:shd w:val="clear" w:color="auto" w:fill="BDD6EE" w:themeFill="accent1" w:themeFillTint="66"/>
            <w:tcMar>
              <w:left w:w="57" w:type="dxa"/>
              <w:right w:w="57" w:type="dxa"/>
            </w:tcMar>
            <w:vAlign w:val="center"/>
          </w:tcPr>
          <w:p w14:paraId="51615DD6"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2025</w:t>
            </w:r>
          </w:p>
        </w:tc>
        <w:tc>
          <w:tcPr>
            <w:tcW w:w="850" w:type="dxa"/>
            <w:shd w:val="clear" w:color="auto" w:fill="BDD6EE" w:themeFill="accent1" w:themeFillTint="66"/>
            <w:tcMar>
              <w:left w:w="57" w:type="dxa"/>
              <w:right w:w="57" w:type="dxa"/>
            </w:tcMar>
            <w:vAlign w:val="center"/>
          </w:tcPr>
          <w:p w14:paraId="1F59CB5D"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2026</w:t>
            </w:r>
          </w:p>
        </w:tc>
        <w:tc>
          <w:tcPr>
            <w:tcW w:w="851" w:type="dxa"/>
            <w:shd w:val="clear" w:color="auto" w:fill="BDD6EE" w:themeFill="accent1" w:themeFillTint="66"/>
            <w:tcMar>
              <w:left w:w="57" w:type="dxa"/>
              <w:right w:w="57" w:type="dxa"/>
            </w:tcMar>
            <w:vAlign w:val="center"/>
          </w:tcPr>
          <w:p w14:paraId="52DB627C"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2027</w:t>
            </w:r>
          </w:p>
        </w:tc>
        <w:tc>
          <w:tcPr>
            <w:tcW w:w="850" w:type="dxa"/>
            <w:shd w:val="clear" w:color="auto" w:fill="BDD6EE" w:themeFill="accent1" w:themeFillTint="66"/>
            <w:tcMar>
              <w:left w:w="57" w:type="dxa"/>
              <w:right w:w="57" w:type="dxa"/>
            </w:tcMar>
            <w:vAlign w:val="center"/>
          </w:tcPr>
          <w:p w14:paraId="455E15A0"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2028</w:t>
            </w:r>
          </w:p>
        </w:tc>
        <w:tc>
          <w:tcPr>
            <w:tcW w:w="709" w:type="dxa"/>
            <w:shd w:val="clear" w:color="auto" w:fill="BDD6EE" w:themeFill="accent1" w:themeFillTint="66"/>
            <w:tcMar>
              <w:left w:w="57" w:type="dxa"/>
              <w:right w:w="57" w:type="dxa"/>
            </w:tcMar>
            <w:vAlign w:val="center"/>
            <w:hideMark/>
          </w:tcPr>
          <w:p w14:paraId="45706827"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2025</w:t>
            </w:r>
          </w:p>
        </w:tc>
        <w:tc>
          <w:tcPr>
            <w:tcW w:w="709" w:type="dxa"/>
            <w:shd w:val="clear" w:color="auto" w:fill="BDD6EE" w:themeFill="accent1" w:themeFillTint="66"/>
            <w:tcMar>
              <w:left w:w="57" w:type="dxa"/>
              <w:right w:w="57" w:type="dxa"/>
            </w:tcMar>
            <w:vAlign w:val="center"/>
            <w:hideMark/>
          </w:tcPr>
          <w:p w14:paraId="04586F85"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2026</w:t>
            </w:r>
          </w:p>
        </w:tc>
        <w:tc>
          <w:tcPr>
            <w:tcW w:w="709" w:type="dxa"/>
            <w:shd w:val="clear" w:color="auto" w:fill="BDD6EE" w:themeFill="accent1" w:themeFillTint="66"/>
            <w:tcMar>
              <w:left w:w="57" w:type="dxa"/>
              <w:right w:w="57" w:type="dxa"/>
            </w:tcMar>
            <w:vAlign w:val="center"/>
          </w:tcPr>
          <w:p w14:paraId="4FBB0281"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2027</w:t>
            </w:r>
          </w:p>
        </w:tc>
        <w:tc>
          <w:tcPr>
            <w:tcW w:w="756" w:type="dxa"/>
            <w:shd w:val="clear" w:color="auto" w:fill="BDD6EE" w:themeFill="accent1" w:themeFillTint="66"/>
            <w:tcMar>
              <w:left w:w="57" w:type="dxa"/>
              <w:right w:w="57" w:type="dxa"/>
            </w:tcMar>
            <w:vAlign w:val="center"/>
            <w:hideMark/>
          </w:tcPr>
          <w:p w14:paraId="545BE9C0" w14:textId="77777777" w:rsidR="00E96BB6" w:rsidRPr="00E96BB6" w:rsidRDefault="00E96BB6" w:rsidP="002C61B1">
            <w:pPr>
              <w:spacing w:after="0"/>
              <w:ind w:firstLine="0"/>
              <w:jc w:val="center"/>
              <w:rPr>
                <w:rFonts w:cs="Times New Roman"/>
                <w:b/>
                <w:bCs/>
                <w:noProof/>
                <w:sz w:val="20"/>
                <w:szCs w:val="20"/>
              </w:rPr>
            </w:pPr>
            <w:r w:rsidRPr="00E96BB6">
              <w:rPr>
                <w:rFonts w:cs="Times New Roman"/>
                <w:b/>
                <w:bCs/>
                <w:noProof/>
                <w:sz w:val="20"/>
                <w:szCs w:val="20"/>
              </w:rPr>
              <w:t>2028</w:t>
            </w:r>
          </w:p>
        </w:tc>
      </w:tr>
      <w:tr w:rsidR="00E96BB6" w:rsidRPr="00E96BB6" w14:paraId="4C09EDB3" w14:textId="77777777" w:rsidTr="002C61B1">
        <w:trPr>
          <w:trHeight w:val="367"/>
          <w:jc w:val="center"/>
        </w:trPr>
        <w:tc>
          <w:tcPr>
            <w:tcW w:w="2830" w:type="dxa"/>
            <w:shd w:val="clear" w:color="auto" w:fill="auto"/>
            <w:vAlign w:val="center"/>
          </w:tcPr>
          <w:p w14:paraId="16F0F0AD" w14:textId="77777777" w:rsidR="00E96BB6" w:rsidRPr="00E96BB6" w:rsidRDefault="00E96BB6" w:rsidP="002C61B1">
            <w:pPr>
              <w:spacing w:after="0"/>
              <w:ind w:firstLine="0"/>
              <w:jc w:val="left"/>
              <w:rPr>
                <w:rFonts w:eastAsia="Times New Roman" w:cs="Times New Roman"/>
                <w:b/>
                <w:sz w:val="18"/>
                <w:szCs w:val="18"/>
              </w:rPr>
            </w:pPr>
            <w:r w:rsidRPr="00E96BB6">
              <w:rPr>
                <w:rFonts w:eastAsia="Times New Roman" w:cs="Times New Roman"/>
                <w:b/>
                <w:sz w:val="18"/>
                <w:szCs w:val="18"/>
              </w:rPr>
              <w:t>Vispārējās valdības budžeta bilance</w:t>
            </w:r>
            <w:r w:rsidRPr="00E96BB6">
              <w:rPr>
                <w:rFonts w:eastAsia="Times New Roman" w:cs="Times New Roman"/>
                <w:b/>
                <w:sz w:val="18"/>
                <w:szCs w:val="18"/>
                <w:vertAlign w:val="superscript"/>
              </w:rPr>
              <w:footnoteReference w:id="5"/>
            </w:r>
            <w:r w:rsidRPr="00E96BB6">
              <w:rPr>
                <w:rFonts w:eastAsia="Times New Roman" w:cs="Times New Roman"/>
                <w:b/>
                <w:sz w:val="18"/>
                <w:szCs w:val="18"/>
              </w:rPr>
              <w:t>, % no IKP</w:t>
            </w:r>
          </w:p>
        </w:tc>
        <w:tc>
          <w:tcPr>
            <w:tcW w:w="851" w:type="dxa"/>
            <w:shd w:val="clear" w:color="auto" w:fill="auto"/>
            <w:tcMar>
              <w:left w:w="57" w:type="dxa"/>
              <w:right w:w="57" w:type="dxa"/>
            </w:tcMar>
            <w:vAlign w:val="center"/>
          </w:tcPr>
          <w:p w14:paraId="344DC9F5" w14:textId="77777777" w:rsidR="00E96BB6" w:rsidRPr="00E96BB6" w:rsidRDefault="00E96BB6" w:rsidP="002C61B1">
            <w:pPr>
              <w:spacing w:after="0"/>
              <w:ind w:firstLine="0"/>
              <w:jc w:val="right"/>
              <w:rPr>
                <w:rFonts w:eastAsia="Times New Roman" w:cs="Times New Roman"/>
                <w:b/>
                <w:sz w:val="18"/>
                <w:szCs w:val="18"/>
              </w:rPr>
            </w:pPr>
            <w:r w:rsidRPr="00E96BB6">
              <w:rPr>
                <w:rFonts w:eastAsia="Times New Roman" w:cs="Times New Roman"/>
                <w:b/>
                <w:sz w:val="18"/>
                <w:szCs w:val="18"/>
              </w:rPr>
              <w:t>-3,4%</w:t>
            </w:r>
          </w:p>
        </w:tc>
        <w:tc>
          <w:tcPr>
            <w:tcW w:w="850" w:type="dxa"/>
            <w:shd w:val="clear" w:color="auto" w:fill="auto"/>
            <w:tcMar>
              <w:left w:w="57" w:type="dxa"/>
              <w:right w:w="57" w:type="dxa"/>
            </w:tcMar>
            <w:vAlign w:val="center"/>
          </w:tcPr>
          <w:p w14:paraId="27497CD2" w14:textId="77777777" w:rsidR="00E96BB6" w:rsidRPr="00E96BB6" w:rsidRDefault="00E96BB6" w:rsidP="002C61B1">
            <w:pPr>
              <w:spacing w:after="0"/>
              <w:ind w:firstLine="0"/>
              <w:jc w:val="right"/>
              <w:rPr>
                <w:rFonts w:eastAsia="Times New Roman" w:cs="Times New Roman"/>
                <w:b/>
                <w:sz w:val="18"/>
                <w:szCs w:val="18"/>
              </w:rPr>
            </w:pPr>
            <w:r w:rsidRPr="00E96BB6">
              <w:rPr>
                <w:rFonts w:eastAsia="Times New Roman" w:cs="Times New Roman"/>
                <w:b/>
                <w:sz w:val="18"/>
                <w:szCs w:val="18"/>
              </w:rPr>
              <w:t>-3,1%</w:t>
            </w:r>
          </w:p>
        </w:tc>
        <w:tc>
          <w:tcPr>
            <w:tcW w:w="851" w:type="dxa"/>
            <w:shd w:val="clear" w:color="auto" w:fill="auto"/>
            <w:tcMar>
              <w:left w:w="57" w:type="dxa"/>
              <w:right w:w="57" w:type="dxa"/>
            </w:tcMar>
            <w:vAlign w:val="center"/>
          </w:tcPr>
          <w:p w14:paraId="49463C56" w14:textId="77777777" w:rsidR="00E96BB6" w:rsidRPr="00E96BB6" w:rsidRDefault="00E96BB6" w:rsidP="002C61B1">
            <w:pPr>
              <w:spacing w:after="0"/>
              <w:ind w:firstLine="0"/>
              <w:jc w:val="right"/>
              <w:rPr>
                <w:rFonts w:eastAsia="Times New Roman" w:cs="Times New Roman"/>
                <w:b/>
                <w:sz w:val="18"/>
                <w:szCs w:val="18"/>
              </w:rPr>
            </w:pPr>
            <w:r w:rsidRPr="00E96BB6">
              <w:rPr>
                <w:rFonts w:eastAsia="Times New Roman" w:cs="Times New Roman"/>
                <w:b/>
                <w:sz w:val="18"/>
                <w:szCs w:val="18"/>
              </w:rPr>
              <w:t>-2,9%</w:t>
            </w:r>
          </w:p>
        </w:tc>
        <w:tc>
          <w:tcPr>
            <w:tcW w:w="850" w:type="dxa"/>
            <w:shd w:val="clear" w:color="auto" w:fill="auto"/>
            <w:tcMar>
              <w:left w:w="57" w:type="dxa"/>
              <w:right w:w="57" w:type="dxa"/>
            </w:tcMar>
            <w:vAlign w:val="center"/>
          </w:tcPr>
          <w:p w14:paraId="268583FD" w14:textId="77777777" w:rsidR="00E96BB6" w:rsidRPr="00E96BB6" w:rsidRDefault="00E96BB6" w:rsidP="002C61B1">
            <w:pPr>
              <w:spacing w:after="0"/>
              <w:ind w:firstLine="0"/>
              <w:jc w:val="right"/>
              <w:rPr>
                <w:rFonts w:eastAsia="Times New Roman" w:cs="Times New Roman"/>
                <w:b/>
                <w:sz w:val="18"/>
                <w:szCs w:val="18"/>
              </w:rPr>
            </w:pPr>
            <w:r w:rsidRPr="00E96BB6">
              <w:rPr>
                <w:rFonts w:eastAsia="Times New Roman" w:cs="Times New Roman"/>
                <w:b/>
                <w:sz w:val="18"/>
                <w:szCs w:val="18"/>
              </w:rPr>
              <w:t>-2,6%</w:t>
            </w:r>
          </w:p>
        </w:tc>
        <w:tc>
          <w:tcPr>
            <w:tcW w:w="709" w:type="dxa"/>
            <w:shd w:val="clear" w:color="auto" w:fill="auto"/>
            <w:tcMar>
              <w:left w:w="57" w:type="dxa"/>
              <w:right w:w="57" w:type="dxa"/>
            </w:tcMar>
            <w:vAlign w:val="center"/>
          </w:tcPr>
          <w:p w14:paraId="6B254518" w14:textId="77777777" w:rsidR="00E96BB6" w:rsidRPr="00E96BB6" w:rsidRDefault="00E96BB6" w:rsidP="002C61B1">
            <w:pPr>
              <w:spacing w:after="0"/>
              <w:ind w:firstLine="0"/>
              <w:jc w:val="right"/>
              <w:rPr>
                <w:rFonts w:eastAsia="Times New Roman" w:cs="Times New Roman"/>
                <w:b/>
                <w:noProof/>
                <w:sz w:val="18"/>
                <w:szCs w:val="18"/>
              </w:rPr>
            </w:pPr>
            <w:r w:rsidRPr="00E96BB6">
              <w:rPr>
                <w:rFonts w:eastAsia="Times New Roman" w:cs="Times New Roman"/>
                <w:b/>
                <w:noProof/>
                <w:sz w:val="18"/>
                <w:szCs w:val="18"/>
              </w:rPr>
              <w:t>-0,6 pp</w:t>
            </w:r>
          </w:p>
        </w:tc>
        <w:tc>
          <w:tcPr>
            <w:tcW w:w="709" w:type="dxa"/>
            <w:shd w:val="clear" w:color="auto" w:fill="auto"/>
            <w:tcMar>
              <w:left w:w="57" w:type="dxa"/>
              <w:right w:w="57" w:type="dxa"/>
            </w:tcMar>
            <w:vAlign w:val="center"/>
          </w:tcPr>
          <w:p w14:paraId="0FD88ECD" w14:textId="77777777" w:rsidR="00E96BB6" w:rsidRPr="00E96BB6" w:rsidRDefault="00E96BB6" w:rsidP="002C61B1">
            <w:pPr>
              <w:spacing w:after="0" w:line="259" w:lineRule="auto"/>
              <w:ind w:firstLine="0"/>
              <w:jc w:val="right"/>
              <w:rPr>
                <w:rFonts w:eastAsia="Times New Roman" w:cs="Times New Roman"/>
                <w:b/>
                <w:noProof/>
                <w:sz w:val="18"/>
                <w:szCs w:val="18"/>
              </w:rPr>
            </w:pPr>
            <w:r w:rsidRPr="00E96BB6">
              <w:rPr>
                <w:rFonts w:eastAsia="Times New Roman" w:cs="Times New Roman"/>
                <w:b/>
                <w:noProof/>
                <w:sz w:val="18"/>
                <w:szCs w:val="18"/>
              </w:rPr>
              <w:t>-0,5 pp</w:t>
            </w:r>
          </w:p>
        </w:tc>
        <w:tc>
          <w:tcPr>
            <w:tcW w:w="709" w:type="dxa"/>
            <w:shd w:val="clear" w:color="auto" w:fill="auto"/>
            <w:tcMar>
              <w:left w:w="57" w:type="dxa"/>
              <w:right w:w="57" w:type="dxa"/>
            </w:tcMar>
            <w:vAlign w:val="center"/>
          </w:tcPr>
          <w:p w14:paraId="01EB034D" w14:textId="77777777" w:rsidR="00E96BB6" w:rsidRPr="00E96BB6" w:rsidRDefault="00E96BB6" w:rsidP="002C61B1">
            <w:pPr>
              <w:spacing w:after="0" w:line="259" w:lineRule="auto"/>
              <w:ind w:firstLine="0"/>
              <w:jc w:val="right"/>
              <w:rPr>
                <w:rFonts w:eastAsia="Times New Roman" w:cs="Times New Roman"/>
                <w:b/>
                <w:noProof/>
                <w:sz w:val="18"/>
                <w:szCs w:val="18"/>
              </w:rPr>
            </w:pPr>
            <w:r w:rsidRPr="00E96BB6">
              <w:rPr>
                <w:rFonts w:eastAsia="Times New Roman" w:cs="Times New Roman"/>
                <w:b/>
                <w:noProof/>
                <w:sz w:val="18"/>
                <w:szCs w:val="18"/>
              </w:rPr>
              <w:t>-0,4 pp</w:t>
            </w:r>
          </w:p>
        </w:tc>
        <w:tc>
          <w:tcPr>
            <w:tcW w:w="756" w:type="dxa"/>
            <w:shd w:val="clear" w:color="auto" w:fill="auto"/>
            <w:tcMar>
              <w:left w:w="57" w:type="dxa"/>
              <w:right w:w="57" w:type="dxa"/>
            </w:tcMar>
            <w:vAlign w:val="center"/>
          </w:tcPr>
          <w:p w14:paraId="2FEA569F" w14:textId="77777777" w:rsidR="00E96BB6" w:rsidRPr="00E96BB6" w:rsidRDefault="00E96BB6" w:rsidP="002C61B1">
            <w:pPr>
              <w:spacing w:after="0" w:line="259" w:lineRule="auto"/>
              <w:ind w:firstLine="0"/>
              <w:jc w:val="right"/>
              <w:rPr>
                <w:rFonts w:eastAsia="Times New Roman" w:cs="Times New Roman"/>
                <w:b/>
                <w:noProof/>
                <w:sz w:val="18"/>
                <w:szCs w:val="18"/>
              </w:rPr>
            </w:pPr>
            <w:r w:rsidRPr="00E96BB6">
              <w:rPr>
                <w:rFonts w:eastAsia="Times New Roman" w:cs="Times New Roman"/>
                <w:b/>
                <w:noProof/>
                <w:sz w:val="18"/>
                <w:szCs w:val="18"/>
              </w:rPr>
              <w:t>-0,5 pp</w:t>
            </w:r>
          </w:p>
        </w:tc>
      </w:tr>
      <w:tr w:rsidR="00E96BB6" w:rsidRPr="00E96BB6" w14:paraId="3B01CCDE" w14:textId="77777777" w:rsidTr="002C61B1">
        <w:trPr>
          <w:trHeight w:val="186"/>
          <w:jc w:val="center"/>
        </w:trPr>
        <w:tc>
          <w:tcPr>
            <w:tcW w:w="2830" w:type="dxa"/>
            <w:shd w:val="clear" w:color="auto" w:fill="auto"/>
            <w:vAlign w:val="center"/>
          </w:tcPr>
          <w:p w14:paraId="33F0D800" w14:textId="77777777" w:rsidR="00E96BB6" w:rsidRPr="00E96BB6" w:rsidRDefault="00E96BB6" w:rsidP="002C61B1">
            <w:pPr>
              <w:spacing w:after="0"/>
              <w:ind w:firstLine="0"/>
              <w:jc w:val="left"/>
              <w:rPr>
                <w:rFonts w:eastAsia="Times New Roman" w:cs="Times New Roman"/>
                <w:sz w:val="18"/>
                <w:szCs w:val="18"/>
              </w:rPr>
            </w:pPr>
            <w:r w:rsidRPr="00E96BB6">
              <w:rPr>
                <w:rFonts w:eastAsia="Times New Roman" w:cs="Times New Roman"/>
                <w:sz w:val="18"/>
                <w:szCs w:val="18"/>
              </w:rPr>
              <w:t>Vispārējās valdības budžeta bilance</w:t>
            </w:r>
          </w:p>
        </w:tc>
        <w:tc>
          <w:tcPr>
            <w:tcW w:w="851" w:type="dxa"/>
            <w:shd w:val="clear" w:color="auto" w:fill="auto"/>
            <w:tcMar>
              <w:left w:w="57" w:type="dxa"/>
              <w:right w:w="57" w:type="dxa"/>
            </w:tcMar>
            <w:vAlign w:val="bottom"/>
          </w:tcPr>
          <w:p w14:paraId="399B4806"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-1 499,6</w:t>
            </w:r>
          </w:p>
        </w:tc>
        <w:tc>
          <w:tcPr>
            <w:tcW w:w="850" w:type="dxa"/>
            <w:shd w:val="clear" w:color="auto" w:fill="auto"/>
            <w:tcMar>
              <w:left w:w="57" w:type="dxa"/>
              <w:right w:w="57" w:type="dxa"/>
            </w:tcMar>
            <w:vAlign w:val="bottom"/>
          </w:tcPr>
          <w:p w14:paraId="1526E7B9"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-1 437,8</w:t>
            </w:r>
          </w:p>
        </w:tc>
        <w:tc>
          <w:tcPr>
            <w:tcW w:w="851" w:type="dxa"/>
            <w:shd w:val="clear" w:color="auto" w:fill="auto"/>
            <w:tcMar>
              <w:left w:w="57" w:type="dxa"/>
              <w:right w:w="57" w:type="dxa"/>
            </w:tcMar>
            <w:vAlign w:val="bottom"/>
          </w:tcPr>
          <w:p w14:paraId="10945A02"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-1 392,5</w:t>
            </w:r>
          </w:p>
        </w:tc>
        <w:tc>
          <w:tcPr>
            <w:tcW w:w="850" w:type="dxa"/>
            <w:shd w:val="clear" w:color="auto" w:fill="auto"/>
            <w:tcMar>
              <w:left w:w="57" w:type="dxa"/>
              <w:right w:w="57" w:type="dxa"/>
            </w:tcMar>
            <w:vAlign w:val="bottom"/>
          </w:tcPr>
          <w:p w14:paraId="264DC23D"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-1 319,5</w:t>
            </w:r>
          </w:p>
        </w:tc>
        <w:tc>
          <w:tcPr>
            <w:tcW w:w="709" w:type="dxa"/>
            <w:shd w:val="clear" w:color="auto" w:fill="auto"/>
            <w:tcMar>
              <w:left w:w="57" w:type="dxa"/>
              <w:right w:w="57" w:type="dxa"/>
            </w:tcMar>
            <w:vAlign w:val="bottom"/>
          </w:tcPr>
          <w:p w14:paraId="10216AE4" w14:textId="77777777" w:rsidR="00E96BB6" w:rsidRPr="00E96BB6" w:rsidRDefault="00E96BB6" w:rsidP="002C61B1">
            <w:pPr>
              <w:spacing w:after="0"/>
              <w:ind w:firstLine="0"/>
              <w:jc w:val="right"/>
              <w:rPr>
                <w:rFonts w:eastAsia="Times New Roman" w:cs="Times New Roman"/>
                <w:noProof/>
                <w:sz w:val="18"/>
                <w:szCs w:val="18"/>
              </w:rPr>
            </w:pPr>
            <w:r w:rsidRPr="00E96BB6">
              <w:rPr>
                <w:rFonts w:cs="Times New Roman"/>
                <w:sz w:val="18"/>
                <w:szCs w:val="18"/>
              </w:rPr>
              <w:t>-216,7</w:t>
            </w:r>
          </w:p>
        </w:tc>
        <w:tc>
          <w:tcPr>
            <w:tcW w:w="709" w:type="dxa"/>
            <w:shd w:val="clear" w:color="auto" w:fill="auto"/>
            <w:tcMar>
              <w:left w:w="57" w:type="dxa"/>
              <w:right w:w="57" w:type="dxa"/>
            </w:tcMar>
            <w:vAlign w:val="bottom"/>
          </w:tcPr>
          <w:p w14:paraId="6D0E604D" w14:textId="77777777" w:rsidR="00E96BB6" w:rsidRPr="00E96BB6" w:rsidRDefault="00E96BB6" w:rsidP="002C61B1">
            <w:pPr>
              <w:spacing w:after="0" w:line="259" w:lineRule="auto"/>
              <w:ind w:firstLine="0"/>
              <w:jc w:val="right"/>
              <w:rPr>
                <w:rFonts w:eastAsia="Times New Roman" w:cs="Times New Roman"/>
                <w:noProof/>
                <w:sz w:val="18"/>
                <w:szCs w:val="18"/>
              </w:rPr>
            </w:pPr>
            <w:r w:rsidRPr="00E96BB6">
              <w:rPr>
                <w:rFonts w:cs="Times New Roman"/>
                <w:sz w:val="18"/>
                <w:szCs w:val="18"/>
              </w:rPr>
              <w:t>-197,0</w:t>
            </w:r>
          </w:p>
        </w:tc>
        <w:tc>
          <w:tcPr>
            <w:tcW w:w="709" w:type="dxa"/>
            <w:shd w:val="clear" w:color="auto" w:fill="auto"/>
            <w:tcMar>
              <w:left w:w="57" w:type="dxa"/>
              <w:right w:w="57" w:type="dxa"/>
            </w:tcMar>
            <w:vAlign w:val="bottom"/>
          </w:tcPr>
          <w:p w14:paraId="5B916202" w14:textId="77777777" w:rsidR="00E96BB6" w:rsidRPr="00E96BB6" w:rsidRDefault="00E96BB6" w:rsidP="002C61B1">
            <w:pPr>
              <w:spacing w:after="0" w:line="259" w:lineRule="auto"/>
              <w:ind w:firstLine="0"/>
              <w:jc w:val="right"/>
              <w:rPr>
                <w:rFonts w:eastAsia="Times New Roman" w:cs="Times New Roman"/>
                <w:noProof/>
                <w:sz w:val="18"/>
                <w:szCs w:val="18"/>
              </w:rPr>
            </w:pPr>
            <w:r w:rsidRPr="00E96BB6">
              <w:rPr>
                <w:rFonts w:cs="Times New Roman"/>
                <w:sz w:val="18"/>
                <w:szCs w:val="18"/>
              </w:rPr>
              <w:t>-192,4</w:t>
            </w:r>
          </w:p>
        </w:tc>
        <w:tc>
          <w:tcPr>
            <w:tcW w:w="756" w:type="dxa"/>
            <w:shd w:val="clear" w:color="auto" w:fill="auto"/>
            <w:tcMar>
              <w:left w:w="57" w:type="dxa"/>
              <w:right w:w="57" w:type="dxa"/>
            </w:tcMar>
            <w:vAlign w:val="bottom"/>
          </w:tcPr>
          <w:p w14:paraId="7369C043" w14:textId="77777777" w:rsidR="00E96BB6" w:rsidRPr="00E96BB6" w:rsidRDefault="00E96BB6" w:rsidP="002C61B1">
            <w:pPr>
              <w:spacing w:after="0" w:line="259" w:lineRule="auto"/>
              <w:ind w:firstLine="0"/>
              <w:jc w:val="right"/>
              <w:rPr>
                <w:rFonts w:eastAsia="Times New Roman" w:cs="Times New Roman"/>
                <w:noProof/>
                <w:sz w:val="18"/>
                <w:szCs w:val="18"/>
              </w:rPr>
            </w:pPr>
            <w:r w:rsidRPr="00E96BB6">
              <w:rPr>
                <w:rFonts w:cs="Times New Roman"/>
                <w:sz w:val="18"/>
                <w:szCs w:val="18"/>
              </w:rPr>
              <w:t>-216,2</w:t>
            </w:r>
          </w:p>
        </w:tc>
      </w:tr>
      <w:tr w:rsidR="00E96BB6" w:rsidRPr="00E96BB6" w14:paraId="70B9865B" w14:textId="77777777" w:rsidTr="002C61B1">
        <w:trPr>
          <w:trHeight w:val="231"/>
          <w:jc w:val="center"/>
        </w:trPr>
        <w:tc>
          <w:tcPr>
            <w:tcW w:w="2830" w:type="dxa"/>
            <w:shd w:val="clear" w:color="auto" w:fill="auto"/>
            <w:vAlign w:val="center"/>
          </w:tcPr>
          <w:p w14:paraId="4F1D244F" w14:textId="77777777" w:rsidR="00E96BB6" w:rsidRPr="00E96BB6" w:rsidRDefault="00E96BB6" w:rsidP="002C61B1">
            <w:pPr>
              <w:spacing w:after="0"/>
              <w:ind w:left="166" w:firstLine="0"/>
              <w:jc w:val="left"/>
              <w:rPr>
                <w:rFonts w:eastAsia="Times New Roman" w:cs="Times New Roman"/>
                <w:color w:val="FF0000"/>
                <w:sz w:val="18"/>
                <w:szCs w:val="18"/>
              </w:rPr>
            </w:pPr>
            <w:r w:rsidRPr="00E96BB6">
              <w:rPr>
                <w:rFonts w:eastAsia="Times New Roman" w:cs="Times New Roman"/>
                <w:sz w:val="18"/>
                <w:szCs w:val="18"/>
              </w:rPr>
              <w:t>Nodokļu ieņēmumi</w:t>
            </w:r>
          </w:p>
        </w:tc>
        <w:tc>
          <w:tcPr>
            <w:tcW w:w="851" w:type="dxa"/>
            <w:shd w:val="clear" w:color="auto" w:fill="auto"/>
            <w:tcMar>
              <w:left w:w="57" w:type="dxa"/>
              <w:right w:w="57" w:type="dxa"/>
            </w:tcMar>
            <w:vAlign w:val="bottom"/>
          </w:tcPr>
          <w:p w14:paraId="2C06C55D"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11 964,8</w:t>
            </w:r>
          </w:p>
        </w:tc>
        <w:tc>
          <w:tcPr>
            <w:tcW w:w="850" w:type="dxa"/>
            <w:shd w:val="clear" w:color="auto" w:fill="auto"/>
            <w:tcMar>
              <w:left w:w="57" w:type="dxa"/>
              <w:right w:w="57" w:type="dxa"/>
            </w:tcMar>
            <w:vAlign w:val="bottom"/>
          </w:tcPr>
          <w:p w14:paraId="1ACE5262"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12 672,3</w:t>
            </w:r>
          </w:p>
        </w:tc>
        <w:tc>
          <w:tcPr>
            <w:tcW w:w="851" w:type="dxa"/>
            <w:shd w:val="clear" w:color="auto" w:fill="auto"/>
            <w:tcMar>
              <w:left w:w="57" w:type="dxa"/>
              <w:right w:w="57" w:type="dxa"/>
            </w:tcMar>
            <w:vAlign w:val="bottom"/>
          </w:tcPr>
          <w:p w14:paraId="783B4C05"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13 213,0</w:t>
            </w:r>
          </w:p>
        </w:tc>
        <w:tc>
          <w:tcPr>
            <w:tcW w:w="850" w:type="dxa"/>
            <w:shd w:val="clear" w:color="auto" w:fill="auto"/>
            <w:tcMar>
              <w:left w:w="57" w:type="dxa"/>
              <w:right w:w="57" w:type="dxa"/>
            </w:tcMar>
            <w:vAlign w:val="bottom"/>
          </w:tcPr>
          <w:p w14:paraId="15E05487"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13 702,6</w:t>
            </w:r>
          </w:p>
        </w:tc>
        <w:tc>
          <w:tcPr>
            <w:tcW w:w="709" w:type="dxa"/>
            <w:shd w:val="clear" w:color="auto" w:fill="auto"/>
            <w:tcMar>
              <w:left w:w="57" w:type="dxa"/>
              <w:right w:w="57" w:type="dxa"/>
            </w:tcMar>
            <w:vAlign w:val="bottom"/>
          </w:tcPr>
          <w:p w14:paraId="5A178A7F"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-211,5</w:t>
            </w:r>
          </w:p>
        </w:tc>
        <w:tc>
          <w:tcPr>
            <w:tcW w:w="709" w:type="dxa"/>
            <w:shd w:val="clear" w:color="auto" w:fill="auto"/>
            <w:tcMar>
              <w:left w:w="57" w:type="dxa"/>
              <w:right w:w="57" w:type="dxa"/>
            </w:tcMar>
            <w:vAlign w:val="bottom"/>
          </w:tcPr>
          <w:p w14:paraId="5429009A"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-210,6</w:t>
            </w:r>
          </w:p>
        </w:tc>
        <w:tc>
          <w:tcPr>
            <w:tcW w:w="709" w:type="dxa"/>
            <w:shd w:val="clear" w:color="auto" w:fill="auto"/>
            <w:tcMar>
              <w:left w:w="57" w:type="dxa"/>
              <w:right w:w="57" w:type="dxa"/>
            </w:tcMar>
            <w:vAlign w:val="bottom"/>
          </w:tcPr>
          <w:p w14:paraId="44090550"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-210,2</w:t>
            </w:r>
          </w:p>
        </w:tc>
        <w:tc>
          <w:tcPr>
            <w:tcW w:w="756" w:type="dxa"/>
            <w:shd w:val="clear" w:color="auto" w:fill="auto"/>
            <w:tcMar>
              <w:left w:w="57" w:type="dxa"/>
              <w:right w:w="57" w:type="dxa"/>
            </w:tcMar>
            <w:vAlign w:val="bottom"/>
          </w:tcPr>
          <w:p w14:paraId="291DA116"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-226,5</w:t>
            </w:r>
          </w:p>
        </w:tc>
      </w:tr>
      <w:tr w:rsidR="00E96BB6" w:rsidRPr="00E96BB6" w14:paraId="4050F076" w14:textId="77777777" w:rsidTr="002C61B1">
        <w:trPr>
          <w:trHeight w:val="135"/>
          <w:jc w:val="center"/>
        </w:trPr>
        <w:tc>
          <w:tcPr>
            <w:tcW w:w="2830" w:type="dxa"/>
            <w:shd w:val="clear" w:color="auto" w:fill="auto"/>
            <w:vAlign w:val="center"/>
          </w:tcPr>
          <w:p w14:paraId="18644833" w14:textId="77777777" w:rsidR="00E96BB6" w:rsidRPr="00E96BB6" w:rsidRDefault="00E96BB6" w:rsidP="002C61B1">
            <w:pPr>
              <w:spacing w:after="0"/>
              <w:ind w:left="166" w:firstLine="0"/>
              <w:jc w:val="left"/>
              <w:rPr>
                <w:rFonts w:eastAsia="Times New Roman" w:cs="Times New Roman"/>
                <w:noProof/>
                <w:sz w:val="18"/>
                <w:szCs w:val="18"/>
              </w:rPr>
            </w:pPr>
            <w:r w:rsidRPr="00E96BB6">
              <w:rPr>
                <w:rFonts w:eastAsia="Times New Roman" w:cs="Times New Roman"/>
                <w:noProof/>
                <w:sz w:val="18"/>
                <w:szCs w:val="18"/>
              </w:rPr>
              <w:t>Nenodokļu ieņēmumi</w:t>
            </w:r>
          </w:p>
        </w:tc>
        <w:tc>
          <w:tcPr>
            <w:tcW w:w="851" w:type="dxa"/>
            <w:shd w:val="clear" w:color="auto" w:fill="auto"/>
            <w:tcMar>
              <w:left w:w="57" w:type="dxa"/>
              <w:right w:w="57" w:type="dxa"/>
            </w:tcMar>
            <w:vAlign w:val="bottom"/>
          </w:tcPr>
          <w:p w14:paraId="5A3278CF"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1 034,4</w:t>
            </w:r>
          </w:p>
        </w:tc>
        <w:tc>
          <w:tcPr>
            <w:tcW w:w="850" w:type="dxa"/>
            <w:shd w:val="clear" w:color="auto" w:fill="auto"/>
            <w:tcMar>
              <w:left w:w="57" w:type="dxa"/>
              <w:right w:w="57" w:type="dxa"/>
            </w:tcMar>
            <w:vAlign w:val="bottom"/>
          </w:tcPr>
          <w:p w14:paraId="5D518473"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903,8</w:t>
            </w:r>
          </w:p>
        </w:tc>
        <w:tc>
          <w:tcPr>
            <w:tcW w:w="851" w:type="dxa"/>
            <w:shd w:val="clear" w:color="auto" w:fill="auto"/>
            <w:tcMar>
              <w:left w:w="57" w:type="dxa"/>
              <w:right w:w="57" w:type="dxa"/>
            </w:tcMar>
            <w:vAlign w:val="bottom"/>
          </w:tcPr>
          <w:p w14:paraId="1B531528"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897,3</w:t>
            </w:r>
          </w:p>
        </w:tc>
        <w:tc>
          <w:tcPr>
            <w:tcW w:w="850" w:type="dxa"/>
            <w:shd w:val="clear" w:color="auto" w:fill="auto"/>
            <w:tcMar>
              <w:left w:w="57" w:type="dxa"/>
              <w:right w:w="57" w:type="dxa"/>
            </w:tcMar>
            <w:vAlign w:val="bottom"/>
          </w:tcPr>
          <w:p w14:paraId="5D5F7027"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895,6</w:t>
            </w:r>
          </w:p>
        </w:tc>
        <w:tc>
          <w:tcPr>
            <w:tcW w:w="709" w:type="dxa"/>
            <w:shd w:val="clear" w:color="auto" w:fill="auto"/>
            <w:tcMar>
              <w:left w:w="57" w:type="dxa"/>
              <w:right w:w="57" w:type="dxa"/>
            </w:tcMar>
            <w:vAlign w:val="bottom"/>
          </w:tcPr>
          <w:p w14:paraId="315E7318"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-4,7</w:t>
            </w:r>
          </w:p>
        </w:tc>
        <w:tc>
          <w:tcPr>
            <w:tcW w:w="709" w:type="dxa"/>
            <w:shd w:val="clear" w:color="auto" w:fill="auto"/>
            <w:tcMar>
              <w:left w:w="57" w:type="dxa"/>
              <w:right w:w="57" w:type="dxa"/>
            </w:tcMar>
            <w:vAlign w:val="bottom"/>
          </w:tcPr>
          <w:p w14:paraId="0F721AEA"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-3,9</w:t>
            </w:r>
          </w:p>
        </w:tc>
        <w:tc>
          <w:tcPr>
            <w:tcW w:w="709" w:type="dxa"/>
            <w:shd w:val="clear" w:color="auto" w:fill="auto"/>
            <w:tcMar>
              <w:left w:w="57" w:type="dxa"/>
              <w:right w:w="57" w:type="dxa"/>
            </w:tcMar>
            <w:vAlign w:val="bottom"/>
          </w:tcPr>
          <w:p w14:paraId="277F4984"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-4,0</w:t>
            </w:r>
          </w:p>
        </w:tc>
        <w:tc>
          <w:tcPr>
            <w:tcW w:w="756" w:type="dxa"/>
            <w:shd w:val="clear" w:color="auto" w:fill="auto"/>
            <w:tcMar>
              <w:left w:w="57" w:type="dxa"/>
              <w:right w:w="57" w:type="dxa"/>
            </w:tcMar>
            <w:vAlign w:val="bottom"/>
          </w:tcPr>
          <w:p w14:paraId="593423DE"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-4,1</w:t>
            </w:r>
          </w:p>
        </w:tc>
      </w:tr>
      <w:tr w:rsidR="00E96BB6" w:rsidRPr="00E96BB6" w14:paraId="00ED5952" w14:textId="77777777" w:rsidTr="002C61B1">
        <w:trPr>
          <w:trHeight w:val="135"/>
          <w:jc w:val="center"/>
        </w:trPr>
        <w:tc>
          <w:tcPr>
            <w:tcW w:w="2830" w:type="dxa"/>
            <w:shd w:val="clear" w:color="auto" w:fill="auto"/>
            <w:vAlign w:val="center"/>
          </w:tcPr>
          <w:p w14:paraId="7C25BF85" w14:textId="77777777" w:rsidR="00E96BB6" w:rsidRPr="00E96BB6" w:rsidRDefault="00E96BB6" w:rsidP="002C61B1">
            <w:pPr>
              <w:spacing w:after="0"/>
              <w:ind w:left="166" w:firstLine="0"/>
              <w:jc w:val="left"/>
              <w:rPr>
                <w:rFonts w:eastAsia="Times New Roman" w:cs="Times New Roman"/>
                <w:noProof/>
                <w:sz w:val="18"/>
                <w:szCs w:val="18"/>
              </w:rPr>
            </w:pPr>
            <w:r w:rsidRPr="00E96BB6">
              <w:rPr>
                <w:rFonts w:eastAsia="Times New Roman" w:cs="Times New Roman"/>
                <w:noProof/>
                <w:sz w:val="18"/>
                <w:szCs w:val="18"/>
              </w:rPr>
              <w:t>Soc.pabalstu izdevumi</w:t>
            </w:r>
          </w:p>
        </w:tc>
        <w:tc>
          <w:tcPr>
            <w:tcW w:w="851" w:type="dxa"/>
            <w:shd w:val="clear" w:color="auto" w:fill="auto"/>
            <w:tcMar>
              <w:left w:w="57" w:type="dxa"/>
              <w:right w:w="57" w:type="dxa"/>
            </w:tcMar>
            <w:vAlign w:val="bottom"/>
          </w:tcPr>
          <w:p w14:paraId="4F315DA8" w14:textId="77777777" w:rsidR="00E96BB6" w:rsidRPr="00E96BB6" w:rsidRDefault="00E96BB6" w:rsidP="002C61B1">
            <w:pPr>
              <w:spacing w:after="0"/>
              <w:ind w:firstLine="0"/>
              <w:jc w:val="right"/>
              <w:rPr>
                <w:rFonts w:cs="Times New Roman"/>
                <w:sz w:val="18"/>
                <w:szCs w:val="18"/>
              </w:rPr>
            </w:pPr>
            <w:r w:rsidRPr="00E96BB6">
              <w:rPr>
                <w:rFonts w:cs="Times New Roman"/>
                <w:sz w:val="18"/>
                <w:szCs w:val="18"/>
              </w:rPr>
              <w:t>5 369,4</w:t>
            </w:r>
          </w:p>
        </w:tc>
        <w:tc>
          <w:tcPr>
            <w:tcW w:w="850" w:type="dxa"/>
            <w:shd w:val="clear" w:color="auto" w:fill="auto"/>
            <w:tcMar>
              <w:left w:w="57" w:type="dxa"/>
              <w:right w:w="57" w:type="dxa"/>
            </w:tcMar>
            <w:vAlign w:val="bottom"/>
          </w:tcPr>
          <w:p w14:paraId="33E2D81D" w14:textId="77777777" w:rsidR="00E96BB6" w:rsidRPr="00E96BB6" w:rsidRDefault="00E96BB6" w:rsidP="002C61B1">
            <w:pPr>
              <w:spacing w:after="0"/>
              <w:ind w:firstLine="0"/>
              <w:jc w:val="right"/>
              <w:rPr>
                <w:rFonts w:cs="Times New Roman"/>
                <w:sz w:val="18"/>
                <w:szCs w:val="18"/>
              </w:rPr>
            </w:pPr>
            <w:r w:rsidRPr="00E96BB6">
              <w:rPr>
                <w:rFonts w:cs="Times New Roman"/>
                <w:sz w:val="18"/>
                <w:szCs w:val="18"/>
              </w:rPr>
              <w:t>5 756,5</w:t>
            </w:r>
          </w:p>
        </w:tc>
        <w:tc>
          <w:tcPr>
            <w:tcW w:w="851" w:type="dxa"/>
            <w:shd w:val="clear" w:color="auto" w:fill="auto"/>
            <w:tcMar>
              <w:left w:w="57" w:type="dxa"/>
              <w:right w:w="57" w:type="dxa"/>
            </w:tcMar>
            <w:vAlign w:val="bottom"/>
          </w:tcPr>
          <w:p w14:paraId="2089A176" w14:textId="77777777" w:rsidR="00E96BB6" w:rsidRPr="00E96BB6" w:rsidRDefault="00E96BB6" w:rsidP="002C61B1">
            <w:pPr>
              <w:spacing w:after="0"/>
              <w:ind w:firstLine="0"/>
              <w:jc w:val="right"/>
              <w:rPr>
                <w:rFonts w:cs="Times New Roman"/>
                <w:sz w:val="18"/>
                <w:szCs w:val="18"/>
              </w:rPr>
            </w:pPr>
            <w:r w:rsidRPr="00E96BB6">
              <w:rPr>
                <w:rFonts w:cs="Times New Roman"/>
                <w:sz w:val="18"/>
                <w:szCs w:val="18"/>
              </w:rPr>
              <w:t>6 113,0</w:t>
            </w:r>
          </w:p>
        </w:tc>
        <w:tc>
          <w:tcPr>
            <w:tcW w:w="850" w:type="dxa"/>
            <w:shd w:val="clear" w:color="auto" w:fill="auto"/>
            <w:tcMar>
              <w:left w:w="57" w:type="dxa"/>
              <w:right w:w="57" w:type="dxa"/>
            </w:tcMar>
            <w:vAlign w:val="bottom"/>
          </w:tcPr>
          <w:p w14:paraId="5B03E5EF" w14:textId="77777777" w:rsidR="00E96BB6" w:rsidRPr="00E96BB6" w:rsidRDefault="00E96BB6" w:rsidP="002C61B1">
            <w:pPr>
              <w:spacing w:after="0"/>
              <w:ind w:firstLine="0"/>
              <w:jc w:val="right"/>
              <w:rPr>
                <w:rFonts w:cs="Times New Roman"/>
                <w:sz w:val="18"/>
                <w:szCs w:val="18"/>
              </w:rPr>
            </w:pPr>
            <w:r w:rsidRPr="00E96BB6">
              <w:rPr>
                <w:rFonts w:cs="Times New Roman"/>
                <w:sz w:val="18"/>
                <w:szCs w:val="18"/>
              </w:rPr>
              <w:t>6 481,7</w:t>
            </w:r>
          </w:p>
        </w:tc>
        <w:tc>
          <w:tcPr>
            <w:tcW w:w="709" w:type="dxa"/>
            <w:shd w:val="clear" w:color="auto" w:fill="auto"/>
            <w:tcMar>
              <w:left w:w="57" w:type="dxa"/>
              <w:right w:w="57" w:type="dxa"/>
            </w:tcMar>
            <w:vAlign w:val="bottom"/>
          </w:tcPr>
          <w:p w14:paraId="3F98F943" w14:textId="77777777" w:rsidR="00E96BB6" w:rsidRPr="00E96BB6" w:rsidRDefault="00E96BB6" w:rsidP="002C61B1">
            <w:pPr>
              <w:spacing w:after="0"/>
              <w:ind w:firstLine="0"/>
              <w:jc w:val="right"/>
              <w:rPr>
                <w:rFonts w:cs="Times New Roman"/>
                <w:color w:val="000000"/>
                <w:sz w:val="18"/>
                <w:szCs w:val="18"/>
              </w:rPr>
            </w:pPr>
            <w:r w:rsidRPr="00E96BB6">
              <w:rPr>
                <w:rFonts w:cs="Times New Roman"/>
                <w:color w:val="000000"/>
                <w:sz w:val="18"/>
                <w:szCs w:val="18"/>
              </w:rPr>
              <w:t>-3,2</w:t>
            </w:r>
          </w:p>
        </w:tc>
        <w:tc>
          <w:tcPr>
            <w:tcW w:w="709" w:type="dxa"/>
            <w:shd w:val="clear" w:color="auto" w:fill="auto"/>
            <w:tcMar>
              <w:left w:w="57" w:type="dxa"/>
              <w:right w:w="57" w:type="dxa"/>
            </w:tcMar>
            <w:vAlign w:val="bottom"/>
          </w:tcPr>
          <w:p w14:paraId="6A9F4758" w14:textId="77777777" w:rsidR="00E96BB6" w:rsidRPr="00E96BB6" w:rsidRDefault="00E96BB6" w:rsidP="002C61B1">
            <w:pPr>
              <w:spacing w:after="0" w:line="259" w:lineRule="auto"/>
              <w:ind w:firstLine="0"/>
              <w:jc w:val="right"/>
              <w:rPr>
                <w:rFonts w:cs="Times New Roman"/>
                <w:color w:val="000000"/>
                <w:sz w:val="18"/>
                <w:szCs w:val="18"/>
              </w:rPr>
            </w:pPr>
            <w:r w:rsidRPr="00E96BB6">
              <w:rPr>
                <w:rFonts w:cs="Times New Roman"/>
                <w:color w:val="000000"/>
                <w:sz w:val="18"/>
                <w:szCs w:val="18"/>
              </w:rPr>
              <w:t>-28,8</w:t>
            </w:r>
          </w:p>
        </w:tc>
        <w:tc>
          <w:tcPr>
            <w:tcW w:w="709" w:type="dxa"/>
            <w:shd w:val="clear" w:color="auto" w:fill="auto"/>
            <w:tcMar>
              <w:left w:w="57" w:type="dxa"/>
              <w:right w:w="57" w:type="dxa"/>
            </w:tcMar>
            <w:vAlign w:val="bottom"/>
          </w:tcPr>
          <w:p w14:paraId="7B80EA29" w14:textId="77777777" w:rsidR="00E96BB6" w:rsidRPr="00E96BB6" w:rsidRDefault="00E96BB6" w:rsidP="002C61B1">
            <w:pPr>
              <w:spacing w:after="0" w:line="259" w:lineRule="auto"/>
              <w:ind w:firstLine="0"/>
              <w:jc w:val="right"/>
              <w:rPr>
                <w:rFonts w:cs="Times New Roman"/>
                <w:color w:val="000000"/>
                <w:sz w:val="18"/>
                <w:szCs w:val="18"/>
              </w:rPr>
            </w:pPr>
            <w:r w:rsidRPr="00E96BB6">
              <w:rPr>
                <w:rFonts w:cs="Times New Roman"/>
                <w:color w:val="000000"/>
                <w:sz w:val="18"/>
                <w:szCs w:val="18"/>
              </w:rPr>
              <w:t>-39,9</w:t>
            </w:r>
          </w:p>
        </w:tc>
        <w:tc>
          <w:tcPr>
            <w:tcW w:w="756" w:type="dxa"/>
            <w:shd w:val="clear" w:color="auto" w:fill="auto"/>
            <w:tcMar>
              <w:left w:w="57" w:type="dxa"/>
              <w:right w:w="57" w:type="dxa"/>
            </w:tcMar>
            <w:vAlign w:val="bottom"/>
          </w:tcPr>
          <w:p w14:paraId="1BA41604" w14:textId="77777777" w:rsidR="00E96BB6" w:rsidRPr="00E96BB6" w:rsidRDefault="00E96BB6" w:rsidP="002C61B1">
            <w:pPr>
              <w:spacing w:after="0" w:line="259" w:lineRule="auto"/>
              <w:ind w:firstLine="0"/>
              <w:jc w:val="right"/>
              <w:rPr>
                <w:rFonts w:cs="Times New Roman"/>
                <w:color w:val="000000"/>
                <w:sz w:val="18"/>
                <w:szCs w:val="18"/>
              </w:rPr>
            </w:pPr>
            <w:r w:rsidRPr="00E96BB6">
              <w:rPr>
                <w:rFonts w:cs="Times New Roman"/>
                <w:color w:val="000000"/>
                <w:sz w:val="18"/>
                <w:szCs w:val="18"/>
              </w:rPr>
              <w:t>-39,1</w:t>
            </w:r>
          </w:p>
        </w:tc>
      </w:tr>
      <w:tr w:rsidR="00E96BB6" w:rsidRPr="00E96BB6" w14:paraId="206360AA" w14:textId="77777777" w:rsidTr="002C61B1">
        <w:trPr>
          <w:trHeight w:val="181"/>
          <w:jc w:val="center"/>
        </w:trPr>
        <w:tc>
          <w:tcPr>
            <w:tcW w:w="2830" w:type="dxa"/>
            <w:tcBorders>
              <w:bottom w:val="double" w:sz="4" w:space="0" w:color="auto"/>
            </w:tcBorders>
            <w:shd w:val="clear" w:color="auto" w:fill="auto"/>
            <w:vAlign w:val="center"/>
          </w:tcPr>
          <w:p w14:paraId="2C88454E" w14:textId="77777777" w:rsidR="00E96BB6" w:rsidRPr="00E96BB6" w:rsidRDefault="00E96BB6" w:rsidP="002C61B1">
            <w:pPr>
              <w:spacing w:after="0"/>
              <w:ind w:left="166" w:firstLine="0"/>
              <w:jc w:val="left"/>
              <w:rPr>
                <w:rFonts w:eastAsia="Times New Roman" w:cs="Times New Roman"/>
                <w:noProof/>
                <w:sz w:val="18"/>
                <w:szCs w:val="18"/>
              </w:rPr>
            </w:pPr>
            <w:r w:rsidRPr="00E96BB6">
              <w:rPr>
                <w:rFonts w:eastAsia="Times New Roman" w:cs="Times New Roman"/>
                <w:noProof/>
                <w:sz w:val="18"/>
                <w:szCs w:val="18"/>
              </w:rPr>
              <w:t>Procentu izdevumi</w:t>
            </w:r>
          </w:p>
        </w:tc>
        <w:tc>
          <w:tcPr>
            <w:tcW w:w="851" w:type="dxa"/>
            <w:tcBorders>
              <w:bottom w:val="double" w:sz="4" w:space="0" w:color="auto"/>
            </w:tcBorders>
            <w:shd w:val="clear" w:color="auto" w:fill="auto"/>
            <w:tcMar>
              <w:left w:w="57" w:type="dxa"/>
              <w:right w:w="57" w:type="dxa"/>
            </w:tcMar>
            <w:vAlign w:val="bottom"/>
          </w:tcPr>
          <w:p w14:paraId="02D782C1"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510,9</w:t>
            </w:r>
          </w:p>
        </w:tc>
        <w:tc>
          <w:tcPr>
            <w:tcW w:w="850" w:type="dxa"/>
            <w:tcBorders>
              <w:bottom w:val="double" w:sz="4" w:space="0" w:color="auto"/>
            </w:tcBorders>
            <w:shd w:val="clear" w:color="auto" w:fill="auto"/>
            <w:tcMar>
              <w:left w:w="57" w:type="dxa"/>
              <w:right w:w="57" w:type="dxa"/>
            </w:tcMar>
            <w:vAlign w:val="bottom"/>
          </w:tcPr>
          <w:p w14:paraId="20BFD4AF"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617,7</w:t>
            </w:r>
          </w:p>
        </w:tc>
        <w:tc>
          <w:tcPr>
            <w:tcW w:w="851" w:type="dxa"/>
            <w:tcBorders>
              <w:bottom w:val="double" w:sz="4" w:space="0" w:color="auto"/>
            </w:tcBorders>
            <w:shd w:val="clear" w:color="auto" w:fill="auto"/>
            <w:tcMar>
              <w:left w:w="57" w:type="dxa"/>
              <w:right w:w="57" w:type="dxa"/>
            </w:tcMar>
            <w:vAlign w:val="bottom"/>
          </w:tcPr>
          <w:p w14:paraId="7A4EFFFF"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682,3</w:t>
            </w:r>
          </w:p>
        </w:tc>
        <w:tc>
          <w:tcPr>
            <w:tcW w:w="850" w:type="dxa"/>
            <w:tcBorders>
              <w:bottom w:val="double" w:sz="4" w:space="0" w:color="auto"/>
            </w:tcBorders>
            <w:shd w:val="clear" w:color="auto" w:fill="auto"/>
            <w:tcMar>
              <w:left w:w="57" w:type="dxa"/>
              <w:right w:w="57" w:type="dxa"/>
            </w:tcMar>
            <w:vAlign w:val="bottom"/>
          </w:tcPr>
          <w:p w14:paraId="43BFDE99" w14:textId="77777777" w:rsidR="00E96BB6" w:rsidRPr="00E96BB6" w:rsidRDefault="00E96BB6" w:rsidP="002C61B1">
            <w:pPr>
              <w:spacing w:after="0"/>
              <w:ind w:firstLine="0"/>
              <w:jc w:val="right"/>
              <w:rPr>
                <w:rFonts w:eastAsia="Times New Roman" w:cs="Times New Roman"/>
                <w:sz w:val="18"/>
                <w:szCs w:val="18"/>
              </w:rPr>
            </w:pPr>
            <w:r w:rsidRPr="00E96BB6">
              <w:rPr>
                <w:rFonts w:cs="Times New Roman"/>
                <w:sz w:val="18"/>
                <w:szCs w:val="18"/>
              </w:rPr>
              <w:t>772,3</w:t>
            </w:r>
          </w:p>
        </w:tc>
        <w:tc>
          <w:tcPr>
            <w:tcW w:w="709" w:type="dxa"/>
            <w:tcBorders>
              <w:bottom w:val="double" w:sz="4" w:space="0" w:color="auto"/>
            </w:tcBorders>
            <w:shd w:val="clear" w:color="auto" w:fill="auto"/>
            <w:tcMar>
              <w:left w:w="57" w:type="dxa"/>
              <w:right w:w="57" w:type="dxa"/>
            </w:tcMar>
            <w:vAlign w:val="bottom"/>
          </w:tcPr>
          <w:p w14:paraId="32CB66AE"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+3,8</w:t>
            </w:r>
          </w:p>
        </w:tc>
        <w:tc>
          <w:tcPr>
            <w:tcW w:w="709" w:type="dxa"/>
            <w:tcBorders>
              <w:bottom w:val="double" w:sz="4" w:space="0" w:color="auto"/>
            </w:tcBorders>
            <w:shd w:val="clear" w:color="auto" w:fill="auto"/>
            <w:tcMar>
              <w:left w:w="57" w:type="dxa"/>
              <w:right w:w="57" w:type="dxa"/>
            </w:tcMar>
            <w:vAlign w:val="bottom"/>
          </w:tcPr>
          <w:p w14:paraId="402EE58C"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+11,3</w:t>
            </w:r>
          </w:p>
        </w:tc>
        <w:tc>
          <w:tcPr>
            <w:tcW w:w="709" w:type="dxa"/>
            <w:tcBorders>
              <w:bottom w:val="double" w:sz="4" w:space="0" w:color="auto"/>
            </w:tcBorders>
            <w:shd w:val="clear" w:color="auto" w:fill="auto"/>
            <w:tcMar>
              <w:left w:w="57" w:type="dxa"/>
              <w:right w:w="57" w:type="dxa"/>
            </w:tcMar>
            <w:vAlign w:val="bottom"/>
          </w:tcPr>
          <w:p w14:paraId="6228F882"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+18,0</w:t>
            </w:r>
          </w:p>
        </w:tc>
        <w:tc>
          <w:tcPr>
            <w:tcW w:w="756" w:type="dxa"/>
            <w:tcBorders>
              <w:bottom w:val="double" w:sz="4" w:space="0" w:color="auto"/>
            </w:tcBorders>
            <w:shd w:val="clear" w:color="auto" w:fill="auto"/>
            <w:tcMar>
              <w:left w:w="57" w:type="dxa"/>
              <w:right w:w="57" w:type="dxa"/>
            </w:tcMar>
            <w:vAlign w:val="bottom"/>
          </w:tcPr>
          <w:p w14:paraId="58D28C76"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+24,8</w:t>
            </w:r>
          </w:p>
        </w:tc>
      </w:tr>
      <w:tr w:rsidR="00E96BB6" w:rsidRPr="00E96BB6" w14:paraId="6AEEF205" w14:textId="77777777" w:rsidTr="002C61B1">
        <w:trPr>
          <w:trHeight w:val="349"/>
          <w:jc w:val="center"/>
        </w:trPr>
        <w:tc>
          <w:tcPr>
            <w:tcW w:w="2830" w:type="dxa"/>
            <w:tcBorders>
              <w:top w:val="double" w:sz="4" w:space="0" w:color="auto"/>
              <w:left w:val="single" w:sz="4" w:space="0" w:color="auto"/>
            </w:tcBorders>
            <w:shd w:val="clear" w:color="auto" w:fill="auto"/>
            <w:vAlign w:val="center"/>
          </w:tcPr>
          <w:p w14:paraId="1F800C69" w14:textId="77777777" w:rsidR="00E96BB6" w:rsidRPr="00E96BB6" w:rsidRDefault="00E96BB6" w:rsidP="002C61B1">
            <w:pPr>
              <w:spacing w:after="0"/>
              <w:ind w:firstLine="0"/>
              <w:jc w:val="left"/>
              <w:rPr>
                <w:rFonts w:eastAsia="Times New Roman" w:cs="Times New Roman"/>
                <w:noProof/>
                <w:sz w:val="18"/>
                <w:szCs w:val="18"/>
              </w:rPr>
            </w:pPr>
            <w:r w:rsidRPr="00E96BB6">
              <w:rPr>
                <w:rFonts w:eastAsia="Times New Roman" w:cs="Times New Roman"/>
                <w:noProof/>
                <w:sz w:val="18"/>
                <w:szCs w:val="18"/>
              </w:rPr>
              <w:t xml:space="preserve">   Procentu izdevumi</w:t>
            </w:r>
            <w:r w:rsidRPr="00E96BB6">
              <w:rPr>
                <w:rFonts w:eastAsia="Times New Roman" w:cs="Times New Roman"/>
                <w:noProof/>
                <w:sz w:val="18"/>
                <w:szCs w:val="18"/>
              </w:rPr>
              <w:br/>
              <w:t xml:space="preserve">  (% likmes paliel. par 1 pp)</w:t>
            </w:r>
          </w:p>
        </w:tc>
        <w:tc>
          <w:tcPr>
            <w:tcW w:w="851" w:type="dxa"/>
            <w:tcBorders>
              <w:top w:val="double" w:sz="4" w:space="0" w:color="auto"/>
            </w:tcBorders>
            <w:shd w:val="clear" w:color="auto" w:fill="auto"/>
            <w:tcMar>
              <w:left w:w="57" w:type="dxa"/>
              <w:right w:w="57" w:type="dxa"/>
            </w:tcMar>
            <w:vAlign w:val="center"/>
          </w:tcPr>
          <w:p w14:paraId="0E68E9E5"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458,5</w:t>
            </w:r>
          </w:p>
        </w:tc>
        <w:tc>
          <w:tcPr>
            <w:tcW w:w="850" w:type="dxa"/>
            <w:tcBorders>
              <w:top w:val="double" w:sz="4" w:space="0" w:color="auto"/>
            </w:tcBorders>
            <w:shd w:val="clear" w:color="auto" w:fill="auto"/>
            <w:tcMar>
              <w:left w:w="57" w:type="dxa"/>
              <w:right w:w="57" w:type="dxa"/>
            </w:tcMar>
            <w:vAlign w:val="center"/>
          </w:tcPr>
          <w:p w14:paraId="69E1B02F"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642,8</w:t>
            </w:r>
          </w:p>
        </w:tc>
        <w:tc>
          <w:tcPr>
            <w:tcW w:w="851" w:type="dxa"/>
            <w:tcBorders>
              <w:top w:val="double" w:sz="4" w:space="0" w:color="auto"/>
            </w:tcBorders>
            <w:shd w:val="clear" w:color="auto" w:fill="auto"/>
            <w:tcMar>
              <w:left w:w="57" w:type="dxa"/>
              <w:right w:w="57" w:type="dxa"/>
            </w:tcMar>
            <w:vAlign w:val="center"/>
          </w:tcPr>
          <w:p w14:paraId="1230EB8B"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755,0</w:t>
            </w:r>
          </w:p>
        </w:tc>
        <w:tc>
          <w:tcPr>
            <w:tcW w:w="850" w:type="dxa"/>
            <w:tcBorders>
              <w:top w:val="double" w:sz="4" w:space="0" w:color="auto"/>
            </w:tcBorders>
            <w:shd w:val="clear" w:color="auto" w:fill="auto"/>
            <w:tcMar>
              <w:left w:w="57" w:type="dxa"/>
              <w:right w:w="57" w:type="dxa"/>
            </w:tcMar>
            <w:vAlign w:val="center"/>
          </w:tcPr>
          <w:p w14:paraId="79C8FF9F"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894,1</w:t>
            </w:r>
          </w:p>
        </w:tc>
        <w:tc>
          <w:tcPr>
            <w:tcW w:w="709" w:type="dxa"/>
            <w:tcBorders>
              <w:top w:val="double" w:sz="4" w:space="0" w:color="auto"/>
            </w:tcBorders>
            <w:shd w:val="clear" w:color="auto" w:fill="auto"/>
            <w:tcMar>
              <w:left w:w="57" w:type="dxa"/>
              <w:right w:w="57" w:type="dxa"/>
            </w:tcMar>
            <w:vAlign w:val="center"/>
          </w:tcPr>
          <w:p w14:paraId="2F036595"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+0,0</w:t>
            </w:r>
          </w:p>
        </w:tc>
        <w:tc>
          <w:tcPr>
            <w:tcW w:w="709" w:type="dxa"/>
            <w:tcBorders>
              <w:top w:val="double" w:sz="4" w:space="0" w:color="auto"/>
            </w:tcBorders>
            <w:shd w:val="clear" w:color="auto" w:fill="auto"/>
            <w:tcMar>
              <w:left w:w="57" w:type="dxa"/>
              <w:right w:w="57" w:type="dxa"/>
            </w:tcMar>
            <w:vAlign w:val="center"/>
          </w:tcPr>
          <w:p w14:paraId="305CD17B"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+45,5</w:t>
            </w:r>
          </w:p>
        </w:tc>
        <w:tc>
          <w:tcPr>
            <w:tcW w:w="709" w:type="dxa"/>
            <w:tcBorders>
              <w:top w:val="double" w:sz="4" w:space="0" w:color="auto"/>
            </w:tcBorders>
            <w:shd w:val="clear" w:color="auto" w:fill="auto"/>
            <w:tcMar>
              <w:left w:w="57" w:type="dxa"/>
              <w:right w:w="57" w:type="dxa"/>
            </w:tcMar>
            <w:vAlign w:val="center"/>
          </w:tcPr>
          <w:p w14:paraId="73DD390B"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+87,9</w:t>
            </w:r>
          </w:p>
        </w:tc>
        <w:tc>
          <w:tcPr>
            <w:tcW w:w="756" w:type="dxa"/>
            <w:tcBorders>
              <w:top w:val="double" w:sz="4" w:space="0" w:color="auto"/>
              <w:right w:val="single" w:sz="4" w:space="0" w:color="auto"/>
            </w:tcBorders>
            <w:shd w:val="clear" w:color="auto" w:fill="auto"/>
            <w:tcMar>
              <w:left w:w="57" w:type="dxa"/>
              <w:right w:w="57" w:type="dxa"/>
            </w:tcMar>
            <w:vAlign w:val="center"/>
          </w:tcPr>
          <w:p w14:paraId="08E24147"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+134,9</w:t>
            </w:r>
          </w:p>
        </w:tc>
      </w:tr>
      <w:tr w:rsidR="00E96BB6" w:rsidRPr="00E96BB6" w14:paraId="20271066" w14:textId="77777777" w:rsidTr="002C61B1">
        <w:trPr>
          <w:trHeight w:val="361"/>
          <w:jc w:val="center"/>
        </w:trPr>
        <w:tc>
          <w:tcPr>
            <w:tcW w:w="2830" w:type="dxa"/>
            <w:tcBorders>
              <w:left w:val="single" w:sz="4" w:space="0" w:color="auto"/>
              <w:bottom w:val="double" w:sz="4" w:space="0" w:color="auto"/>
            </w:tcBorders>
            <w:shd w:val="clear" w:color="auto" w:fill="auto"/>
            <w:vAlign w:val="center"/>
          </w:tcPr>
          <w:p w14:paraId="6BC7909E" w14:textId="77777777" w:rsidR="00E96BB6" w:rsidRPr="00E96BB6" w:rsidRDefault="00E96BB6" w:rsidP="002C61B1">
            <w:pPr>
              <w:spacing w:after="0"/>
              <w:ind w:firstLine="0"/>
              <w:jc w:val="left"/>
              <w:rPr>
                <w:rFonts w:eastAsia="Calibri" w:cs="Times New Roman"/>
                <w:noProof/>
                <w:sz w:val="18"/>
                <w:szCs w:val="18"/>
                <w:lang w:eastAsia="en-US"/>
              </w:rPr>
            </w:pPr>
            <w:r w:rsidRPr="00E96BB6">
              <w:rPr>
                <w:rFonts w:eastAsia="Times New Roman" w:cs="Times New Roman"/>
                <w:noProof/>
                <w:sz w:val="18"/>
                <w:szCs w:val="18"/>
              </w:rPr>
              <w:t xml:space="preserve">   Procentu izdevumi</w:t>
            </w:r>
            <w:r w:rsidRPr="00E96BB6">
              <w:rPr>
                <w:rFonts w:eastAsia="Times New Roman" w:cs="Times New Roman"/>
                <w:noProof/>
                <w:sz w:val="18"/>
                <w:szCs w:val="18"/>
              </w:rPr>
              <w:br/>
              <w:t xml:space="preserve">   (% likmes samaz. par 1 pp)</w:t>
            </w:r>
          </w:p>
        </w:tc>
        <w:tc>
          <w:tcPr>
            <w:tcW w:w="851" w:type="dxa"/>
            <w:tcBorders>
              <w:bottom w:val="double" w:sz="4" w:space="0" w:color="auto"/>
            </w:tcBorders>
            <w:shd w:val="clear" w:color="auto" w:fill="auto"/>
            <w:tcMar>
              <w:left w:w="57" w:type="dxa"/>
              <w:right w:w="57" w:type="dxa"/>
            </w:tcMar>
            <w:vAlign w:val="center"/>
          </w:tcPr>
          <w:p w14:paraId="6203DF54"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458,5</w:t>
            </w:r>
          </w:p>
        </w:tc>
        <w:tc>
          <w:tcPr>
            <w:tcW w:w="850" w:type="dxa"/>
            <w:tcBorders>
              <w:bottom w:val="double" w:sz="4" w:space="0" w:color="auto"/>
            </w:tcBorders>
            <w:shd w:val="clear" w:color="auto" w:fill="auto"/>
            <w:tcMar>
              <w:left w:w="57" w:type="dxa"/>
              <w:right w:w="57" w:type="dxa"/>
            </w:tcMar>
            <w:vAlign w:val="center"/>
          </w:tcPr>
          <w:p w14:paraId="499B82F1"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566,8</w:t>
            </w:r>
          </w:p>
        </w:tc>
        <w:tc>
          <w:tcPr>
            <w:tcW w:w="851" w:type="dxa"/>
            <w:tcBorders>
              <w:bottom w:val="double" w:sz="4" w:space="0" w:color="auto"/>
            </w:tcBorders>
            <w:shd w:val="clear" w:color="auto" w:fill="auto"/>
            <w:tcMar>
              <w:left w:w="57" w:type="dxa"/>
              <w:right w:w="57" w:type="dxa"/>
            </w:tcMar>
            <w:vAlign w:val="center"/>
          </w:tcPr>
          <w:p w14:paraId="6DFB20D4"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607,8</w:t>
            </w:r>
          </w:p>
        </w:tc>
        <w:tc>
          <w:tcPr>
            <w:tcW w:w="850" w:type="dxa"/>
            <w:tcBorders>
              <w:bottom w:val="double" w:sz="4" w:space="0" w:color="auto"/>
            </w:tcBorders>
            <w:shd w:val="clear" w:color="auto" w:fill="auto"/>
            <w:tcMar>
              <w:left w:w="57" w:type="dxa"/>
              <w:right w:w="57" w:type="dxa"/>
            </w:tcMar>
            <w:vAlign w:val="center"/>
          </w:tcPr>
          <w:p w14:paraId="56275794"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666,3</w:t>
            </w:r>
          </w:p>
        </w:tc>
        <w:tc>
          <w:tcPr>
            <w:tcW w:w="709" w:type="dxa"/>
            <w:tcBorders>
              <w:bottom w:val="double" w:sz="4" w:space="0" w:color="auto"/>
            </w:tcBorders>
            <w:shd w:val="clear" w:color="auto" w:fill="auto"/>
            <w:tcMar>
              <w:left w:w="57" w:type="dxa"/>
              <w:right w:w="57" w:type="dxa"/>
            </w:tcMar>
            <w:vAlign w:val="center"/>
          </w:tcPr>
          <w:p w14:paraId="3E57BEA1" w14:textId="77777777" w:rsidR="00E96BB6" w:rsidRPr="00E96BB6" w:rsidRDefault="00E96BB6" w:rsidP="002C61B1">
            <w:pPr>
              <w:spacing w:after="0"/>
              <w:ind w:firstLine="0"/>
              <w:jc w:val="right"/>
              <w:rPr>
                <w:rFonts w:eastAsia="Times New Roman" w:cs="Times New Roman"/>
                <w:color w:val="FF0000"/>
                <w:sz w:val="18"/>
                <w:szCs w:val="18"/>
              </w:rPr>
            </w:pPr>
            <w:r w:rsidRPr="00E96BB6">
              <w:rPr>
                <w:rFonts w:cs="Times New Roman"/>
                <w:color w:val="000000"/>
                <w:sz w:val="18"/>
                <w:szCs w:val="18"/>
              </w:rPr>
              <w:t>+0,0</w:t>
            </w:r>
          </w:p>
        </w:tc>
        <w:tc>
          <w:tcPr>
            <w:tcW w:w="709" w:type="dxa"/>
            <w:tcBorders>
              <w:bottom w:val="double" w:sz="4" w:space="0" w:color="auto"/>
            </w:tcBorders>
            <w:shd w:val="clear" w:color="auto" w:fill="auto"/>
            <w:tcMar>
              <w:left w:w="57" w:type="dxa"/>
              <w:right w:w="57" w:type="dxa"/>
            </w:tcMar>
            <w:vAlign w:val="center"/>
          </w:tcPr>
          <w:p w14:paraId="4738F59D"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-30,5</w:t>
            </w:r>
          </w:p>
        </w:tc>
        <w:tc>
          <w:tcPr>
            <w:tcW w:w="709" w:type="dxa"/>
            <w:tcBorders>
              <w:bottom w:val="double" w:sz="4" w:space="0" w:color="auto"/>
            </w:tcBorders>
            <w:shd w:val="clear" w:color="auto" w:fill="auto"/>
            <w:tcMar>
              <w:left w:w="57" w:type="dxa"/>
              <w:right w:w="57" w:type="dxa"/>
            </w:tcMar>
            <w:vAlign w:val="center"/>
          </w:tcPr>
          <w:p w14:paraId="6F335AAE"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-59,4</w:t>
            </w:r>
          </w:p>
        </w:tc>
        <w:tc>
          <w:tcPr>
            <w:tcW w:w="756" w:type="dxa"/>
            <w:tcBorders>
              <w:bottom w:val="double" w:sz="4" w:space="0" w:color="auto"/>
              <w:right w:val="single" w:sz="4" w:space="0" w:color="auto"/>
            </w:tcBorders>
            <w:shd w:val="clear" w:color="auto" w:fill="auto"/>
            <w:tcMar>
              <w:left w:w="57" w:type="dxa"/>
              <w:right w:w="57" w:type="dxa"/>
            </w:tcMar>
            <w:vAlign w:val="center"/>
          </w:tcPr>
          <w:p w14:paraId="202AAC77" w14:textId="77777777" w:rsidR="00E96BB6" w:rsidRPr="00E96BB6" w:rsidRDefault="00E96BB6" w:rsidP="002C61B1">
            <w:pPr>
              <w:spacing w:after="0" w:line="259" w:lineRule="auto"/>
              <w:ind w:firstLine="0"/>
              <w:jc w:val="right"/>
              <w:rPr>
                <w:rFonts w:eastAsia="Times New Roman" w:cs="Times New Roman"/>
                <w:color w:val="FF0000"/>
                <w:sz w:val="18"/>
                <w:szCs w:val="18"/>
              </w:rPr>
            </w:pPr>
            <w:r w:rsidRPr="00E96BB6">
              <w:rPr>
                <w:rFonts w:cs="Times New Roman"/>
                <w:color w:val="000000"/>
                <w:sz w:val="18"/>
                <w:szCs w:val="18"/>
              </w:rPr>
              <w:t>-92,9</w:t>
            </w:r>
          </w:p>
        </w:tc>
      </w:tr>
      <w:tr w:rsidR="00E96BB6" w:rsidRPr="00E96BB6" w14:paraId="27DE452F" w14:textId="77777777" w:rsidTr="002C61B1">
        <w:trPr>
          <w:trHeight w:val="333"/>
          <w:jc w:val="center"/>
        </w:trPr>
        <w:tc>
          <w:tcPr>
            <w:tcW w:w="2830" w:type="dxa"/>
            <w:tcBorders>
              <w:top w:val="double" w:sz="4" w:space="0" w:color="auto"/>
            </w:tcBorders>
            <w:shd w:val="clear" w:color="auto" w:fill="auto"/>
            <w:vAlign w:val="center"/>
          </w:tcPr>
          <w:p w14:paraId="15ACD141" w14:textId="77777777" w:rsidR="00E96BB6" w:rsidRPr="00E96BB6" w:rsidRDefault="00E96BB6" w:rsidP="002C61B1">
            <w:pPr>
              <w:spacing w:after="0"/>
              <w:ind w:firstLine="0"/>
              <w:jc w:val="left"/>
              <w:rPr>
                <w:rFonts w:eastAsia="Times New Roman" w:cs="Times New Roman"/>
                <w:b/>
                <w:noProof/>
                <w:sz w:val="18"/>
                <w:szCs w:val="18"/>
              </w:rPr>
            </w:pPr>
            <w:r w:rsidRPr="00E96BB6">
              <w:rPr>
                <w:rFonts w:eastAsia="Times New Roman" w:cs="Times New Roman"/>
                <w:b/>
                <w:noProof/>
                <w:sz w:val="18"/>
                <w:szCs w:val="18"/>
              </w:rPr>
              <w:t>Vispārējās valdības parāds,</w:t>
            </w:r>
            <w:r w:rsidRPr="00E96BB6">
              <w:rPr>
                <w:rFonts w:eastAsia="Times New Roman" w:cs="Times New Roman"/>
                <w:b/>
                <w:noProof/>
                <w:sz w:val="18"/>
                <w:szCs w:val="18"/>
              </w:rPr>
              <w:br/>
              <w:t xml:space="preserve">% no IKP </w:t>
            </w:r>
          </w:p>
        </w:tc>
        <w:tc>
          <w:tcPr>
            <w:tcW w:w="851" w:type="dxa"/>
            <w:tcBorders>
              <w:top w:val="double" w:sz="4" w:space="0" w:color="auto"/>
            </w:tcBorders>
            <w:shd w:val="clear" w:color="auto" w:fill="auto"/>
            <w:tcMar>
              <w:left w:w="57" w:type="dxa"/>
              <w:right w:w="57" w:type="dxa"/>
            </w:tcMar>
            <w:vAlign w:val="center"/>
          </w:tcPr>
          <w:p w14:paraId="21E466EF" w14:textId="77777777" w:rsidR="00E96BB6" w:rsidRPr="00E96BB6" w:rsidRDefault="00E96BB6" w:rsidP="002C61B1">
            <w:pPr>
              <w:spacing w:after="0"/>
              <w:ind w:firstLine="0"/>
              <w:jc w:val="right"/>
              <w:rPr>
                <w:rFonts w:eastAsia="Times New Roman" w:cs="Times New Roman"/>
                <w:b/>
                <w:noProof/>
                <w:sz w:val="18"/>
                <w:szCs w:val="18"/>
              </w:rPr>
            </w:pPr>
            <w:r w:rsidRPr="00E96BB6">
              <w:rPr>
                <w:rFonts w:eastAsia="Times New Roman" w:cs="Times New Roman"/>
                <w:b/>
                <w:noProof/>
                <w:sz w:val="18"/>
                <w:szCs w:val="18"/>
              </w:rPr>
              <w:t>48,6%</w:t>
            </w:r>
          </w:p>
        </w:tc>
        <w:tc>
          <w:tcPr>
            <w:tcW w:w="850" w:type="dxa"/>
            <w:tcBorders>
              <w:top w:val="double" w:sz="4" w:space="0" w:color="auto"/>
            </w:tcBorders>
            <w:shd w:val="clear" w:color="auto" w:fill="auto"/>
            <w:tcMar>
              <w:left w:w="57" w:type="dxa"/>
              <w:right w:w="57" w:type="dxa"/>
            </w:tcMar>
            <w:vAlign w:val="center"/>
          </w:tcPr>
          <w:p w14:paraId="524D9AC4" w14:textId="77777777" w:rsidR="00E96BB6" w:rsidRPr="00E96BB6" w:rsidRDefault="00E96BB6" w:rsidP="002C61B1">
            <w:pPr>
              <w:spacing w:after="0"/>
              <w:ind w:firstLine="0"/>
              <w:jc w:val="right"/>
              <w:rPr>
                <w:rFonts w:eastAsia="Times New Roman" w:cs="Times New Roman"/>
                <w:b/>
                <w:noProof/>
                <w:sz w:val="18"/>
                <w:szCs w:val="18"/>
              </w:rPr>
            </w:pPr>
            <w:r w:rsidRPr="00E96BB6">
              <w:rPr>
                <w:rFonts w:eastAsia="Times New Roman" w:cs="Times New Roman"/>
                <w:b/>
                <w:noProof/>
                <w:sz w:val="18"/>
                <w:szCs w:val="18"/>
              </w:rPr>
              <w:t>49,2%</w:t>
            </w:r>
          </w:p>
        </w:tc>
        <w:tc>
          <w:tcPr>
            <w:tcW w:w="851" w:type="dxa"/>
            <w:tcBorders>
              <w:top w:val="double" w:sz="4" w:space="0" w:color="auto"/>
            </w:tcBorders>
            <w:shd w:val="clear" w:color="auto" w:fill="auto"/>
            <w:tcMar>
              <w:left w:w="57" w:type="dxa"/>
              <w:right w:w="57" w:type="dxa"/>
            </w:tcMar>
            <w:vAlign w:val="center"/>
          </w:tcPr>
          <w:p w14:paraId="06373709" w14:textId="77777777" w:rsidR="00E96BB6" w:rsidRPr="00E96BB6" w:rsidRDefault="00E96BB6" w:rsidP="002C61B1">
            <w:pPr>
              <w:spacing w:after="0"/>
              <w:ind w:firstLine="0"/>
              <w:jc w:val="right"/>
              <w:rPr>
                <w:rFonts w:eastAsia="Times New Roman" w:cs="Times New Roman"/>
                <w:b/>
                <w:noProof/>
                <w:sz w:val="18"/>
                <w:szCs w:val="18"/>
              </w:rPr>
            </w:pPr>
            <w:r w:rsidRPr="00E96BB6">
              <w:rPr>
                <w:rFonts w:eastAsia="Times New Roman" w:cs="Times New Roman"/>
                <w:b/>
                <w:noProof/>
                <w:sz w:val="18"/>
                <w:szCs w:val="18"/>
              </w:rPr>
              <w:t>52,4%</w:t>
            </w:r>
          </w:p>
        </w:tc>
        <w:tc>
          <w:tcPr>
            <w:tcW w:w="850" w:type="dxa"/>
            <w:tcBorders>
              <w:top w:val="double" w:sz="4" w:space="0" w:color="auto"/>
            </w:tcBorders>
            <w:shd w:val="clear" w:color="auto" w:fill="auto"/>
            <w:tcMar>
              <w:left w:w="57" w:type="dxa"/>
              <w:right w:w="57" w:type="dxa"/>
            </w:tcMar>
            <w:vAlign w:val="center"/>
          </w:tcPr>
          <w:p w14:paraId="0F4701FB" w14:textId="77777777" w:rsidR="00E96BB6" w:rsidRPr="00E96BB6" w:rsidRDefault="00E96BB6" w:rsidP="002C61B1">
            <w:pPr>
              <w:spacing w:after="0"/>
              <w:ind w:firstLine="0"/>
              <w:jc w:val="right"/>
              <w:rPr>
                <w:rFonts w:eastAsia="Times New Roman" w:cs="Times New Roman"/>
                <w:b/>
                <w:noProof/>
                <w:sz w:val="18"/>
                <w:szCs w:val="18"/>
              </w:rPr>
            </w:pPr>
            <w:r w:rsidRPr="00E96BB6">
              <w:rPr>
                <w:rFonts w:eastAsia="Times New Roman" w:cs="Times New Roman"/>
                <w:b/>
                <w:noProof/>
                <w:sz w:val="18"/>
                <w:szCs w:val="18"/>
              </w:rPr>
              <w:t>51,9%</w:t>
            </w:r>
          </w:p>
        </w:tc>
        <w:tc>
          <w:tcPr>
            <w:tcW w:w="709" w:type="dxa"/>
            <w:tcBorders>
              <w:top w:val="double" w:sz="4" w:space="0" w:color="auto"/>
            </w:tcBorders>
            <w:shd w:val="clear" w:color="auto" w:fill="auto"/>
            <w:tcMar>
              <w:left w:w="57" w:type="dxa"/>
              <w:right w:w="57" w:type="dxa"/>
            </w:tcMar>
            <w:vAlign w:val="center"/>
          </w:tcPr>
          <w:p w14:paraId="3223A605" w14:textId="77777777" w:rsidR="00E96BB6" w:rsidRPr="00E96BB6" w:rsidRDefault="00E96BB6" w:rsidP="002C61B1">
            <w:pPr>
              <w:spacing w:after="0"/>
              <w:ind w:firstLine="0"/>
              <w:jc w:val="right"/>
              <w:rPr>
                <w:rFonts w:eastAsia="Times New Roman" w:cs="Times New Roman"/>
                <w:b/>
                <w:noProof/>
                <w:sz w:val="18"/>
                <w:szCs w:val="18"/>
              </w:rPr>
            </w:pPr>
            <w:r w:rsidRPr="00E96BB6">
              <w:rPr>
                <w:rFonts w:eastAsia="Times New Roman" w:cs="Times New Roman"/>
                <w:b/>
                <w:noProof/>
                <w:sz w:val="18"/>
                <w:szCs w:val="18"/>
              </w:rPr>
              <w:t>+1,6 pp</w:t>
            </w:r>
          </w:p>
        </w:tc>
        <w:tc>
          <w:tcPr>
            <w:tcW w:w="709" w:type="dxa"/>
            <w:tcBorders>
              <w:top w:val="double" w:sz="4" w:space="0" w:color="auto"/>
            </w:tcBorders>
            <w:shd w:val="clear" w:color="auto" w:fill="auto"/>
            <w:tcMar>
              <w:left w:w="57" w:type="dxa"/>
              <w:right w:w="57" w:type="dxa"/>
            </w:tcMar>
            <w:vAlign w:val="center"/>
          </w:tcPr>
          <w:p w14:paraId="1CA4CB43" w14:textId="77777777" w:rsidR="00E96BB6" w:rsidRPr="00E96BB6" w:rsidRDefault="00E96BB6" w:rsidP="002C61B1">
            <w:pPr>
              <w:spacing w:after="0" w:line="259" w:lineRule="auto"/>
              <w:ind w:firstLine="0"/>
              <w:jc w:val="right"/>
              <w:rPr>
                <w:rFonts w:eastAsia="Times New Roman" w:cs="Times New Roman"/>
                <w:b/>
                <w:noProof/>
                <w:sz w:val="18"/>
                <w:szCs w:val="18"/>
              </w:rPr>
            </w:pPr>
            <w:r w:rsidRPr="00E96BB6">
              <w:rPr>
                <w:rFonts w:eastAsia="Times New Roman" w:cs="Times New Roman"/>
                <w:b/>
                <w:noProof/>
                <w:sz w:val="18"/>
                <w:szCs w:val="18"/>
              </w:rPr>
              <w:t>+2,0 pp</w:t>
            </w:r>
          </w:p>
        </w:tc>
        <w:tc>
          <w:tcPr>
            <w:tcW w:w="709" w:type="dxa"/>
            <w:tcBorders>
              <w:top w:val="double" w:sz="4" w:space="0" w:color="auto"/>
            </w:tcBorders>
            <w:shd w:val="clear" w:color="auto" w:fill="auto"/>
            <w:tcMar>
              <w:left w:w="57" w:type="dxa"/>
              <w:right w:w="57" w:type="dxa"/>
            </w:tcMar>
            <w:vAlign w:val="center"/>
          </w:tcPr>
          <w:p w14:paraId="79167AB7" w14:textId="77777777" w:rsidR="00E96BB6" w:rsidRPr="00E96BB6" w:rsidRDefault="00E96BB6" w:rsidP="002C61B1">
            <w:pPr>
              <w:spacing w:after="0" w:line="259" w:lineRule="auto"/>
              <w:ind w:firstLine="0"/>
              <w:jc w:val="right"/>
              <w:rPr>
                <w:rFonts w:eastAsia="Times New Roman" w:cs="Times New Roman"/>
                <w:b/>
                <w:noProof/>
                <w:sz w:val="18"/>
                <w:szCs w:val="18"/>
              </w:rPr>
            </w:pPr>
            <w:r w:rsidRPr="00E96BB6">
              <w:rPr>
                <w:rFonts w:eastAsia="Times New Roman" w:cs="Times New Roman"/>
                <w:b/>
                <w:noProof/>
                <w:sz w:val="18"/>
                <w:szCs w:val="18"/>
              </w:rPr>
              <w:t>+2,4 pp</w:t>
            </w:r>
          </w:p>
        </w:tc>
        <w:tc>
          <w:tcPr>
            <w:tcW w:w="756" w:type="dxa"/>
            <w:tcBorders>
              <w:top w:val="double" w:sz="4" w:space="0" w:color="auto"/>
            </w:tcBorders>
            <w:shd w:val="clear" w:color="auto" w:fill="auto"/>
            <w:tcMar>
              <w:left w:w="57" w:type="dxa"/>
              <w:right w:w="57" w:type="dxa"/>
            </w:tcMar>
            <w:vAlign w:val="center"/>
          </w:tcPr>
          <w:p w14:paraId="6E6EB337" w14:textId="77777777" w:rsidR="00E96BB6" w:rsidRPr="00E96BB6" w:rsidRDefault="00E96BB6" w:rsidP="002C61B1">
            <w:pPr>
              <w:spacing w:after="0" w:line="259" w:lineRule="auto"/>
              <w:ind w:firstLine="0"/>
              <w:jc w:val="right"/>
              <w:rPr>
                <w:rFonts w:eastAsia="Times New Roman" w:cs="Times New Roman"/>
                <w:b/>
                <w:noProof/>
                <w:sz w:val="18"/>
                <w:szCs w:val="18"/>
              </w:rPr>
            </w:pPr>
            <w:r w:rsidRPr="00E96BB6">
              <w:rPr>
                <w:rFonts w:eastAsia="Times New Roman" w:cs="Times New Roman"/>
                <w:b/>
                <w:noProof/>
                <w:sz w:val="18"/>
                <w:szCs w:val="18"/>
              </w:rPr>
              <w:t>+2,7 pp</w:t>
            </w:r>
          </w:p>
        </w:tc>
      </w:tr>
    </w:tbl>
    <w:p w14:paraId="1510EDD3" w14:textId="51FAFA82" w:rsidR="00E96BB6" w:rsidRPr="00E96BB6" w:rsidRDefault="00E96BB6" w:rsidP="00E96BB6">
      <w:pPr>
        <w:autoSpaceDE w:val="0"/>
        <w:autoSpaceDN w:val="0"/>
        <w:adjustRightInd w:val="0"/>
        <w:spacing w:before="120"/>
        <w:rPr>
          <w:rFonts w:eastAsia="Times New Roman" w:cs="Times New Roman"/>
          <w:noProof/>
          <w:szCs w:val="24"/>
        </w:rPr>
      </w:pPr>
      <w:r w:rsidRPr="00E96BB6">
        <w:rPr>
          <w:rFonts w:eastAsia="Times New Roman" w:cs="Times New Roman"/>
          <w:noProof/>
          <w:szCs w:val="24"/>
        </w:rPr>
        <w:t xml:space="preserve">Iestājoties pesimistiskajam scenārijam, vispārējās valdības parāda līmenis pieaugs 2024. gadā par 0,7 pp, 2025. gadā par 1,6 pp, 2026. gadā par 2,0 pp, 2027. gadā par 2,4 pp un 2028. gadā par 2,7 pp. Sagaidāms, ka parāda līmenis, pesimistiskajam scenārijam iestājoties, 2027. gadā sasniegtu jau 52,4% no IKP. Papildus tiek aplūkoti scenāriji, kuros aizņemšanās procentu likmes parāda pārfinansēšanai nosvārstās viena pp robežās – par vienu pp palielinoties vai konkrētajā apmērā samazinoties. Procentu likmēm par vienu pp palielinoties, procentu izdevumi 2026. gadā palielinātos par 45,5 milj. </w:t>
      </w:r>
      <w:r w:rsidRPr="00E96BB6">
        <w:rPr>
          <w:rFonts w:eastAsia="Times New Roman" w:cs="Times New Roman"/>
          <w:i/>
          <w:noProof/>
          <w:szCs w:val="24"/>
        </w:rPr>
        <w:t>euro</w:t>
      </w:r>
      <w:r w:rsidRPr="00E96BB6">
        <w:rPr>
          <w:rFonts w:eastAsia="Times New Roman" w:cs="Times New Roman"/>
          <w:noProof/>
          <w:szCs w:val="24"/>
        </w:rPr>
        <w:t xml:space="preserve">, 2027. gadā par 87,9 milj. </w:t>
      </w:r>
      <w:r w:rsidRPr="00E96BB6">
        <w:rPr>
          <w:rFonts w:eastAsia="Times New Roman" w:cs="Times New Roman"/>
          <w:i/>
          <w:noProof/>
          <w:szCs w:val="24"/>
        </w:rPr>
        <w:t>euro</w:t>
      </w:r>
      <w:r w:rsidRPr="00E96BB6">
        <w:rPr>
          <w:rFonts w:eastAsia="Times New Roman" w:cs="Times New Roman"/>
          <w:noProof/>
          <w:szCs w:val="24"/>
        </w:rPr>
        <w:t xml:space="preserve">, bet 2028. gadā būtu jau par 134,9 milj. </w:t>
      </w:r>
      <w:r w:rsidRPr="00E96BB6">
        <w:rPr>
          <w:rFonts w:eastAsia="Times New Roman" w:cs="Times New Roman"/>
          <w:i/>
          <w:iCs/>
          <w:noProof/>
          <w:szCs w:val="24"/>
        </w:rPr>
        <w:t>euro</w:t>
      </w:r>
      <w:r w:rsidRPr="00E96BB6">
        <w:rPr>
          <w:rFonts w:eastAsia="Times New Roman" w:cs="Times New Roman"/>
          <w:noProof/>
          <w:szCs w:val="24"/>
        </w:rPr>
        <w:t xml:space="preserve"> lielāki nekā bāzes scenārijā. Savukārt, procentu likmēm par vienu pp samazinoties, izdevumi 2026. gadā samazinātos par 30,5 milj. </w:t>
      </w:r>
      <w:r w:rsidRPr="00E96BB6">
        <w:rPr>
          <w:rFonts w:eastAsia="Times New Roman" w:cs="Times New Roman"/>
          <w:i/>
          <w:noProof/>
          <w:szCs w:val="24"/>
        </w:rPr>
        <w:t>euro</w:t>
      </w:r>
      <w:r w:rsidRPr="00E96BB6">
        <w:rPr>
          <w:rFonts w:eastAsia="Times New Roman" w:cs="Times New Roman"/>
          <w:noProof/>
          <w:szCs w:val="24"/>
        </w:rPr>
        <w:t xml:space="preserve">, bet 2027. gadā izdevumi būtu par 59,4 milj. </w:t>
      </w:r>
      <w:r w:rsidRPr="00E96BB6">
        <w:rPr>
          <w:rFonts w:eastAsia="Times New Roman" w:cs="Times New Roman"/>
          <w:i/>
          <w:noProof/>
          <w:szCs w:val="24"/>
        </w:rPr>
        <w:t>euro</w:t>
      </w:r>
      <w:r w:rsidRPr="00E96BB6">
        <w:rPr>
          <w:rFonts w:eastAsia="Times New Roman" w:cs="Times New Roman"/>
          <w:noProof/>
          <w:szCs w:val="24"/>
        </w:rPr>
        <w:t xml:space="preserve"> mazāki un 2028. gadā par 92,9 milj. </w:t>
      </w:r>
      <w:r w:rsidRPr="00E96BB6">
        <w:rPr>
          <w:rFonts w:eastAsia="Times New Roman" w:cs="Times New Roman"/>
          <w:i/>
          <w:noProof/>
          <w:szCs w:val="24"/>
        </w:rPr>
        <w:t>euro</w:t>
      </w:r>
      <w:r w:rsidRPr="00E96BB6">
        <w:rPr>
          <w:rFonts w:eastAsia="Times New Roman" w:cs="Times New Roman"/>
          <w:noProof/>
          <w:szCs w:val="24"/>
        </w:rPr>
        <w:t xml:space="preserve"> mazāki nekā bāzes scenārijā.</w:t>
      </w:r>
    </w:p>
    <w:p w14:paraId="458071A6" w14:textId="77777777" w:rsidR="00E96BB6" w:rsidRPr="00331E6F" w:rsidRDefault="00E96BB6" w:rsidP="00E96BB6">
      <w:pPr>
        <w:spacing w:before="240" w:after="240"/>
        <w:ind w:firstLine="0"/>
        <w:jc w:val="center"/>
        <w:outlineLvl w:val="2"/>
        <w:rPr>
          <w:rFonts w:eastAsia="Times New Roman" w:cs="Times New Roman"/>
          <w:b/>
          <w:sz w:val="32"/>
          <w:szCs w:val="20"/>
          <w:lang w:eastAsia="en-US"/>
        </w:rPr>
      </w:pPr>
      <w:bookmarkStart w:id="37" w:name="_Toc126011237"/>
      <w:bookmarkStart w:id="38" w:name="_Toc126236640"/>
      <w:bookmarkStart w:id="39" w:name="_Toc179356077"/>
      <w:r w:rsidRPr="00E96BB6">
        <w:rPr>
          <w:rFonts w:eastAsia="Times New Roman" w:cs="Times New Roman"/>
          <w:b/>
          <w:sz w:val="32"/>
          <w:szCs w:val="20"/>
          <w:lang w:eastAsia="en-US"/>
        </w:rPr>
        <w:t>1.5</w:t>
      </w:r>
      <w:r w:rsidRPr="00331E6F">
        <w:rPr>
          <w:rFonts w:eastAsia="Times New Roman" w:cs="Times New Roman"/>
          <w:b/>
          <w:sz w:val="32"/>
          <w:szCs w:val="20"/>
          <w:lang w:eastAsia="en-US"/>
        </w:rPr>
        <w:t>.2. Optimistiskais scenārijs</w:t>
      </w:r>
      <w:bookmarkEnd w:id="37"/>
      <w:bookmarkEnd w:id="38"/>
      <w:bookmarkEnd w:id="39"/>
    </w:p>
    <w:p w14:paraId="6B94B768" w14:textId="2DE86CBE" w:rsidR="00E96BB6" w:rsidRPr="00331E6F" w:rsidRDefault="00E96BB6" w:rsidP="00E96BB6">
      <w:pPr>
        <w:autoSpaceDE w:val="0"/>
        <w:autoSpaceDN w:val="0"/>
        <w:adjustRightInd w:val="0"/>
        <w:rPr>
          <w:rFonts w:eastAsia="Calibri" w:cs="Times New Roman"/>
          <w:noProof/>
        </w:rPr>
      </w:pPr>
      <w:r w:rsidRPr="00331E6F">
        <w:rPr>
          <w:rFonts w:eastAsia="Calibri" w:cs="Times New Roman"/>
          <w:noProof/>
        </w:rPr>
        <w:t xml:space="preserve">Optimistiskais scenārijs turpretim paredz straujāku </w:t>
      </w:r>
      <w:r w:rsidRPr="00331E6F">
        <w:rPr>
          <w:rFonts w:eastAsia="Calibri" w:cs="Times New Roman"/>
          <w:i/>
          <w:iCs/>
          <w:noProof/>
        </w:rPr>
        <w:t>euro</w:t>
      </w:r>
      <w:r w:rsidRPr="00331E6F">
        <w:rPr>
          <w:rFonts w:eastAsia="Calibri" w:cs="Times New Roman"/>
          <w:noProof/>
        </w:rPr>
        <w:t xml:space="preserve"> zonas ekonomikas atkopšanos, jo </w:t>
      </w:r>
      <w:r w:rsidRPr="00331E6F">
        <w:rPr>
          <w:rFonts w:eastAsia="Calibri" w:cs="Times New Roman"/>
          <w:i/>
          <w:iCs/>
          <w:noProof/>
        </w:rPr>
        <w:t>e</w:t>
      </w:r>
      <w:r w:rsidR="00331E6F" w:rsidRPr="00331E6F">
        <w:rPr>
          <w:rFonts w:eastAsia="Calibri" w:cs="Times New Roman"/>
          <w:i/>
          <w:iCs/>
          <w:noProof/>
        </w:rPr>
        <w:t>u</w:t>
      </w:r>
      <w:r w:rsidRPr="00331E6F">
        <w:rPr>
          <w:rFonts w:eastAsia="Calibri" w:cs="Times New Roman"/>
          <w:i/>
          <w:iCs/>
          <w:noProof/>
        </w:rPr>
        <w:t>ro</w:t>
      </w:r>
      <w:r w:rsidR="00331E6F" w:rsidRPr="00331E6F">
        <w:rPr>
          <w:rFonts w:eastAsia="Calibri" w:cs="Times New Roman"/>
          <w:noProof/>
        </w:rPr>
        <w:t xml:space="preserve"> </w:t>
      </w:r>
      <w:r w:rsidRPr="00331E6F">
        <w:rPr>
          <w:rFonts w:eastAsia="Calibri" w:cs="Times New Roman"/>
          <w:noProof/>
        </w:rPr>
        <w:t xml:space="preserve">zonas pamatinflācija varētu mazināties ātrāk un ECB varētu pieņemt lēmumu straujāk samazināt bāzes procentu likmi. Papildus tam, energoresursu tirgus situācija saglabātos </w:t>
      </w:r>
      <w:r w:rsidRPr="00331E6F">
        <w:rPr>
          <w:rFonts w:eastAsia="Calibri" w:cs="Times New Roman"/>
          <w:noProof/>
        </w:rPr>
        <w:lastRenderedPageBreak/>
        <w:t>labvēlīga, ES kļūtu neatkarīgāka no energoresursu importa no politiski nestabiliem reģioniem, kā arī šī ziema nebūtu aukstāka par iepriekšējo.</w:t>
      </w:r>
    </w:p>
    <w:p w14:paraId="434D0346" w14:textId="771AE14A" w:rsidR="00E96BB6" w:rsidRPr="00331E6F" w:rsidRDefault="00E96BB6" w:rsidP="00E96BB6">
      <w:pPr>
        <w:rPr>
          <w:rFonts w:eastAsia="Times New Roman" w:cs="Times New Roman"/>
          <w:noProof/>
        </w:rPr>
      </w:pPr>
      <w:r w:rsidRPr="00331E6F">
        <w:rPr>
          <w:rFonts w:eastAsia="Times New Roman" w:cs="Times New Roman"/>
          <w:noProof/>
        </w:rPr>
        <w:t xml:space="preserve">Saskaņā ar optimistisko scenāriju </w:t>
      </w:r>
      <w:r w:rsidR="00331E6F" w:rsidRPr="00331E6F">
        <w:rPr>
          <w:rFonts w:eastAsia="Times New Roman" w:cs="Times New Roman"/>
          <w:noProof/>
        </w:rPr>
        <w:t>IKP</w:t>
      </w:r>
      <w:r w:rsidRPr="00331E6F">
        <w:rPr>
          <w:rFonts w:eastAsia="Times New Roman" w:cs="Times New Roman"/>
          <w:noProof/>
        </w:rPr>
        <w:t xml:space="preserve"> salīdzināmajās cenās varētu pieaugt par 2,1% 2024. gadā un par 3,8% 2025. gadā, kas attiecīgi būtu par 0,7 un 0,9 p</w:t>
      </w:r>
      <w:r w:rsidR="00331E6F" w:rsidRPr="00331E6F">
        <w:rPr>
          <w:rFonts w:eastAsia="Times New Roman" w:cs="Times New Roman"/>
          <w:noProof/>
        </w:rPr>
        <w:t>p</w:t>
      </w:r>
      <w:r w:rsidRPr="00331E6F">
        <w:rPr>
          <w:rFonts w:eastAsia="Times New Roman" w:cs="Times New Roman"/>
          <w:noProof/>
        </w:rPr>
        <w:t xml:space="preserve"> vairāk nekā bāzes scenārijā. Turpmākajos gados izaugsme saglabātos bāzes scenārija līmenī. Arī inflācijas dinamika neatšķirtos no bāzes scenārija, jo enerģijas tirgū turpinātos tendences saskaņā ar nospraustajiem plāniem.</w:t>
      </w:r>
    </w:p>
    <w:p w14:paraId="7C835CE2" w14:textId="77777777" w:rsidR="00E96BB6" w:rsidRPr="00331E6F" w:rsidRDefault="00E96BB6" w:rsidP="00E96BB6">
      <w:pPr>
        <w:spacing w:before="240"/>
        <w:ind w:firstLine="0"/>
        <w:jc w:val="right"/>
        <w:rPr>
          <w:rFonts w:eastAsia="Calibri" w:cs="Times New Roman"/>
          <w:b/>
          <w:i/>
          <w:szCs w:val="20"/>
          <w:lang w:eastAsia="en-US"/>
        </w:rPr>
      </w:pPr>
      <w:r w:rsidRPr="00331E6F">
        <w:rPr>
          <w:rFonts w:eastAsia="Calibri" w:cs="Times New Roman"/>
          <w:b/>
          <w:i/>
          <w:szCs w:val="20"/>
          <w:lang w:eastAsia="en-US"/>
        </w:rPr>
        <w:t>1.9. tabula. Optimistiskais makroekonomisko rādītāju attīstības scenārijs</w:t>
      </w:r>
    </w:p>
    <w:tbl>
      <w:tblPr>
        <w:tblW w:w="5000" w:type="pct"/>
        <w:jc w:val="center"/>
        <w:tblLayout w:type="fixed"/>
        <w:tblCellMar>
          <w:left w:w="85" w:type="dxa"/>
          <w:right w:w="85" w:type="dxa"/>
        </w:tblCellMar>
        <w:tblLook w:val="04A0" w:firstRow="1" w:lastRow="0" w:firstColumn="1" w:lastColumn="0" w:noHBand="0" w:noVBand="1"/>
      </w:tblPr>
      <w:tblGrid>
        <w:gridCol w:w="3400"/>
        <w:gridCol w:w="889"/>
        <w:gridCol w:w="954"/>
        <w:gridCol w:w="955"/>
        <w:gridCol w:w="954"/>
        <w:gridCol w:w="955"/>
        <w:gridCol w:w="954"/>
      </w:tblGrid>
      <w:tr w:rsidR="00E96BB6" w:rsidRPr="00331E6F" w14:paraId="34B39508" w14:textId="77777777" w:rsidTr="002C61B1">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568F3CBE" w14:textId="77777777" w:rsidR="00E96BB6" w:rsidRPr="00331E6F" w:rsidRDefault="00E96BB6" w:rsidP="002C61B1">
            <w:pPr>
              <w:spacing w:after="0"/>
              <w:ind w:firstLine="0"/>
              <w:rPr>
                <w:rFonts w:cs="Times New Roman"/>
                <w:noProof/>
                <w:sz w:val="20"/>
                <w:szCs w:val="20"/>
              </w:rPr>
            </w:pPr>
          </w:p>
        </w:tc>
        <w:tc>
          <w:tcPr>
            <w:tcW w:w="889"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501A1B91" w14:textId="77777777" w:rsidR="00E96BB6" w:rsidRPr="00331E6F" w:rsidRDefault="00E96BB6" w:rsidP="002C61B1">
            <w:pPr>
              <w:spacing w:after="0"/>
              <w:ind w:firstLine="0"/>
              <w:jc w:val="center"/>
              <w:rPr>
                <w:rFonts w:cs="Times New Roman"/>
                <w:b/>
                <w:bCs/>
                <w:noProof/>
                <w:sz w:val="20"/>
                <w:szCs w:val="20"/>
              </w:rPr>
            </w:pPr>
            <w:r w:rsidRPr="00331E6F">
              <w:rPr>
                <w:rFonts w:cs="Times New Roman"/>
                <w:b/>
                <w:bCs/>
                <w:noProof/>
                <w:sz w:val="20"/>
                <w:szCs w:val="20"/>
              </w:rPr>
              <w:t>2023</w:t>
            </w:r>
          </w:p>
        </w:tc>
        <w:tc>
          <w:tcPr>
            <w:tcW w:w="954"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14A05BA6" w14:textId="77777777" w:rsidR="00E96BB6" w:rsidRPr="00331E6F" w:rsidRDefault="00E96BB6" w:rsidP="002C61B1">
            <w:pPr>
              <w:spacing w:after="0"/>
              <w:ind w:firstLine="0"/>
              <w:jc w:val="center"/>
              <w:rPr>
                <w:rFonts w:cs="Times New Roman"/>
                <w:b/>
                <w:bCs/>
                <w:noProof/>
                <w:sz w:val="20"/>
                <w:szCs w:val="20"/>
              </w:rPr>
            </w:pPr>
            <w:r w:rsidRPr="00331E6F">
              <w:rPr>
                <w:rFonts w:cs="Times New Roman"/>
                <w:b/>
                <w:bCs/>
                <w:noProof/>
                <w:sz w:val="20"/>
                <w:szCs w:val="20"/>
              </w:rPr>
              <w:t>2024</w:t>
            </w:r>
          </w:p>
        </w:tc>
        <w:tc>
          <w:tcPr>
            <w:tcW w:w="955"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66E8BE34" w14:textId="77777777" w:rsidR="00E96BB6" w:rsidRPr="00331E6F" w:rsidRDefault="00E96BB6" w:rsidP="002C61B1">
            <w:pPr>
              <w:spacing w:after="0"/>
              <w:ind w:firstLine="0"/>
              <w:jc w:val="center"/>
              <w:rPr>
                <w:rFonts w:cs="Times New Roman"/>
                <w:b/>
                <w:bCs/>
                <w:noProof/>
                <w:sz w:val="20"/>
                <w:szCs w:val="20"/>
              </w:rPr>
            </w:pPr>
            <w:r w:rsidRPr="00331E6F">
              <w:rPr>
                <w:rFonts w:cs="Times New Roman"/>
                <w:b/>
                <w:bCs/>
                <w:noProof/>
                <w:sz w:val="20"/>
                <w:szCs w:val="20"/>
              </w:rPr>
              <w:t>2025</w:t>
            </w:r>
          </w:p>
        </w:tc>
        <w:tc>
          <w:tcPr>
            <w:tcW w:w="954"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09D5B500" w14:textId="77777777" w:rsidR="00E96BB6" w:rsidRPr="00331E6F" w:rsidRDefault="00E96BB6" w:rsidP="002C61B1">
            <w:pPr>
              <w:spacing w:after="0"/>
              <w:ind w:firstLine="0"/>
              <w:jc w:val="center"/>
              <w:rPr>
                <w:rFonts w:cs="Times New Roman"/>
                <w:b/>
                <w:bCs/>
                <w:noProof/>
                <w:sz w:val="20"/>
                <w:szCs w:val="20"/>
              </w:rPr>
            </w:pPr>
            <w:r w:rsidRPr="00331E6F">
              <w:rPr>
                <w:rFonts w:cs="Times New Roman"/>
                <w:b/>
                <w:bCs/>
                <w:noProof/>
                <w:sz w:val="20"/>
                <w:szCs w:val="20"/>
              </w:rPr>
              <w:t>2026</w:t>
            </w:r>
          </w:p>
        </w:tc>
        <w:tc>
          <w:tcPr>
            <w:tcW w:w="955"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668D67E3" w14:textId="77777777" w:rsidR="00E96BB6" w:rsidRPr="00331E6F" w:rsidRDefault="00E96BB6" w:rsidP="002C61B1">
            <w:pPr>
              <w:spacing w:after="0"/>
              <w:ind w:firstLine="0"/>
              <w:jc w:val="center"/>
              <w:rPr>
                <w:rFonts w:cs="Times New Roman"/>
                <w:b/>
                <w:bCs/>
                <w:noProof/>
                <w:sz w:val="20"/>
                <w:szCs w:val="20"/>
              </w:rPr>
            </w:pPr>
            <w:r w:rsidRPr="00331E6F">
              <w:rPr>
                <w:rFonts w:cs="Times New Roman"/>
                <w:b/>
                <w:bCs/>
                <w:noProof/>
                <w:sz w:val="20"/>
                <w:szCs w:val="20"/>
              </w:rPr>
              <w:t>2027</w:t>
            </w:r>
          </w:p>
        </w:tc>
        <w:tc>
          <w:tcPr>
            <w:tcW w:w="954" w:type="dxa"/>
            <w:tcBorders>
              <w:top w:val="single" w:sz="4" w:space="0" w:color="auto"/>
              <w:left w:val="nil"/>
              <w:bottom w:val="single" w:sz="4" w:space="0" w:color="auto"/>
              <w:right w:val="single" w:sz="4" w:space="0" w:color="auto"/>
            </w:tcBorders>
            <w:shd w:val="clear" w:color="auto" w:fill="BDD6EE" w:themeFill="accent1" w:themeFillTint="66"/>
            <w:vAlign w:val="center"/>
          </w:tcPr>
          <w:p w14:paraId="59D753B8" w14:textId="77777777" w:rsidR="00E96BB6" w:rsidRPr="00331E6F" w:rsidRDefault="00E96BB6" w:rsidP="002C61B1">
            <w:pPr>
              <w:spacing w:after="0"/>
              <w:ind w:firstLine="0"/>
              <w:jc w:val="center"/>
              <w:rPr>
                <w:rFonts w:cs="Times New Roman"/>
                <w:b/>
                <w:bCs/>
                <w:noProof/>
                <w:sz w:val="20"/>
                <w:szCs w:val="20"/>
              </w:rPr>
            </w:pPr>
            <w:r w:rsidRPr="00331E6F">
              <w:rPr>
                <w:rFonts w:cs="Times New Roman"/>
                <w:b/>
                <w:bCs/>
                <w:noProof/>
                <w:sz w:val="20"/>
                <w:szCs w:val="20"/>
              </w:rPr>
              <w:t>2028</w:t>
            </w:r>
          </w:p>
        </w:tc>
      </w:tr>
      <w:tr w:rsidR="00E96BB6" w:rsidRPr="00331E6F" w14:paraId="140A6E37" w14:textId="77777777" w:rsidTr="002C61B1">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68692FEB" w14:textId="77777777" w:rsidR="00E96BB6" w:rsidRPr="00331E6F" w:rsidRDefault="00E96BB6" w:rsidP="002C61B1">
            <w:pPr>
              <w:spacing w:after="0"/>
              <w:ind w:firstLine="0"/>
              <w:rPr>
                <w:rFonts w:cs="Times New Roman"/>
                <w:noProof/>
                <w:sz w:val="20"/>
                <w:szCs w:val="20"/>
              </w:rPr>
            </w:pPr>
          </w:p>
        </w:tc>
        <w:tc>
          <w:tcPr>
            <w:tcW w:w="889" w:type="dxa"/>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2660264F" w14:textId="77777777" w:rsidR="00E96BB6" w:rsidRPr="00331E6F" w:rsidRDefault="00E96BB6" w:rsidP="002C61B1">
            <w:pPr>
              <w:spacing w:after="0"/>
              <w:ind w:firstLine="0"/>
              <w:jc w:val="center"/>
              <w:rPr>
                <w:rFonts w:cs="Times New Roman"/>
                <w:noProof/>
                <w:sz w:val="20"/>
                <w:szCs w:val="20"/>
              </w:rPr>
            </w:pPr>
            <w:r w:rsidRPr="00331E6F">
              <w:rPr>
                <w:rFonts w:cs="Times New Roman"/>
                <w:noProof/>
                <w:sz w:val="20"/>
                <w:szCs w:val="20"/>
              </w:rPr>
              <w:t>Fakts</w:t>
            </w:r>
          </w:p>
        </w:tc>
        <w:tc>
          <w:tcPr>
            <w:tcW w:w="4772" w:type="dxa"/>
            <w:gridSpan w:val="5"/>
            <w:tcBorders>
              <w:top w:val="single" w:sz="4" w:space="0" w:color="auto"/>
              <w:left w:val="nil"/>
              <w:bottom w:val="single" w:sz="4" w:space="0" w:color="auto"/>
              <w:right w:val="single" w:sz="4" w:space="0" w:color="auto"/>
            </w:tcBorders>
            <w:shd w:val="clear" w:color="auto" w:fill="BDD6EE" w:themeFill="accent1" w:themeFillTint="66"/>
            <w:noWrap/>
            <w:vAlign w:val="center"/>
          </w:tcPr>
          <w:p w14:paraId="51AA79AB" w14:textId="77777777" w:rsidR="00E96BB6" w:rsidRPr="00331E6F" w:rsidRDefault="00E96BB6" w:rsidP="002C61B1">
            <w:pPr>
              <w:spacing w:after="0"/>
              <w:ind w:firstLine="0"/>
              <w:jc w:val="center"/>
              <w:rPr>
                <w:rFonts w:cs="Times New Roman"/>
                <w:noProof/>
                <w:sz w:val="20"/>
                <w:szCs w:val="20"/>
              </w:rPr>
            </w:pPr>
            <w:r w:rsidRPr="00331E6F">
              <w:rPr>
                <w:rFonts w:cs="Times New Roman"/>
                <w:noProof/>
                <w:sz w:val="20"/>
                <w:szCs w:val="20"/>
              </w:rPr>
              <w:t>Prognoze</w:t>
            </w:r>
          </w:p>
        </w:tc>
      </w:tr>
      <w:tr w:rsidR="00E96BB6" w:rsidRPr="00331E6F" w14:paraId="08856624"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F32E654" w14:textId="77777777" w:rsidR="00E96BB6" w:rsidRPr="00331E6F" w:rsidRDefault="00E96BB6" w:rsidP="002C61B1">
            <w:pPr>
              <w:spacing w:after="0"/>
              <w:ind w:firstLine="0"/>
              <w:jc w:val="left"/>
              <w:rPr>
                <w:rFonts w:cs="Times New Roman"/>
                <w:noProof/>
                <w:sz w:val="20"/>
                <w:szCs w:val="20"/>
              </w:rPr>
            </w:pPr>
            <w:r w:rsidRPr="00331E6F">
              <w:rPr>
                <w:rFonts w:cs="Times New Roman"/>
                <w:noProof/>
                <w:sz w:val="20"/>
                <w:szCs w:val="20"/>
              </w:rPr>
              <w:t xml:space="preserve">Iekšzemes kopprodukts, milj. </w:t>
            </w:r>
            <w:r w:rsidRPr="00331E6F">
              <w:rPr>
                <w:rFonts w:cs="Times New Roman"/>
                <w:i/>
                <w:noProof/>
                <w:sz w:val="20"/>
                <w:szCs w:val="20"/>
              </w:rPr>
              <w:t>euro</w:t>
            </w:r>
          </w:p>
        </w:tc>
        <w:tc>
          <w:tcPr>
            <w:tcW w:w="889"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0EBB271E"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40 348</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3CD87474"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42 199</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56F855B7"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45 083</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0FFD2394"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47 627</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7D4A8CE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50 185</w:t>
            </w:r>
          </w:p>
        </w:tc>
        <w:tc>
          <w:tcPr>
            <w:tcW w:w="954" w:type="dxa"/>
            <w:tcBorders>
              <w:top w:val="nil"/>
              <w:left w:val="nil"/>
              <w:bottom w:val="single" w:sz="4" w:space="0" w:color="auto"/>
              <w:right w:val="single" w:sz="4" w:space="0" w:color="auto"/>
            </w:tcBorders>
            <w:shd w:val="clear" w:color="auto" w:fill="auto"/>
            <w:vAlign w:val="center"/>
          </w:tcPr>
          <w:p w14:paraId="300D47BA"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52 729</w:t>
            </w:r>
          </w:p>
        </w:tc>
      </w:tr>
      <w:tr w:rsidR="00E96BB6" w:rsidRPr="00331E6F" w14:paraId="23091D7C"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00AC3611" w14:textId="77777777" w:rsidR="00E96BB6" w:rsidRPr="00331E6F" w:rsidRDefault="00E96BB6" w:rsidP="002C61B1">
            <w:pPr>
              <w:spacing w:after="0"/>
              <w:ind w:left="174" w:firstLine="0"/>
              <w:jc w:val="left"/>
              <w:rPr>
                <w:rFonts w:cs="Times New Roman"/>
                <w:noProof/>
                <w:sz w:val="20"/>
                <w:szCs w:val="20"/>
              </w:rPr>
            </w:pPr>
            <w:r w:rsidRPr="00331E6F">
              <w:rPr>
                <w:rFonts w:cs="Times New Roman"/>
                <w:noProof/>
                <w:sz w:val="20"/>
                <w:szCs w:val="20"/>
              </w:rPr>
              <w:t>izmaiņas faktiskajās cenās, %</w:t>
            </w:r>
          </w:p>
        </w:tc>
        <w:tc>
          <w:tcPr>
            <w:tcW w:w="889" w:type="dxa"/>
            <w:tcBorders>
              <w:top w:val="nil"/>
              <w:left w:val="nil"/>
              <w:bottom w:val="single" w:sz="4" w:space="0" w:color="auto"/>
              <w:right w:val="single" w:sz="4" w:space="0" w:color="auto"/>
            </w:tcBorders>
            <w:shd w:val="clear" w:color="auto" w:fill="auto"/>
            <w:noWrap/>
            <w:tcMar>
              <w:right w:w="170" w:type="dxa"/>
            </w:tcMar>
            <w:vAlign w:val="center"/>
          </w:tcPr>
          <w:p w14:paraId="69A2EC7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5,1</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2A5747B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4,6</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7167D1CF"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6,8</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36E8DC39"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5,6</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1E555173"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5,4</w:t>
            </w:r>
          </w:p>
        </w:tc>
        <w:tc>
          <w:tcPr>
            <w:tcW w:w="954" w:type="dxa"/>
            <w:tcBorders>
              <w:top w:val="nil"/>
              <w:left w:val="nil"/>
              <w:bottom w:val="single" w:sz="4" w:space="0" w:color="auto"/>
              <w:right w:val="single" w:sz="4" w:space="0" w:color="auto"/>
            </w:tcBorders>
            <w:shd w:val="clear" w:color="auto" w:fill="auto"/>
            <w:vAlign w:val="center"/>
          </w:tcPr>
          <w:p w14:paraId="4A225AFB"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5,1</w:t>
            </w:r>
          </w:p>
        </w:tc>
      </w:tr>
      <w:tr w:rsidR="00E96BB6" w:rsidRPr="00331E6F" w14:paraId="13E01313"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2FBCF0C5" w14:textId="77777777" w:rsidR="00E96BB6" w:rsidRPr="00331E6F" w:rsidRDefault="00E96BB6" w:rsidP="002C61B1">
            <w:pPr>
              <w:spacing w:after="0"/>
              <w:ind w:left="174" w:firstLine="0"/>
              <w:jc w:val="left"/>
              <w:rPr>
                <w:rFonts w:cs="Times New Roman"/>
                <w:noProof/>
                <w:sz w:val="20"/>
                <w:szCs w:val="20"/>
              </w:rPr>
            </w:pPr>
            <w:r w:rsidRPr="00331E6F">
              <w:rPr>
                <w:rFonts w:cs="Times New Roman"/>
                <w:noProof/>
                <w:sz w:val="20"/>
                <w:szCs w:val="20"/>
              </w:rPr>
              <w:t>izmaiņas salīdzin. cenās, %</w:t>
            </w:r>
          </w:p>
        </w:tc>
        <w:tc>
          <w:tcPr>
            <w:tcW w:w="889" w:type="dxa"/>
            <w:tcBorders>
              <w:top w:val="nil"/>
              <w:left w:val="nil"/>
              <w:bottom w:val="single" w:sz="4" w:space="0" w:color="auto"/>
              <w:right w:val="single" w:sz="4" w:space="0" w:color="auto"/>
            </w:tcBorders>
            <w:shd w:val="clear" w:color="auto" w:fill="auto"/>
            <w:noWrap/>
            <w:tcMar>
              <w:right w:w="170" w:type="dxa"/>
            </w:tcMar>
            <w:vAlign w:val="center"/>
          </w:tcPr>
          <w:p w14:paraId="7E6D7D6B"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-0,3</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4971797E"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2,1</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214EA7E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3,8</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618CD7B5"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2,9</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733C25D3"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2,6</w:t>
            </w:r>
          </w:p>
        </w:tc>
        <w:tc>
          <w:tcPr>
            <w:tcW w:w="954" w:type="dxa"/>
            <w:tcBorders>
              <w:top w:val="nil"/>
              <w:left w:val="nil"/>
              <w:bottom w:val="single" w:sz="4" w:space="0" w:color="auto"/>
              <w:right w:val="single" w:sz="4" w:space="0" w:color="auto"/>
            </w:tcBorders>
            <w:shd w:val="clear" w:color="auto" w:fill="auto"/>
            <w:vAlign w:val="center"/>
          </w:tcPr>
          <w:p w14:paraId="6583FF25"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2,3</w:t>
            </w:r>
          </w:p>
        </w:tc>
      </w:tr>
      <w:tr w:rsidR="00E96BB6" w:rsidRPr="00331E6F" w14:paraId="4238DC77"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6487135" w14:textId="77777777" w:rsidR="00E96BB6" w:rsidRPr="00331E6F" w:rsidRDefault="00E96BB6" w:rsidP="002C61B1">
            <w:pPr>
              <w:spacing w:after="0"/>
              <w:ind w:left="174" w:firstLine="0"/>
              <w:jc w:val="left"/>
              <w:rPr>
                <w:rFonts w:cs="Times New Roman"/>
                <w:noProof/>
                <w:sz w:val="20"/>
                <w:szCs w:val="20"/>
              </w:rPr>
            </w:pPr>
            <w:r w:rsidRPr="00331E6F">
              <w:rPr>
                <w:rFonts w:cs="Times New Roman"/>
                <w:noProof/>
                <w:sz w:val="20"/>
                <w:szCs w:val="20"/>
              </w:rPr>
              <w:t>deflators (gads pret gadu), %</w:t>
            </w:r>
          </w:p>
        </w:tc>
        <w:tc>
          <w:tcPr>
            <w:tcW w:w="889" w:type="dxa"/>
            <w:tcBorders>
              <w:top w:val="nil"/>
              <w:left w:val="nil"/>
              <w:bottom w:val="single" w:sz="4" w:space="0" w:color="auto"/>
              <w:right w:val="single" w:sz="4" w:space="0" w:color="auto"/>
            </w:tcBorders>
            <w:shd w:val="clear" w:color="auto" w:fill="auto"/>
            <w:noWrap/>
            <w:tcMar>
              <w:right w:w="170" w:type="dxa"/>
            </w:tcMar>
            <w:vAlign w:val="center"/>
          </w:tcPr>
          <w:p w14:paraId="742BC5A8"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5,4</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4E4AC234"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2,4</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25092E9E"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2,9</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6C4E2230"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2,7</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0C826D86"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2,7</w:t>
            </w:r>
          </w:p>
        </w:tc>
        <w:tc>
          <w:tcPr>
            <w:tcW w:w="954" w:type="dxa"/>
            <w:tcBorders>
              <w:top w:val="nil"/>
              <w:left w:val="nil"/>
              <w:bottom w:val="single" w:sz="4" w:space="0" w:color="auto"/>
              <w:right w:val="single" w:sz="4" w:space="0" w:color="auto"/>
            </w:tcBorders>
            <w:shd w:val="clear" w:color="auto" w:fill="auto"/>
            <w:vAlign w:val="center"/>
          </w:tcPr>
          <w:p w14:paraId="02B05851"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2,7</w:t>
            </w:r>
          </w:p>
        </w:tc>
      </w:tr>
      <w:tr w:rsidR="00E96BB6" w:rsidRPr="00331E6F" w14:paraId="19C48850"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A6E8E30" w14:textId="77777777" w:rsidR="00E96BB6" w:rsidRPr="00331E6F" w:rsidRDefault="00E96BB6" w:rsidP="002C61B1">
            <w:pPr>
              <w:spacing w:after="0"/>
              <w:ind w:firstLine="0"/>
              <w:jc w:val="left"/>
              <w:rPr>
                <w:rFonts w:cs="Times New Roman"/>
                <w:noProof/>
                <w:sz w:val="20"/>
                <w:szCs w:val="20"/>
              </w:rPr>
            </w:pPr>
            <w:r w:rsidRPr="00331E6F">
              <w:rPr>
                <w:rFonts w:cs="Times New Roman"/>
                <w:noProof/>
                <w:sz w:val="20"/>
                <w:szCs w:val="20"/>
              </w:rPr>
              <w:t>PCI (gads pret gadu), %</w:t>
            </w:r>
          </w:p>
        </w:tc>
        <w:tc>
          <w:tcPr>
            <w:tcW w:w="889" w:type="dxa"/>
            <w:tcBorders>
              <w:top w:val="nil"/>
              <w:left w:val="nil"/>
              <w:bottom w:val="single" w:sz="4" w:space="0" w:color="auto"/>
              <w:right w:val="single" w:sz="4" w:space="0" w:color="auto"/>
            </w:tcBorders>
            <w:shd w:val="clear" w:color="auto" w:fill="auto"/>
            <w:noWrap/>
            <w:tcMar>
              <w:right w:w="170" w:type="dxa"/>
            </w:tcMar>
            <w:vAlign w:val="center"/>
          </w:tcPr>
          <w:p w14:paraId="1E518076"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8,9</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37B9EB1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1,2</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727D6C82"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2,2</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50B8A12D"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2,5</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560C0F31"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2,5</w:t>
            </w:r>
          </w:p>
        </w:tc>
        <w:tc>
          <w:tcPr>
            <w:tcW w:w="954" w:type="dxa"/>
            <w:tcBorders>
              <w:top w:val="nil"/>
              <w:left w:val="nil"/>
              <w:bottom w:val="single" w:sz="4" w:space="0" w:color="auto"/>
              <w:right w:val="single" w:sz="4" w:space="0" w:color="auto"/>
            </w:tcBorders>
            <w:shd w:val="clear" w:color="auto" w:fill="auto"/>
            <w:vAlign w:val="center"/>
          </w:tcPr>
          <w:p w14:paraId="27AFAE75"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2,5</w:t>
            </w:r>
          </w:p>
        </w:tc>
      </w:tr>
      <w:tr w:rsidR="00E96BB6" w:rsidRPr="00331E6F" w14:paraId="442B9AE7"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23AE1552" w14:textId="77777777" w:rsidR="00E96BB6" w:rsidRPr="00331E6F" w:rsidRDefault="00E96BB6" w:rsidP="002C61B1">
            <w:pPr>
              <w:spacing w:after="0"/>
              <w:ind w:firstLine="0"/>
              <w:jc w:val="left"/>
              <w:rPr>
                <w:rFonts w:cs="Times New Roman"/>
                <w:noProof/>
                <w:sz w:val="20"/>
                <w:szCs w:val="20"/>
              </w:rPr>
            </w:pPr>
            <w:r w:rsidRPr="00331E6F">
              <w:rPr>
                <w:rFonts w:cs="Times New Roman"/>
                <w:noProof/>
                <w:sz w:val="20"/>
                <w:szCs w:val="20"/>
              </w:rPr>
              <w:t xml:space="preserve">Nodarbināto mēn. vid. bruto darba samaksa, </w:t>
            </w:r>
            <w:r w:rsidRPr="00331E6F">
              <w:rPr>
                <w:rFonts w:cs="Times New Roman"/>
                <w:i/>
                <w:noProof/>
                <w:sz w:val="20"/>
                <w:szCs w:val="20"/>
              </w:rPr>
              <w:t>euro</w:t>
            </w:r>
          </w:p>
        </w:tc>
        <w:tc>
          <w:tcPr>
            <w:tcW w:w="889" w:type="dxa"/>
            <w:tcBorders>
              <w:top w:val="nil"/>
              <w:left w:val="nil"/>
              <w:bottom w:val="single" w:sz="4" w:space="0" w:color="auto"/>
              <w:right w:val="single" w:sz="4" w:space="0" w:color="auto"/>
            </w:tcBorders>
            <w:shd w:val="clear" w:color="auto" w:fill="auto"/>
            <w:noWrap/>
            <w:tcMar>
              <w:right w:w="170" w:type="dxa"/>
            </w:tcMar>
            <w:vAlign w:val="center"/>
          </w:tcPr>
          <w:p w14:paraId="68749D5D"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1 537</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5CC5E9ED"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1 655</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2FAC0D94"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1 766</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7691B07E"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1 878</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4E2CC7C9"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1 971</w:t>
            </w:r>
          </w:p>
        </w:tc>
        <w:tc>
          <w:tcPr>
            <w:tcW w:w="954" w:type="dxa"/>
            <w:tcBorders>
              <w:top w:val="nil"/>
              <w:left w:val="nil"/>
              <w:bottom w:val="single" w:sz="4" w:space="0" w:color="auto"/>
              <w:right w:val="single" w:sz="4" w:space="0" w:color="auto"/>
            </w:tcBorders>
            <w:shd w:val="clear" w:color="auto" w:fill="auto"/>
            <w:vAlign w:val="center"/>
          </w:tcPr>
          <w:p w14:paraId="26F94728"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2 070</w:t>
            </w:r>
          </w:p>
        </w:tc>
      </w:tr>
      <w:tr w:rsidR="00E96BB6" w:rsidRPr="00331E6F" w14:paraId="19A0A5E9"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7E273CC" w14:textId="77777777" w:rsidR="00E96BB6" w:rsidRPr="00331E6F" w:rsidRDefault="00E96BB6" w:rsidP="002C61B1">
            <w:pPr>
              <w:spacing w:after="0"/>
              <w:ind w:left="174" w:firstLine="0"/>
              <w:jc w:val="left"/>
              <w:rPr>
                <w:rFonts w:cs="Times New Roman"/>
                <w:noProof/>
                <w:sz w:val="20"/>
                <w:szCs w:val="20"/>
              </w:rPr>
            </w:pPr>
            <w:r w:rsidRPr="00331E6F">
              <w:rPr>
                <w:rFonts w:cs="Times New Roman"/>
                <w:noProof/>
                <w:sz w:val="20"/>
                <w:szCs w:val="20"/>
              </w:rPr>
              <w:t>izmaiņas faktiskajās cenās, %</w:t>
            </w:r>
          </w:p>
        </w:tc>
        <w:tc>
          <w:tcPr>
            <w:tcW w:w="889" w:type="dxa"/>
            <w:tcBorders>
              <w:top w:val="nil"/>
              <w:left w:val="nil"/>
              <w:bottom w:val="single" w:sz="4" w:space="0" w:color="auto"/>
              <w:right w:val="single" w:sz="4" w:space="0" w:color="auto"/>
            </w:tcBorders>
            <w:shd w:val="clear" w:color="auto" w:fill="auto"/>
            <w:noWrap/>
            <w:tcMar>
              <w:right w:w="170" w:type="dxa"/>
            </w:tcMar>
            <w:vAlign w:val="center"/>
          </w:tcPr>
          <w:p w14:paraId="258137D2"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11,9</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69473D8A"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7,7</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6D10D78F"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6,7</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3A2A6F87"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6,3</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09055B26"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5,0</w:t>
            </w:r>
          </w:p>
        </w:tc>
        <w:tc>
          <w:tcPr>
            <w:tcW w:w="954" w:type="dxa"/>
            <w:tcBorders>
              <w:top w:val="nil"/>
              <w:left w:val="nil"/>
              <w:bottom w:val="single" w:sz="4" w:space="0" w:color="auto"/>
              <w:right w:val="single" w:sz="4" w:space="0" w:color="auto"/>
            </w:tcBorders>
            <w:shd w:val="clear" w:color="auto" w:fill="auto"/>
            <w:vAlign w:val="center"/>
          </w:tcPr>
          <w:p w14:paraId="2D8670C3"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5,0</w:t>
            </w:r>
          </w:p>
        </w:tc>
      </w:tr>
      <w:tr w:rsidR="00E96BB6" w:rsidRPr="00331E6F" w14:paraId="658D517C"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4309908B" w14:textId="77777777" w:rsidR="00E96BB6" w:rsidRPr="00331E6F" w:rsidRDefault="00E96BB6" w:rsidP="002C61B1">
            <w:pPr>
              <w:spacing w:after="0"/>
              <w:ind w:left="174" w:firstLine="0"/>
              <w:jc w:val="left"/>
              <w:rPr>
                <w:rFonts w:cs="Times New Roman"/>
                <w:noProof/>
                <w:sz w:val="20"/>
                <w:szCs w:val="20"/>
              </w:rPr>
            </w:pPr>
            <w:r w:rsidRPr="00331E6F">
              <w:rPr>
                <w:rFonts w:cs="Times New Roman"/>
                <w:noProof/>
                <w:sz w:val="20"/>
                <w:szCs w:val="20"/>
              </w:rPr>
              <w:t>izmaiņas salīdzin. cenās, %</w:t>
            </w:r>
          </w:p>
        </w:tc>
        <w:tc>
          <w:tcPr>
            <w:tcW w:w="889" w:type="dxa"/>
            <w:tcBorders>
              <w:top w:val="nil"/>
              <w:left w:val="nil"/>
              <w:bottom w:val="single" w:sz="4" w:space="0" w:color="auto"/>
              <w:right w:val="single" w:sz="4" w:space="0" w:color="auto"/>
            </w:tcBorders>
            <w:shd w:val="clear" w:color="auto" w:fill="auto"/>
            <w:noWrap/>
            <w:tcMar>
              <w:right w:w="170" w:type="dxa"/>
            </w:tcMar>
            <w:vAlign w:val="center"/>
          </w:tcPr>
          <w:p w14:paraId="60FB077A"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2,8</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195AAB24"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6,4</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4664330F"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4,4</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0D079C05"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3,7</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77F92FE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2,4</w:t>
            </w:r>
          </w:p>
        </w:tc>
        <w:tc>
          <w:tcPr>
            <w:tcW w:w="954" w:type="dxa"/>
            <w:tcBorders>
              <w:top w:val="nil"/>
              <w:left w:val="nil"/>
              <w:bottom w:val="single" w:sz="4" w:space="0" w:color="auto"/>
              <w:right w:val="single" w:sz="4" w:space="0" w:color="auto"/>
            </w:tcBorders>
            <w:shd w:val="clear" w:color="auto" w:fill="auto"/>
            <w:vAlign w:val="center"/>
          </w:tcPr>
          <w:p w14:paraId="2DB07536"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2,4</w:t>
            </w:r>
          </w:p>
        </w:tc>
      </w:tr>
      <w:tr w:rsidR="00E96BB6" w:rsidRPr="00331E6F" w14:paraId="02FAC3DF"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797BFD13" w14:textId="77777777" w:rsidR="00E96BB6" w:rsidRPr="00331E6F" w:rsidRDefault="00E96BB6" w:rsidP="002C61B1">
            <w:pPr>
              <w:spacing w:after="0"/>
              <w:ind w:firstLine="0"/>
              <w:jc w:val="left"/>
              <w:rPr>
                <w:rFonts w:cs="Times New Roman"/>
                <w:noProof/>
                <w:sz w:val="20"/>
                <w:szCs w:val="20"/>
              </w:rPr>
            </w:pPr>
            <w:r w:rsidRPr="00331E6F">
              <w:rPr>
                <w:rFonts w:cs="Times New Roman"/>
                <w:noProof/>
                <w:sz w:val="20"/>
                <w:szCs w:val="20"/>
              </w:rPr>
              <w:t>Nodarbinātība, tūkst. iedzīvotāju (atbilstoši darbaspēka apsekoj.)</w:t>
            </w:r>
          </w:p>
        </w:tc>
        <w:tc>
          <w:tcPr>
            <w:tcW w:w="889" w:type="dxa"/>
            <w:tcBorders>
              <w:top w:val="nil"/>
              <w:left w:val="nil"/>
              <w:bottom w:val="single" w:sz="4" w:space="0" w:color="auto"/>
              <w:right w:val="single" w:sz="4" w:space="0" w:color="auto"/>
            </w:tcBorders>
            <w:shd w:val="clear" w:color="auto" w:fill="auto"/>
            <w:noWrap/>
            <w:tcMar>
              <w:right w:w="170" w:type="dxa"/>
            </w:tcMar>
            <w:vAlign w:val="center"/>
          </w:tcPr>
          <w:p w14:paraId="24A8CBD9"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884</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7AA106BD"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884</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0E8C88B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884</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40664261"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883</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2E0D51EA"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882</w:t>
            </w:r>
          </w:p>
        </w:tc>
        <w:tc>
          <w:tcPr>
            <w:tcW w:w="954" w:type="dxa"/>
            <w:tcBorders>
              <w:top w:val="nil"/>
              <w:left w:val="nil"/>
              <w:bottom w:val="single" w:sz="4" w:space="0" w:color="auto"/>
              <w:right w:val="single" w:sz="4" w:space="0" w:color="auto"/>
            </w:tcBorders>
            <w:shd w:val="clear" w:color="auto" w:fill="auto"/>
            <w:vAlign w:val="center"/>
          </w:tcPr>
          <w:p w14:paraId="500C4D35"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878</w:t>
            </w:r>
          </w:p>
        </w:tc>
      </w:tr>
      <w:tr w:rsidR="00E96BB6" w:rsidRPr="00331E6F" w14:paraId="0117E268" w14:textId="77777777" w:rsidTr="002C61B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938FEC7" w14:textId="77777777" w:rsidR="00E96BB6" w:rsidRPr="00331E6F" w:rsidRDefault="00E96BB6" w:rsidP="002C61B1">
            <w:pPr>
              <w:spacing w:after="0"/>
              <w:ind w:left="174" w:firstLine="0"/>
              <w:jc w:val="left"/>
              <w:rPr>
                <w:rFonts w:cs="Times New Roman"/>
                <w:noProof/>
                <w:sz w:val="20"/>
                <w:szCs w:val="20"/>
              </w:rPr>
            </w:pPr>
            <w:r w:rsidRPr="00331E6F">
              <w:rPr>
                <w:rFonts w:cs="Times New Roman"/>
                <w:noProof/>
                <w:sz w:val="20"/>
                <w:szCs w:val="20"/>
              </w:rPr>
              <w:t>izmaiņas, %</w:t>
            </w:r>
          </w:p>
        </w:tc>
        <w:tc>
          <w:tcPr>
            <w:tcW w:w="889" w:type="dxa"/>
            <w:tcBorders>
              <w:top w:val="nil"/>
              <w:left w:val="nil"/>
              <w:bottom w:val="single" w:sz="4" w:space="0" w:color="auto"/>
              <w:right w:val="single" w:sz="4" w:space="0" w:color="auto"/>
            </w:tcBorders>
            <w:shd w:val="clear" w:color="auto" w:fill="auto"/>
            <w:noWrap/>
            <w:tcMar>
              <w:right w:w="170" w:type="dxa"/>
            </w:tcMar>
            <w:vAlign w:val="center"/>
          </w:tcPr>
          <w:p w14:paraId="4A92FE0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-0,2</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0428F678"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0,0</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3284007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0,0</w:t>
            </w:r>
          </w:p>
        </w:tc>
        <w:tc>
          <w:tcPr>
            <w:tcW w:w="954" w:type="dxa"/>
            <w:tcBorders>
              <w:top w:val="nil"/>
              <w:left w:val="nil"/>
              <w:bottom w:val="single" w:sz="4" w:space="0" w:color="auto"/>
              <w:right w:val="single" w:sz="4" w:space="0" w:color="auto"/>
            </w:tcBorders>
            <w:shd w:val="clear" w:color="auto" w:fill="auto"/>
            <w:noWrap/>
            <w:tcMar>
              <w:right w:w="170" w:type="dxa"/>
            </w:tcMar>
            <w:vAlign w:val="center"/>
          </w:tcPr>
          <w:p w14:paraId="0D1352F1"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-0,1</w:t>
            </w:r>
          </w:p>
        </w:tc>
        <w:tc>
          <w:tcPr>
            <w:tcW w:w="955" w:type="dxa"/>
            <w:tcBorders>
              <w:top w:val="nil"/>
              <w:left w:val="nil"/>
              <w:bottom w:val="single" w:sz="4" w:space="0" w:color="auto"/>
              <w:right w:val="single" w:sz="4" w:space="0" w:color="auto"/>
            </w:tcBorders>
            <w:shd w:val="clear" w:color="auto" w:fill="auto"/>
            <w:noWrap/>
            <w:tcMar>
              <w:right w:w="170" w:type="dxa"/>
            </w:tcMar>
            <w:vAlign w:val="center"/>
          </w:tcPr>
          <w:p w14:paraId="39619C60"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-0,2</w:t>
            </w:r>
          </w:p>
        </w:tc>
        <w:tc>
          <w:tcPr>
            <w:tcW w:w="954" w:type="dxa"/>
            <w:tcBorders>
              <w:top w:val="nil"/>
              <w:left w:val="nil"/>
              <w:bottom w:val="single" w:sz="4" w:space="0" w:color="auto"/>
              <w:right w:val="single" w:sz="4" w:space="0" w:color="auto"/>
            </w:tcBorders>
            <w:shd w:val="clear" w:color="auto" w:fill="auto"/>
            <w:vAlign w:val="center"/>
          </w:tcPr>
          <w:p w14:paraId="70B8EAE2"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-0,4</w:t>
            </w:r>
          </w:p>
        </w:tc>
      </w:tr>
      <w:tr w:rsidR="00E96BB6" w:rsidRPr="00331E6F" w14:paraId="1248FE91" w14:textId="77777777" w:rsidTr="002C61B1">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55E77" w14:textId="77777777" w:rsidR="00E96BB6" w:rsidRPr="00331E6F" w:rsidRDefault="00E96BB6" w:rsidP="002C61B1">
            <w:pPr>
              <w:spacing w:after="0"/>
              <w:ind w:firstLine="0"/>
              <w:jc w:val="left"/>
              <w:rPr>
                <w:rFonts w:cs="Times New Roman"/>
                <w:noProof/>
                <w:sz w:val="20"/>
                <w:szCs w:val="20"/>
              </w:rPr>
            </w:pPr>
            <w:r w:rsidRPr="00331E6F">
              <w:rPr>
                <w:rFonts w:cs="Times New Roman"/>
                <w:noProof/>
                <w:sz w:val="20"/>
                <w:szCs w:val="20"/>
              </w:rPr>
              <w:t>Bezdarba līmenis (gada vidējais),</w:t>
            </w:r>
            <w:r w:rsidRPr="00331E6F">
              <w:rPr>
                <w:rFonts w:cs="Times New Roman"/>
                <w:noProof/>
                <w:sz w:val="20"/>
                <w:szCs w:val="20"/>
              </w:rPr>
              <w:br/>
              <w:t>% no ekon. aktīviem iedzīv.</w:t>
            </w:r>
          </w:p>
        </w:tc>
        <w:tc>
          <w:tcPr>
            <w:tcW w:w="889"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4215B4ED"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6,5</w:t>
            </w:r>
          </w:p>
        </w:tc>
        <w:tc>
          <w:tcPr>
            <w:tcW w:w="954"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55CAC831"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6,7</w:t>
            </w:r>
          </w:p>
        </w:tc>
        <w:tc>
          <w:tcPr>
            <w:tcW w:w="955"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5F6EEB19"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6,3</w:t>
            </w:r>
          </w:p>
        </w:tc>
        <w:tc>
          <w:tcPr>
            <w:tcW w:w="954"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3D3DFC1E"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6,0</w:t>
            </w:r>
          </w:p>
        </w:tc>
        <w:tc>
          <w:tcPr>
            <w:tcW w:w="955"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0DFDE32B"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5,5</w:t>
            </w:r>
          </w:p>
        </w:tc>
        <w:tc>
          <w:tcPr>
            <w:tcW w:w="954" w:type="dxa"/>
            <w:tcBorders>
              <w:top w:val="single" w:sz="4" w:space="0" w:color="auto"/>
              <w:left w:val="nil"/>
              <w:bottom w:val="single" w:sz="4" w:space="0" w:color="auto"/>
              <w:right w:val="single" w:sz="4" w:space="0" w:color="auto"/>
            </w:tcBorders>
            <w:shd w:val="clear" w:color="auto" w:fill="auto"/>
            <w:vAlign w:val="center"/>
          </w:tcPr>
          <w:p w14:paraId="60009B0C" w14:textId="77777777" w:rsidR="00E96BB6" w:rsidRPr="00331E6F" w:rsidRDefault="00E96BB6" w:rsidP="002C61B1">
            <w:pPr>
              <w:spacing w:after="0"/>
              <w:ind w:firstLine="0"/>
              <w:jc w:val="right"/>
              <w:rPr>
                <w:rFonts w:cs="Times New Roman"/>
                <w:noProof/>
                <w:sz w:val="20"/>
                <w:szCs w:val="20"/>
              </w:rPr>
            </w:pPr>
            <w:r w:rsidRPr="00331E6F">
              <w:rPr>
                <w:rFonts w:cs="Times New Roman"/>
                <w:noProof/>
                <w:sz w:val="20"/>
                <w:szCs w:val="20"/>
              </w:rPr>
              <w:t>4,9</w:t>
            </w:r>
          </w:p>
        </w:tc>
      </w:tr>
    </w:tbl>
    <w:p w14:paraId="155AC709" w14:textId="77777777" w:rsidR="00E96BB6" w:rsidRPr="00331E6F" w:rsidRDefault="00E96BB6" w:rsidP="00E96BB6">
      <w:pPr>
        <w:autoSpaceDE w:val="0"/>
        <w:autoSpaceDN w:val="0"/>
        <w:adjustRightInd w:val="0"/>
        <w:spacing w:before="240" w:after="240"/>
        <w:ind w:firstLine="0"/>
        <w:jc w:val="center"/>
        <w:rPr>
          <w:rFonts w:eastAsia="Times New Roman" w:cs="Times New Roman"/>
          <w:b/>
          <w:sz w:val="28"/>
          <w:szCs w:val="28"/>
        </w:rPr>
      </w:pPr>
      <w:r w:rsidRPr="00331E6F">
        <w:rPr>
          <w:rFonts w:eastAsia="Times New Roman" w:cs="Times New Roman"/>
          <w:b/>
          <w:sz w:val="28"/>
          <w:szCs w:val="28"/>
        </w:rPr>
        <w:t>Ietekme uz vispārējās valdības budžetu un parādu</w:t>
      </w:r>
    </w:p>
    <w:p w14:paraId="56926D40" w14:textId="3EE1D5F9" w:rsidR="00E96BB6" w:rsidRPr="00331E6F" w:rsidRDefault="00E96BB6" w:rsidP="00E96BB6">
      <w:pPr>
        <w:rPr>
          <w:noProof/>
          <w:szCs w:val="24"/>
        </w:rPr>
      </w:pPr>
      <w:r w:rsidRPr="00331E6F">
        <w:rPr>
          <w:noProof/>
          <w:color w:val="000000" w:themeColor="text1"/>
        </w:rPr>
        <w:t xml:space="preserve">Ņemot vērā makroekonomiskās attīstības optimistisko scenāriju, </w:t>
      </w:r>
      <w:r w:rsidR="00331E6F" w:rsidRPr="00331E6F">
        <w:rPr>
          <w:noProof/>
          <w:color w:val="000000" w:themeColor="text1"/>
        </w:rPr>
        <w:t>FM</w:t>
      </w:r>
      <w:r w:rsidRPr="00331E6F">
        <w:rPr>
          <w:noProof/>
          <w:color w:val="000000" w:themeColor="text1"/>
        </w:rPr>
        <w:t xml:space="preserve"> ir novērtējusi šī scenārija ietekmi uz vispārējās valdības budžeta bilanci, novērtējot izmaiņas nodokļu un nenodokļu ieņēmumos, kā arī valsts speciālā budžeta izdevumos un valsts parāda apkalpošanas (procentu) izdevumos salīdzinājumā ar bāzes scenāriju. </w:t>
      </w:r>
      <w:r w:rsidRPr="00331E6F">
        <w:rPr>
          <w:noProof/>
          <w:szCs w:val="24"/>
        </w:rPr>
        <w:t>Rezultātā kopbudžeta nodokļu ieņēmumi, salīdzinot ar bāzes scenāriju 2024.-2028. gadam, pēc naudas plūsmas tiek prognozēti ar palielinājumu 43,5 milj. </w:t>
      </w:r>
      <w:r w:rsidRPr="00331E6F">
        <w:rPr>
          <w:i/>
          <w:iCs/>
          <w:noProof/>
          <w:szCs w:val="24"/>
        </w:rPr>
        <w:t>euro</w:t>
      </w:r>
      <w:r w:rsidRPr="00331E6F">
        <w:rPr>
          <w:noProof/>
          <w:szCs w:val="24"/>
        </w:rPr>
        <w:t xml:space="preserve"> 2024. gadā, 131,2 milj. </w:t>
      </w:r>
      <w:r w:rsidRPr="00331E6F">
        <w:rPr>
          <w:i/>
          <w:iCs/>
          <w:noProof/>
          <w:szCs w:val="24"/>
        </w:rPr>
        <w:t>euro</w:t>
      </w:r>
      <w:r w:rsidRPr="00331E6F">
        <w:rPr>
          <w:noProof/>
          <w:szCs w:val="24"/>
        </w:rPr>
        <w:t xml:space="preserve"> 2025. gadā, 178,8 milj. </w:t>
      </w:r>
      <w:r w:rsidRPr="00331E6F">
        <w:rPr>
          <w:i/>
          <w:iCs/>
          <w:noProof/>
          <w:szCs w:val="24"/>
        </w:rPr>
        <w:t>euro</w:t>
      </w:r>
      <w:r w:rsidRPr="00331E6F">
        <w:rPr>
          <w:noProof/>
          <w:szCs w:val="24"/>
        </w:rPr>
        <w:t xml:space="preserve"> 2026. gadā, 201,2 milj. </w:t>
      </w:r>
      <w:r w:rsidRPr="00331E6F">
        <w:rPr>
          <w:i/>
          <w:iCs/>
          <w:noProof/>
          <w:szCs w:val="24"/>
        </w:rPr>
        <w:t>euro</w:t>
      </w:r>
      <w:r w:rsidRPr="00331E6F">
        <w:rPr>
          <w:noProof/>
          <w:szCs w:val="24"/>
        </w:rPr>
        <w:t xml:space="preserve"> 2027. gadā un 219,9 milj. </w:t>
      </w:r>
      <w:r w:rsidRPr="00331E6F">
        <w:rPr>
          <w:i/>
          <w:iCs/>
          <w:noProof/>
          <w:szCs w:val="24"/>
        </w:rPr>
        <w:t>euro</w:t>
      </w:r>
      <w:r w:rsidRPr="00331E6F">
        <w:rPr>
          <w:noProof/>
          <w:szCs w:val="24"/>
        </w:rPr>
        <w:t xml:space="preserve"> 2028. gadā, vadoties pēc optimistiskajā scenārijā iezīmētājām tautsaimniecības attīstības tendencēm. </w:t>
      </w:r>
    </w:p>
    <w:p w14:paraId="4A7606F1" w14:textId="77777777" w:rsidR="00E96BB6" w:rsidRPr="00331E6F" w:rsidRDefault="00E96BB6" w:rsidP="00E96BB6">
      <w:pPr>
        <w:rPr>
          <w:noProof/>
          <w:color w:val="000000" w:themeColor="text1"/>
          <w:szCs w:val="24"/>
        </w:rPr>
      </w:pPr>
      <w:r w:rsidRPr="00331E6F">
        <w:rPr>
          <w:noProof/>
          <w:color w:val="000000" w:themeColor="text1"/>
          <w:szCs w:val="24"/>
        </w:rPr>
        <w:t>2024. -2028. gadā vispārējās valdības budžeta deficīts, optimistiskajam scenārijam iestājoties un saglabājoties nemainīgai valdības politikai, tiek prognozēts attiecīgi 2,4% no IKP 2024. gadā, 2,5% no IKP 2025. gadā, 2,2% no IKP 2026. gadā, 2,0% no IKP 2027. gadā un 1,7% no IKP 2028. gadā. Pie šī scenārija bilances uzlabošanos galvenokārt nosaka augstāki kopbudžeta nodokļu ieņēmumi un zemāki procentu izdevumi.</w:t>
      </w:r>
    </w:p>
    <w:p w14:paraId="2CF52B76" w14:textId="44815FB4" w:rsidR="00E96BB6" w:rsidRPr="00331E6F" w:rsidRDefault="00E96BB6" w:rsidP="00E96BB6">
      <w:pPr>
        <w:rPr>
          <w:noProof/>
          <w:color w:val="000000" w:themeColor="text1"/>
          <w:szCs w:val="24"/>
        </w:rPr>
      </w:pPr>
      <w:r w:rsidRPr="00331E6F">
        <w:rPr>
          <w:noProof/>
          <w:color w:val="000000" w:themeColor="text1"/>
          <w:szCs w:val="24"/>
        </w:rPr>
        <w:t>Iestājoties šādam scenārijam, vispārējās valdības budžeta bilance uzlabotos par 0,1 p</w:t>
      </w:r>
      <w:r w:rsidR="00331E6F" w:rsidRPr="00331E6F">
        <w:rPr>
          <w:noProof/>
          <w:color w:val="000000" w:themeColor="text1"/>
          <w:szCs w:val="24"/>
        </w:rPr>
        <w:t>p</w:t>
      </w:r>
      <w:r w:rsidRPr="00331E6F">
        <w:rPr>
          <w:noProof/>
          <w:color w:val="000000" w:themeColor="text1"/>
          <w:szCs w:val="24"/>
        </w:rPr>
        <w:t xml:space="preserve"> 2024. gadā, salīdzinot ar bāzes scenāriju, 2025. gadā par 0,3 p</w:t>
      </w:r>
      <w:r w:rsidR="00331E6F" w:rsidRPr="00331E6F">
        <w:rPr>
          <w:noProof/>
          <w:color w:val="000000" w:themeColor="text1"/>
          <w:szCs w:val="24"/>
        </w:rPr>
        <w:t>p</w:t>
      </w:r>
      <w:r w:rsidRPr="00331E6F">
        <w:rPr>
          <w:noProof/>
          <w:color w:val="000000" w:themeColor="text1"/>
          <w:szCs w:val="24"/>
        </w:rPr>
        <w:t xml:space="preserve"> no IKP, bet 2026.-2028. gadā par 0,4 p</w:t>
      </w:r>
      <w:r w:rsidR="00331E6F" w:rsidRPr="00331E6F">
        <w:rPr>
          <w:noProof/>
          <w:color w:val="000000" w:themeColor="text1"/>
          <w:szCs w:val="24"/>
        </w:rPr>
        <w:t>p</w:t>
      </w:r>
      <w:r w:rsidRPr="00331E6F">
        <w:rPr>
          <w:noProof/>
          <w:color w:val="000000" w:themeColor="text1"/>
          <w:szCs w:val="24"/>
        </w:rPr>
        <w:t xml:space="preserve"> no IKP ik gadu. </w:t>
      </w:r>
    </w:p>
    <w:p w14:paraId="54911486" w14:textId="77777777" w:rsidR="00E96BB6" w:rsidRPr="00E96BB6" w:rsidRDefault="00E96BB6" w:rsidP="00E96BB6">
      <w:pPr>
        <w:spacing w:after="0"/>
        <w:ind w:firstLine="0"/>
        <w:jc w:val="left"/>
        <w:rPr>
          <w:rFonts w:eastAsia="Calibri" w:cs="Times New Roman"/>
          <w:b/>
          <w:i/>
          <w:szCs w:val="24"/>
          <w:highlight w:val="yellow"/>
          <w:lang w:eastAsia="en-US"/>
        </w:rPr>
      </w:pPr>
      <w:r w:rsidRPr="00E96BB6">
        <w:rPr>
          <w:rFonts w:eastAsia="Calibri" w:cs="Times New Roman"/>
          <w:b/>
          <w:i/>
          <w:szCs w:val="24"/>
          <w:highlight w:val="yellow"/>
          <w:lang w:eastAsia="en-US"/>
        </w:rPr>
        <w:br w:type="page"/>
      </w:r>
    </w:p>
    <w:p w14:paraId="5CCD3D88" w14:textId="1EFF4325" w:rsidR="00E96BB6" w:rsidRPr="00331E6F" w:rsidRDefault="00E96BB6" w:rsidP="00E96BB6">
      <w:pPr>
        <w:keepNext/>
        <w:spacing w:before="240"/>
        <w:ind w:firstLine="0"/>
        <w:jc w:val="right"/>
        <w:rPr>
          <w:rFonts w:eastAsia="Calibri" w:cs="Times New Roman"/>
          <w:b/>
          <w:i/>
          <w:szCs w:val="24"/>
          <w:lang w:eastAsia="en-US"/>
        </w:rPr>
      </w:pPr>
      <w:r w:rsidRPr="00331E6F">
        <w:rPr>
          <w:rFonts w:eastAsia="Calibri" w:cs="Times New Roman"/>
          <w:b/>
          <w:i/>
          <w:szCs w:val="24"/>
          <w:lang w:eastAsia="en-US"/>
        </w:rPr>
        <w:lastRenderedPageBreak/>
        <w:t>1.10.</w:t>
      </w:r>
      <w:r w:rsidR="00B83230">
        <w:rPr>
          <w:rFonts w:eastAsia="Calibri" w:cs="Times New Roman"/>
          <w:b/>
          <w:i/>
          <w:szCs w:val="24"/>
          <w:lang w:eastAsia="en-US"/>
        </w:rPr>
        <w:t xml:space="preserve"> </w:t>
      </w:r>
      <w:r w:rsidRPr="00331E6F">
        <w:rPr>
          <w:rFonts w:eastAsia="Calibri" w:cs="Times New Roman"/>
          <w:b/>
          <w:i/>
          <w:szCs w:val="24"/>
          <w:lang w:eastAsia="en-US"/>
        </w:rPr>
        <w:t xml:space="preserve">tabula. Optimistiskā scenārija ietekme uz vispārējās valdības budžetu, </w:t>
      </w:r>
      <w:r w:rsidRPr="00331E6F">
        <w:rPr>
          <w:rFonts w:eastAsia="Calibri" w:cs="Times New Roman"/>
          <w:b/>
          <w:i/>
          <w:noProof/>
          <w:szCs w:val="24"/>
          <w:lang w:eastAsia="en-US"/>
        </w:rPr>
        <w:t>milj. euro</w:t>
      </w:r>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51"/>
        <w:gridCol w:w="850"/>
        <w:gridCol w:w="851"/>
        <w:gridCol w:w="850"/>
        <w:gridCol w:w="709"/>
        <w:gridCol w:w="709"/>
        <w:gridCol w:w="709"/>
        <w:gridCol w:w="730"/>
      </w:tblGrid>
      <w:tr w:rsidR="00E96BB6" w:rsidRPr="00331E6F" w14:paraId="4CA9BB86" w14:textId="77777777" w:rsidTr="002C61B1">
        <w:trPr>
          <w:trHeight w:val="301"/>
          <w:tblHeader/>
          <w:jc w:val="center"/>
        </w:trPr>
        <w:tc>
          <w:tcPr>
            <w:tcW w:w="2830" w:type="dxa"/>
            <w:shd w:val="clear" w:color="auto" w:fill="BDD6EE" w:themeFill="accent1" w:themeFillTint="66"/>
            <w:vAlign w:val="center"/>
            <w:hideMark/>
          </w:tcPr>
          <w:p w14:paraId="48BE76FA" w14:textId="77777777" w:rsidR="00E96BB6" w:rsidRPr="00331E6F" w:rsidRDefault="00E96BB6" w:rsidP="002C61B1">
            <w:pPr>
              <w:spacing w:after="0"/>
              <w:ind w:firstLine="0"/>
              <w:jc w:val="left"/>
              <w:rPr>
                <w:rFonts w:eastAsia="Times New Roman" w:cs="Times New Roman"/>
                <w:sz w:val="18"/>
                <w:szCs w:val="18"/>
              </w:rPr>
            </w:pPr>
          </w:p>
        </w:tc>
        <w:tc>
          <w:tcPr>
            <w:tcW w:w="3402" w:type="dxa"/>
            <w:gridSpan w:val="4"/>
            <w:shd w:val="clear" w:color="auto" w:fill="BDD6EE" w:themeFill="accent1" w:themeFillTint="66"/>
            <w:vAlign w:val="center"/>
          </w:tcPr>
          <w:p w14:paraId="4DE7363A"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Optimistiskais scenārijs</w:t>
            </w:r>
          </w:p>
        </w:tc>
        <w:tc>
          <w:tcPr>
            <w:tcW w:w="2857" w:type="dxa"/>
            <w:gridSpan w:val="4"/>
            <w:shd w:val="clear" w:color="auto" w:fill="BDD6EE" w:themeFill="accent1" w:themeFillTint="66"/>
            <w:vAlign w:val="center"/>
          </w:tcPr>
          <w:p w14:paraId="3A182E01"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Novirze no bāzes scenārija</w:t>
            </w:r>
          </w:p>
        </w:tc>
      </w:tr>
      <w:tr w:rsidR="00E96BB6" w:rsidRPr="00331E6F" w14:paraId="311C976A" w14:textId="77777777" w:rsidTr="002C61B1">
        <w:trPr>
          <w:trHeight w:val="185"/>
          <w:jc w:val="center"/>
        </w:trPr>
        <w:tc>
          <w:tcPr>
            <w:tcW w:w="2830" w:type="dxa"/>
            <w:shd w:val="clear" w:color="auto" w:fill="BDD6EE" w:themeFill="accent1" w:themeFillTint="66"/>
            <w:vAlign w:val="center"/>
            <w:hideMark/>
          </w:tcPr>
          <w:p w14:paraId="268BD162" w14:textId="77777777" w:rsidR="00E96BB6" w:rsidRPr="00331E6F" w:rsidRDefault="00E96BB6" w:rsidP="002C61B1">
            <w:pPr>
              <w:spacing w:after="0"/>
              <w:ind w:firstLine="0"/>
              <w:jc w:val="left"/>
              <w:rPr>
                <w:rFonts w:eastAsia="Times New Roman" w:cs="Times New Roman"/>
                <w:sz w:val="18"/>
                <w:szCs w:val="18"/>
              </w:rPr>
            </w:pPr>
          </w:p>
        </w:tc>
        <w:tc>
          <w:tcPr>
            <w:tcW w:w="851" w:type="dxa"/>
            <w:shd w:val="clear" w:color="auto" w:fill="BDD6EE" w:themeFill="accent1" w:themeFillTint="66"/>
            <w:tcMar>
              <w:left w:w="57" w:type="dxa"/>
              <w:right w:w="57" w:type="dxa"/>
            </w:tcMar>
            <w:vAlign w:val="center"/>
          </w:tcPr>
          <w:p w14:paraId="5CEC5DF0"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2025</w:t>
            </w:r>
          </w:p>
        </w:tc>
        <w:tc>
          <w:tcPr>
            <w:tcW w:w="850" w:type="dxa"/>
            <w:shd w:val="clear" w:color="auto" w:fill="BDD6EE" w:themeFill="accent1" w:themeFillTint="66"/>
            <w:tcMar>
              <w:left w:w="57" w:type="dxa"/>
              <w:right w:w="57" w:type="dxa"/>
            </w:tcMar>
            <w:vAlign w:val="center"/>
          </w:tcPr>
          <w:p w14:paraId="72DCA902"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2026</w:t>
            </w:r>
          </w:p>
        </w:tc>
        <w:tc>
          <w:tcPr>
            <w:tcW w:w="851" w:type="dxa"/>
            <w:shd w:val="clear" w:color="auto" w:fill="BDD6EE" w:themeFill="accent1" w:themeFillTint="66"/>
            <w:tcMar>
              <w:left w:w="57" w:type="dxa"/>
              <w:right w:w="57" w:type="dxa"/>
            </w:tcMar>
            <w:vAlign w:val="center"/>
          </w:tcPr>
          <w:p w14:paraId="164CB65A"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2027</w:t>
            </w:r>
          </w:p>
        </w:tc>
        <w:tc>
          <w:tcPr>
            <w:tcW w:w="850" w:type="dxa"/>
            <w:shd w:val="clear" w:color="auto" w:fill="BDD6EE" w:themeFill="accent1" w:themeFillTint="66"/>
            <w:tcMar>
              <w:left w:w="57" w:type="dxa"/>
              <w:right w:w="57" w:type="dxa"/>
            </w:tcMar>
            <w:vAlign w:val="center"/>
          </w:tcPr>
          <w:p w14:paraId="17FC61A8"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2028</w:t>
            </w:r>
          </w:p>
        </w:tc>
        <w:tc>
          <w:tcPr>
            <w:tcW w:w="709" w:type="dxa"/>
            <w:shd w:val="clear" w:color="auto" w:fill="BDD6EE" w:themeFill="accent1" w:themeFillTint="66"/>
            <w:tcMar>
              <w:left w:w="57" w:type="dxa"/>
              <w:right w:w="57" w:type="dxa"/>
            </w:tcMar>
            <w:vAlign w:val="center"/>
            <w:hideMark/>
          </w:tcPr>
          <w:p w14:paraId="483B1E08"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2025</w:t>
            </w:r>
          </w:p>
        </w:tc>
        <w:tc>
          <w:tcPr>
            <w:tcW w:w="709" w:type="dxa"/>
            <w:shd w:val="clear" w:color="auto" w:fill="BDD6EE" w:themeFill="accent1" w:themeFillTint="66"/>
            <w:tcMar>
              <w:left w:w="57" w:type="dxa"/>
              <w:right w:w="57" w:type="dxa"/>
            </w:tcMar>
            <w:vAlign w:val="center"/>
            <w:hideMark/>
          </w:tcPr>
          <w:p w14:paraId="1EFBF4FF"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2026</w:t>
            </w:r>
          </w:p>
        </w:tc>
        <w:tc>
          <w:tcPr>
            <w:tcW w:w="709" w:type="dxa"/>
            <w:shd w:val="clear" w:color="auto" w:fill="BDD6EE" w:themeFill="accent1" w:themeFillTint="66"/>
            <w:tcMar>
              <w:left w:w="57" w:type="dxa"/>
              <w:right w:w="57" w:type="dxa"/>
            </w:tcMar>
            <w:vAlign w:val="center"/>
          </w:tcPr>
          <w:p w14:paraId="42F2972E"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2027</w:t>
            </w:r>
          </w:p>
        </w:tc>
        <w:tc>
          <w:tcPr>
            <w:tcW w:w="730" w:type="dxa"/>
            <w:shd w:val="clear" w:color="auto" w:fill="BDD6EE" w:themeFill="accent1" w:themeFillTint="66"/>
            <w:tcMar>
              <w:left w:w="57" w:type="dxa"/>
              <w:right w:w="57" w:type="dxa"/>
            </w:tcMar>
            <w:vAlign w:val="center"/>
            <w:hideMark/>
          </w:tcPr>
          <w:p w14:paraId="6F9E908E" w14:textId="77777777" w:rsidR="00E96BB6" w:rsidRPr="00331E6F" w:rsidRDefault="00E96BB6" w:rsidP="002C61B1">
            <w:pPr>
              <w:spacing w:after="0"/>
              <w:ind w:firstLine="0"/>
              <w:jc w:val="center"/>
              <w:rPr>
                <w:rFonts w:eastAsia="Times New Roman" w:cs="Times New Roman"/>
                <w:b/>
                <w:sz w:val="18"/>
                <w:szCs w:val="18"/>
              </w:rPr>
            </w:pPr>
            <w:r w:rsidRPr="00331E6F">
              <w:rPr>
                <w:rFonts w:cs="Times New Roman"/>
                <w:b/>
                <w:bCs/>
                <w:noProof/>
                <w:sz w:val="20"/>
                <w:szCs w:val="20"/>
              </w:rPr>
              <w:t>2028</w:t>
            </w:r>
          </w:p>
        </w:tc>
      </w:tr>
      <w:tr w:rsidR="00E96BB6" w:rsidRPr="00331E6F" w14:paraId="2547BD18" w14:textId="77777777" w:rsidTr="002C61B1">
        <w:trPr>
          <w:trHeight w:val="306"/>
          <w:jc w:val="center"/>
        </w:trPr>
        <w:tc>
          <w:tcPr>
            <w:tcW w:w="2830" w:type="dxa"/>
            <w:shd w:val="clear" w:color="auto" w:fill="auto"/>
            <w:vAlign w:val="center"/>
          </w:tcPr>
          <w:p w14:paraId="30E992DA" w14:textId="77777777" w:rsidR="00E96BB6" w:rsidRPr="00331E6F" w:rsidRDefault="00E96BB6" w:rsidP="002C61B1">
            <w:pPr>
              <w:spacing w:after="0"/>
              <w:ind w:firstLine="0"/>
              <w:jc w:val="left"/>
              <w:rPr>
                <w:rFonts w:eastAsia="Times New Roman" w:cs="Times New Roman"/>
                <w:b/>
                <w:sz w:val="18"/>
                <w:szCs w:val="18"/>
              </w:rPr>
            </w:pPr>
            <w:r w:rsidRPr="00331E6F">
              <w:rPr>
                <w:rFonts w:eastAsia="Times New Roman" w:cs="Times New Roman"/>
                <w:b/>
                <w:sz w:val="18"/>
                <w:szCs w:val="18"/>
              </w:rPr>
              <w:t>Vispārējās valdības budžeta bilance</w:t>
            </w:r>
            <w:r w:rsidRPr="00331E6F">
              <w:rPr>
                <w:rFonts w:eastAsia="Times New Roman" w:cs="Times New Roman"/>
                <w:b/>
                <w:sz w:val="18"/>
                <w:szCs w:val="18"/>
                <w:vertAlign w:val="superscript"/>
              </w:rPr>
              <w:footnoteReference w:id="6"/>
            </w:r>
            <w:r w:rsidRPr="00331E6F">
              <w:rPr>
                <w:rFonts w:eastAsia="Times New Roman" w:cs="Times New Roman"/>
                <w:b/>
                <w:sz w:val="18"/>
                <w:szCs w:val="18"/>
              </w:rPr>
              <w:t>, % no IKP</w:t>
            </w:r>
          </w:p>
        </w:tc>
        <w:tc>
          <w:tcPr>
            <w:tcW w:w="851" w:type="dxa"/>
            <w:shd w:val="clear" w:color="auto" w:fill="auto"/>
            <w:tcMar>
              <w:left w:w="57" w:type="dxa"/>
              <w:right w:w="57" w:type="dxa"/>
            </w:tcMar>
            <w:vAlign w:val="center"/>
          </w:tcPr>
          <w:p w14:paraId="0BB38AC4" w14:textId="77777777" w:rsidR="00E96BB6" w:rsidRPr="00331E6F" w:rsidRDefault="00E96BB6" w:rsidP="002C61B1">
            <w:pPr>
              <w:spacing w:after="0"/>
              <w:ind w:firstLine="0"/>
              <w:jc w:val="right"/>
              <w:rPr>
                <w:rFonts w:eastAsia="Times New Roman" w:cs="Times New Roman"/>
                <w:b/>
                <w:sz w:val="18"/>
                <w:szCs w:val="18"/>
              </w:rPr>
            </w:pPr>
            <w:r w:rsidRPr="00331E6F">
              <w:rPr>
                <w:rFonts w:eastAsia="Times New Roman" w:cs="Times New Roman"/>
                <w:b/>
                <w:sz w:val="18"/>
                <w:szCs w:val="18"/>
              </w:rPr>
              <w:t>-2,5%</w:t>
            </w:r>
          </w:p>
        </w:tc>
        <w:tc>
          <w:tcPr>
            <w:tcW w:w="850" w:type="dxa"/>
            <w:shd w:val="clear" w:color="auto" w:fill="auto"/>
            <w:tcMar>
              <w:left w:w="57" w:type="dxa"/>
              <w:right w:w="57" w:type="dxa"/>
            </w:tcMar>
            <w:vAlign w:val="center"/>
          </w:tcPr>
          <w:p w14:paraId="01DF4551" w14:textId="77777777" w:rsidR="00E96BB6" w:rsidRPr="00331E6F" w:rsidRDefault="00E96BB6" w:rsidP="002C61B1">
            <w:pPr>
              <w:spacing w:after="0"/>
              <w:ind w:firstLine="0"/>
              <w:jc w:val="right"/>
              <w:rPr>
                <w:rFonts w:eastAsia="Times New Roman" w:cs="Times New Roman"/>
                <w:b/>
                <w:sz w:val="18"/>
                <w:szCs w:val="18"/>
              </w:rPr>
            </w:pPr>
            <w:r w:rsidRPr="00331E6F">
              <w:rPr>
                <w:rFonts w:eastAsia="Times New Roman" w:cs="Times New Roman"/>
                <w:b/>
                <w:sz w:val="18"/>
                <w:szCs w:val="18"/>
              </w:rPr>
              <w:t>-2,2%</w:t>
            </w:r>
          </w:p>
        </w:tc>
        <w:tc>
          <w:tcPr>
            <w:tcW w:w="851" w:type="dxa"/>
            <w:shd w:val="clear" w:color="auto" w:fill="auto"/>
            <w:tcMar>
              <w:left w:w="57" w:type="dxa"/>
              <w:right w:w="57" w:type="dxa"/>
            </w:tcMar>
            <w:vAlign w:val="center"/>
          </w:tcPr>
          <w:p w14:paraId="6D72EC2C" w14:textId="77777777" w:rsidR="00E96BB6" w:rsidRPr="00331E6F" w:rsidRDefault="00E96BB6" w:rsidP="002C61B1">
            <w:pPr>
              <w:spacing w:after="0"/>
              <w:ind w:firstLine="0"/>
              <w:jc w:val="right"/>
              <w:rPr>
                <w:rFonts w:eastAsia="Times New Roman" w:cs="Times New Roman"/>
                <w:b/>
                <w:sz w:val="18"/>
                <w:szCs w:val="18"/>
              </w:rPr>
            </w:pPr>
            <w:r w:rsidRPr="00331E6F">
              <w:rPr>
                <w:rFonts w:eastAsia="Times New Roman" w:cs="Times New Roman"/>
                <w:b/>
                <w:sz w:val="18"/>
                <w:szCs w:val="18"/>
              </w:rPr>
              <w:t>-2,0%</w:t>
            </w:r>
          </w:p>
        </w:tc>
        <w:tc>
          <w:tcPr>
            <w:tcW w:w="850" w:type="dxa"/>
            <w:shd w:val="clear" w:color="auto" w:fill="auto"/>
            <w:tcMar>
              <w:left w:w="57" w:type="dxa"/>
              <w:right w:w="57" w:type="dxa"/>
            </w:tcMar>
            <w:vAlign w:val="center"/>
          </w:tcPr>
          <w:p w14:paraId="6CDB3338" w14:textId="77777777" w:rsidR="00E96BB6" w:rsidRPr="00331E6F" w:rsidRDefault="00E96BB6" w:rsidP="002C61B1">
            <w:pPr>
              <w:spacing w:after="0"/>
              <w:ind w:firstLine="0"/>
              <w:jc w:val="right"/>
              <w:rPr>
                <w:rFonts w:eastAsia="Times New Roman" w:cs="Times New Roman"/>
                <w:b/>
                <w:sz w:val="18"/>
                <w:szCs w:val="18"/>
              </w:rPr>
            </w:pPr>
            <w:r w:rsidRPr="00331E6F">
              <w:rPr>
                <w:rFonts w:eastAsia="Times New Roman" w:cs="Times New Roman"/>
                <w:b/>
                <w:sz w:val="18"/>
                <w:szCs w:val="18"/>
              </w:rPr>
              <w:t>-1,7%</w:t>
            </w:r>
          </w:p>
        </w:tc>
        <w:tc>
          <w:tcPr>
            <w:tcW w:w="709" w:type="dxa"/>
            <w:shd w:val="clear" w:color="auto" w:fill="auto"/>
            <w:tcMar>
              <w:left w:w="57" w:type="dxa"/>
              <w:right w:w="57" w:type="dxa"/>
            </w:tcMar>
            <w:vAlign w:val="center"/>
          </w:tcPr>
          <w:p w14:paraId="3048D704" w14:textId="77777777" w:rsidR="00E96BB6" w:rsidRPr="00331E6F" w:rsidRDefault="00E96BB6" w:rsidP="002C61B1">
            <w:pPr>
              <w:spacing w:after="0"/>
              <w:ind w:firstLine="0"/>
              <w:jc w:val="right"/>
              <w:rPr>
                <w:rFonts w:eastAsia="Times New Roman" w:cs="Times New Roman"/>
                <w:b/>
                <w:noProof/>
                <w:sz w:val="18"/>
                <w:szCs w:val="18"/>
              </w:rPr>
            </w:pPr>
            <w:r w:rsidRPr="00331E6F">
              <w:rPr>
                <w:rFonts w:eastAsia="Times New Roman" w:cs="Times New Roman"/>
                <w:b/>
                <w:noProof/>
                <w:sz w:val="18"/>
                <w:szCs w:val="18"/>
              </w:rPr>
              <w:t>0,3 pp</w:t>
            </w:r>
          </w:p>
        </w:tc>
        <w:tc>
          <w:tcPr>
            <w:tcW w:w="709" w:type="dxa"/>
            <w:shd w:val="clear" w:color="auto" w:fill="auto"/>
            <w:tcMar>
              <w:left w:w="57" w:type="dxa"/>
              <w:right w:w="57" w:type="dxa"/>
            </w:tcMar>
            <w:vAlign w:val="center"/>
          </w:tcPr>
          <w:p w14:paraId="756D8F0A" w14:textId="77777777" w:rsidR="00E96BB6" w:rsidRPr="00331E6F" w:rsidRDefault="00E96BB6" w:rsidP="002C61B1">
            <w:pPr>
              <w:spacing w:after="0" w:line="259" w:lineRule="auto"/>
              <w:ind w:firstLine="0"/>
              <w:jc w:val="right"/>
              <w:rPr>
                <w:rFonts w:eastAsia="Times New Roman" w:cs="Times New Roman"/>
                <w:b/>
                <w:noProof/>
                <w:sz w:val="18"/>
                <w:szCs w:val="18"/>
              </w:rPr>
            </w:pPr>
            <w:r w:rsidRPr="00331E6F">
              <w:rPr>
                <w:rFonts w:eastAsia="Times New Roman" w:cs="Times New Roman"/>
                <w:b/>
                <w:noProof/>
                <w:sz w:val="18"/>
                <w:szCs w:val="18"/>
              </w:rPr>
              <w:t>0,4 pp</w:t>
            </w:r>
          </w:p>
        </w:tc>
        <w:tc>
          <w:tcPr>
            <w:tcW w:w="709" w:type="dxa"/>
            <w:shd w:val="clear" w:color="auto" w:fill="auto"/>
            <w:tcMar>
              <w:left w:w="57" w:type="dxa"/>
              <w:right w:w="57" w:type="dxa"/>
            </w:tcMar>
            <w:vAlign w:val="center"/>
          </w:tcPr>
          <w:p w14:paraId="071563A1" w14:textId="77777777" w:rsidR="00E96BB6" w:rsidRPr="00331E6F" w:rsidRDefault="00E96BB6" w:rsidP="002C61B1">
            <w:pPr>
              <w:spacing w:after="0" w:line="259" w:lineRule="auto"/>
              <w:ind w:firstLine="0"/>
              <w:jc w:val="right"/>
              <w:rPr>
                <w:rFonts w:eastAsia="Times New Roman" w:cs="Times New Roman"/>
                <w:b/>
                <w:noProof/>
                <w:sz w:val="18"/>
                <w:szCs w:val="18"/>
              </w:rPr>
            </w:pPr>
            <w:r w:rsidRPr="00331E6F">
              <w:rPr>
                <w:rFonts w:eastAsia="Times New Roman" w:cs="Times New Roman"/>
                <w:b/>
                <w:noProof/>
                <w:sz w:val="18"/>
                <w:szCs w:val="18"/>
              </w:rPr>
              <w:t>0,4 pp</w:t>
            </w:r>
          </w:p>
        </w:tc>
        <w:tc>
          <w:tcPr>
            <w:tcW w:w="730" w:type="dxa"/>
            <w:shd w:val="clear" w:color="auto" w:fill="auto"/>
            <w:tcMar>
              <w:left w:w="57" w:type="dxa"/>
              <w:right w:w="57" w:type="dxa"/>
            </w:tcMar>
            <w:vAlign w:val="center"/>
          </w:tcPr>
          <w:p w14:paraId="5A9BC7AA" w14:textId="77777777" w:rsidR="00E96BB6" w:rsidRPr="00331E6F" w:rsidRDefault="00E96BB6" w:rsidP="002C61B1">
            <w:pPr>
              <w:spacing w:after="0" w:line="259" w:lineRule="auto"/>
              <w:ind w:firstLine="0"/>
              <w:jc w:val="right"/>
              <w:rPr>
                <w:rFonts w:eastAsia="Times New Roman" w:cs="Times New Roman"/>
                <w:b/>
                <w:noProof/>
                <w:sz w:val="18"/>
                <w:szCs w:val="18"/>
              </w:rPr>
            </w:pPr>
            <w:r w:rsidRPr="00331E6F">
              <w:rPr>
                <w:rFonts w:eastAsia="Times New Roman" w:cs="Times New Roman"/>
                <w:b/>
                <w:noProof/>
                <w:sz w:val="18"/>
                <w:szCs w:val="18"/>
              </w:rPr>
              <w:t>0,4 pp</w:t>
            </w:r>
          </w:p>
        </w:tc>
      </w:tr>
      <w:tr w:rsidR="00E96BB6" w:rsidRPr="00331E6F" w14:paraId="0130FB44" w14:textId="77777777" w:rsidTr="002C61B1">
        <w:trPr>
          <w:trHeight w:val="201"/>
          <w:jc w:val="center"/>
        </w:trPr>
        <w:tc>
          <w:tcPr>
            <w:tcW w:w="2830" w:type="dxa"/>
            <w:shd w:val="clear" w:color="auto" w:fill="auto"/>
            <w:vAlign w:val="center"/>
          </w:tcPr>
          <w:p w14:paraId="4C2E109E" w14:textId="77777777" w:rsidR="00E96BB6" w:rsidRPr="00331E6F" w:rsidRDefault="00E96BB6" w:rsidP="002C61B1">
            <w:pPr>
              <w:spacing w:after="0"/>
              <w:ind w:firstLine="0"/>
              <w:jc w:val="left"/>
              <w:rPr>
                <w:rFonts w:eastAsia="Times New Roman" w:cs="Times New Roman"/>
                <w:sz w:val="18"/>
                <w:szCs w:val="18"/>
              </w:rPr>
            </w:pPr>
            <w:r w:rsidRPr="00331E6F">
              <w:rPr>
                <w:rFonts w:eastAsia="Times New Roman" w:cs="Times New Roman"/>
                <w:sz w:val="18"/>
                <w:szCs w:val="18"/>
              </w:rPr>
              <w:t>Vispārējās valdības budžeta bilance</w:t>
            </w:r>
          </w:p>
        </w:tc>
        <w:tc>
          <w:tcPr>
            <w:tcW w:w="851" w:type="dxa"/>
            <w:shd w:val="clear" w:color="auto" w:fill="auto"/>
            <w:tcMar>
              <w:left w:w="57" w:type="dxa"/>
              <w:right w:w="57" w:type="dxa"/>
            </w:tcMar>
            <w:vAlign w:val="bottom"/>
          </w:tcPr>
          <w:p w14:paraId="1E406181"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-1 147,6</w:t>
            </w:r>
          </w:p>
        </w:tc>
        <w:tc>
          <w:tcPr>
            <w:tcW w:w="850" w:type="dxa"/>
            <w:shd w:val="clear" w:color="auto" w:fill="auto"/>
            <w:tcMar>
              <w:left w:w="57" w:type="dxa"/>
              <w:right w:w="57" w:type="dxa"/>
            </w:tcMar>
            <w:vAlign w:val="bottom"/>
          </w:tcPr>
          <w:p w14:paraId="26E95F1E"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-1 059,7</w:t>
            </w:r>
          </w:p>
        </w:tc>
        <w:tc>
          <w:tcPr>
            <w:tcW w:w="851" w:type="dxa"/>
            <w:shd w:val="clear" w:color="auto" w:fill="auto"/>
            <w:tcMar>
              <w:left w:w="57" w:type="dxa"/>
              <w:right w:w="57" w:type="dxa"/>
            </w:tcMar>
            <w:vAlign w:val="bottom"/>
          </w:tcPr>
          <w:p w14:paraId="61F2BFCA"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-1 003,5</w:t>
            </w:r>
          </w:p>
        </w:tc>
        <w:tc>
          <w:tcPr>
            <w:tcW w:w="850" w:type="dxa"/>
            <w:shd w:val="clear" w:color="auto" w:fill="auto"/>
            <w:tcMar>
              <w:left w:w="57" w:type="dxa"/>
              <w:right w:w="57" w:type="dxa"/>
            </w:tcMar>
            <w:vAlign w:val="bottom"/>
          </w:tcPr>
          <w:p w14:paraId="38B48392"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-894,0</w:t>
            </w:r>
          </w:p>
        </w:tc>
        <w:tc>
          <w:tcPr>
            <w:tcW w:w="709" w:type="dxa"/>
            <w:shd w:val="clear" w:color="auto" w:fill="auto"/>
            <w:tcMar>
              <w:left w:w="57" w:type="dxa"/>
              <w:right w:w="57" w:type="dxa"/>
            </w:tcMar>
            <w:vAlign w:val="bottom"/>
          </w:tcPr>
          <w:p w14:paraId="0028540E" w14:textId="77777777" w:rsidR="00E96BB6" w:rsidRPr="00331E6F" w:rsidRDefault="00E96BB6" w:rsidP="002C61B1">
            <w:pPr>
              <w:spacing w:after="0"/>
              <w:ind w:firstLine="0"/>
              <w:jc w:val="right"/>
              <w:rPr>
                <w:rFonts w:eastAsia="Times New Roman" w:cs="Times New Roman"/>
                <w:noProof/>
                <w:sz w:val="18"/>
                <w:szCs w:val="18"/>
              </w:rPr>
            </w:pPr>
            <w:r w:rsidRPr="00331E6F">
              <w:rPr>
                <w:rFonts w:cs="Times New Roman"/>
                <w:noProof/>
                <w:sz w:val="18"/>
                <w:szCs w:val="18"/>
              </w:rPr>
              <w:t>+135,2</w:t>
            </w:r>
          </w:p>
        </w:tc>
        <w:tc>
          <w:tcPr>
            <w:tcW w:w="709" w:type="dxa"/>
            <w:shd w:val="clear" w:color="auto" w:fill="auto"/>
            <w:tcMar>
              <w:left w:w="57" w:type="dxa"/>
              <w:right w:w="57" w:type="dxa"/>
            </w:tcMar>
            <w:vAlign w:val="bottom"/>
          </w:tcPr>
          <w:p w14:paraId="262D52A9" w14:textId="77777777" w:rsidR="00E96BB6" w:rsidRPr="00331E6F" w:rsidRDefault="00E96BB6" w:rsidP="002C61B1">
            <w:pPr>
              <w:spacing w:after="0" w:line="259" w:lineRule="auto"/>
              <w:ind w:firstLine="0"/>
              <w:jc w:val="right"/>
              <w:rPr>
                <w:rFonts w:eastAsia="Times New Roman" w:cs="Times New Roman"/>
                <w:noProof/>
                <w:sz w:val="18"/>
                <w:szCs w:val="18"/>
              </w:rPr>
            </w:pPr>
            <w:r w:rsidRPr="00331E6F">
              <w:rPr>
                <w:rFonts w:cs="Times New Roman"/>
                <w:noProof/>
                <w:sz w:val="18"/>
                <w:szCs w:val="18"/>
              </w:rPr>
              <w:t>+181,1</w:t>
            </w:r>
          </w:p>
        </w:tc>
        <w:tc>
          <w:tcPr>
            <w:tcW w:w="709" w:type="dxa"/>
            <w:shd w:val="clear" w:color="auto" w:fill="auto"/>
            <w:tcMar>
              <w:left w:w="57" w:type="dxa"/>
              <w:right w:w="57" w:type="dxa"/>
            </w:tcMar>
            <w:vAlign w:val="bottom"/>
          </w:tcPr>
          <w:p w14:paraId="33C8F25E" w14:textId="77777777" w:rsidR="00E96BB6" w:rsidRPr="00331E6F" w:rsidRDefault="00E96BB6" w:rsidP="002C61B1">
            <w:pPr>
              <w:spacing w:after="0" w:line="259" w:lineRule="auto"/>
              <w:ind w:firstLine="0"/>
              <w:jc w:val="right"/>
              <w:rPr>
                <w:rFonts w:eastAsia="Times New Roman" w:cs="Times New Roman"/>
                <w:noProof/>
                <w:sz w:val="18"/>
                <w:szCs w:val="18"/>
              </w:rPr>
            </w:pPr>
            <w:r w:rsidRPr="00331E6F">
              <w:rPr>
                <w:rFonts w:cs="Times New Roman"/>
                <w:noProof/>
                <w:sz w:val="18"/>
                <w:szCs w:val="18"/>
              </w:rPr>
              <w:t>+196,6</w:t>
            </w:r>
          </w:p>
        </w:tc>
        <w:tc>
          <w:tcPr>
            <w:tcW w:w="730" w:type="dxa"/>
            <w:shd w:val="clear" w:color="auto" w:fill="auto"/>
            <w:tcMar>
              <w:left w:w="57" w:type="dxa"/>
              <w:right w:w="57" w:type="dxa"/>
            </w:tcMar>
            <w:vAlign w:val="bottom"/>
          </w:tcPr>
          <w:p w14:paraId="3F06C143" w14:textId="77777777" w:rsidR="00E96BB6" w:rsidRPr="00331E6F" w:rsidRDefault="00E96BB6" w:rsidP="002C61B1">
            <w:pPr>
              <w:spacing w:after="0" w:line="259" w:lineRule="auto"/>
              <w:ind w:firstLine="0"/>
              <w:jc w:val="right"/>
              <w:rPr>
                <w:rFonts w:eastAsia="Times New Roman" w:cs="Times New Roman"/>
                <w:noProof/>
                <w:sz w:val="18"/>
                <w:szCs w:val="18"/>
              </w:rPr>
            </w:pPr>
            <w:r w:rsidRPr="00331E6F">
              <w:rPr>
                <w:rFonts w:cs="Times New Roman"/>
                <w:noProof/>
                <w:sz w:val="18"/>
                <w:szCs w:val="18"/>
              </w:rPr>
              <w:t>+209,3</w:t>
            </w:r>
          </w:p>
        </w:tc>
      </w:tr>
      <w:tr w:rsidR="00E96BB6" w:rsidRPr="00331E6F" w14:paraId="6B80BD75" w14:textId="77777777" w:rsidTr="002C61B1">
        <w:trPr>
          <w:trHeight w:val="247"/>
          <w:jc w:val="center"/>
        </w:trPr>
        <w:tc>
          <w:tcPr>
            <w:tcW w:w="2830" w:type="dxa"/>
            <w:shd w:val="clear" w:color="auto" w:fill="auto"/>
            <w:vAlign w:val="center"/>
          </w:tcPr>
          <w:p w14:paraId="4F23FD99" w14:textId="77777777" w:rsidR="00E96BB6" w:rsidRPr="00331E6F" w:rsidRDefault="00E96BB6" w:rsidP="002C61B1">
            <w:pPr>
              <w:spacing w:after="0"/>
              <w:ind w:left="166" w:firstLine="0"/>
              <w:jc w:val="left"/>
              <w:rPr>
                <w:rFonts w:eastAsia="Times New Roman" w:cs="Times New Roman"/>
                <w:sz w:val="18"/>
                <w:szCs w:val="18"/>
              </w:rPr>
            </w:pPr>
            <w:r w:rsidRPr="00331E6F">
              <w:rPr>
                <w:rFonts w:eastAsia="Times New Roman" w:cs="Times New Roman"/>
                <w:sz w:val="18"/>
                <w:szCs w:val="18"/>
              </w:rPr>
              <w:t>Nodokļu ieņēmumi</w:t>
            </w:r>
          </w:p>
        </w:tc>
        <w:tc>
          <w:tcPr>
            <w:tcW w:w="851" w:type="dxa"/>
            <w:shd w:val="clear" w:color="auto" w:fill="auto"/>
            <w:tcMar>
              <w:left w:w="57" w:type="dxa"/>
              <w:right w:w="57" w:type="dxa"/>
            </w:tcMar>
            <w:vAlign w:val="bottom"/>
          </w:tcPr>
          <w:p w14:paraId="32C4C2A2"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12 273,3</w:t>
            </w:r>
          </w:p>
        </w:tc>
        <w:tc>
          <w:tcPr>
            <w:tcW w:w="850" w:type="dxa"/>
            <w:shd w:val="clear" w:color="auto" w:fill="auto"/>
            <w:tcMar>
              <w:left w:w="57" w:type="dxa"/>
              <w:right w:w="57" w:type="dxa"/>
            </w:tcMar>
            <w:vAlign w:val="bottom"/>
          </w:tcPr>
          <w:p w14:paraId="416B7CF2"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13 018,6</w:t>
            </w:r>
          </w:p>
        </w:tc>
        <w:tc>
          <w:tcPr>
            <w:tcW w:w="851" w:type="dxa"/>
            <w:shd w:val="clear" w:color="auto" w:fill="auto"/>
            <w:tcMar>
              <w:left w:w="57" w:type="dxa"/>
              <w:right w:w="57" w:type="dxa"/>
            </w:tcMar>
            <w:vAlign w:val="bottom"/>
          </w:tcPr>
          <w:p w14:paraId="53A51D50"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13 577,9</w:t>
            </w:r>
          </w:p>
        </w:tc>
        <w:tc>
          <w:tcPr>
            <w:tcW w:w="850" w:type="dxa"/>
            <w:shd w:val="clear" w:color="auto" w:fill="auto"/>
            <w:tcMar>
              <w:left w:w="57" w:type="dxa"/>
              <w:right w:w="57" w:type="dxa"/>
            </w:tcMar>
            <w:vAlign w:val="bottom"/>
          </w:tcPr>
          <w:p w14:paraId="00627842"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14 095,2</w:t>
            </w:r>
          </w:p>
        </w:tc>
        <w:tc>
          <w:tcPr>
            <w:tcW w:w="709" w:type="dxa"/>
            <w:shd w:val="clear" w:color="auto" w:fill="auto"/>
            <w:tcMar>
              <w:left w:w="57" w:type="dxa"/>
              <w:right w:w="57" w:type="dxa"/>
            </w:tcMar>
            <w:vAlign w:val="bottom"/>
          </w:tcPr>
          <w:p w14:paraId="5CAC288F"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color w:val="000000"/>
                <w:sz w:val="18"/>
                <w:szCs w:val="18"/>
              </w:rPr>
              <w:t>+131,2</w:t>
            </w:r>
          </w:p>
        </w:tc>
        <w:tc>
          <w:tcPr>
            <w:tcW w:w="709" w:type="dxa"/>
            <w:shd w:val="clear" w:color="auto" w:fill="auto"/>
            <w:tcMar>
              <w:left w:w="57" w:type="dxa"/>
              <w:right w:w="57" w:type="dxa"/>
            </w:tcMar>
            <w:vAlign w:val="bottom"/>
          </w:tcPr>
          <w:p w14:paraId="539CD2B6"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+178,8</w:t>
            </w:r>
          </w:p>
        </w:tc>
        <w:tc>
          <w:tcPr>
            <w:tcW w:w="709" w:type="dxa"/>
            <w:shd w:val="clear" w:color="auto" w:fill="auto"/>
            <w:tcMar>
              <w:left w:w="57" w:type="dxa"/>
              <w:right w:w="57" w:type="dxa"/>
            </w:tcMar>
            <w:vAlign w:val="bottom"/>
          </w:tcPr>
          <w:p w14:paraId="424C7366"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+201,2</w:t>
            </w:r>
          </w:p>
        </w:tc>
        <w:tc>
          <w:tcPr>
            <w:tcW w:w="730" w:type="dxa"/>
            <w:shd w:val="clear" w:color="auto" w:fill="auto"/>
            <w:tcMar>
              <w:left w:w="57" w:type="dxa"/>
              <w:right w:w="57" w:type="dxa"/>
            </w:tcMar>
            <w:vAlign w:val="bottom"/>
          </w:tcPr>
          <w:p w14:paraId="09F3DD62"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+219,9</w:t>
            </w:r>
          </w:p>
        </w:tc>
      </w:tr>
      <w:tr w:rsidR="00E96BB6" w:rsidRPr="00331E6F" w14:paraId="4DC0F767" w14:textId="77777777" w:rsidTr="002C61B1">
        <w:trPr>
          <w:trHeight w:val="137"/>
          <w:jc w:val="center"/>
        </w:trPr>
        <w:tc>
          <w:tcPr>
            <w:tcW w:w="2830" w:type="dxa"/>
            <w:shd w:val="clear" w:color="auto" w:fill="auto"/>
            <w:vAlign w:val="center"/>
          </w:tcPr>
          <w:p w14:paraId="44F12EEF" w14:textId="77777777" w:rsidR="00E96BB6" w:rsidRPr="00331E6F" w:rsidRDefault="00E96BB6" w:rsidP="002C61B1">
            <w:pPr>
              <w:spacing w:after="0"/>
              <w:ind w:left="166" w:firstLine="0"/>
              <w:jc w:val="left"/>
              <w:rPr>
                <w:rFonts w:eastAsia="Times New Roman" w:cs="Times New Roman"/>
                <w:noProof/>
                <w:sz w:val="18"/>
                <w:szCs w:val="18"/>
              </w:rPr>
            </w:pPr>
            <w:r w:rsidRPr="00331E6F">
              <w:rPr>
                <w:rFonts w:eastAsia="Times New Roman" w:cs="Times New Roman"/>
                <w:noProof/>
                <w:sz w:val="18"/>
                <w:szCs w:val="18"/>
              </w:rPr>
              <w:t>Nenodokļu ieņēmumi</w:t>
            </w:r>
          </w:p>
        </w:tc>
        <w:tc>
          <w:tcPr>
            <w:tcW w:w="851" w:type="dxa"/>
            <w:shd w:val="clear" w:color="auto" w:fill="auto"/>
            <w:tcMar>
              <w:left w:w="57" w:type="dxa"/>
              <w:right w:w="57" w:type="dxa"/>
            </w:tcMar>
            <w:vAlign w:val="bottom"/>
          </w:tcPr>
          <w:p w14:paraId="73A2635C"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1 042,9</w:t>
            </w:r>
          </w:p>
        </w:tc>
        <w:tc>
          <w:tcPr>
            <w:tcW w:w="850" w:type="dxa"/>
            <w:shd w:val="clear" w:color="auto" w:fill="auto"/>
            <w:tcMar>
              <w:left w:w="57" w:type="dxa"/>
              <w:right w:w="57" w:type="dxa"/>
            </w:tcMar>
            <w:vAlign w:val="bottom"/>
          </w:tcPr>
          <w:p w14:paraId="37CAA6C6"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911,1</w:t>
            </w:r>
          </w:p>
        </w:tc>
        <w:tc>
          <w:tcPr>
            <w:tcW w:w="851" w:type="dxa"/>
            <w:shd w:val="clear" w:color="auto" w:fill="auto"/>
            <w:tcMar>
              <w:left w:w="57" w:type="dxa"/>
              <w:right w:w="57" w:type="dxa"/>
            </w:tcMar>
            <w:vAlign w:val="bottom"/>
          </w:tcPr>
          <w:p w14:paraId="746CD890"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904,8</w:t>
            </w:r>
          </w:p>
        </w:tc>
        <w:tc>
          <w:tcPr>
            <w:tcW w:w="850" w:type="dxa"/>
            <w:shd w:val="clear" w:color="auto" w:fill="auto"/>
            <w:tcMar>
              <w:left w:w="57" w:type="dxa"/>
              <w:right w:w="57" w:type="dxa"/>
            </w:tcMar>
            <w:vAlign w:val="bottom"/>
          </w:tcPr>
          <w:p w14:paraId="0EBCF5F7"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903,1</w:t>
            </w:r>
          </w:p>
        </w:tc>
        <w:tc>
          <w:tcPr>
            <w:tcW w:w="709" w:type="dxa"/>
            <w:shd w:val="clear" w:color="auto" w:fill="auto"/>
            <w:tcMar>
              <w:left w:w="57" w:type="dxa"/>
              <w:right w:w="57" w:type="dxa"/>
            </w:tcMar>
            <w:vAlign w:val="bottom"/>
          </w:tcPr>
          <w:p w14:paraId="0234BCB5"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color w:val="000000"/>
                <w:sz w:val="18"/>
                <w:szCs w:val="18"/>
              </w:rPr>
              <w:t>+3,8</w:t>
            </w:r>
          </w:p>
        </w:tc>
        <w:tc>
          <w:tcPr>
            <w:tcW w:w="709" w:type="dxa"/>
            <w:shd w:val="clear" w:color="auto" w:fill="auto"/>
            <w:tcMar>
              <w:left w:w="57" w:type="dxa"/>
              <w:right w:w="57" w:type="dxa"/>
            </w:tcMar>
            <w:vAlign w:val="bottom"/>
          </w:tcPr>
          <w:p w14:paraId="3C38132B"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+3,4</w:t>
            </w:r>
          </w:p>
        </w:tc>
        <w:tc>
          <w:tcPr>
            <w:tcW w:w="709" w:type="dxa"/>
            <w:shd w:val="clear" w:color="auto" w:fill="auto"/>
            <w:tcMar>
              <w:left w:w="57" w:type="dxa"/>
              <w:right w:w="57" w:type="dxa"/>
            </w:tcMar>
            <w:vAlign w:val="bottom"/>
          </w:tcPr>
          <w:p w14:paraId="4E4420EE"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+3,5</w:t>
            </w:r>
          </w:p>
        </w:tc>
        <w:tc>
          <w:tcPr>
            <w:tcW w:w="730" w:type="dxa"/>
            <w:shd w:val="clear" w:color="auto" w:fill="auto"/>
            <w:tcMar>
              <w:left w:w="57" w:type="dxa"/>
              <w:right w:w="57" w:type="dxa"/>
            </w:tcMar>
            <w:vAlign w:val="bottom"/>
          </w:tcPr>
          <w:p w14:paraId="26B01FCE"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+3,4</w:t>
            </w:r>
          </w:p>
        </w:tc>
      </w:tr>
      <w:tr w:rsidR="00E96BB6" w:rsidRPr="00331E6F" w14:paraId="190C8DEA" w14:textId="77777777" w:rsidTr="002C61B1">
        <w:trPr>
          <w:trHeight w:val="137"/>
          <w:jc w:val="center"/>
        </w:trPr>
        <w:tc>
          <w:tcPr>
            <w:tcW w:w="2830" w:type="dxa"/>
            <w:shd w:val="clear" w:color="auto" w:fill="auto"/>
            <w:vAlign w:val="center"/>
          </w:tcPr>
          <w:p w14:paraId="7EE014E3" w14:textId="77777777" w:rsidR="00E96BB6" w:rsidRPr="00331E6F" w:rsidRDefault="00E96BB6" w:rsidP="002C61B1">
            <w:pPr>
              <w:spacing w:after="0"/>
              <w:ind w:left="166" w:firstLine="0"/>
              <w:jc w:val="left"/>
              <w:rPr>
                <w:rFonts w:eastAsia="Times New Roman" w:cs="Times New Roman"/>
                <w:noProof/>
                <w:sz w:val="18"/>
                <w:szCs w:val="18"/>
              </w:rPr>
            </w:pPr>
            <w:r w:rsidRPr="00331E6F">
              <w:rPr>
                <w:rFonts w:eastAsia="Times New Roman" w:cs="Times New Roman"/>
                <w:noProof/>
                <w:sz w:val="18"/>
                <w:szCs w:val="18"/>
              </w:rPr>
              <w:t>Pabalstu izdevumi</w:t>
            </w:r>
          </w:p>
        </w:tc>
        <w:tc>
          <w:tcPr>
            <w:tcW w:w="851" w:type="dxa"/>
            <w:shd w:val="clear" w:color="auto" w:fill="auto"/>
            <w:tcMar>
              <w:left w:w="57" w:type="dxa"/>
              <w:right w:w="57" w:type="dxa"/>
            </w:tcMar>
            <w:vAlign w:val="bottom"/>
          </w:tcPr>
          <w:p w14:paraId="758E4CEF" w14:textId="77777777" w:rsidR="00E96BB6" w:rsidRPr="00331E6F" w:rsidRDefault="00E96BB6" w:rsidP="002C61B1">
            <w:pPr>
              <w:spacing w:after="0"/>
              <w:ind w:firstLine="0"/>
              <w:jc w:val="right"/>
              <w:rPr>
                <w:rFonts w:eastAsia="Times New Roman" w:cs="Times New Roman"/>
                <w:sz w:val="18"/>
                <w:szCs w:val="18"/>
                <w:lang w:eastAsia="en-US"/>
              </w:rPr>
            </w:pPr>
            <w:r w:rsidRPr="00331E6F">
              <w:rPr>
                <w:rFonts w:cs="Times New Roman"/>
                <w:sz w:val="18"/>
                <w:szCs w:val="18"/>
              </w:rPr>
              <w:t>5 374,3</w:t>
            </w:r>
          </w:p>
        </w:tc>
        <w:tc>
          <w:tcPr>
            <w:tcW w:w="850" w:type="dxa"/>
            <w:shd w:val="clear" w:color="auto" w:fill="auto"/>
            <w:tcMar>
              <w:left w:w="57" w:type="dxa"/>
              <w:right w:w="57" w:type="dxa"/>
            </w:tcMar>
            <w:vAlign w:val="bottom"/>
          </w:tcPr>
          <w:p w14:paraId="6F2A726B" w14:textId="77777777" w:rsidR="00E96BB6" w:rsidRPr="00331E6F" w:rsidRDefault="00E96BB6" w:rsidP="002C61B1">
            <w:pPr>
              <w:spacing w:after="0"/>
              <w:ind w:firstLine="0"/>
              <w:jc w:val="right"/>
              <w:rPr>
                <w:rFonts w:eastAsia="Times New Roman" w:cs="Times New Roman"/>
                <w:sz w:val="18"/>
                <w:szCs w:val="18"/>
                <w:lang w:eastAsia="en-US"/>
              </w:rPr>
            </w:pPr>
            <w:r w:rsidRPr="00331E6F">
              <w:rPr>
                <w:rFonts w:cs="Times New Roman"/>
                <w:sz w:val="18"/>
                <w:szCs w:val="18"/>
              </w:rPr>
              <w:t>5 793,2</w:t>
            </w:r>
          </w:p>
        </w:tc>
        <w:tc>
          <w:tcPr>
            <w:tcW w:w="851" w:type="dxa"/>
            <w:shd w:val="clear" w:color="auto" w:fill="auto"/>
            <w:tcMar>
              <w:left w:w="57" w:type="dxa"/>
              <w:right w:w="57" w:type="dxa"/>
            </w:tcMar>
            <w:vAlign w:val="bottom"/>
          </w:tcPr>
          <w:p w14:paraId="4A746DFA" w14:textId="77777777" w:rsidR="00E96BB6" w:rsidRPr="00331E6F" w:rsidRDefault="00E96BB6" w:rsidP="002C61B1">
            <w:pPr>
              <w:spacing w:after="0"/>
              <w:ind w:firstLine="0"/>
              <w:jc w:val="right"/>
              <w:rPr>
                <w:rFonts w:eastAsia="Times New Roman" w:cs="Times New Roman"/>
                <w:sz w:val="18"/>
                <w:szCs w:val="18"/>
                <w:lang w:eastAsia="en-US"/>
              </w:rPr>
            </w:pPr>
            <w:r w:rsidRPr="00331E6F">
              <w:rPr>
                <w:rFonts w:cs="Times New Roman"/>
                <w:sz w:val="18"/>
                <w:szCs w:val="18"/>
              </w:rPr>
              <w:t>6 174,1</w:t>
            </w:r>
          </w:p>
        </w:tc>
        <w:tc>
          <w:tcPr>
            <w:tcW w:w="850" w:type="dxa"/>
            <w:shd w:val="clear" w:color="auto" w:fill="auto"/>
            <w:tcMar>
              <w:left w:w="57" w:type="dxa"/>
              <w:right w:w="57" w:type="dxa"/>
            </w:tcMar>
            <w:vAlign w:val="bottom"/>
          </w:tcPr>
          <w:p w14:paraId="6FABFA71" w14:textId="77777777" w:rsidR="00E96BB6" w:rsidRPr="00331E6F" w:rsidRDefault="00E96BB6" w:rsidP="002C61B1">
            <w:pPr>
              <w:spacing w:after="0"/>
              <w:ind w:firstLine="0"/>
              <w:jc w:val="right"/>
              <w:rPr>
                <w:rFonts w:eastAsia="Times New Roman" w:cs="Times New Roman"/>
                <w:sz w:val="18"/>
                <w:szCs w:val="18"/>
                <w:lang w:eastAsia="en-US"/>
              </w:rPr>
            </w:pPr>
            <w:r w:rsidRPr="00331E6F">
              <w:rPr>
                <w:rFonts w:cs="Times New Roman"/>
                <w:sz w:val="18"/>
                <w:szCs w:val="18"/>
              </w:rPr>
              <w:t>6 554,8</w:t>
            </w:r>
          </w:p>
        </w:tc>
        <w:tc>
          <w:tcPr>
            <w:tcW w:w="709" w:type="dxa"/>
            <w:shd w:val="clear" w:color="auto" w:fill="auto"/>
            <w:tcMar>
              <w:left w:w="57" w:type="dxa"/>
              <w:right w:w="57" w:type="dxa"/>
            </w:tcMar>
            <w:vAlign w:val="bottom"/>
          </w:tcPr>
          <w:p w14:paraId="33B3AD19"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color w:val="000000"/>
                <w:sz w:val="18"/>
                <w:szCs w:val="18"/>
              </w:rPr>
              <w:t>+1,6</w:t>
            </w:r>
          </w:p>
        </w:tc>
        <w:tc>
          <w:tcPr>
            <w:tcW w:w="709" w:type="dxa"/>
            <w:shd w:val="clear" w:color="auto" w:fill="auto"/>
            <w:tcMar>
              <w:left w:w="57" w:type="dxa"/>
              <w:right w:w="57" w:type="dxa"/>
            </w:tcMar>
            <w:vAlign w:val="bottom"/>
          </w:tcPr>
          <w:p w14:paraId="0F046F3A"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+7,8</w:t>
            </w:r>
          </w:p>
        </w:tc>
        <w:tc>
          <w:tcPr>
            <w:tcW w:w="709" w:type="dxa"/>
            <w:shd w:val="clear" w:color="auto" w:fill="auto"/>
            <w:tcMar>
              <w:left w:w="57" w:type="dxa"/>
              <w:right w:w="57" w:type="dxa"/>
            </w:tcMar>
            <w:vAlign w:val="bottom"/>
          </w:tcPr>
          <w:p w14:paraId="382BC110"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+21,2</w:t>
            </w:r>
          </w:p>
        </w:tc>
        <w:tc>
          <w:tcPr>
            <w:tcW w:w="730" w:type="dxa"/>
            <w:shd w:val="clear" w:color="auto" w:fill="auto"/>
            <w:tcMar>
              <w:left w:w="57" w:type="dxa"/>
              <w:right w:w="57" w:type="dxa"/>
            </w:tcMar>
            <w:vAlign w:val="bottom"/>
          </w:tcPr>
          <w:p w14:paraId="019A571C"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+33,9</w:t>
            </w:r>
          </w:p>
        </w:tc>
      </w:tr>
      <w:tr w:rsidR="00E96BB6" w:rsidRPr="00331E6F" w14:paraId="353FAA7F" w14:textId="77777777" w:rsidTr="002C61B1">
        <w:trPr>
          <w:trHeight w:val="239"/>
          <w:jc w:val="center"/>
        </w:trPr>
        <w:tc>
          <w:tcPr>
            <w:tcW w:w="2830" w:type="dxa"/>
            <w:tcBorders>
              <w:bottom w:val="double" w:sz="4" w:space="0" w:color="auto"/>
            </w:tcBorders>
            <w:shd w:val="clear" w:color="auto" w:fill="auto"/>
            <w:vAlign w:val="center"/>
          </w:tcPr>
          <w:p w14:paraId="11ACFB17" w14:textId="77777777" w:rsidR="00E96BB6" w:rsidRPr="00331E6F" w:rsidRDefault="00E96BB6" w:rsidP="002C61B1">
            <w:pPr>
              <w:spacing w:after="0"/>
              <w:ind w:left="166" w:firstLine="0"/>
              <w:jc w:val="left"/>
              <w:rPr>
                <w:rFonts w:eastAsia="Times New Roman" w:cs="Times New Roman"/>
                <w:noProof/>
                <w:sz w:val="18"/>
                <w:szCs w:val="18"/>
              </w:rPr>
            </w:pPr>
            <w:r w:rsidRPr="00331E6F">
              <w:rPr>
                <w:rFonts w:eastAsia="Times New Roman" w:cs="Times New Roman"/>
                <w:noProof/>
                <w:sz w:val="18"/>
                <w:szCs w:val="18"/>
              </w:rPr>
              <w:t>Procentu izdevumi</w:t>
            </w:r>
          </w:p>
        </w:tc>
        <w:tc>
          <w:tcPr>
            <w:tcW w:w="851" w:type="dxa"/>
            <w:tcBorders>
              <w:bottom w:val="double" w:sz="4" w:space="0" w:color="auto"/>
            </w:tcBorders>
            <w:shd w:val="clear" w:color="auto" w:fill="auto"/>
            <w:tcMar>
              <w:left w:w="57" w:type="dxa"/>
              <w:right w:w="57" w:type="dxa"/>
            </w:tcMar>
            <w:vAlign w:val="bottom"/>
          </w:tcPr>
          <w:p w14:paraId="34295F5C"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505,2</w:t>
            </w:r>
          </w:p>
        </w:tc>
        <w:tc>
          <w:tcPr>
            <w:tcW w:w="850" w:type="dxa"/>
            <w:tcBorders>
              <w:bottom w:val="double" w:sz="4" w:space="0" w:color="auto"/>
            </w:tcBorders>
            <w:shd w:val="clear" w:color="auto" w:fill="auto"/>
            <w:tcMar>
              <w:left w:w="57" w:type="dxa"/>
              <w:right w:w="57" w:type="dxa"/>
            </w:tcMar>
            <w:vAlign w:val="bottom"/>
          </w:tcPr>
          <w:p w14:paraId="323C1EE2"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599,7</w:t>
            </w:r>
          </w:p>
        </w:tc>
        <w:tc>
          <w:tcPr>
            <w:tcW w:w="851" w:type="dxa"/>
            <w:tcBorders>
              <w:bottom w:val="double" w:sz="4" w:space="0" w:color="auto"/>
            </w:tcBorders>
            <w:shd w:val="clear" w:color="auto" w:fill="auto"/>
            <w:tcMar>
              <w:left w:w="57" w:type="dxa"/>
              <w:right w:w="57" w:type="dxa"/>
            </w:tcMar>
            <w:vAlign w:val="bottom"/>
          </w:tcPr>
          <w:p w14:paraId="477986C0"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651,2</w:t>
            </w:r>
          </w:p>
        </w:tc>
        <w:tc>
          <w:tcPr>
            <w:tcW w:w="850" w:type="dxa"/>
            <w:tcBorders>
              <w:bottom w:val="double" w:sz="4" w:space="0" w:color="auto"/>
            </w:tcBorders>
            <w:shd w:val="clear" w:color="auto" w:fill="auto"/>
            <w:tcMar>
              <w:left w:w="57" w:type="dxa"/>
              <w:right w:w="57" w:type="dxa"/>
            </w:tcMar>
            <w:vAlign w:val="bottom"/>
          </w:tcPr>
          <w:p w14:paraId="1C335040"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sz w:val="18"/>
                <w:szCs w:val="18"/>
              </w:rPr>
              <w:t>727,7</w:t>
            </w:r>
          </w:p>
        </w:tc>
        <w:tc>
          <w:tcPr>
            <w:tcW w:w="709" w:type="dxa"/>
            <w:tcBorders>
              <w:bottom w:val="double" w:sz="4" w:space="0" w:color="auto"/>
            </w:tcBorders>
            <w:shd w:val="clear" w:color="auto" w:fill="auto"/>
            <w:tcMar>
              <w:left w:w="57" w:type="dxa"/>
              <w:right w:w="57" w:type="dxa"/>
            </w:tcMar>
            <w:vAlign w:val="bottom"/>
          </w:tcPr>
          <w:p w14:paraId="779A76F8" w14:textId="77777777" w:rsidR="00E96BB6" w:rsidRPr="00331E6F" w:rsidRDefault="00E96BB6" w:rsidP="002C61B1">
            <w:pPr>
              <w:spacing w:after="0"/>
              <w:ind w:firstLine="0"/>
              <w:jc w:val="right"/>
              <w:rPr>
                <w:rFonts w:eastAsia="Times New Roman" w:cs="Times New Roman"/>
                <w:sz w:val="18"/>
                <w:szCs w:val="18"/>
              </w:rPr>
            </w:pPr>
            <w:r w:rsidRPr="00331E6F">
              <w:rPr>
                <w:rFonts w:cs="Times New Roman"/>
                <w:color w:val="000000"/>
                <w:sz w:val="18"/>
                <w:szCs w:val="18"/>
              </w:rPr>
              <w:t>-1,9</w:t>
            </w:r>
          </w:p>
        </w:tc>
        <w:tc>
          <w:tcPr>
            <w:tcW w:w="709" w:type="dxa"/>
            <w:tcBorders>
              <w:bottom w:val="double" w:sz="4" w:space="0" w:color="auto"/>
            </w:tcBorders>
            <w:shd w:val="clear" w:color="auto" w:fill="auto"/>
            <w:tcMar>
              <w:left w:w="57" w:type="dxa"/>
              <w:right w:w="57" w:type="dxa"/>
            </w:tcMar>
            <w:vAlign w:val="bottom"/>
          </w:tcPr>
          <w:p w14:paraId="7BD3127C"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-6,8</w:t>
            </w:r>
          </w:p>
        </w:tc>
        <w:tc>
          <w:tcPr>
            <w:tcW w:w="709" w:type="dxa"/>
            <w:tcBorders>
              <w:bottom w:val="double" w:sz="4" w:space="0" w:color="auto"/>
            </w:tcBorders>
            <w:shd w:val="clear" w:color="auto" w:fill="auto"/>
            <w:tcMar>
              <w:left w:w="57" w:type="dxa"/>
              <w:right w:w="57" w:type="dxa"/>
            </w:tcMar>
            <w:vAlign w:val="bottom"/>
          </w:tcPr>
          <w:p w14:paraId="6B790BC4"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-13,1</w:t>
            </w:r>
          </w:p>
        </w:tc>
        <w:tc>
          <w:tcPr>
            <w:tcW w:w="730" w:type="dxa"/>
            <w:tcBorders>
              <w:bottom w:val="double" w:sz="4" w:space="0" w:color="auto"/>
            </w:tcBorders>
            <w:shd w:val="clear" w:color="auto" w:fill="auto"/>
            <w:tcMar>
              <w:left w:w="57" w:type="dxa"/>
              <w:right w:w="57" w:type="dxa"/>
            </w:tcMar>
            <w:vAlign w:val="bottom"/>
          </w:tcPr>
          <w:p w14:paraId="1DC54DA0" w14:textId="77777777" w:rsidR="00E96BB6" w:rsidRPr="00331E6F" w:rsidRDefault="00E96BB6" w:rsidP="002C61B1">
            <w:pPr>
              <w:spacing w:after="0" w:line="259" w:lineRule="auto"/>
              <w:ind w:firstLine="0"/>
              <w:jc w:val="right"/>
              <w:rPr>
                <w:rFonts w:eastAsia="Times New Roman" w:cs="Times New Roman"/>
                <w:sz w:val="18"/>
                <w:szCs w:val="18"/>
              </w:rPr>
            </w:pPr>
            <w:r w:rsidRPr="00331E6F">
              <w:rPr>
                <w:rFonts w:cs="Times New Roman"/>
                <w:color w:val="000000"/>
                <w:sz w:val="18"/>
                <w:szCs w:val="18"/>
              </w:rPr>
              <w:t>-19,9</w:t>
            </w:r>
          </w:p>
        </w:tc>
      </w:tr>
      <w:tr w:rsidR="00E96BB6" w:rsidRPr="00250E42" w14:paraId="1A0D3286" w14:textId="77777777" w:rsidTr="002C61B1">
        <w:trPr>
          <w:trHeight w:val="351"/>
          <w:jc w:val="center"/>
        </w:trPr>
        <w:tc>
          <w:tcPr>
            <w:tcW w:w="2830" w:type="dxa"/>
            <w:tcBorders>
              <w:top w:val="double" w:sz="4" w:space="0" w:color="auto"/>
              <w:left w:val="single" w:sz="4" w:space="0" w:color="auto"/>
            </w:tcBorders>
            <w:shd w:val="clear" w:color="auto" w:fill="auto"/>
            <w:vAlign w:val="center"/>
          </w:tcPr>
          <w:p w14:paraId="667CACE4" w14:textId="77777777" w:rsidR="00E96BB6" w:rsidRPr="00250E42" w:rsidRDefault="00E96BB6" w:rsidP="002C61B1">
            <w:pPr>
              <w:spacing w:after="0"/>
              <w:ind w:firstLine="0"/>
              <w:jc w:val="left"/>
              <w:rPr>
                <w:rFonts w:eastAsia="Times New Roman" w:cs="Times New Roman"/>
                <w:noProof/>
                <w:sz w:val="18"/>
                <w:szCs w:val="18"/>
              </w:rPr>
            </w:pPr>
            <w:r w:rsidRPr="00331E6F">
              <w:rPr>
                <w:rFonts w:eastAsia="Times New Roman" w:cs="Times New Roman"/>
                <w:noProof/>
                <w:sz w:val="18"/>
                <w:szCs w:val="18"/>
              </w:rPr>
              <w:t xml:space="preserve">   </w:t>
            </w:r>
            <w:r w:rsidRPr="00250E42">
              <w:rPr>
                <w:rFonts w:eastAsia="Times New Roman" w:cs="Times New Roman"/>
                <w:noProof/>
                <w:sz w:val="18"/>
                <w:szCs w:val="18"/>
              </w:rPr>
              <w:t>Procentu izdevumi</w:t>
            </w:r>
            <w:r w:rsidRPr="00250E42">
              <w:rPr>
                <w:rFonts w:eastAsia="Times New Roman" w:cs="Times New Roman"/>
                <w:noProof/>
                <w:sz w:val="18"/>
                <w:szCs w:val="18"/>
              </w:rPr>
              <w:br/>
              <w:t xml:space="preserve">  (% likmes paliel. par 1 pp)</w:t>
            </w:r>
          </w:p>
        </w:tc>
        <w:tc>
          <w:tcPr>
            <w:tcW w:w="851" w:type="dxa"/>
            <w:tcBorders>
              <w:top w:val="double" w:sz="4" w:space="0" w:color="auto"/>
            </w:tcBorders>
            <w:shd w:val="clear" w:color="auto" w:fill="auto"/>
            <w:tcMar>
              <w:left w:w="57" w:type="dxa"/>
              <w:right w:w="57" w:type="dxa"/>
            </w:tcMar>
            <w:vAlign w:val="center"/>
          </w:tcPr>
          <w:p w14:paraId="5801901A"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458,5</w:t>
            </w:r>
          </w:p>
        </w:tc>
        <w:tc>
          <w:tcPr>
            <w:tcW w:w="850" w:type="dxa"/>
            <w:tcBorders>
              <w:top w:val="double" w:sz="4" w:space="0" w:color="auto"/>
            </w:tcBorders>
            <w:shd w:val="clear" w:color="auto" w:fill="auto"/>
            <w:tcMar>
              <w:left w:w="57" w:type="dxa"/>
              <w:right w:w="57" w:type="dxa"/>
            </w:tcMar>
            <w:vAlign w:val="center"/>
          </w:tcPr>
          <w:p w14:paraId="4F021727"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627,2</w:t>
            </w:r>
          </w:p>
        </w:tc>
        <w:tc>
          <w:tcPr>
            <w:tcW w:w="851" w:type="dxa"/>
            <w:tcBorders>
              <w:top w:val="double" w:sz="4" w:space="0" w:color="auto"/>
            </w:tcBorders>
            <w:shd w:val="clear" w:color="auto" w:fill="auto"/>
            <w:tcMar>
              <w:left w:w="57" w:type="dxa"/>
              <w:right w:w="57" w:type="dxa"/>
            </w:tcMar>
            <w:vAlign w:val="center"/>
          </w:tcPr>
          <w:p w14:paraId="1E3F079D"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722,7</w:t>
            </w:r>
          </w:p>
        </w:tc>
        <w:tc>
          <w:tcPr>
            <w:tcW w:w="850" w:type="dxa"/>
            <w:tcBorders>
              <w:top w:val="double" w:sz="4" w:space="0" w:color="auto"/>
            </w:tcBorders>
            <w:shd w:val="clear" w:color="auto" w:fill="auto"/>
            <w:tcMar>
              <w:left w:w="57" w:type="dxa"/>
              <w:right w:w="57" w:type="dxa"/>
            </w:tcMar>
            <w:vAlign w:val="center"/>
          </w:tcPr>
          <w:p w14:paraId="7313E0B5"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844,7</w:t>
            </w:r>
          </w:p>
        </w:tc>
        <w:tc>
          <w:tcPr>
            <w:tcW w:w="709" w:type="dxa"/>
            <w:tcBorders>
              <w:top w:val="double" w:sz="4" w:space="0" w:color="auto"/>
            </w:tcBorders>
            <w:shd w:val="clear" w:color="auto" w:fill="auto"/>
            <w:tcMar>
              <w:left w:w="57" w:type="dxa"/>
              <w:right w:w="57" w:type="dxa"/>
            </w:tcMar>
            <w:vAlign w:val="center"/>
          </w:tcPr>
          <w:p w14:paraId="5CA07551"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+0,0</w:t>
            </w:r>
          </w:p>
        </w:tc>
        <w:tc>
          <w:tcPr>
            <w:tcW w:w="709" w:type="dxa"/>
            <w:tcBorders>
              <w:top w:val="double" w:sz="4" w:space="0" w:color="auto"/>
            </w:tcBorders>
            <w:shd w:val="clear" w:color="auto" w:fill="auto"/>
            <w:tcMar>
              <w:left w:w="57" w:type="dxa"/>
              <w:right w:w="57" w:type="dxa"/>
            </w:tcMar>
            <w:vAlign w:val="center"/>
          </w:tcPr>
          <w:p w14:paraId="12C17E1E" w14:textId="77777777" w:rsidR="00E96BB6" w:rsidRPr="00250E42" w:rsidRDefault="00E96BB6" w:rsidP="002C61B1">
            <w:pPr>
              <w:spacing w:after="0" w:line="259" w:lineRule="auto"/>
              <w:ind w:firstLine="0"/>
              <w:jc w:val="right"/>
              <w:rPr>
                <w:rFonts w:eastAsia="Times New Roman" w:cs="Times New Roman"/>
                <w:sz w:val="18"/>
                <w:szCs w:val="18"/>
              </w:rPr>
            </w:pPr>
            <w:r w:rsidRPr="00250E42">
              <w:rPr>
                <w:rFonts w:cs="Times New Roman"/>
                <w:sz w:val="18"/>
                <w:szCs w:val="18"/>
              </w:rPr>
              <w:t>+29,8</w:t>
            </w:r>
          </w:p>
        </w:tc>
        <w:tc>
          <w:tcPr>
            <w:tcW w:w="709" w:type="dxa"/>
            <w:tcBorders>
              <w:top w:val="double" w:sz="4" w:space="0" w:color="auto"/>
            </w:tcBorders>
            <w:shd w:val="clear" w:color="auto" w:fill="auto"/>
            <w:tcMar>
              <w:left w:w="57" w:type="dxa"/>
              <w:right w:w="57" w:type="dxa"/>
            </w:tcMar>
            <w:vAlign w:val="center"/>
          </w:tcPr>
          <w:p w14:paraId="241008A3" w14:textId="77777777" w:rsidR="00E96BB6" w:rsidRPr="00250E42" w:rsidRDefault="00E96BB6" w:rsidP="002C61B1">
            <w:pPr>
              <w:spacing w:after="0" w:line="259" w:lineRule="auto"/>
              <w:ind w:firstLine="0"/>
              <w:jc w:val="right"/>
              <w:rPr>
                <w:rFonts w:eastAsia="Times New Roman" w:cs="Times New Roman"/>
                <w:sz w:val="18"/>
                <w:szCs w:val="18"/>
              </w:rPr>
            </w:pPr>
            <w:r w:rsidRPr="00250E42">
              <w:rPr>
                <w:rFonts w:cs="Times New Roman"/>
                <w:sz w:val="18"/>
                <w:szCs w:val="18"/>
              </w:rPr>
              <w:t>+55,6</w:t>
            </w:r>
          </w:p>
        </w:tc>
        <w:tc>
          <w:tcPr>
            <w:tcW w:w="730" w:type="dxa"/>
            <w:tcBorders>
              <w:top w:val="double" w:sz="4" w:space="0" w:color="auto"/>
              <w:right w:val="single" w:sz="4" w:space="0" w:color="auto"/>
            </w:tcBorders>
            <w:shd w:val="clear" w:color="auto" w:fill="auto"/>
            <w:tcMar>
              <w:left w:w="57" w:type="dxa"/>
              <w:right w:w="57" w:type="dxa"/>
            </w:tcMar>
            <w:vAlign w:val="center"/>
          </w:tcPr>
          <w:p w14:paraId="1628107C" w14:textId="77777777" w:rsidR="00E96BB6" w:rsidRPr="00250E42" w:rsidRDefault="00E96BB6" w:rsidP="002C61B1">
            <w:pPr>
              <w:spacing w:after="0" w:line="259" w:lineRule="auto"/>
              <w:ind w:firstLine="0"/>
              <w:jc w:val="right"/>
              <w:rPr>
                <w:rFonts w:eastAsia="Times New Roman" w:cs="Times New Roman"/>
                <w:sz w:val="18"/>
                <w:szCs w:val="18"/>
              </w:rPr>
            </w:pPr>
            <w:r w:rsidRPr="00250E42">
              <w:rPr>
                <w:rFonts w:cs="Times New Roman"/>
                <w:sz w:val="18"/>
                <w:szCs w:val="18"/>
              </w:rPr>
              <w:t>+85,5</w:t>
            </w:r>
          </w:p>
        </w:tc>
      </w:tr>
      <w:tr w:rsidR="00E96BB6" w:rsidRPr="00250E42" w14:paraId="7678F0AB" w14:textId="77777777" w:rsidTr="002C61B1">
        <w:trPr>
          <w:trHeight w:val="348"/>
          <w:jc w:val="center"/>
        </w:trPr>
        <w:tc>
          <w:tcPr>
            <w:tcW w:w="2830" w:type="dxa"/>
            <w:tcBorders>
              <w:left w:val="single" w:sz="4" w:space="0" w:color="auto"/>
              <w:bottom w:val="double" w:sz="4" w:space="0" w:color="auto"/>
            </w:tcBorders>
            <w:shd w:val="clear" w:color="auto" w:fill="auto"/>
            <w:vAlign w:val="center"/>
          </w:tcPr>
          <w:p w14:paraId="0758117B" w14:textId="77777777" w:rsidR="00E96BB6" w:rsidRPr="00250E42" w:rsidRDefault="00E96BB6" w:rsidP="002C61B1">
            <w:pPr>
              <w:spacing w:after="0"/>
              <w:ind w:firstLine="0"/>
              <w:jc w:val="left"/>
              <w:rPr>
                <w:rFonts w:eastAsia="Calibri" w:cs="Times New Roman"/>
                <w:noProof/>
                <w:sz w:val="18"/>
                <w:szCs w:val="18"/>
                <w:lang w:eastAsia="en-US"/>
              </w:rPr>
            </w:pPr>
            <w:r w:rsidRPr="00250E42">
              <w:rPr>
                <w:rFonts w:eastAsia="Times New Roman" w:cs="Times New Roman"/>
                <w:noProof/>
                <w:sz w:val="18"/>
                <w:szCs w:val="18"/>
              </w:rPr>
              <w:t xml:space="preserve">   Procentu izdevumi</w:t>
            </w:r>
            <w:r w:rsidRPr="00250E42">
              <w:rPr>
                <w:rFonts w:eastAsia="Times New Roman" w:cs="Times New Roman"/>
                <w:noProof/>
                <w:sz w:val="18"/>
                <w:szCs w:val="18"/>
              </w:rPr>
              <w:br/>
              <w:t xml:space="preserve">   (% likmes samaz. par 1 pp)</w:t>
            </w:r>
          </w:p>
        </w:tc>
        <w:tc>
          <w:tcPr>
            <w:tcW w:w="851" w:type="dxa"/>
            <w:tcBorders>
              <w:bottom w:val="double" w:sz="4" w:space="0" w:color="auto"/>
            </w:tcBorders>
            <w:shd w:val="clear" w:color="auto" w:fill="auto"/>
            <w:tcMar>
              <w:left w:w="57" w:type="dxa"/>
              <w:right w:w="57" w:type="dxa"/>
            </w:tcMar>
            <w:vAlign w:val="center"/>
          </w:tcPr>
          <w:p w14:paraId="58A34425"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458,5</w:t>
            </w:r>
          </w:p>
        </w:tc>
        <w:tc>
          <w:tcPr>
            <w:tcW w:w="850" w:type="dxa"/>
            <w:tcBorders>
              <w:bottom w:val="double" w:sz="4" w:space="0" w:color="auto"/>
            </w:tcBorders>
            <w:shd w:val="clear" w:color="auto" w:fill="auto"/>
            <w:tcMar>
              <w:left w:w="57" w:type="dxa"/>
              <w:right w:w="57" w:type="dxa"/>
            </w:tcMar>
            <w:vAlign w:val="center"/>
          </w:tcPr>
          <w:p w14:paraId="0A7A1C95"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557,8</w:t>
            </w:r>
          </w:p>
        </w:tc>
        <w:tc>
          <w:tcPr>
            <w:tcW w:w="851" w:type="dxa"/>
            <w:tcBorders>
              <w:bottom w:val="double" w:sz="4" w:space="0" w:color="auto"/>
            </w:tcBorders>
            <w:shd w:val="clear" w:color="auto" w:fill="auto"/>
            <w:tcMar>
              <w:left w:w="57" w:type="dxa"/>
              <w:right w:w="57" w:type="dxa"/>
            </w:tcMar>
            <w:vAlign w:val="center"/>
          </w:tcPr>
          <w:p w14:paraId="09A72B24"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589,1</w:t>
            </w:r>
          </w:p>
        </w:tc>
        <w:tc>
          <w:tcPr>
            <w:tcW w:w="850" w:type="dxa"/>
            <w:tcBorders>
              <w:bottom w:val="double" w:sz="4" w:space="0" w:color="auto"/>
            </w:tcBorders>
            <w:shd w:val="clear" w:color="auto" w:fill="auto"/>
            <w:tcMar>
              <w:left w:w="57" w:type="dxa"/>
              <w:right w:w="57" w:type="dxa"/>
            </w:tcMar>
            <w:vAlign w:val="center"/>
          </w:tcPr>
          <w:p w14:paraId="6D2EC198"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637,7</w:t>
            </w:r>
          </w:p>
        </w:tc>
        <w:tc>
          <w:tcPr>
            <w:tcW w:w="709" w:type="dxa"/>
            <w:tcBorders>
              <w:bottom w:val="double" w:sz="4" w:space="0" w:color="auto"/>
            </w:tcBorders>
            <w:shd w:val="clear" w:color="auto" w:fill="auto"/>
            <w:tcMar>
              <w:left w:w="57" w:type="dxa"/>
              <w:right w:w="57" w:type="dxa"/>
            </w:tcMar>
            <w:vAlign w:val="center"/>
          </w:tcPr>
          <w:p w14:paraId="35C5C2EE" w14:textId="77777777" w:rsidR="00E96BB6" w:rsidRPr="00250E42" w:rsidRDefault="00E96BB6" w:rsidP="002C61B1">
            <w:pPr>
              <w:spacing w:after="0"/>
              <w:ind w:firstLine="0"/>
              <w:jc w:val="right"/>
              <w:rPr>
                <w:rFonts w:eastAsia="Times New Roman" w:cs="Times New Roman"/>
                <w:sz w:val="18"/>
                <w:szCs w:val="18"/>
              </w:rPr>
            </w:pPr>
            <w:r w:rsidRPr="00250E42">
              <w:rPr>
                <w:rFonts w:cs="Times New Roman"/>
                <w:sz w:val="18"/>
                <w:szCs w:val="18"/>
              </w:rPr>
              <w:t>+0,0</w:t>
            </w:r>
          </w:p>
        </w:tc>
        <w:tc>
          <w:tcPr>
            <w:tcW w:w="709" w:type="dxa"/>
            <w:tcBorders>
              <w:bottom w:val="double" w:sz="4" w:space="0" w:color="auto"/>
            </w:tcBorders>
            <w:shd w:val="clear" w:color="auto" w:fill="auto"/>
            <w:tcMar>
              <w:left w:w="57" w:type="dxa"/>
              <w:right w:w="57" w:type="dxa"/>
            </w:tcMar>
            <w:vAlign w:val="center"/>
          </w:tcPr>
          <w:p w14:paraId="7ED3EEB6" w14:textId="77777777" w:rsidR="00E96BB6" w:rsidRPr="00250E42" w:rsidRDefault="00E96BB6" w:rsidP="002C61B1">
            <w:pPr>
              <w:spacing w:after="0" w:line="259" w:lineRule="auto"/>
              <w:ind w:firstLine="0"/>
              <w:jc w:val="right"/>
              <w:rPr>
                <w:rFonts w:eastAsia="Times New Roman" w:cs="Times New Roman"/>
                <w:sz w:val="18"/>
                <w:szCs w:val="18"/>
              </w:rPr>
            </w:pPr>
            <w:r w:rsidRPr="00250E42">
              <w:rPr>
                <w:rFonts w:cs="Times New Roman"/>
                <w:sz w:val="18"/>
                <w:szCs w:val="18"/>
              </w:rPr>
              <w:t>-39,6</w:t>
            </w:r>
          </w:p>
        </w:tc>
        <w:tc>
          <w:tcPr>
            <w:tcW w:w="709" w:type="dxa"/>
            <w:tcBorders>
              <w:bottom w:val="double" w:sz="4" w:space="0" w:color="auto"/>
            </w:tcBorders>
            <w:shd w:val="clear" w:color="auto" w:fill="auto"/>
            <w:tcMar>
              <w:left w:w="57" w:type="dxa"/>
              <w:right w:w="57" w:type="dxa"/>
            </w:tcMar>
            <w:vAlign w:val="center"/>
          </w:tcPr>
          <w:p w14:paraId="2379BC8C" w14:textId="77777777" w:rsidR="00E96BB6" w:rsidRPr="00250E42" w:rsidRDefault="00E96BB6" w:rsidP="002C61B1">
            <w:pPr>
              <w:spacing w:after="0" w:line="259" w:lineRule="auto"/>
              <w:ind w:firstLine="0"/>
              <w:jc w:val="right"/>
              <w:rPr>
                <w:rFonts w:eastAsia="Times New Roman" w:cs="Times New Roman"/>
                <w:sz w:val="18"/>
                <w:szCs w:val="18"/>
              </w:rPr>
            </w:pPr>
            <w:r w:rsidRPr="00250E42">
              <w:rPr>
                <w:rFonts w:cs="Times New Roman"/>
                <w:sz w:val="18"/>
                <w:szCs w:val="18"/>
              </w:rPr>
              <w:t>-78,1</w:t>
            </w:r>
          </w:p>
        </w:tc>
        <w:tc>
          <w:tcPr>
            <w:tcW w:w="730" w:type="dxa"/>
            <w:tcBorders>
              <w:bottom w:val="double" w:sz="4" w:space="0" w:color="auto"/>
              <w:right w:val="single" w:sz="4" w:space="0" w:color="auto"/>
            </w:tcBorders>
            <w:shd w:val="clear" w:color="auto" w:fill="auto"/>
            <w:tcMar>
              <w:left w:w="57" w:type="dxa"/>
              <w:right w:w="57" w:type="dxa"/>
            </w:tcMar>
            <w:vAlign w:val="center"/>
          </w:tcPr>
          <w:p w14:paraId="1043073A" w14:textId="77777777" w:rsidR="00E96BB6" w:rsidRPr="00250E42" w:rsidRDefault="00E96BB6" w:rsidP="002C61B1">
            <w:pPr>
              <w:spacing w:after="0" w:line="259" w:lineRule="auto"/>
              <w:ind w:firstLine="0"/>
              <w:jc w:val="right"/>
              <w:rPr>
                <w:rFonts w:eastAsia="Times New Roman" w:cs="Times New Roman"/>
                <w:sz w:val="18"/>
                <w:szCs w:val="18"/>
              </w:rPr>
            </w:pPr>
            <w:r w:rsidRPr="00250E42">
              <w:rPr>
                <w:rFonts w:cs="Times New Roman"/>
                <w:sz w:val="18"/>
                <w:szCs w:val="18"/>
              </w:rPr>
              <w:t>-121,5</w:t>
            </w:r>
          </w:p>
        </w:tc>
      </w:tr>
      <w:tr w:rsidR="00E96BB6" w:rsidRPr="00250E42" w14:paraId="766ADC59" w14:textId="77777777" w:rsidTr="002C61B1">
        <w:trPr>
          <w:trHeight w:val="335"/>
          <w:jc w:val="center"/>
        </w:trPr>
        <w:tc>
          <w:tcPr>
            <w:tcW w:w="2830" w:type="dxa"/>
            <w:tcBorders>
              <w:top w:val="double" w:sz="4" w:space="0" w:color="auto"/>
            </w:tcBorders>
            <w:shd w:val="clear" w:color="auto" w:fill="auto"/>
            <w:vAlign w:val="center"/>
          </w:tcPr>
          <w:p w14:paraId="18B5BD98" w14:textId="77777777" w:rsidR="00E96BB6" w:rsidRPr="00250E42" w:rsidRDefault="00E96BB6" w:rsidP="002C61B1">
            <w:pPr>
              <w:spacing w:after="0"/>
              <w:ind w:firstLine="0"/>
              <w:jc w:val="left"/>
              <w:rPr>
                <w:rFonts w:eastAsia="Times New Roman" w:cs="Times New Roman"/>
                <w:b/>
                <w:noProof/>
                <w:sz w:val="18"/>
                <w:szCs w:val="18"/>
              </w:rPr>
            </w:pPr>
            <w:r w:rsidRPr="00250E42">
              <w:rPr>
                <w:rFonts w:eastAsia="Times New Roman" w:cs="Times New Roman"/>
                <w:b/>
                <w:noProof/>
                <w:sz w:val="18"/>
                <w:szCs w:val="18"/>
              </w:rPr>
              <w:t>Vispārējās valdības parāds,</w:t>
            </w:r>
            <w:r w:rsidRPr="00250E42">
              <w:rPr>
                <w:rFonts w:eastAsia="Times New Roman" w:cs="Times New Roman"/>
                <w:b/>
                <w:noProof/>
                <w:sz w:val="18"/>
                <w:szCs w:val="18"/>
              </w:rPr>
              <w:br/>
              <w:t>% no IKP</w:t>
            </w:r>
          </w:p>
        </w:tc>
        <w:tc>
          <w:tcPr>
            <w:tcW w:w="851" w:type="dxa"/>
            <w:tcBorders>
              <w:top w:val="double" w:sz="4" w:space="0" w:color="auto"/>
            </w:tcBorders>
            <w:shd w:val="clear" w:color="auto" w:fill="auto"/>
            <w:tcMar>
              <w:left w:w="57" w:type="dxa"/>
              <w:right w:w="57" w:type="dxa"/>
            </w:tcMar>
            <w:vAlign w:val="center"/>
          </w:tcPr>
          <w:p w14:paraId="0F37323C" w14:textId="77777777" w:rsidR="00E96BB6" w:rsidRPr="00250E42" w:rsidRDefault="00E96BB6" w:rsidP="002C61B1">
            <w:pPr>
              <w:spacing w:after="0"/>
              <w:ind w:firstLine="0"/>
              <w:jc w:val="right"/>
              <w:rPr>
                <w:rFonts w:eastAsia="Times New Roman" w:cs="Times New Roman"/>
                <w:b/>
                <w:noProof/>
                <w:sz w:val="18"/>
                <w:szCs w:val="18"/>
              </w:rPr>
            </w:pPr>
            <w:r w:rsidRPr="00250E42">
              <w:rPr>
                <w:rFonts w:eastAsia="Times New Roman" w:cs="Times New Roman"/>
                <w:b/>
                <w:noProof/>
                <w:sz w:val="18"/>
                <w:szCs w:val="18"/>
              </w:rPr>
              <w:t>45,8%</w:t>
            </w:r>
          </w:p>
        </w:tc>
        <w:tc>
          <w:tcPr>
            <w:tcW w:w="850" w:type="dxa"/>
            <w:tcBorders>
              <w:top w:val="double" w:sz="4" w:space="0" w:color="auto"/>
            </w:tcBorders>
            <w:shd w:val="clear" w:color="auto" w:fill="auto"/>
            <w:tcMar>
              <w:left w:w="57" w:type="dxa"/>
              <w:right w:w="57" w:type="dxa"/>
            </w:tcMar>
            <w:vAlign w:val="center"/>
          </w:tcPr>
          <w:p w14:paraId="538EDC3F" w14:textId="77777777" w:rsidR="00E96BB6" w:rsidRPr="00250E42" w:rsidRDefault="00E96BB6" w:rsidP="002C61B1">
            <w:pPr>
              <w:spacing w:after="0"/>
              <w:ind w:firstLine="0"/>
              <w:jc w:val="right"/>
              <w:rPr>
                <w:rFonts w:eastAsia="Times New Roman" w:cs="Times New Roman"/>
                <w:b/>
                <w:noProof/>
                <w:sz w:val="18"/>
                <w:szCs w:val="18"/>
              </w:rPr>
            </w:pPr>
            <w:r w:rsidRPr="00250E42">
              <w:rPr>
                <w:rFonts w:eastAsia="Times New Roman" w:cs="Times New Roman"/>
                <w:b/>
                <w:noProof/>
                <w:sz w:val="18"/>
                <w:szCs w:val="18"/>
              </w:rPr>
              <w:t>45,7%</w:t>
            </w:r>
          </w:p>
        </w:tc>
        <w:tc>
          <w:tcPr>
            <w:tcW w:w="851" w:type="dxa"/>
            <w:tcBorders>
              <w:top w:val="double" w:sz="4" w:space="0" w:color="auto"/>
            </w:tcBorders>
            <w:shd w:val="clear" w:color="auto" w:fill="auto"/>
            <w:tcMar>
              <w:left w:w="57" w:type="dxa"/>
              <w:right w:w="57" w:type="dxa"/>
            </w:tcMar>
            <w:vAlign w:val="center"/>
          </w:tcPr>
          <w:p w14:paraId="2AA43C6C" w14:textId="77777777" w:rsidR="00E96BB6" w:rsidRPr="00250E42" w:rsidRDefault="00E96BB6" w:rsidP="002C61B1">
            <w:pPr>
              <w:spacing w:after="0"/>
              <w:ind w:firstLine="0"/>
              <w:jc w:val="right"/>
              <w:rPr>
                <w:rFonts w:eastAsia="Times New Roman" w:cs="Times New Roman"/>
                <w:b/>
                <w:noProof/>
                <w:sz w:val="18"/>
                <w:szCs w:val="18"/>
              </w:rPr>
            </w:pPr>
            <w:r w:rsidRPr="00250E42">
              <w:rPr>
                <w:rFonts w:eastAsia="Times New Roman" w:cs="Times New Roman"/>
                <w:b/>
                <w:noProof/>
                <w:sz w:val="18"/>
                <w:szCs w:val="18"/>
              </w:rPr>
              <w:t>48,2%</w:t>
            </w:r>
          </w:p>
        </w:tc>
        <w:tc>
          <w:tcPr>
            <w:tcW w:w="850" w:type="dxa"/>
            <w:tcBorders>
              <w:top w:val="double" w:sz="4" w:space="0" w:color="auto"/>
            </w:tcBorders>
            <w:shd w:val="clear" w:color="auto" w:fill="auto"/>
            <w:tcMar>
              <w:left w:w="57" w:type="dxa"/>
              <w:right w:w="57" w:type="dxa"/>
            </w:tcMar>
            <w:vAlign w:val="center"/>
          </w:tcPr>
          <w:p w14:paraId="79AEC569" w14:textId="77777777" w:rsidR="00E96BB6" w:rsidRPr="00250E42" w:rsidRDefault="00E96BB6" w:rsidP="002C61B1">
            <w:pPr>
              <w:spacing w:after="0"/>
              <w:ind w:firstLine="0"/>
              <w:jc w:val="right"/>
              <w:rPr>
                <w:rFonts w:eastAsia="Times New Roman" w:cs="Times New Roman"/>
                <w:b/>
                <w:noProof/>
                <w:sz w:val="18"/>
                <w:szCs w:val="18"/>
              </w:rPr>
            </w:pPr>
            <w:r w:rsidRPr="00250E42">
              <w:rPr>
                <w:rFonts w:eastAsia="Times New Roman" w:cs="Times New Roman"/>
                <w:b/>
                <w:noProof/>
                <w:sz w:val="18"/>
                <w:szCs w:val="18"/>
              </w:rPr>
              <w:t>47,1%</w:t>
            </w:r>
          </w:p>
        </w:tc>
        <w:tc>
          <w:tcPr>
            <w:tcW w:w="709" w:type="dxa"/>
            <w:tcBorders>
              <w:top w:val="double" w:sz="4" w:space="0" w:color="auto"/>
            </w:tcBorders>
            <w:shd w:val="clear" w:color="auto" w:fill="auto"/>
            <w:tcMar>
              <w:left w:w="57" w:type="dxa"/>
              <w:right w:w="57" w:type="dxa"/>
            </w:tcMar>
            <w:vAlign w:val="center"/>
          </w:tcPr>
          <w:p w14:paraId="40D8469B" w14:textId="77777777" w:rsidR="00E96BB6" w:rsidRPr="00250E42" w:rsidRDefault="00E96BB6" w:rsidP="002C61B1">
            <w:pPr>
              <w:spacing w:after="0"/>
              <w:ind w:firstLine="0"/>
              <w:jc w:val="right"/>
              <w:rPr>
                <w:rFonts w:eastAsia="Times New Roman" w:cs="Times New Roman"/>
                <w:b/>
                <w:noProof/>
                <w:sz w:val="18"/>
                <w:szCs w:val="18"/>
              </w:rPr>
            </w:pPr>
            <w:r w:rsidRPr="00250E42">
              <w:rPr>
                <w:rFonts w:eastAsia="Times New Roman" w:cs="Times New Roman"/>
                <w:b/>
                <w:noProof/>
                <w:sz w:val="18"/>
                <w:szCs w:val="18"/>
              </w:rPr>
              <w:t>-1,1 pp</w:t>
            </w:r>
          </w:p>
        </w:tc>
        <w:tc>
          <w:tcPr>
            <w:tcW w:w="709" w:type="dxa"/>
            <w:tcBorders>
              <w:top w:val="double" w:sz="4" w:space="0" w:color="auto"/>
            </w:tcBorders>
            <w:shd w:val="clear" w:color="auto" w:fill="auto"/>
            <w:tcMar>
              <w:left w:w="57" w:type="dxa"/>
              <w:right w:w="57" w:type="dxa"/>
            </w:tcMar>
            <w:vAlign w:val="center"/>
          </w:tcPr>
          <w:p w14:paraId="44196CB8" w14:textId="77777777" w:rsidR="00E96BB6" w:rsidRPr="00250E42" w:rsidRDefault="00E96BB6" w:rsidP="002C61B1">
            <w:pPr>
              <w:spacing w:after="0" w:line="259" w:lineRule="auto"/>
              <w:ind w:firstLine="0"/>
              <w:jc w:val="right"/>
              <w:rPr>
                <w:rFonts w:eastAsia="Times New Roman" w:cs="Times New Roman"/>
                <w:b/>
                <w:noProof/>
                <w:sz w:val="18"/>
                <w:szCs w:val="18"/>
              </w:rPr>
            </w:pPr>
            <w:r w:rsidRPr="00250E42">
              <w:rPr>
                <w:rFonts w:eastAsia="Times New Roman" w:cs="Times New Roman"/>
                <w:b/>
                <w:noProof/>
                <w:sz w:val="18"/>
                <w:szCs w:val="18"/>
              </w:rPr>
              <w:t>-1,5 pp</w:t>
            </w:r>
          </w:p>
        </w:tc>
        <w:tc>
          <w:tcPr>
            <w:tcW w:w="709" w:type="dxa"/>
            <w:tcBorders>
              <w:top w:val="double" w:sz="4" w:space="0" w:color="auto"/>
            </w:tcBorders>
            <w:shd w:val="clear" w:color="auto" w:fill="auto"/>
            <w:tcMar>
              <w:left w:w="57" w:type="dxa"/>
              <w:right w:w="57" w:type="dxa"/>
            </w:tcMar>
            <w:vAlign w:val="center"/>
          </w:tcPr>
          <w:p w14:paraId="1E6CA277" w14:textId="77777777" w:rsidR="00E96BB6" w:rsidRPr="00250E42" w:rsidRDefault="00E96BB6" w:rsidP="002C61B1">
            <w:pPr>
              <w:spacing w:after="0" w:line="259" w:lineRule="auto"/>
              <w:ind w:firstLine="0"/>
              <w:jc w:val="right"/>
              <w:rPr>
                <w:rFonts w:eastAsia="Times New Roman" w:cs="Times New Roman"/>
                <w:b/>
                <w:noProof/>
                <w:sz w:val="18"/>
                <w:szCs w:val="18"/>
              </w:rPr>
            </w:pPr>
            <w:r w:rsidRPr="00250E42">
              <w:rPr>
                <w:rFonts w:eastAsia="Times New Roman" w:cs="Times New Roman"/>
                <w:b/>
                <w:noProof/>
                <w:sz w:val="18"/>
                <w:szCs w:val="18"/>
              </w:rPr>
              <w:t>-1,9 pp</w:t>
            </w:r>
          </w:p>
        </w:tc>
        <w:tc>
          <w:tcPr>
            <w:tcW w:w="730" w:type="dxa"/>
            <w:tcBorders>
              <w:top w:val="double" w:sz="4" w:space="0" w:color="auto"/>
            </w:tcBorders>
            <w:shd w:val="clear" w:color="auto" w:fill="auto"/>
            <w:tcMar>
              <w:left w:w="57" w:type="dxa"/>
              <w:right w:w="57" w:type="dxa"/>
            </w:tcMar>
            <w:vAlign w:val="center"/>
          </w:tcPr>
          <w:p w14:paraId="48A17DFB" w14:textId="77777777" w:rsidR="00E96BB6" w:rsidRPr="00250E42" w:rsidRDefault="00E96BB6" w:rsidP="002C61B1">
            <w:pPr>
              <w:spacing w:after="0" w:line="259" w:lineRule="auto"/>
              <w:ind w:firstLine="0"/>
              <w:jc w:val="right"/>
              <w:rPr>
                <w:rFonts w:eastAsia="Times New Roman" w:cs="Times New Roman"/>
                <w:b/>
                <w:noProof/>
                <w:sz w:val="18"/>
                <w:szCs w:val="18"/>
              </w:rPr>
            </w:pPr>
            <w:r w:rsidRPr="00250E42">
              <w:rPr>
                <w:rFonts w:eastAsia="Times New Roman" w:cs="Times New Roman"/>
                <w:b/>
                <w:noProof/>
                <w:sz w:val="18"/>
                <w:szCs w:val="18"/>
              </w:rPr>
              <w:t>-2,2 pp</w:t>
            </w:r>
          </w:p>
        </w:tc>
      </w:tr>
    </w:tbl>
    <w:p w14:paraId="7C943E2F" w14:textId="5201D8A7" w:rsidR="00E96BB6" w:rsidRPr="00DF6796" w:rsidRDefault="00E96BB6" w:rsidP="00E96BB6">
      <w:pPr>
        <w:spacing w:before="240"/>
        <w:rPr>
          <w:noProof/>
          <w:color w:val="000000" w:themeColor="text1"/>
          <w:szCs w:val="24"/>
        </w:rPr>
      </w:pPr>
      <w:r w:rsidRPr="00250E42">
        <w:rPr>
          <w:noProof/>
          <w:color w:val="000000" w:themeColor="text1"/>
          <w:szCs w:val="24"/>
        </w:rPr>
        <w:t>Optimistiskā scenārija gadījumā vispārējās valdības parāda līmenis samazināsies – 2024. gadā par 0,5 p</w:t>
      </w:r>
      <w:r w:rsidR="00250E42" w:rsidRPr="00250E42">
        <w:rPr>
          <w:noProof/>
          <w:color w:val="000000" w:themeColor="text1"/>
          <w:szCs w:val="24"/>
        </w:rPr>
        <w:t>p</w:t>
      </w:r>
      <w:r w:rsidRPr="00250E42">
        <w:rPr>
          <w:noProof/>
          <w:color w:val="000000" w:themeColor="text1"/>
          <w:szCs w:val="24"/>
        </w:rPr>
        <w:t>, 2025. gadā par 1,1 p</w:t>
      </w:r>
      <w:r w:rsidR="00250E42" w:rsidRPr="00250E42">
        <w:rPr>
          <w:noProof/>
          <w:color w:val="000000" w:themeColor="text1"/>
          <w:szCs w:val="24"/>
        </w:rPr>
        <w:t>p</w:t>
      </w:r>
      <w:r w:rsidRPr="00250E42">
        <w:rPr>
          <w:noProof/>
          <w:color w:val="000000" w:themeColor="text1"/>
          <w:szCs w:val="24"/>
        </w:rPr>
        <w:t>, 2026. gadā par 1,5 p</w:t>
      </w:r>
      <w:r w:rsidR="00250E42" w:rsidRPr="00250E42">
        <w:rPr>
          <w:noProof/>
          <w:color w:val="000000" w:themeColor="text1"/>
          <w:szCs w:val="24"/>
        </w:rPr>
        <w:t>p</w:t>
      </w:r>
      <w:r w:rsidRPr="00250E42">
        <w:rPr>
          <w:noProof/>
          <w:color w:val="000000" w:themeColor="text1"/>
          <w:szCs w:val="24"/>
        </w:rPr>
        <w:t>, 2027. gadā par 1,9 p</w:t>
      </w:r>
      <w:r w:rsidR="00250E42" w:rsidRPr="00250E42">
        <w:rPr>
          <w:noProof/>
          <w:color w:val="000000" w:themeColor="text1"/>
          <w:szCs w:val="24"/>
        </w:rPr>
        <w:t>p</w:t>
      </w:r>
      <w:r w:rsidRPr="00250E42">
        <w:rPr>
          <w:noProof/>
          <w:color w:val="000000" w:themeColor="text1"/>
          <w:szCs w:val="24"/>
        </w:rPr>
        <w:t xml:space="preserve"> un 2028. gadā par 2,2 p</w:t>
      </w:r>
      <w:r w:rsidR="00250E42" w:rsidRPr="00250E42">
        <w:rPr>
          <w:noProof/>
          <w:color w:val="000000" w:themeColor="text1"/>
          <w:szCs w:val="24"/>
        </w:rPr>
        <w:t>p</w:t>
      </w:r>
      <w:r w:rsidRPr="00250E42">
        <w:rPr>
          <w:noProof/>
          <w:color w:val="000000" w:themeColor="text1"/>
          <w:szCs w:val="24"/>
        </w:rPr>
        <w:t xml:space="preserve">. </w:t>
      </w:r>
      <w:r w:rsidRPr="00250E42">
        <w:rPr>
          <w:rFonts w:eastAsia="Times New Roman" w:cs="Times New Roman"/>
          <w:noProof/>
          <w:szCs w:val="24"/>
        </w:rPr>
        <w:t>Papildus tiek aplūkoti scenāriji, kuros aizņemšanās procentu likmes parāda pārfinansēšanai nosvārstās viena p</w:t>
      </w:r>
      <w:r w:rsidR="00250E42" w:rsidRPr="00250E42">
        <w:rPr>
          <w:rFonts w:eastAsia="Times New Roman" w:cs="Times New Roman"/>
          <w:noProof/>
          <w:szCs w:val="24"/>
        </w:rPr>
        <w:t>p</w:t>
      </w:r>
      <w:r w:rsidRPr="00250E42">
        <w:rPr>
          <w:rFonts w:eastAsia="Times New Roman" w:cs="Times New Roman"/>
          <w:noProof/>
          <w:szCs w:val="24"/>
        </w:rPr>
        <w:t xml:space="preserve"> robežās – par vienu p</w:t>
      </w:r>
      <w:r w:rsidR="00250E42" w:rsidRPr="00250E42">
        <w:rPr>
          <w:rFonts w:eastAsia="Times New Roman" w:cs="Times New Roman"/>
          <w:noProof/>
          <w:szCs w:val="24"/>
        </w:rPr>
        <w:t>p</w:t>
      </w:r>
      <w:r w:rsidRPr="00250E42">
        <w:rPr>
          <w:rFonts w:eastAsia="Times New Roman" w:cs="Times New Roman"/>
          <w:noProof/>
          <w:szCs w:val="24"/>
        </w:rPr>
        <w:t xml:space="preserve"> palielinoties vai konkrētajā apmērā samazinoties. Procentu likmēm par vienu p</w:t>
      </w:r>
      <w:r w:rsidR="00250E42" w:rsidRPr="00250E42">
        <w:rPr>
          <w:rFonts w:eastAsia="Times New Roman" w:cs="Times New Roman"/>
          <w:noProof/>
          <w:szCs w:val="24"/>
        </w:rPr>
        <w:t>p</w:t>
      </w:r>
      <w:r w:rsidRPr="00250E42">
        <w:rPr>
          <w:rFonts w:eastAsia="Times New Roman" w:cs="Times New Roman"/>
          <w:noProof/>
          <w:szCs w:val="24"/>
        </w:rPr>
        <w:t xml:space="preserve"> palielinoties, procentu izdevumi 2026. gadā pieaugtu par 29,8 milj. </w:t>
      </w:r>
      <w:r w:rsidRPr="00250E42">
        <w:rPr>
          <w:rFonts w:eastAsia="Times New Roman" w:cs="Times New Roman"/>
          <w:i/>
          <w:noProof/>
          <w:szCs w:val="24"/>
        </w:rPr>
        <w:t>euro</w:t>
      </w:r>
      <w:r w:rsidRPr="00250E42">
        <w:rPr>
          <w:rFonts w:eastAsia="Times New Roman" w:cs="Times New Roman"/>
          <w:noProof/>
          <w:szCs w:val="24"/>
        </w:rPr>
        <w:t xml:space="preserve">, 2027. gadā par 55,6 milj. </w:t>
      </w:r>
      <w:r w:rsidRPr="00250E42">
        <w:rPr>
          <w:rFonts w:eastAsia="Times New Roman" w:cs="Times New Roman"/>
          <w:i/>
          <w:noProof/>
          <w:szCs w:val="24"/>
        </w:rPr>
        <w:t>euro</w:t>
      </w:r>
      <w:r w:rsidRPr="00250E42">
        <w:rPr>
          <w:rFonts w:eastAsia="Times New Roman" w:cs="Times New Roman"/>
          <w:noProof/>
          <w:szCs w:val="24"/>
        </w:rPr>
        <w:t xml:space="preserve">, bet 2028. gadā par 85,5 milj. </w:t>
      </w:r>
      <w:r w:rsidRPr="00250E42">
        <w:rPr>
          <w:rFonts w:eastAsia="Times New Roman" w:cs="Times New Roman"/>
          <w:i/>
          <w:noProof/>
          <w:szCs w:val="24"/>
        </w:rPr>
        <w:t>euro</w:t>
      </w:r>
      <w:r w:rsidRPr="00250E42">
        <w:rPr>
          <w:rFonts w:eastAsia="Times New Roman" w:cs="Times New Roman"/>
          <w:noProof/>
          <w:szCs w:val="24"/>
        </w:rPr>
        <w:t xml:space="preserve"> salīdzinājumā ar bāzes scenāriju. Savukārt procentu likmei par vienu p</w:t>
      </w:r>
      <w:r w:rsidR="00250E42" w:rsidRPr="00250E42">
        <w:rPr>
          <w:rFonts w:eastAsia="Times New Roman" w:cs="Times New Roman"/>
          <w:noProof/>
          <w:szCs w:val="24"/>
        </w:rPr>
        <w:t xml:space="preserve">p </w:t>
      </w:r>
      <w:r w:rsidRPr="00250E42">
        <w:rPr>
          <w:rFonts w:eastAsia="Times New Roman" w:cs="Times New Roman"/>
          <w:noProof/>
          <w:szCs w:val="24"/>
        </w:rPr>
        <w:t xml:space="preserve">samazinoties, izdevumi 2026. gadā samazinātos par 39,6 milj. </w:t>
      </w:r>
      <w:r w:rsidRPr="00250E42">
        <w:rPr>
          <w:rFonts w:eastAsia="Times New Roman" w:cs="Times New Roman"/>
          <w:i/>
          <w:noProof/>
          <w:szCs w:val="24"/>
        </w:rPr>
        <w:t>euro</w:t>
      </w:r>
      <w:r w:rsidRPr="00250E42">
        <w:rPr>
          <w:rFonts w:eastAsia="Times New Roman" w:cs="Times New Roman"/>
          <w:noProof/>
          <w:szCs w:val="24"/>
        </w:rPr>
        <w:t xml:space="preserve">, 2027. gadā par 78,1 milj. </w:t>
      </w:r>
      <w:r w:rsidRPr="00250E42">
        <w:rPr>
          <w:rFonts w:eastAsia="Times New Roman" w:cs="Times New Roman"/>
          <w:i/>
          <w:noProof/>
          <w:szCs w:val="24"/>
        </w:rPr>
        <w:t>euro</w:t>
      </w:r>
      <w:r w:rsidRPr="00250E42">
        <w:rPr>
          <w:rFonts w:eastAsia="Times New Roman" w:cs="Times New Roman"/>
          <w:noProof/>
          <w:szCs w:val="24"/>
        </w:rPr>
        <w:t xml:space="preserve"> un 2028. gadā par 121,5 milj. </w:t>
      </w:r>
      <w:r w:rsidRPr="00250E42">
        <w:rPr>
          <w:rFonts w:eastAsia="Times New Roman" w:cs="Times New Roman"/>
          <w:i/>
          <w:noProof/>
          <w:szCs w:val="24"/>
        </w:rPr>
        <w:t>euro</w:t>
      </w:r>
      <w:r w:rsidRPr="00250E42">
        <w:rPr>
          <w:rFonts w:eastAsia="Times New Roman" w:cs="Times New Roman"/>
          <w:noProof/>
          <w:szCs w:val="24"/>
        </w:rPr>
        <w:t xml:space="preserve"> pret bāzes scenārijā prognozēto.</w:t>
      </w:r>
    </w:p>
    <w:p w14:paraId="25C65621" w14:textId="77777777" w:rsidR="0070161D" w:rsidRPr="00FD1578" w:rsidRDefault="0070161D" w:rsidP="008349F0">
      <w:pPr>
        <w:keepNext/>
        <w:keepLines/>
        <w:spacing w:before="240" w:after="240"/>
        <w:ind w:firstLine="0"/>
        <w:jc w:val="center"/>
        <w:outlineLvl w:val="1"/>
        <w:rPr>
          <w:rFonts w:eastAsia="Times New Roman" w:cs="Times New Roman"/>
          <w:b/>
          <w:bCs/>
          <w:color w:val="000000"/>
          <w:sz w:val="36"/>
          <w:szCs w:val="28"/>
        </w:rPr>
      </w:pPr>
      <w:bookmarkStart w:id="40" w:name="_Toc179356078"/>
      <w:r w:rsidRPr="00FD1578">
        <w:rPr>
          <w:rFonts w:eastAsia="Times New Roman" w:cs="Times New Roman"/>
          <w:b/>
          <w:bCs/>
          <w:color w:val="000000"/>
          <w:sz w:val="36"/>
          <w:szCs w:val="28"/>
        </w:rPr>
        <w:t>1.6. Iepriekšējo makroekonomisko prognožu izvērtējums</w:t>
      </w:r>
      <w:bookmarkEnd w:id="36"/>
      <w:bookmarkEnd w:id="40"/>
    </w:p>
    <w:p w14:paraId="44E3016F" w14:textId="77777777" w:rsidR="0070161D" w:rsidRPr="00FD1578" w:rsidRDefault="0070161D" w:rsidP="008349F0">
      <w:pPr>
        <w:rPr>
          <w:rFonts w:eastAsia="Calibri" w:cs="Times New Roman"/>
          <w:szCs w:val="24"/>
        </w:rPr>
      </w:pPr>
      <w:r w:rsidRPr="00FD1578">
        <w:rPr>
          <w:rFonts w:eastAsia="Calibri" w:cs="Times New Roman"/>
        </w:rPr>
        <w:t xml:space="preserve">FM makroekonomiskās prognozes 2024. gada budžeta vajadzībām tika izstrādātas 2023. gada jūnijā, balstoties uz pēdējiem uz to brīdi pieejamajiem datiem un augstas nenoteiktības apstākļos, īpaši ņemot vērā ģeopolitiskās spriedzes palielināšanās situāciju un tās ietekmes </w:t>
      </w:r>
      <w:proofErr w:type="spellStart"/>
      <w:r w:rsidRPr="00FD1578">
        <w:rPr>
          <w:rFonts w:eastAsia="Calibri" w:cs="Times New Roman"/>
        </w:rPr>
        <w:t>neprognozējamību</w:t>
      </w:r>
      <w:proofErr w:type="spellEnd"/>
      <w:r w:rsidRPr="00FD1578">
        <w:rPr>
          <w:rFonts w:eastAsia="Calibri" w:cs="Times New Roman"/>
        </w:rPr>
        <w:t xml:space="preserve">. Tāpēc </w:t>
      </w:r>
      <w:r w:rsidRPr="00FD1578">
        <w:rPr>
          <w:rFonts w:eastAsia="Calibri" w:cs="Times New Roman"/>
          <w:szCs w:val="24"/>
        </w:rPr>
        <w:t>prognozes tika balstītas uz piesardzīgiem pieņēmumiem, ļaujot veidot arī piesardzīgu fiskālo politiku. Šī pieeja sevi ir attaisnojusi, jo pēdējos piecos gados FM prognozes kopumā ir atbildušas ekonomiskajam trendam, prognozēm nav vērojamas sistemātiskas kļūdas, līdz ar to prognozēšanas process kopumā ir vērtējams kā apmierinošs.</w:t>
      </w:r>
    </w:p>
    <w:p w14:paraId="53BAEA2C" w14:textId="77777777" w:rsidR="0070161D" w:rsidRPr="00FD1578" w:rsidRDefault="0070161D" w:rsidP="008349F0">
      <w:pPr>
        <w:ind w:firstLine="0"/>
        <w:jc w:val="center"/>
        <w:rPr>
          <w:rFonts w:eastAsia="Times New Roman" w:cs="Times New Roman"/>
          <w:b/>
          <w:bCs/>
        </w:rPr>
      </w:pPr>
      <w:r w:rsidRPr="00FD1578">
        <w:rPr>
          <w:rFonts w:eastAsia="Calibri" w:cs="Times New Roman"/>
          <w:noProof/>
        </w:rPr>
        <w:lastRenderedPageBreak/>
        <w:drawing>
          <wp:inline distT="0" distB="0" distL="0" distR="0" wp14:anchorId="7B00C42F" wp14:editId="67734A24">
            <wp:extent cx="5759450" cy="2647950"/>
            <wp:effectExtent l="0" t="0" r="0" b="0"/>
            <wp:docPr id="29" name="Chart 17">
              <a:extLst xmlns:a="http://schemas.openxmlformats.org/drawingml/2006/main">
                <a:ext uri="{FF2B5EF4-FFF2-40B4-BE49-F238E27FC236}">
                  <a16:creationId xmlns:a16="http://schemas.microsoft.com/office/drawing/2014/main" id="{BA824A3D-19E0-4410-84F5-86ACB2B473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FD1578">
        <w:rPr>
          <w:rFonts w:eastAsia="Calibri" w:cs="Times New Roman"/>
          <w:sz w:val="28"/>
          <w:szCs w:val="28"/>
        </w:rPr>
        <w:br/>
      </w:r>
      <w:r w:rsidRPr="00FD1578">
        <w:rPr>
          <w:rFonts w:eastAsia="Times New Roman" w:cs="Times New Roman"/>
          <w:b/>
          <w:bCs/>
          <w:i/>
          <w:iCs/>
        </w:rPr>
        <w:t>1.27. att. IKP vidēja termiņa prognozes un faktiskā izpilde,</w:t>
      </w:r>
      <w:r w:rsidRPr="00FD1578">
        <w:rPr>
          <w:rFonts w:eastAsia="Times New Roman" w:cs="Times New Roman"/>
          <w:b/>
          <w:bCs/>
          <w:i/>
          <w:iCs/>
        </w:rPr>
        <w:br/>
        <w:t xml:space="preserve"> salīdzināmās cenās 2007=100</w:t>
      </w:r>
    </w:p>
    <w:p w14:paraId="44B67493" w14:textId="77777777" w:rsidR="0070161D" w:rsidRPr="00FD1578" w:rsidRDefault="0070161D" w:rsidP="008349F0">
      <w:pPr>
        <w:rPr>
          <w:rFonts w:eastAsia="Calibri" w:cs="Times New Roman"/>
        </w:rPr>
      </w:pPr>
      <w:r w:rsidRPr="00FD1578">
        <w:rPr>
          <w:rFonts w:eastAsia="Calibri" w:cs="Times New Roman"/>
        </w:rPr>
        <w:t xml:space="preserve">IKP pieauguma prognožu kļūdas pēdējo desmit gadu laikā vidēji svārstījās ap 1,3 </w:t>
      </w:r>
      <w:proofErr w:type="spellStart"/>
      <w:r w:rsidRPr="00FD1578">
        <w:rPr>
          <w:rFonts w:eastAsia="Calibri" w:cs="Times New Roman"/>
        </w:rPr>
        <w:t>pp</w:t>
      </w:r>
      <w:proofErr w:type="spellEnd"/>
      <w:r w:rsidRPr="00FD1578">
        <w:rPr>
          <w:rFonts w:eastAsia="Calibri" w:cs="Times New Roman"/>
        </w:rPr>
        <w:t xml:space="preserve"> gan pozitīvā (virs fakta), gan negatīvā (zem fakta) virzienā, izņemot 2020. gadu, kad kļūda stipri pozitīvā virzienā bija ievērojami lielāka, galvenokārt piesardzīgu pieņēmumu dēļ par ekonomikas reakciju uz Covid-19 izaicinājumiem. Negatīvā virzienā novirzes bieži bija saistītas ar straujāku ekonomisko atveseļošanos, piemēram, kā tas bija 2015., 2018. un 2021. gadā. Salīdzinājumā, starptautisko institūciju prognožu kļūdas pēdējos piecos gados bija lielākas un kopumā virzījās tajā pašā virzienā. Nākotnē var sagaidīt, ka prognožu novirzes no faktiskajiem datiem būs relatīvi lielas, ņemot vērā ievērojamo nenoteiktību, ko rada ģeopolitiskā situācija un ar to saistītās tirdzniecības barjeras.</w:t>
      </w:r>
    </w:p>
    <w:p w14:paraId="26A2F608" w14:textId="59934A75" w:rsidR="0070161D" w:rsidRPr="00FD1578" w:rsidRDefault="0070161D" w:rsidP="008349F0">
      <w:pPr>
        <w:ind w:firstLine="0"/>
        <w:jc w:val="right"/>
        <w:rPr>
          <w:rFonts w:eastAsia="Calibri" w:cs="Times New Roman"/>
          <w:b/>
          <w:bCs/>
          <w:i/>
          <w:iCs/>
        </w:rPr>
      </w:pPr>
      <w:r w:rsidRPr="00FD1578">
        <w:rPr>
          <w:rFonts w:eastAsia="Calibri" w:cs="Times New Roman"/>
          <w:b/>
          <w:bCs/>
          <w:i/>
          <w:iCs/>
        </w:rPr>
        <w:t>1.</w:t>
      </w:r>
      <w:r w:rsidR="00771550">
        <w:rPr>
          <w:rFonts w:eastAsia="Calibri" w:cs="Times New Roman"/>
          <w:b/>
          <w:bCs/>
          <w:i/>
          <w:iCs/>
        </w:rPr>
        <w:t>11</w:t>
      </w:r>
      <w:r w:rsidRPr="00FD1578">
        <w:rPr>
          <w:rFonts w:eastAsia="Calibri" w:cs="Times New Roman"/>
          <w:b/>
          <w:bCs/>
          <w:i/>
          <w:iCs/>
        </w:rPr>
        <w:t>. tabula. Finanšu ministrijas un starptautisko finanšu institūciju IKP pieauguma salīdzināmajās cenās (%) prognožu salīdzinājums</w:t>
      </w:r>
      <w:r w:rsidRPr="00FD1578">
        <w:rPr>
          <w:rFonts w:eastAsia="Calibri" w:cs="Times New Roman"/>
          <w:b/>
          <w:bCs/>
          <w:i/>
          <w:iCs/>
          <w:vertAlign w:val="superscript"/>
        </w:rPr>
        <w:footnoteReference w:id="7"/>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753"/>
        <w:gridCol w:w="654"/>
        <w:gridCol w:w="658"/>
        <w:gridCol w:w="657"/>
        <w:gridCol w:w="658"/>
        <w:gridCol w:w="657"/>
        <w:gridCol w:w="658"/>
        <w:gridCol w:w="657"/>
        <w:gridCol w:w="658"/>
        <w:gridCol w:w="658"/>
        <w:gridCol w:w="651"/>
        <w:gridCol w:w="651"/>
      </w:tblGrid>
      <w:tr w:rsidR="0070161D" w:rsidRPr="00FD1578" w14:paraId="76C6ECC7" w14:textId="77777777" w:rsidTr="008E1E6C">
        <w:trPr>
          <w:trHeight w:val="300"/>
          <w:jc w:val="center"/>
        </w:trPr>
        <w:tc>
          <w:tcPr>
            <w:tcW w:w="1622"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hideMark/>
          </w:tcPr>
          <w:p w14:paraId="54C56773" w14:textId="77777777" w:rsidR="0070161D" w:rsidRPr="00FD1578" w:rsidRDefault="0070161D" w:rsidP="008349F0">
            <w:pPr>
              <w:spacing w:after="0"/>
              <w:ind w:firstLine="0"/>
              <w:rPr>
                <w:rFonts w:eastAsia="Calibri" w:cs="Times New Roman"/>
                <w:sz w:val="18"/>
                <w:szCs w:val="20"/>
              </w:rPr>
            </w:pPr>
            <w:r w:rsidRPr="00FD1578">
              <w:rPr>
                <w:rFonts w:eastAsia="Calibri" w:cs="Times New Roman"/>
                <w:sz w:val="18"/>
                <w:szCs w:val="20"/>
              </w:rPr>
              <w:t> </w:t>
            </w:r>
          </w:p>
        </w:tc>
        <w:tc>
          <w:tcPr>
            <w:tcW w:w="60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tcMar>
              <w:top w:w="0" w:type="dxa"/>
              <w:left w:w="57" w:type="dxa"/>
              <w:bottom w:w="0" w:type="dxa"/>
              <w:right w:w="113" w:type="dxa"/>
            </w:tcMar>
            <w:vAlign w:val="center"/>
            <w:hideMark/>
          </w:tcPr>
          <w:p w14:paraId="341E78C0"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2013</w:t>
            </w:r>
          </w:p>
        </w:tc>
        <w:tc>
          <w:tcPr>
            <w:tcW w:w="608"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tcMar>
              <w:top w:w="0" w:type="dxa"/>
              <w:left w:w="57" w:type="dxa"/>
              <w:bottom w:w="0" w:type="dxa"/>
              <w:right w:w="113" w:type="dxa"/>
            </w:tcMar>
            <w:vAlign w:val="center"/>
            <w:hideMark/>
          </w:tcPr>
          <w:p w14:paraId="100B2CA7"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2014</w:t>
            </w:r>
          </w:p>
        </w:tc>
        <w:tc>
          <w:tcPr>
            <w:tcW w:w="607"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0" w:type="dxa"/>
              <w:left w:w="57" w:type="dxa"/>
              <w:bottom w:w="0" w:type="dxa"/>
              <w:right w:w="113" w:type="dxa"/>
            </w:tcMar>
            <w:vAlign w:val="center"/>
            <w:hideMark/>
          </w:tcPr>
          <w:p w14:paraId="17BCC069"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2015</w:t>
            </w:r>
          </w:p>
        </w:tc>
        <w:tc>
          <w:tcPr>
            <w:tcW w:w="608"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0" w:type="dxa"/>
              <w:left w:w="57" w:type="dxa"/>
              <w:bottom w:w="0" w:type="dxa"/>
              <w:right w:w="113" w:type="dxa"/>
            </w:tcMar>
            <w:vAlign w:val="center"/>
            <w:hideMark/>
          </w:tcPr>
          <w:p w14:paraId="3F2E4965"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2016</w:t>
            </w:r>
          </w:p>
        </w:tc>
        <w:tc>
          <w:tcPr>
            <w:tcW w:w="607"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tcMar>
              <w:top w:w="0" w:type="dxa"/>
              <w:left w:w="57" w:type="dxa"/>
              <w:bottom w:w="0" w:type="dxa"/>
              <w:right w:w="113" w:type="dxa"/>
            </w:tcMar>
            <w:vAlign w:val="center"/>
            <w:hideMark/>
          </w:tcPr>
          <w:p w14:paraId="6DC28BF1"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2017</w:t>
            </w:r>
          </w:p>
        </w:tc>
        <w:tc>
          <w:tcPr>
            <w:tcW w:w="608"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0" w:type="dxa"/>
              <w:left w:w="57" w:type="dxa"/>
              <w:bottom w:w="0" w:type="dxa"/>
              <w:right w:w="113" w:type="dxa"/>
            </w:tcMar>
            <w:vAlign w:val="center"/>
            <w:hideMark/>
          </w:tcPr>
          <w:p w14:paraId="5B7F9E1A"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2018</w:t>
            </w:r>
          </w:p>
        </w:tc>
        <w:tc>
          <w:tcPr>
            <w:tcW w:w="607"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tcMar>
              <w:top w:w="0" w:type="dxa"/>
              <w:left w:w="57" w:type="dxa"/>
              <w:bottom w:w="0" w:type="dxa"/>
              <w:right w:w="113" w:type="dxa"/>
            </w:tcMar>
            <w:vAlign w:val="center"/>
            <w:hideMark/>
          </w:tcPr>
          <w:p w14:paraId="49E12788"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2019</w:t>
            </w:r>
          </w:p>
        </w:tc>
        <w:tc>
          <w:tcPr>
            <w:tcW w:w="608"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0" w:type="dxa"/>
              <w:left w:w="57" w:type="dxa"/>
              <w:bottom w:w="0" w:type="dxa"/>
              <w:right w:w="113" w:type="dxa"/>
            </w:tcMar>
            <w:vAlign w:val="center"/>
            <w:hideMark/>
          </w:tcPr>
          <w:p w14:paraId="5DB66F4F"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2020</w:t>
            </w:r>
          </w:p>
        </w:tc>
        <w:tc>
          <w:tcPr>
            <w:tcW w:w="608"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tcMar>
              <w:top w:w="0" w:type="dxa"/>
              <w:left w:w="57" w:type="dxa"/>
              <w:bottom w:w="0" w:type="dxa"/>
              <w:right w:w="113" w:type="dxa"/>
            </w:tcMar>
            <w:vAlign w:val="center"/>
            <w:hideMark/>
          </w:tcPr>
          <w:p w14:paraId="3AD920E9"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2021</w:t>
            </w:r>
          </w:p>
        </w:tc>
        <w:tc>
          <w:tcPr>
            <w:tcW w:w="60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6D0641C"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2022</w:t>
            </w:r>
          </w:p>
        </w:tc>
        <w:tc>
          <w:tcPr>
            <w:tcW w:w="60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39D5B5D"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2023</w:t>
            </w:r>
          </w:p>
        </w:tc>
      </w:tr>
      <w:tr w:rsidR="0070161D" w:rsidRPr="00FD1578" w14:paraId="2C23498A" w14:textId="77777777" w:rsidTr="0073287C">
        <w:trPr>
          <w:trHeight w:val="300"/>
          <w:jc w:val="center"/>
        </w:trPr>
        <w:tc>
          <w:tcPr>
            <w:tcW w:w="1622" w:type="dxa"/>
            <w:tcBorders>
              <w:top w:val="single" w:sz="4" w:space="0" w:color="auto"/>
              <w:left w:val="single" w:sz="4" w:space="0" w:color="auto"/>
              <w:bottom w:val="single" w:sz="4" w:space="0" w:color="auto"/>
              <w:right w:val="single" w:sz="4" w:space="0" w:color="auto"/>
            </w:tcBorders>
            <w:noWrap/>
            <w:vAlign w:val="center"/>
            <w:hideMark/>
          </w:tcPr>
          <w:p w14:paraId="48768102" w14:textId="77777777" w:rsidR="0070161D" w:rsidRPr="00FD1578" w:rsidRDefault="0070161D" w:rsidP="008349F0">
            <w:pPr>
              <w:spacing w:after="0"/>
              <w:ind w:firstLine="0"/>
              <w:rPr>
                <w:rFonts w:eastAsia="Calibri" w:cs="Times New Roman"/>
                <w:sz w:val="18"/>
                <w:szCs w:val="20"/>
              </w:rPr>
            </w:pPr>
            <w:r w:rsidRPr="00FD1578">
              <w:rPr>
                <w:rFonts w:eastAsia="Calibri" w:cs="Times New Roman"/>
                <w:sz w:val="18"/>
                <w:szCs w:val="20"/>
              </w:rPr>
              <w:t>FM</w:t>
            </w:r>
          </w:p>
        </w:tc>
        <w:tc>
          <w:tcPr>
            <w:tcW w:w="606"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0540072B"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3,7</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045F9D25"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4,2</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631C4179"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2,8</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4E089F2A"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2,5</w:t>
            </w:r>
          </w:p>
        </w:tc>
        <w:tc>
          <w:tcPr>
            <w:tcW w:w="607"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3BCEF0CA"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3,7</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0CF849C1"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3,4</w:t>
            </w:r>
          </w:p>
        </w:tc>
        <w:tc>
          <w:tcPr>
            <w:tcW w:w="607"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2C3238D2"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3,0</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1DBAA39D"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2,8</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1C2370EA"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5,1</w:t>
            </w:r>
          </w:p>
        </w:tc>
        <w:tc>
          <w:tcPr>
            <w:tcW w:w="602" w:type="dxa"/>
            <w:tcBorders>
              <w:top w:val="single" w:sz="4" w:space="0" w:color="auto"/>
              <w:left w:val="single" w:sz="4" w:space="0" w:color="auto"/>
              <w:bottom w:val="single" w:sz="4" w:space="0" w:color="auto"/>
              <w:right w:val="single" w:sz="4" w:space="0" w:color="auto"/>
            </w:tcBorders>
            <w:vAlign w:val="center"/>
            <w:hideMark/>
          </w:tcPr>
          <w:p w14:paraId="16AF814D" w14:textId="77777777" w:rsidR="0070161D" w:rsidRPr="00FD1578" w:rsidRDefault="0070161D" w:rsidP="008349F0">
            <w:pPr>
              <w:spacing w:after="0"/>
              <w:ind w:firstLine="0"/>
              <w:jc w:val="center"/>
              <w:rPr>
                <w:rFonts w:eastAsia="Calibri" w:cs="Arial"/>
                <w:sz w:val="18"/>
                <w:szCs w:val="20"/>
              </w:rPr>
            </w:pPr>
            <w:r w:rsidRPr="00FD1578">
              <w:rPr>
                <w:rFonts w:eastAsia="Times New Roman" w:cs="Times New Roman"/>
                <w:sz w:val="18"/>
                <w:szCs w:val="20"/>
              </w:rPr>
              <w:t>5,0</w:t>
            </w:r>
          </w:p>
        </w:tc>
        <w:tc>
          <w:tcPr>
            <w:tcW w:w="602" w:type="dxa"/>
            <w:tcBorders>
              <w:top w:val="single" w:sz="4" w:space="0" w:color="auto"/>
              <w:left w:val="single" w:sz="4" w:space="0" w:color="auto"/>
              <w:bottom w:val="single" w:sz="4" w:space="0" w:color="auto"/>
              <w:right w:val="single" w:sz="4" w:space="0" w:color="auto"/>
            </w:tcBorders>
            <w:vAlign w:val="center"/>
            <w:hideMark/>
          </w:tcPr>
          <w:p w14:paraId="6600149A" w14:textId="77777777" w:rsidR="0070161D" w:rsidRPr="00FD1578" w:rsidRDefault="0070161D" w:rsidP="008349F0">
            <w:pPr>
              <w:spacing w:after="0"/>
              <w:ind w:firstLine="0"/>
              <w:jc w:val="center"/>
              <w:rPr>
                <w:rFonts w:eastAsia="Calibri" w:cs="Arial"/>
                <w:sz w:val="18"/>
                <w:szCs w:val="20"/>
              </w:rPr>
            </w:pPr>
            <w:r w:rsidRPr="00FD1578">
              <w:rPr>
                <w:rFonts w:eastAsia="Times New Roman" w:cs="Times New Roman"/>
                <w:sz w:val="18"/>
                <w:szCs w:val="20"/>
              </w:rPr>
              <w:t>-0,6</w:t>
            </w:r>
          </w:p>
        </w:tc>
      </w:tr>
      <w:tr w:rsidR="0070161D" w:rsidRPr="00FD1578" w14:paraId="6C126C72" w14:textId="77777777" w:rsidTr="0073287C">
        <w:trPr>
          <w:trHeight w:val="300"/>
          <w:jc w:val="center"/>
        </w:trPr>
        <w:tc>
          <w:tcPr>
            <w:tcW w:w="1622" w:type="dxa"/>
            <w:tcBorders>
              <w:top w:val="single" w:sz="4" w:space="0" w:color="auto"/>
              <w:left w:val="single" w:sz="4" w:space="0" w:color="auto"/>
              <w:bottom w:val="single" w:sz="4" w:space="0" w:color="auto"/>
              <w:right w:val="single" w:sz="4" w:space="0" w:color="auto"/>
            </w:tcBorders>
            <w:noWrap/>
            <w:vAlign w:val="center"/>
            <w:hideMark/>
          </w:tcPr>
          <w:p w14:paraId="60C8F4B2" w14:textId="77777777" w:rsidR="0070161D" w:rsidRPr="00FD1578" w:rsidRDefault="0070161D" w:rsidP="008349F0">
            <w:pPr>
              <w:spacing w:after="0"/>
              <w:ind w:firstLine="0"/>
              <w:rPr>
                <w:rFonts w:eastAsia="Calibri" w:cs="Times New Roman"/>
                <w:sz w:val="18"/>
                <w:szCs w:val="20"/>
              </w:rPr>
            </w:pPr>
            <w:r w:rsidRPr="00FD1578">
              <w:rPr>
                <w:rFonts w:eastAsia="Calibri" w:cs="Times New Roman"/>
                <w:sz w:val="18"/>
                <w:szCs w:val="20"/>
              </w:rPr>
              <w:t>EK</w:t>
            </w:r>
          </w:p>
        </w:tc>
        <w:tc>
          <w:tcPr>
            <w:tcW w:w="606"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18602808"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3,6</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3BEC8CCE"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4,0</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7CE282C4"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2,9</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18BF816E"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2,8</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05D525EB"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3,2</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5D1C4A63"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3,5</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215EA3A4"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3,2</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46B87EBA"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2,8</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2EE28F98"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6,4</w:t>
            </w:r>
          </w:p>
        </w:tc>
        <w:tc>
          <w:tcPr>
            <w:tcW w:w="602" w:type="dxa"/>
            <w:tcBorders>
              <w:top w:val="single" w:sz="4" w:space="0" w:color="auto"/>
              <w:left w:val="single" w:sz="4" w:space="0" w:color="auto"/>
              <w:bottom w:val="single" w:sz="4" w:space="0" w:color="auto"/>
              <w:right w:val="single" w:sz="4" w:space="0" w:color="auto"/>
            </w:tcBorders>
            <w:vAlign w:val="center"/>
            <w:hideMark/>
          </w:tcPr>
          <w:p w14:paraId="44AB94E2" w14:textId="77777777" w:rsidR="0070161D" w:rsidRPr="00FD1578" w:rsidRDefault="0070161D" w:rsidP="008349F0">
            <w:pPr>
              <w:spacing w:after="0"/>
              <w:ind w:firstLine="0"/>
              <w:jc w:val="center"/>
              <w:rPr>
                <w:rFonts w:eastAsia="Calibri" w:cs="Arial"/>
                <w:sz w:val="18"/>
                <w:szCs w:val="20"/>
              </w:rPr>
            </w:pPr>
            <w:r w:rsidRPr="00FD1578">
              <w:rPr>
                <w:rFonts w:eastAsia="Times New Roman" w:cs="Times New Roman"/>
                <w:sz w:val="18"/>
                <w:szCs w:val="20"/>
              </w:rPr>
              <w:t>6,0</w:t>
            </w:r>
          </w:p>
        </w:tc>
        <w:tc>
          <w:tcPr>
            <w:tcW w:w="602" w:type="dxa"/>
            <w:tcBorders>
              <w:top w:val="single" w:sz="4" w:space="0" w:color="auto"/>
              <w:left w:val="single" w:sz="4" w:space="0" w:color="auto"/>
              <w:bottom w:val="single" w:sz="4" w:space="0" w:color="auto"/>
              <w:right w:val="single" w:sz="4" w:space="0" w:color="auto"/>
            </w:tcBorders>
            <w:vAlign w:val="center"/>
            <w:hideMark/>
          </w:tcPr>
          <w:p w14:paraId="057B73B4" w14:textId="77777777" w:rsidR="0070161D" w:rsidRPr="00FD1578" w:rsidRDefault="0070161D" w:rsidP="008349F0">
            <w:pPr>
              <w:spacing w:after="0"/>
              <w:ind w:firstLine="0"/>
              <w:jc w:val="center"/>
              <w:rPr>
                <w:rFonts w:eastAsia="Calibri" w:cs="Arial"/>
                <w:sz w:val="18"/>
                <w:szCs w:val="20"/>
              </w:rPr>
            </w:pPr>
            <w:r w:rsidRPr="00FD1578">
              <w:rPr>
                <w:rFonts w:eastAsia="Times New Roman" w:cs="Times New Roman"/>
                <w:sz w:val="18"/>
                <w:szCs w:val="20"/>
              </w:rPr>
              <w:t>-0,3</w:t>
            </w:r>
          </w:p>
        </w:tc>
      </w:tr>
      <w:tr w:rsidR="0070161D" w:rsidRPr="00FD1578" w14:paraId="47794E62" w14:textId="77777777" w:rsidTr="0073287C">
        <w:trPr>
          <w:trHeight w:val="300"/>
          <w:jc w:val="center"/>
        </w:trPr>
        <w:tc>
          <w:tcPr>
            <w:tcW w:w="1622" w:type="dxa"/>
            <w:tcBorders>
              <w:top w:val="single" w:sz="4" w:space="0" w:color="auto"/>
              <w:left w:val="single" w:sz="4" w:space="0" w:color="auto"/>
              <w:bottom w:val="single" w:sz="4" w:space="0" w:color="auto"/>
              <w:right w:val="single" w:sz="4" w:space="0" w:color="auto"/>
            </w:tcBorders>
            <w:noWrap/>
            <w:vAlign w:val="center"/>
            <w:hideMark/>
          </w:tcPr>
          <w:p w14:paraId="19D74A20" w14:textId="77777777" w:rsidR="0070161D" w:rsidRPr="00FD1578" w:rsidRDefault="0070161D" w:rsidP="008349F0">
            <w:pPr>
              <w:spacing w:after="0"/>
              <w:ind w:firstLine="0"/>
              <w:rPr>
                <w:rFonts w:eastAsia="Calibri" w:cs="Times New Roman"/>
                <w:sz w:val="18"/>
                <w:szCs w:val="20"/>
              </w:rPr>
            </w:pPr>
            <w:r w:rsidRPr="00FD1578">
              <w:rPr>
                <w:rFonts w:eastAsia="Calibri" w:cs="Times New Roman"/>
                <w:sz w:val="18"/>
                <w:szCs w:val="20"/>
              </w:rPr>
              <w:t>SVF</w:t>
            </w:r>
          </w:p>
        </w:tc>
        <w:tc>
          <w:tcPr>
            <w:tcW w:w="606"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73437913"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3,5</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7E88CABB"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4,2</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60D65973"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3,2</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1A3271D0"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3,2</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1C44F4A8"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3,0</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1C6A9E6F"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3,3</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414CD427"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3,3</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3B73AF1D"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3,1</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6011C84B"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8,3</w:t>
            </w:r>
          </w:p>
        </w:tc>
        <w:tc>
          <w:tcPr>
            <w:tcW w:w="602" w:type="dxa"/>
            <w:tcBorders>
              <w:top w:val="single" w:sz="4" w:space="0" w:color="auto"/>
              <w:left w:val="single" w:sz="4" w:space="0" w:color="auto"/>
              <w:bottom w:val="single" w:sz="4" w:space="0" w:color="auto"/>
              <w:right w:val="single" w:sz="4" w:space="0" w:color="auto"/>
            </w:tcBorders>
            <w:vAlign w:val="center"/>
            <w:hideMark/>
          </w:tcPr>
          <w:p w14:paraId="253DE081" w14:textId="77777777" w:rsidR="0070161D" w:rsidRPr="00FD1578" w:rsidRDefault="0070161D" w:rsidP="008349F0">
            <w:pPr>
              <w:spacing w:after="0"/>
              <w:ind w:firstLine="0"/>
              <w:jc w:val="center"/>
              <w:rPr>
                <w:rFonts w:eastAsia="Calibri" w:cs="Arial"/>
                <w:sz w:val="18"/>
                <w:szCs w:val="20"/>
              </w:rPr>
            </w:pPr>
            <w:r w:rsidRPr="00FD1578">
              <w:rPr>
                <w:rFonts w:eastAsia="Times New Roman" w:cs="Times New Roman"/>
                <w:sz w:val="18"/>
                <w:szCs w:val="20"/>
              </w:rPr>
              <w:t>5,2</w:t>
            </w:r>
          </w:p>
        </w:tc>
        <w:tc>
          <w:tcPr>
            <w:tcW w:w="602" w:type="dxa"/>
            <w:tcBorders>
              <w:top w:val="single" w:sz="4" w:space="0" w:color="auto"/>
              <w:left w:val="single" w:sz="4" w:space="0" w:color="auto"/>
              <w:bottom w:val="single" w:sz="4" w:space="0" w:color="auto"/>
              <w:right w:val="single" w:sz="4" w:space="0" w:color="auto"/>
            </w:tcBorders>
            <w:vAlign w:val="center"/>
            <w:hideMark/>
          </w:tcPr>
          <w:p w14:paraId="51DA86FC" w14:textId="77777777" w:rsidR="0070161D" w:rsidRPr="00FD1578" w:rsidRDefault="0070161D" w:rsidP="008349F0">
            <w:pPr>
              <w:spacing w:after="0"/>
              <w:ind w:firstLine="0"/>
              <w:jc w:val="center"/>
              <w:rPr>
                <w:rFonts w:eastAsia="Calibri" w:cs="Arial"/>
                <w:sz w:val="18"/>
                <w:szCs w:val="20"/>
              </w:rPr>
            </w:pPr>
            <w:r w:rsidRPr="00FD1578">
              <w:rPr>
                <w:rFonts w:eastAsia="Times New Roman" w:cs="Times New Roman"/>
                <w:sz w:val="18"/>
                <w:szCs w:val="20"/>
              </w:rPr>
              <w:t>1,6</w:t>
            </w:r>
          </w:p>
        </w:tc>
      </w:tr>
      <w:tr w:rsidR="0070161D" w:rsidRPr="00FD1578" w14:paraId="0BE4AF11" w14:textId="77777777" w:rsidTr="0073287C">
        <w:trPr>
          <w:trHeight w:val="300"/>
          <w:jc w:val="center"/>
        </w:trPr>
        <w:tc>
          <w:tcPr>
            <w:tcW w:w="1622" w:type="dxa"/>
            <w:tcBorders>
              <w:top w:val="single" w:sz="4" w:space="0" w:color="auto"/>
              <w:left w:val="single" w:sz="4" w:space="0" w:color="auto"/>
              <w:bottom w:val="single" w:sz="4" w:space="0" w:color="auto"/>
              <w:right w:val="single" w:sz="4" w:space="0" w:color="auto"/>
            </w:tcBorders>
            <w:noWrap/>
            <w:vAlign w:val="center"/>
            <w:hideMark/>
          </w:tcPr>
          <w:p w14:paraId="13C0E177" w14:textId="77777777" w:rsidR="0070161D" w:rsidRPr="00FD1578" w:rsidRDefault="0070161D" w:rsidP="008349F0">
            <w:pPr>
              <w:spacing w:after="0"/>
              <w:ind w:firstLine="0"/>
              <w:rPr>
                <w:rFonts w:eastAsia="Calibri" w:cs="Times New Roman"/>
                <w:sz w:val="18"/>
                <w:szCs w:val="20"/>
              </w:rPr>
            </w:pPr>
            <w:r w:rsidRPr="00FD1578">
              <w:rPr>
                <w:rFonts w:eastAsia="Calibri" w:cs="Times New Roman"/>
                <w:sz w:val="18"/>
                <w:szCs w:val="20"/>
              </w:rPr>
              <w:t>OECD</w:t>
            </w:r>
          </w:p>
        </w:tc>
        <w:tc>
          <w:tcPr>
            <w:tcW w:w="606"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6996603B"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 </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48F694A5"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 </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36B15648"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3,2</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4C47E7EA"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3,6</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7D98DB17"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3,5</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6C19EE73"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3,5</w:t>
            </w:r>
          </w:p>
        </w:tc>
        <w:tc>
          <w:tcPr>
            <w:tcW w:w="607"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39DD9D9A"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3,6</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05F3DF1C"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2,7</w:t>
            </w:r>
          </w:p>
        </w:tc>
        <w:tc>
          <w:tcPr>
            <w:tcW w:w="608" w:type="dxa"/>
            <w:tcBorders>
              <w:top w:val="single" w:sz="4" w:space="0" w:color="auto"/>
              <w:left w:val="single" w:sz="4" w:space="0" w:color="auto"/>
              <w:bottom w:val="single" w:sz="4" w:space="0" w:color="auto"/>
              <w:right w:val="single" w:sz="4" w:space="0" w:color="auto"/>
            </w:tcBorders>
            <w:tcMar>
              <w:top w:w="0" w:type="dxa"/>
              <w:left w:w="57" w:type="dxa"/>
              <w:bottom w:w="0" w:type="dxa"/>
              <w:right w:w="113" w:type="dxa"/>
            </w:tcMar>
            <w:vAlign w:val="center"/>
            <w:hideMark/>
          </w:tcPr>
          <w:p w14:paraId="77C2F78E"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6,4</w:t>
            </w:r>
          </w:p>
        </w:tc>
        <w:tc>
          <w:tcPr>
            <w:tcW w:w="602" w:type="dxa"/>
            <w:tcBorders>
              <w:top w:val="single" w:sz="4" w:space="0" w:color="auto"/>
              <w:left w:val="single" w:sz="4" w:space="0" w:color="auto"/>
              <w:bottom w:val="single" w:sz="4" w:space="0" w:color="auto"/>
              <w:right w:val="single" w:sz="4" w:space="0" w:color="auto"/>
            </w:tcBorders>
            <w:vAlign w:val="center"/>
            <w:hideMark/>
          </w:tcPr>
          <w:p w14:paraId="0DA0003E" w14:textId="77777777" w:rsidR="0070161D" w:rsidRPr="00FD1578" w:rsidRDefault="0070161D" w:rsidP="008349F0">
            <w:pPr>
              <w:spacing w:after="0"/>
              <w:ind w:firstLine="0"/>
              <w:jc w:val="center"/>
              <w:rPr>
                <w:rFonts w:eastAsia="Calibri" w:cs="Arial"/>
                <w:sz w:val="18"/>
                <w:szCs w:val="20"/>
              </w:rPr>
            </w:pPr>
            <w:r w:rsidRPr="00FD1578">
              <w:rPr>
                <w:rFonts w:eastAsia="Times New Roman" w:cs="Times New Roman"/>
                <w:sz w:val="18"/>
                <w:szCs w:val="20"/>
              </w:rPr>
              <w:t>5,6</w:t>
            </w:r>
          </w:p>
        </w:tc>
        <w:tc>
          <w:tcPr>
            <w:tcW w:w="602" w:type="dxa"/>
            <w:tcBorders>
              <w:top w:val="single" w:sz="4" w:space="0" w:color="auto"/>
              <w:left w:val="single" w:sz="4" w:space="0" w:color="auto"/>
              <w:bottom w:val="single" w:sz="4" w:space="0" w:color="auto"/>
              <w:right w:val="single" w:sz="4" w:space="0" w:color="auto"/>
            </w:tcBorders>
            <w:vAlign w:val="center"/>
            <w:hideMark/>
          </w:tcPr>
          <w:p w14:paraId="4E361587" w14:textId="77777777" w:rsidR="0070161D" w:rsidRPr="00FD1578" w:rsidRDefault="0070161D" w:rsidP="008349F0">
            <w:pPr>
              <w:spacing w:after="0"/>
              <w:ind w:firstLine="0"/>
              <w:jc w:val="center"/>
              <w:rPr>
                <w:rFonts w:eastAsia="Calibri" w:cs="Arial"/>
                <w:sz w:val="18"/>
                <w:szCs w:val="20"/>
              </w:rPr>
            </w:pPr>
            <w:r w:rsidRPr="00FD1578">
              <w:rPr>
                <w:rFonts w:eastAsia="Times New Roman" w:cs="Times New Roman"/>
                <w:sz w:val="18"/>
                <w:szCs w:val="20"/>
              </w:rPr>
              <w:t>-0,2</w:t>
            </w:r>
          </w:p>
        </w:tc>
      </w:tr>
      <w:tr w:rsidR="0070161D" w:rsidRPr="00FD1578" w14:paraId="1313C6AF" w14:textId="77777777" w:rsidTr="0073287C">
        <w:trPr>
          <w:trHeight w:val="300"/>
          <w:jc w:val="center"/>
        </w:trPr>
        <w:tc>
          <w:tcPr>
            <w:tcW w:w="1622" w:type="dxa"/>
            <w:tcBorders>
              <w:top w:val="single" w:sz="4" w:space="0" w:color="auto"/>
              <w:left w:val="single" w:sz="4" w:space="0" w:color="auto"/>
              <w:bottom w:val="single" w:sz="4" w:space="0" w:color="auto"/>
              <w:right w:val="single" w:sz="4" w:space="0" w:color="auto"/>
            </w:tcBorders>
            <w:noWrap/>
            <w:vAlign w:val="center"/>
            <w:hideMark/>
          </w:tcPr>
          <w:p w14:paraId="5F1CDC8A" w14:textId="77777777" w:rsidR="0070161D" w:rsidRPr="00FD1578" w:rsidRDefault="0070161D" w:rsidP="008349F0">
            <w:pPr>
              <w:spacing w:after="0"/>
              <w:ind w:firstLine="0"/>
              <w:jc w:val="left"/>
              <w:rPr>
                <w:rFonts w:eastAsia="Calibri" w:cs="Times New Roman"/>
                <w:sz w:val="18"/>
                <w:szCs w:val="20"/>
              </w:rPr>
            </w:pPr>
            <w:r w:rsidRPr="00FD1578">
              <w:rPr>
                <w:rFonts w:eastAsia="Calibri" w:cs="Times New Roman"/>
                <w:sz w:val="18"/>
                <w:szCs w:val="20"/>
              </w:rPr>
              <w:t>IKP fakts pēc CSP datu revīzijas 30.09.2023</w:t>
            </w:r>
          </w:p>
        </w:tc>
        <w:tc>
          <w:tcPr>
            <w:tcW w:w="606"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71459144" w14:textId="77777777" w:rsidR="0070161D" w:rsidRPr="00FD1578" w:rsidRDefault="0070161D" w:rsidP="008349F0">
            <w:pPr>
              <w:spacing w:after="0"/>
              <w:ind w:firstLine="0"/>
              <w:jc w:val="center"/>
              <w:rPr>
                <w:rFonts w:eastAsia="Calibri" w:cs="Times New Roman"/>
                <w:sz w:val="18"/>
                <w:szCs w:val="20"/>
              </w:rPr>
            </w:pPr>
            <w:r w:rsidRPr="00FD1578">
              <w:rPr>
                <w:rFonts w:eastAsia="Calibri" w:cs="Times New Roman"/>
                <w:sz w:val="18"/>
                <w:szCs w:val="20"/>
              </w:rPr>
              <w:t>2,0</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14E2D691"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1,9</w:t>
            </w:r>
          </w:p>
        </w:tc>
        <w:tc>
          <w:tcPr>
            <w:tcW w:w="607"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5D4E2BB3"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3,9</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1AEF669E"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2,4</w:t>
            </w:r>
          </w:p>
        </w:tc>
        <w:tc>
          <w:tcPr>
            <w:tcW w:w="607"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6D408726"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3,3</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5F8DAF25"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4,0</w:t>
            </w:r>
          </w:p>
        </w:tc>
        <w:tc>
          <w:tcPr>
            <w:tcW w:w="607"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5984FF79"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0,6</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5E49A769"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-3,5</w:t>
            </w:r>
          </w:p>
        </w:tc>
        <w:tc>
          <w:tcPr>
            <w:tcW w:w="608" w:type="dxa"/>
            <w:tcBorders>
              <w:top w:val="single" w:sz="4" w:space="0" w:color="auto"/>
              <w:left w:val="single" w:sz="4" w:space="0" w:color="auto"/>
              <w:bottom w:val="single" w:sz="4" w:space="0" w:color="auto"/>
              <w:right w:val="single" w:sz="4" w:space="0" w:color="auto"/>
            </w:tcBorders>
            <w:noWrap/>
            <w:tcMar>
              <w:top w:w="0" w:type="dxa"/>
              <w:left w:w="57" w:type="dxa"/>
              <w:bottom w:w="0" w:type="dxa"/>
              <w:right w:w="113" w:type="dxa"/>
            </w:tcMar>
            <w:vAlign w:val="center"/>
            <w:hideMark/>
          </w:tcPr>
          <w:p w14:paraId="4AA85AE9"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6,7</w:t>
            </w:r>
          </w:p>
        </w:tc>
        <w:tc>
          <w:tcPr>
            <w:tcW w:w="602" w:type="dxa"/>
            <w:tcBorders>
              <w:top w:val="single" w:sz="4" w:space="0" w:color="auto"/>
              <w:left w:val="single" w:sz="4" w:space="0" w:color="auto"/>
              <w:bottom w:val="single" w:sz="4" w:space="0" w:color="auto"/>
              <w:right w:val="single" w:sz="4" w:space="0" w:color="auto"/>
            </w:tcBorders>
            <w:vAlign w:val="center"/>
            <w:hideMark/>
          </w:tcPr>
          <w:p w14:paraId="37B46879"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3,0</w:t>
            </w:r>
          </w:p>
        </w:tc>
        <w:tc>
          <w:tcPr>
            <w:tcW w:w="602" w:type="dxa"/>
            <w:tcBorders>
              <w:top w:val="single" w:sz="4" w:space="0" w:color="auto"/>
              <w:left w:val="single" w:sz="4" w:space="0" w:color="auto"/>
              <w:bottom w:val="single" w:sz="4" w:space="0" w:color="auto"/>
              <w:right w:val="single" w:sz="4" w:space="0" w:color="auto"/>
            </w:tcBorders>
            <w:vAlign w:val="center"/>
            <w:hideMark/>
          </w:tcPr>
          <w:p w14:paraId="1F18BCE8" w14:textId="77777777" w:rsidR="0070161D" w:rsidRPr="00FD1578" w:rsidRDefault="0070161D" w:rsidP="008349F0">
            <w:pPr>
              <w:spacing w:after="0"/>
              <w:ind w:firstLine="0"/>
              <w:jc w:val="center"/>
              <w:rPr>
                <w:rFonts w:eastAsia="Calibri" w:cs="Times New Roman"/>
                <w:sz w:val="18"/>
                <w:szCs w:val="20"/>
              </w:rPr>
            </w:pPr>
            <w:r w:rsidRPr="00FD1578">
              <w:rPr>
                <w:rFonts w:eastAsia="Times New Roman" w:cs="Times New Roman"/>
                <w:sz w:val="18"/>
                <w:szCs w:val="20"/>
              </w:rPr>
              <w:t>-0,3</w:t>
            </w:r>
          </w:p>
        </w:tc>
      </w:tr>
    </w:tbl>
    <w:p w14:paraId="78B9D61A" w14:textId="77777777" w:rsidR="0070161D" w:rsidRPr="00FD1578" w:rsidRDefault="0070161D" w:rsidP="008349F0">
      <w:pPr>
        <w:spacing w:before="120"/>
        <w:rPr>
          <w:rFonts w:eastAsia="Calibri" w:cs="Times New Roman"/>
        </w:rPr>
      </w:pPr>
      <w:r w:rsidRPr="00FD1578">
        <w:rPr>
          <w:rFonts w:eastAsia="Calibri" w:cs="Times New Roman"/>
        </w:rPr>
        <w:t xml:space="preserve">Pēdējos piecos gados būtiskākā ietekme uz prognožu novirzi ir krājumu izmaiņām, kas ir neprognozējamas. Īpaši liels to devums IKP izaugsmē bija 2021. gadā jeb 4,6 </w:t>
      </w:r>
      <w:proofErr w:type="spellStart"/>
      <w:r w:rsidRPr="00FD1578">
        <w:rPr>
          <w:rFonts w:eastAsia="Calibri" w:cs="Times New Roman"/>
        </w:rPr>
        <w:t>pp</w:t>
      </w:r>
      <w:proofErr w:type="spellEnd"/>
      <w:r w:rsidRPr="00FD1578">
        <w:rPr>
          <w:rFonts w:eastAsia="Calibri" w:cs="Times New Roman"/>
        </w:rPr>
        <w:t xml:space="preserve"> (sk. 1.28. att.). CSP krājumu izmaiņās iekļauj ekonomiskajai darbībai nepieciešamos uzkrājumus, kā arī statistisko novirzi, kas rodas no IKP kontu balansēšanas no ražošanas un izlietojuma puses. Tieši statistiskā novirze ir galvenais nezināmais, kas ietekmē prognozes un kuru nav iespējams racionāli prognozēt. Tāpēc prognozēs tiek pieņemts, ka tai nav ietekme uz IKP pieauguma tempiem, kas ir arī vispārpieņemta prognozēšanas prakse.</w:t>
      </w:r>
    </w:p>
    <w:p w14:paraId="0C579BEF" w14:textId="77777777" w:rsidR="0070161D" w:rsidRPr="00FD1578" w:rsidRDefault="0070161D" w:rsidP="008349F0">
      <w:pPr>
        <w:rPr>
          <w:rFonts w:eastAsia="Calibri" w:cs="Times New Roman"/>
        </w:rPr>
      </w:pPr>
      <w:r w:rsidRPr="00FD1578">
        <w:rPr>
          <w:rFonts w:eastAsia="Calibri" w:cs="Times New Roman"/>
        </w:rPr>
        <w:lastRenderedPageBreak/>
        <w:t>Krājumu izmaiņas ir saistītas ar starpproduktu, tāpēc tās ietekmē importu. Saskaņā ar FM makroekonomisko modeli, šī novirze atspoguļojas neto eksportā un investīcijās bruto pamatkapitālā. Tas saistīts ar to, ka, saņemot detalizētāku informāciju, CSP daļu no krājumiem pārkvalificē par investīcijām bruto pamatkapitālā.</w:t>
      </w:r>
    </w:p>
    <w:p w14:paraId="1805D64D" w14:textId="77777777" w:rsidR="0070161D" w:rsidRPr="00FD1578" w:rsidRDefault="0070161D" w:rsidP="008349F0">
      <w:pPr>
        <w:ind w:firstLine="0"/>
        <w:jc w:val="center"/>
        <w:rPr>
          <w:rFonts w:eastAsia="Times New Roman" w:cs="Times New Roman"/>
        </w:rPr>
      </w:pPr>
      <w:r w:rsidRPr="00FD1578">
        <w:rPr>
          <w:rFonts w:eastAsia="Calibri" w:cs="Times New Roman"/>
          <w:noProof/>
        </w:rPr>
        <w:drawing>
          <wp:inline distT="0" distB="0" distL="0" distR="0" wp14:anchorId="4CF025B6" wp14:editId="33E3A0C4">
            <wp:extent cx="5759450" cy="2514600"/>
            <wp:effectExtent l="0" t="0" r="0" b="0"/>
            <wp:docPr id="30" name="Chart 22">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2FAFD79" w14:textId="77777777" w:rsidR="0070161D" w:rsidRPr="00FD1578" w:rsidRDefault="0070161D" w:rsidP="008349F0">
      <w:pPr>
        <w:spacing w:after="240"/>
        <w:ind w:firstLine="0"/>
        <w:jc w:val="center"/>
        <w:rPr>
          <w:rFonts w:eastAsia="Times New Roman" w:cs="Times New Roman"/>
          <w:b/>
          <w:bCs/>
          <w:i/>
          <w:iCs/>
        </w:rPr>
      </w:pPr>
      <w:r w:rsidRPr="00FD1578">
        <w:rPr>
          <w:rFonts w:eastAsia="Times New Roman" w:cs="Times New Roman"/>
          <w:b/>
          <w:bCs/>
          <w:i/>
          <w:iCs/>
        </w:rPr>
        <w:t>1.28. att. IKP salīdzināmās cenās faktiskā izaugsmes un attiecīgā gada gadskārtējā</w:t>
      </w:r>
      <w:r w:rsidRPr="00FD1578">
        <w:rPr>
          <w:rFonts w:eastAsia="Times New Roman" w:cs="Times New Roman"/>
          <w:i/>
          <w:iCs/>
        </w:rPr>
        <w:t xml:space="preserve"> </w:t>
      </w:r>
      <w:r w:rsidRPr="00FD1578">
        <w:rPr>
          <w:rFonts w:eastAsia="Times New Roman" w:cs="Times New Roman"/>
          <w:b/>
          <w:bCs/>
          <w:i/>
          <w:iCs/>
        </w:rPr>
        <w:t xml:space="preserve">valsts budžeta likumā iekļautās IKP izaugsmes prognozes starpība pa IKP komponentēm, </w:t>
      </w:r>
      <w:proofErr w:type="spellStart"/>
      <w:r w:rsidRPr="00FD1578">
        <w:rPr>
          <w:rFonts w:eastAsia="Times New Roman" w:cs="Times New Roman"/>
          <w:b/>
          <w:bCs/>
          <w:i/>
          <w:iCs/>
        </w:rPr>
        <w:t>pp</w:t>
      </w:r>
      <w:proofErr w:type="spellEnd"/>
    </w:p>
    <w:p w14:paraId="61DAD8F5" w14:textId="77777777" w:rsidR="0070161D" w:rsidRPr="00FD1578" w:rsidRDefault="0070161D" w:rsidP="008349F0">
      <w:pPr>
        <w:rPr>
          <w:rFonts w:eastAsia="Times New Roman" w:cs="Times New Roman"/>
        </w:rPr>
      </w:pPr>
      <w:r w:rsidRPr="00FD1578">
        <w:rPr>
          <w:rFonts w:eastAsia="Calibri" w:cs="Times New Roman"/>
        </w:rPr>
        <w:t>Jāatzīmē, ka kopš 2013. gada IKP prognožu atšķirība no faktiskajiem datiem ir samazinājusies, un nav novērotas sistemātiskas novirzes ne pozitīvā, ne negatīvā virzienā. Izņēmums ir tikai 2020. gads, kad galvenais iemesls bija neparedzamas strukturālas izmaiņas ekonomikā. Pēdējos divos gados vislielākās prognožu kļūdas radās no nenoteiktības, ko izraisīja globālā Covid</w:t>
      </w:r>
      <w:r w:rsidRPr="00FD1578">
        <w:rPr>
          <w:rFonts w:eastAsia="Calibri" w:cs="Times New Roman"/>
        </w:rPr>
        <w:noBreakHyphen/>
        <w:t>19 izplatības ierobežošanas pasākumi 2020. un 2021. gadā. Šī bija pilnīgi jauna ekonomiskā situācija, kas apgrūtināja precīzu iedzīvotāju un uzņēmēju rīcības prognozēšanu. Vienlaikus tā radīja jaunas iespējas, pārveidojot ekonomiku jaunām realitātēm. Tādēļ 2020. gada IKP izaugsmes prognozē bija vislielākā atšķirība no faktiskajiem datiem.</w:t>
      </w:r>
    </w:p>
    <w:p w14:paraId="42690732" w14:textId="665BDAA3" w:rsidR="00C3141A" w:rsidRPr="00FD1578" w:rsidRDefault="00117F48" w:rsidP="008349F0">
      <w:pPr>
        <w:spacing w:after="0"/>
        <w:ind w:firstLine="0"/>
        <w:jc w:val="left"/>
        <w:rPr>
          <w:rFonts w:eastAsia="Calibri" w:cs="Arial"/>
          <w:szCs w:val="24"/>
          <w:highlight w:val="lightGray"/>
          <w:lang w:eastAsia="en-US"/>
        </w:rPr>
      </w:pPr>
      <w:r w:rsidRPr="00FD1578">
        <w:rPr>
          <w:rFonts w:eastAsia="Calibri" w:cs="Arial"/>
          <w:szCs w:val="24"/>
          <w:highlight w:val="lightGray"/>
          <w:lang w:eastAsia="en-US"/>
        </w:rPr>
        <w:br w:type="page"/>
      </w:r>
    </w:p>
    <w:p w14:paraId="469F5C92" w14:textId="752BA0E7" w:rsidR="00FB5161" w:rsidRPr="00FD1578" w:rsidRDefault="000548A5" w:rsidP="008349F0">
      <w:pPr>
        <w:pStyle w:val="Heading1"/>
        <w:numPr>
          <w:ilvl w:val="0"/>
          <w:numId w:val="12"/>
        </w:numPr>
        <w:spacing w:after="240"/>
      </w:pPr>
      <w:bookmarkStart w:id="41" w:name="_Toc179356079"/>
      <w:r w:rsidRPr="00FD1578">
        <w:lastRenderedPageBreak/>
        <w:t>Fiskālā politika</w:t>
      </w:r>
      <w:bookmarkEnd w:id="41"/>
    </w:p>
    <w:p w14:paraId="290BDE09" w14:textId="6134A26B" w:rsidR="00843D06" w:rsidRPr="00FD1578" w:rsidRDefault="00557435" w:rsidP="008349F0">
      <w:pPr>
        <w:spacing w:before="120"/>
        <w:rPr>
          <w:rFonts w:eastAsia="Times New Roman" w:cs="Times New Roman"/>
          <w:szCs w:val="24"/>
        </w:rPr>
      </w:pPr>
      <w:r w:rsidRPr="00FD1578">
        <w:rPr>
          <w:rFonts w:eastAsia="Times New Roman" w:cs="Times New Roman"/>
          <w:szCs w:val="24"/>
        </w:rPr>
        <w:t>Likumprojekts “Par valsts budžetu 202</w:t>
      </w:r>
      <w:r w:rsidR="001D0033" w:rsidRPr="00FD1578">
        <w:rPr>
          <w:rFonts w:eastAsia="Times New Roman" w:cs="Times New Roman"/>
          <w:szCs w:val="24"/>
        </w:rPr>
        <w:t>5</w:t>
      </w:r>
      <w:r w:rsidRPr="00FD1578">
        <w:rPr>
          <w:rFonts w:eastAsia="Times New Roman" w:cs="Times New Roman"/>
          <w:szCs w:val="24"/>
        </w:rPr>
        <w:t>.</w:t>
      </w:r>
      <w:r w:rsidR="003C02EC" w:rsidRPr="00FD1578">
        <w:rPr>
          <w:rFonts w:eastAsia="Times New Roman" w:cs="Times New Roman"/>
          <w:szCs w:val="24"/>
        </w:rPr>
        <w:t xml:space="preserve"> </w:t>
      </w:r>
      <w:r w:rsidRPr="00FD1578">
        <w:rPr>
          <w:rFonts w:eastAsia="Times New Roman" w:cs="Times New Roman"/>
          <w:szCs w:val="24"/>
        </w:rPr>
        <w:t>gadam un budžeta ietvaru 202</w:t>
      </w:r>
      <w:r w:rsidR="001D0033" w:rsidRPr="00FD1578">
        <w:rPr>
          <w:rFonts w:eastAsia="Times New Roman" w:cs="Times New Roman"/>
          <w:szCs w:val="24"/>
        </w:rPr>
        <w:t>5</w:t>
      </w:r>
      <w:r w:rsidRPr="00FD1578">
        <w:rPr>
          <w:rFonts w:eastAsia="Times New Roman" w:cs="Times New Roman"/>
          <w:szCs w:val="24"/>
        </w:rPr>
        <w:t>., 202</w:t>
      </w:r>
      <w:r w:rsidR="001D0033" w:rsidRPr="00FD1578">
        <w:rPr>
          <w:rFonts w:eastAsia="Times New Roman" w:cs="Times New Roman"/>
          <w:szCs w:val="24"/>
        </w:rPr>
        <w:t>6</w:t>
      </w:r>
      <w:r w:rsidRPr="00FD1578">
        <w:rPr>
          <w:rFonts w:eastAsia="Times New Roman" w:cs="Times New Roman"/>
          <w:szCs w:val="24"/>
        </w:rPr>
        <w:t>. un 202</w:t>
      </w:r>
      <w:r w:rsidR="001D0033" w:rsidRPr="00FD1578">
        <w:rPr>
          <w:rFonts w:eastAsia="Times New Roman" w:cs="Times New Roman"/>
          <w:szCs w:val="24"/>
        </w:rPr>
        <w:t>7</w:t>
      </w:r>
      <w:r w:rsidRPr="00FD1578">
        <w:rPr>
          <w:rFonts w:eastAsia="Times New Roman" w:cs="Times New Roman"/>
          <w:szCs w:val="24"/>
        </w:rPr>
        <w:t>.</w:t>
      </w:r>
      <w:r w:rsidR="003C02EC" w:rsidRPr="00FD1578">
        <w:rPr>
          <w:rFonts w:eastAsia="Times New Roman" w:cs="Times New Roman"/>
          <w:szCs w:val="24"/>
        </w:rPr>
        <w:t xml:space="preserve"> </w:t>
      </w:r>
      <w:r w:rsidRPr="00FD1578">
        <w:rPr>
          <w:rFonts w:eastAsia="Times New Roman" w:cs="Times New Roman"/>
          <w:szCs w:val="24"/>
        </w:rPr>
        <w:t>gad</w:t>
      </w:r>
      <w:r w:rsidR="00FB434A" w:rsidRPr="00FD1578">
        <w:rPr>
          <w:rFonts w:eastAsia="Times New Roman" w:cs="Times New Roman"/>
          <w:szCs w:val="24"/>
        </w:rPr>
        <w:t>am</w:t>
      </w:r>
      <w:r w:rsidRPr="00FD1578">
        <w:rPr>
          <w:rFonts w:eastAsia="Times New Roman" w:cs="Times New Roman"/>
          <w:szCs w:val="24"/>
        </w:rPr>
        <w:t xml:space="preserve">” tiek sagatavots laikā, kad </w:t>
      </w:r>
      <w:bookmarkStart w:id="42" w:name="_Hlk148513566"/>
      <w:r w:rsidR="001D0033" w:rsidRPr="00FD1578">
        <w:rPr>
          <w:rFonts w:eastAsia="Times New Roman" w:cs="Times New Roman"/>
          <w:szCs w:val="24"/>
        </w:rPr>
        <w:t>Eiropā joprojām notiek karš, papildus tam ir</w:t>
      </w:r>
      <w:r w:rsidR="001D0033" w:rsidRPr="00FD1578">
        <w:rPr>
          <w:rFonts w:eastAsia="Aptos" w:cs="Times New Roman"/>
          <w:kern w:val="2"/>
          <w:szCs w:val="24"/>
          <w14:ligatures w14:val="standardContextual"/>
        </w:rPr>
        <w:t xml:space="preserve"> </w:t>
      </w:r>
      <w:proofErr w:type="spellStart"/>
      <w:r w:rsidR="001D0033" w:rsidRPr="00FD1578">
        <w:rPr>
          <w:rFonts w:eastAsia="Aptos" w:cs="Times New Roman"/>
          <w:kern w:val="2"/>
          <w:szCs w:val="24"/>
          <w14:ligatures w14:val="standardContextual"/>
        </w:rPr>
        <w:t>eskalējusies</w:t>
      </w:r>
      <w:proofErr w:type="spellEnd"/>
      <w:r w:rsidR="001D0033" w:rsidRPr="00FD1578">
        <w:rPr>
          <w:rFonts w:eastAsia="Aptos" w:cs="Times New Roman"/>
          <w:kern w:val="2"/>
          <w:szCs w:val="24"/>
          <w14:ligatures w14:val="standardContextual"/>
        </w:rPr>
        <w:t xml:space="preserve"> </w:t>
      </w:r>
      <w:r w:rsidR="001D0033" w:rsidRPr="00FD1578">
        <w:rPr>
          <w:rFonts w:eastAsia="Times New Roman" w:cs="Times New Roman"/>
          <w:szCs w:val="24"/>
        </w:rPr>
        <w:t>ģeopolitiskā situācija Tuvajos Austrumos. Lai</w:t>
      </w:r>
      <w:r w:rsidR="00B13860" w:rsidRPr="00FD1578">
        <w:rPr>
          <w:rFonts w:eastAsia="Times New Roman" w:cs="Times New Roman"/>
          <w:szCs w:val="24"/>
        </w:rPr>
        <w:t xml:space="preserve"> gan</w:t>
      </w:r>
      <w:r w:rsidR="001D0033" w:rsidRPr="00FD1578">
        <w:rPr>
          <w:rFonts w:eastAsia="Times New Roman" w:cs="Times New Roman"/>
          <w:szCs w:val="24"/>
        </w:rPr>
        <w:t xml:space="preserve"> pieaugušās energoresursu cenas ir stabilizējušās</w:t>
      </w:r>
      <w:r w:rsidR="00843D06" w:rsidRPr="00FD1578">
        <w:rPr>
          <w:rFonts w:eastAsia="Times New Roman" w:cs="Times New Roman"/>
          <w:szCs w:val="24"/>
        </w:rPr>
        <w:t xml:space="preserve"> un </w:t>
      </w:r>
      <w:r w:rsidR="001D0033" w:rsidRPr="00FD1578">
        <w:rPr>
          <w:rFonts w:eastAsia="Times New Roman" w:cs="Times New Roman"/>
          <w:szCs w:val="24"/>
        </w:rPr>
        <w:t>Latvijas ekonomika samērā veiksmīgi pielāgojas izaicinājumiem,</w:t>
      </w:r>
      <w:r w:rsidR="00470365" w:rsidRPr="00FD1578">
        <w:rPr>
          <w:rFonts w:eastAsia="Times New Roman" w:cs="Times New Roman"/>
          <w:szCs w:val="24"/>
        </w:rPr>
        <w:t xml:space="preserve"> tomēr</w:t>
      </w:r>
      <w:r w:rsidR="001D0033" w:rsidRPr="00FD1578">
        <w:rPr>
          <w:rFonts w:eastAsia="Times New Roman" w:cs="Times New Roman"/>
          <w:szCs w:val="24"/>
        </w:rPr>
        <w:t xml:space="preserve"> </w:t>
      </w:r>
      <w:r w:rsidR="00843D06" w:rsidRPr="00FD1578">
        <w:rPr>
          <w:rFonts w:eastAsia="Times New Roman" w:cs="Times New Roman"/>
          <w:szCs w:val="24"/>
        </w:rPr>
        <w:t xml:space="preserve">stabilu ekonomikas izaugsmi </w:t>
      </w:r>
      <w:r w:rsidR="001D0033" w:rsidRPr="00FD1578">
        <w:rPr>
          <w:rFonts w:eastAsia="Times New Roman" w:cs="Times New Roman"/>
          <w:szCs w:val="24"/>
        </w:rPr>
        <w:t xml:space="preserve">vidējā termiņā var sagaidīt pie nosacījuma, ka turpinās pieaugt pieprasījums ārējā tirgū, </w:t>
      </w:r>
      <w:r w:rsidR="00932833">
        <w:rPr>
          <w:rFonts w:eastAsia="Times New Roman" w:cs="Times New Roman"/>
          <w:szCs w:val="24"/>
        </w:rPr>
        <w:t>inflācija saglabāsies mērenā līmenī</w:t>
      </w:r>
      <w:r w:rsidR="001D0033" w:rsidRPr="00FD1578">
        <w:rPr>
          <w:rFonts w:eastAsia="Times New Roman" w:cs="Times New Roman"/>
          <w:szCs w:val="24"/>
        </w:rPr>
        <w:t xml:space="preserve"> un </w:t>
      </w:r>
      <w:r w:rsidR="00843D06" w:rsidRPr="00FD1578">
        <w:rPr>
          <w:rFonts w:eastAsia="Times New Roman" w:cs="Times New Roman"/>
          <w:szCs w:val="24"/>
        </w:rPr>
        <w:t xml:space="preserve">turpināsies </w:t>
      </w:r>
      <w:r w:rsidR="001D0033" w:rsidRPr="00FD1578">
        <w:rPr>
          <w:rFonts w:eastAsia="Times New Roman" w:cs="Times New Roman"/>
          <w:szCs w:val="24"/>
        </w:rPr>
        <w:t xml:space="preserve">procentu likmju pazemināšana, kas labvēlīgi ietekmēs ne tikai publiskās finanses, bet arī Latvijas ekonomiku kopumā. Vienlaicīgi saglabājas ļoti augsta nenoteiktība un ārējie riski. </w:t>
      </w:r>
      <w:bookmarkEnd w:id="42"/>
    </w:p>
    <w:p w14:paraId="149C6F07" w14:textId="5D5EA047" w:rsidR="00742935" w:rsidRPr="00FD1578" w:rsidRDefault="00470365" w:rsidP="008349F0">
      <w:pPr>
        <w:rPr>
          <w:color w:val="000000" w:themeColor="text1"/>
          <w:szCs w:val="24"/>
        </w:rPr>
      </w:pPr>
      <w:bookmarkStart w:id="43" w:name="_Hlk148513748"/>
      <w:r w:rsidRPr="00FD1578">
        <w:rPr>
          <w:rFonts w:eastAsia="Times New Roman" w:cs="Times New Roman"/>
          <w:szCs w:val="24"/>
        </w:rPr>
        <w:t xml:space="preserve">2024. gadā tika atjaunota ES fiskālo noteikumu piemērošana, pārtraucot ES vispārējās izņēmuma klauzulas darbību, kas </w:t>
      </w:r>
      <w:r w:rsidR="000433EF" w:rsidRPr="00FD1578">
        <w:rPr>
          <w:rFonts w:eastAsia="Times New Roman" w:cs="Times New Roman"/>
          <w:szCs w:val="24"/>
        </w:rPr>
        <w:t xml:space="preserve">noteiktās situācijās </w:t>
      </w:r>
      <w:r w:rsidRPr="00FD1578">
        <w:rPr>
          <w:rFonts w:eastAsia="Times New Roman" w:cs="Times New Roman"/>
          <w:szCs w:val="24"/>
        </w:rPr>
        <w:t xml:space="preserve">nozīmē </w:t>
      </w:r>
      <w:r w:rsidR="000433EF" w:rsidRPr="00FD1578">
        <w:rPr>
          <w:rFonts w:eastAsia="Times New Roman" w:cs="Times New Roman"/>
          <w:szCs w:val="24"/>
        </w:rPr>
        <w:t xml:space="preserve">arī </w:t>
      </w:r>
      <w:r w:rsidRPr="00FD1578">
        <w:rPr>
          <w:rFonts w:eastAsia="Times New Roman" w:cs="Times New Roman"/>
          <w:szCs w:val="24"/>
        </w:rPr>
        <w:t>pārmērīga budžeta deficīta novēršanas procedūras ierosināšanu</w:t>
      </w:r>
      <w:r w:rsidR="00934EB9" w:rsidRPr="00FD1578">
        <w:rPr>
          <w:rFonts w:eastAsia="Times New Roman" w:cs="Times New Roman"/>
          <w:szCs w:val="24"/>
        </w:rPr>
        <w:t xml:space="preserve"> </w:t>
      </w:r>
      <w:r w:rsidRPr="00FD1578">
        <w:rPr>
          <w:rFonts w:eastAsia="Times New Roman" w:cs="Times New Roman"/>
          <w:szCs w:val="24"/>
        </w:rPr>
        <w:t xml:space="preserve">saskaņā ar spēkā esošajiem ES tiesību aktiem. Turklāt 2024. gada 30. aprīlī stājās spēkā ES ekonomikas pārvaldības ietvara reformas </w:t>
      </w:r>
      <w:proofErr w:type="spellStart"/>
      <w:r w:rsidRPr="00FD1578">
        <w:rPr>
          <w:rFonts w:eastAsia="Times New Roman" w:cs="Times New Roman"/>
          <w:szCs w:val="24"/>
        </w:rPr>
        <w:t>pakotne</w:t>
      </w:r>
      <w:proofErr w:type="spellEnd"/>
      <w:r w:rsidRPr="00FD1578">
        <w:rPr>
          <w:rFonts w:eastAsia="Times New Roman" w:cs="Times New Roman"/>
          <w:szCs w:val="24"/>
          <w:vertAlign w:val="superscript"/>
        </w:rPr>
        <w:footnoteReference w:id="8"/>
      </w:r>
      <w:r w:rsidRPr="00FD1578">
        <w:rPr>
          <w:rFonts w:eastAsia="Times New Roman" w:cs="Times New Roman"/>
          <w:szCs w:val="24"/>
        </w:rPr>
        <w:t xml:space="preserve"> (jaunie ES fiskālie noteikumi)</w:t>
      </w:r>
      <w:r w:rsidR="00937482" w:rsidRPr="00FD1578">
        <w:rPr>
          <w:rFonts w:eastAsia="Times New Roman" w:cs="Times New Roman"/>
          <w:szCs w:val="24"/>
        </w:rPr>
        <w:t xml:space="preserve"> un atbilstoši šim regulējumam ES dalībvalstīm vienu reizi četros vai piecos gados aprīlī jāsagatavo vidēja termiņa Fiskāli strukturālais plāns, kas aizstāj ikgadējo Stabilitātes programmu un Nacionālo reformu programmu, un kurā jānosaka fiskālā trajektorija. Fiskālā trajektorija ir noteikts pieļaujamais valsts finansēto neto primāro izdevumu</w:t>
      </w:r>
      <w:r w:rsidR="00937482" w:rsidRPr="00FD1578">
        <w:rPr>
          <w:rFonts w:eastAsia="Times New Roman" w:cs="Times New Roman"/>
          <w:szCs w:val="24"/>
          <w:vertAlign w:val="superscript"/>
        </w:rPr>
        <w:footnoteReference w:id="9"/>
      </w:r>
      <w:r w:rsidR="00937482" w:rsidRPr="00FD1578">
        <w:rPr>
          <w:rFonts w:eastAsia="Times New Roman" w:cs="Times New Roman"/>
          <w:szCs w:val="24"/>
        </w:rPr>
        <w:t xml:space="preserve"> pieauguma līmenis. </w:t>
      </w:r>
      <w:r w:rsidR="00742935" w:rsidRPr="00FD1578">
        <w:rPr>
          <w:color w:val="000000" w:themeColor="text1"/>
          <w:szCs w:val="24"/>
        </w:rPr>
        <w:t xml:space="preserve">Fiskālā trajektorija </w:t>
      </w:r>
      <w:r w:rsidR="000433EF" w:rsidRPr="00FD1578">
        <w:rPr>
          <w:color w:val="000000" w:themeColor="text1"/>
          <w:szCs w:val="24"/>
        </w:rPr>
        <w:t>jānosaka</w:t>
      </w:r>
      <w:r w:rsidR="00EE40B6">
        <w:rPr>
          <w:color w:val="000000" w:themeColor="text1"/>
          <w:szCs w:val="24"/>
        </w:rPr>
        <w:t xml:space="preserve"> </w:t>
      </w:r>
      <w:r w:rsidR="00742935" w:rsidRPr="00FD1578">
        <w:rPr>
          <w:color w:val="000000" w:themeColor="text1"/>
          <w:szCs w:val="24"/>
        </w:rPr>
        <w:t>tādā veidā, lai gan Fiskāli strukturālā plāna darbības laikā, gan 10 gadus pēc tā, prognozētais vispārējās valdības budžeta deficīts un parāds nepārsniedz 3% un 60% no IKP attiecīgi.</w:t>
      </w:r>
    </w:p>
    <w:p w14:paraId="6AD18E3D" w14:textId="24679DBF" w:rsidR="00742935" w:rsidRPr="00FD1578" w:rsidRDefault="00742935" w:rsidP="008349F0">
      <w:pPr>
        <w:rPr>
          <w:color w:val="000000" w:themeColor="text1"/>
          <w:szCs w:val="24"/>
          <w:highlight w:val="yellow"/>
        </w:rPr>
      </w:pPr>
      <w:r w:rsidRPr="00FD1578">
        <w:rPr>
          <w:color w:val="000000" w:themeColor="text1"/>
          <w:szCs w:val="24"/>
        </w:rPr>
        <w:t xml:space="preserve">Saskaņā ar Eiropas Parlamenta un Padomes 2024. gada 29. aprīļa Regulas (ES) 2024/1263 par ekonomikas politikas efektīvu koordināciju un budžeta daudzpusēju uzraudzību un ar ko atceļ Padomes Regulu (EK) Nr. 1466/97 </w:t>
      </w:r>
      <w:r w:rsidRPr="00FD1578">
        <w:rPr>
          <w:rFonts w:eastAsia="Times New Roman" w:cs="Times New Roman"/>
          <w:szCs w:val="24"/>
        </w:rPr>
        <w:t>(turpmāk – Regula)</w:t>
      </w:r>
      <w:r w:rsidRPr="00FD1578">
        <w:rPr>
          <w:color w:val="000000" w:themeColor="text1"/>
          <w:szCs w:val="24"/>
        </w:rPr>
        <w:t xml:space="preserve"> 36. pantu dalībvalst</w:t>
      </w:r>
      <w:r w:rsidR="000433EF" w:rsidRPr="00FD1578">
        <w:rPr>
          <w:color w:val="000000" w:themeColor="text1"/>
          <w:szCs w:val="24"/>
        </w:rPr>
        <w:t>īm</w:t>
      </w:r>
      <w:r w:rsidRPr="00FD1578">
        <w:rPr>
          <w:color w:val="000000" w:themeColor="text1"/>
          <w:szCs w:val="24"/>
        </w:rPr>
        <w:t xml:space="preserve"> </w:t>
      </w:r>
      <w:r w:rsidR="000433EF" w:rsidRPr="00FD1578">
        <w:rPr>
          <w:color w:val="000000" w:themeColor="text1"/>
          <w:szCs w:val="24"/>
        </w:rPr>
        <w:t>bija jā</w:t>
      </w:r>
      <w:r w:rsidRPr="00FD1578">
        <w:rPr>
          <w:color w:val="000000" w:themeColor="text1"/>
          <w:szCs w:val="24"/>
        </w:rPr>
        <w:t>iesnie</w:t>
      </w:r>
      <w:r w:rsidR="000433EF" w:rsidRPr="00FD1578">
        <w:rPr>
          <w:color w:val="000000" w:themeColor="text1"/>
          <w:szCs w:val="24"/>
        </w:rPr>
        <w:t>dz</w:t>
      </w:r>
      <w:r w:rsidRPr="00FD1578">
        <w:rPr>
          <w:color w:val="000000" w:themeColor="text1"/>
          <w:szCs w:val="24"/>
        </w:rPr>
        <w:t xml:space="preserve"> sav</w:t>
      </w:r>
      <w:r w:rsidR="000433EF" w:rsidRPr="00FD1578">
        <w:rPr>
          <w:color w:val="000000" w:themeColor="text1"/>
          <w:szCs w:val="24"/>
        </w:rPr>
        <w:t>i</w:t>
      </w:r>
      <w:r w:rsidRPr="00FD1578">
        <w:rPr>
          <w:color w:val="000000" w:themeColor="text1"/>
          <w:szCs w:val="24"/>
        </w:rPr>
        <w:t xml:space="preserve"> pirm</w:t>
      </w:r>
      <w:r w:rsidR="000433EF" w:rsidRPr="00FD1578">
        <w:rPr>
          <w:color w:val="000000" w:themeColor="text1"/>
          <w:szCs w:val="24"/>
        </w:rPr>
        <w:t>ie</w:t>
      </w:r>
      <w:r w:rsidRPr="00FD1578">
        <w:rPr>
          <w:color w:val="000000" w:themeColor="text1"/>
          <w:szCs w:val="24"/>
        </w:rPr>
        <w:t xml:space="preserve"> vidēja termiņa fiskāli strukturāl</w:t>
      </w:r>
      <w:r w:rsidR="000433EF" w:rsidRPr="00FD1578">
        <w:rPr>
          <w:color w:val="000000" w:themeColor="text1"/>
          <w:szCs w:val="24"/>
        </w:rPr>
        <w:t>ie</w:t>
      </w:r>
      <w:r w:rsidRPr="00FD1578">
        <w:rPr>
          <w:color w:val="000000" w:themeColor="text1"/>
          <w:szCs w:val="24"/>
        </w:rPr>
        <w:t xml:space="preserve"> plān</w:t>
      </w:r>
      <w:r w:rsidR="000433EF" w:rsidRPr="00FD1578">
        <w:rPr>
          <w:color w:val="000000" w:themeColor="text1"/>
          <w:szCs w:val="24"/>
        </w:rPr>
        <w:t>i</w:t>
      </w:r>
      <w:r w:rsidRPr="00FD1578">
        <w:rPr>
          <w:color w:val="000000" w:themeColor="text1"/>
          <w:szCs w:val="24"/>
        </w:rPr>
        <w:t xml:space="preserve"> līdz 2024. gada 20. septembrim, ja vien dalībvalsts un EK nevienoj</w:t>
      </w:r>
      <w:r w:rsidR="000433EF" w:rsidRPr="00FD1578">
        <w:rPr>
          <w:color w:val="000000" w:themeColor="text1"/>
          <w:szCs w:val="24"/>
        </w:rPr>
        <w:t>ā</w:t>
      </w:r>
      <w:r w:rsidRPr="00FD1578">
        <w:rPr>
          <w:color w:val="000000" w:themeColor="text1"/>
          <w:szCs w:val="24"/>
        </w:rPr>
        <w:t>s pagarināt termiņu par saprātīgu laikposmu. Latvija</w:t>
      </w:r>
      <w:r w:rsidR="00B13860" w:rsidRPr="00FD1578">
        <w:rPr>
          <w:color w:val="000000" w:themeColor="text1"/>
          <w:szCs w:val="24"/>
        </w:rPr>
        <w:t>s</w:t>
      </w:r>
      <w:r w:rsidRPr="00FD1578">
        <w:rPr>
          <w:color w:val="000000" w:themeColor="text1"/>
          <w:szCs w:val="24"/>
        </w:rPr>
        <w:t xml:space="preserve"> Fiskāli strukturāl</w:t>
      </w:r>
      <w:r w:rsidR="00B13860" w:rsidRPr="00FD1578">
        <w:rPr>
          <w:color w:val="000000" w:themeColor="text1"/>
          <w:szCs w:val="24"/>
        </w:rPr>
        <w:t>ais</w:t>
      </w:r>
      <w:r w:rsidRPr="00FD1578">
        <w:rPr>
          <w:color w:val="000000" w:themeColor="text1"/>
          <w:szCs w:val="24"/>
        </w:rPr>
        <w:t xml:space="preserve"> plān</w:t>
      </w:r>
      <w:r w:rsidR="00B13860" w:rsidRPr="00FD1578">
        <w:rPr>
          <w:color w:val="000000" w:themeColor="text1"/>
          <w:szCs w:val="24"/>
        </w:rPr>
        <w:t>s</w:t>
      </w:r>
      <w:r w:rsidRPr="00FD1578">
        <w:rPr>
          <w:color w:val="000000" w:themeColor="text1"/>
          <w:szCs w:val="24"/>
        </w:rPr>
        <w:t xml:space="preserve"> 2025. – 2028. gadam </w:t>
      </w:r>
      <w:r w:rsidR="00B13860" w:rsidRPr="00FD1578">
        <w:rPr>
          <w:color w:val="000000" w:themeColor="text1"/>
          <w:szCs w:val="24"/>
        </w:rPr>
        <w:t xml:space="preserve">tika </w:t>
      </w:r>
      <w:r w:rsidRPr="00FD1578">
        <w:rPr>
          <w:color w:val="000000" w:themeColor="text1"/>
          <w:szCs w:val="24"/>
        </w:rPr>
        <w:t>sagatavo</w:t>
      </w:r>
      <w:r w:rsidR="00B13860" w:rsidRPr="00FD1578">
        <w:rPr>
          <w:color w:val="000000" w:themeColor="text1"/>
          <w:szCs w:val="24"/>
        </w:rPr>
        <w:t>ts</w:t>
      </w:r>
      <w:r w:rsidR="000433EF" w:rsidRPr="00FD1578">
        <w:rPr>
          <w:color w:val="000000" w:themeColor="text1"/>
          <w:szCs w:val="24"/>
        </w:rPr>
        <w:t xml:space="preserve"> </w:t>
      </w:r>
      <w:r w:rsidRPr="00FD1578">
        <w:rPr>
          <w:color w:val="000000" w:themeColor="text1"/>
          <w:szCs w:val="24"/>
        </w:rPr>
        <w:t>un iesnie</w:t>
      </w:r>
      <w:r w:rsidR="00B13860" w:rsidRPr="00FD1578">
        <w:rPr>
          <w:color w:val="000000" w:themeColor="text1"/>
          <w:szCs w:val="24"/>
        </w:rPr>
        <w:t>gts</w:t>
      </w:r>
      <w:r w:rsidRPr="00FD1578">
        <w:rPr>
          <w:color w:val="000000" w:themeColor="text1"/>
          <w:szCs w:val="24"/>
        </w:rPr>
        <w:t xml:space="preserve"> EK 2024. gada 15. oktobrī kopā ar Vispārējās valdības budžeta plāna projektu 2025. gadam</w:t>
      </w:r>
      <w:r w:rsidRPr="00FD1578">
        <w:rPr>
          <w:rStyle w:val="FootnoteReference"/>
          <w:color w:val="000000" w:themeColor="text1"/>
          <w:szCs w:val="24"/>
        </w:rPr>
        <w:footnoteReference w:id="10"/>
      </w:r>
      <w:r w:rsidRPr="00FD1578">
        <w:rPr>
          <w:color w:val="000000" w:themeColor="text1"/>
          <w:szCs w:val="24"/>
        </w:rPr>
        <w:t>.</w:t>
      </w:r>
    </w:p>
    <w:p w14:paraId="38F02F47" w14:textId="329D81DD" w:rsidR="00937482" w:rsidRPr="00FD1578" w:rsidRDefault="00937482" w:rsidP="008349F0">
      <w:pPr>
        <w:rPr>
          <w:rFonts w:eastAsia="Times New Roman" w:cs="Times New Roman"/>
          <w:szCs w:val="24"/>
        </w:rPr>
      </w:pPr>
      <w:r w:rsidRPr="00FD1578">
        <w:rPr>
          <w:rFonts w:eastAsia="Times New Roman" w:cs="Times New Roman"/>
          <w:szCs w:val="24"/>
        </w:rPr>
        <w:t xml:space="preserve">Fiskālā trajektorija ir jāievēro likumprojekta “Par valsts budžetu 2025. gadam un budžeta ietvaru 2025., 2026. un 2027. gadam” sagatavošanā, savukārt, novērtējot Latvijas iesniegto Vispārējās valdības budžeta plāna projektu 2025. gadam, EK pārbaudīs fiskālo rādītāju atbilstību Fiskāli strukturālā plāna ierobežojumiem. </w:t>
      </w:r>
      <w:r w:rsidR="003068F1" w:rsidRPr="003068F1">
        <w:rPr>
          <w:rFonts w:eastAsia="Times New Roman" w:cs="Times New Roman"/>
          <w:szCs w:val="24"/>
        </w:rPr>
        <w:t>Ņemot vērā, ka jaunajā ES ekonomikas pārvaldības modelī būtiska nozīme ir 2028. gadam, jo 2025.</w:t>
      </w:r>
      <w:r w:rsidR="003068F1">
        <w:rPr>
          <w:rFonts w:eastAsia="Times New Roman" w:cs="Times New Roman"/>
          <w:szCs w:val="24"/>
        </w:rPr>
        <w:t>,</w:t>
      </w:r>
      <w:r w:rsidR="003068F1" w:rsidRPr="003068F1">
        <w:rPr>
          <w:rFonts w:eastAsia="Times New Roman" w:cs="Times New Roman"/>
          <w:szCs w:val="24"/>
        </w:rPr>
        <w:t xml:space="preserve"> 2026.</w:t>
      </w:r>
      <w:r w:rsidR="003068F1">
        <w:rPr>
          <w:rFonts w:eastAsia="Times New Roman" w:cs="Times New Roman"/>
          <w:szCs w:val="24"/>
        </w:rPr>
        <w:t xml:space="preserve"> </w:t>
      </w:r>
      <w:r w:rsidR="003068F1" w:rsidRPr="003068F1">
        <w:rPr>
          <w:rFonts w:eastAsia="Times New Roman" w:cs="Times New Roman"/>
          <w:szCs w:val="24"/>
        </w:rPr>
        <w:t xml:space="preserve">un 2027. gada </w:t>
      </w:r>
      <w:r w:rsidR="003068F1" w:rsidRPr="003068F1">
        <w:rPr>
          <w:rFonts w:eastAsia="Times New Roman" w:cs="Times New Roman"/>
          <w:szCs w:val="24"/>
        </w:rPr>
        <w:lastRenderedPageBreak/>
        <w:t xml:space="preserve">fiskālie nosacījumi tiek aprēķināti pamatojoties uz 2028. gada mērķa rādītājiem, šajā nodaļā informatīvos nolūkos ir ietverti arī fiskālie rādītāji par 2028. gadu.   </w:t>
      </w:r>
    </w:p>
    <w:p w14:paraId="10FFA11B" w14:textId="54DC147A" w:rsidR="00934EB9" w:rsidRPr="00FD1578" w:rsidRDefault="00937482" w:rsidP="008349F0">
      <w:pPr>
        <w:rPr>
          <w:rFonts w:eastAsia="Times New Roman" w:cs="Times New Roman"/>
          <w:szCs w:val="24"/>
        </w:rPr>
      </w:pPr>
      <w:r w:rsidRPr="00FD1578">
        <w:rPr>
          <w:rFonts w:eastAsia="Times New Roman" w:cs="Times New Roman"/>
          <w:szCs w:val="24"/>
        </w:rPr>
        <w:t xml:space="preserve">Ņemot </w:t>
      </w:r>
      <w:r w:rsidR="00934EB9" w:rsidRPr="00FD1578">
        <w:rPr>
          <w:rFonts w:eastAsia="Times New Roman" w:cs="Times New Roman"/>
          <w:szCs w:val="24"/>
        </w:rPr>
        <w:t>vērā ES fiskālo noteikumu piemērošanas atjaunošanu, pasākumu, kas saskaņā ar Fiskālās politikas stratēģiju</w:t>
      </w:r>
      <w:r w:rsidR="00934EB9" w:rsidRPr="00FD1578">
        <w:rPr>
          <w:rStyle w:val="FootnoteReference"/>
          <w:rFonts w:eastAsia="Times New Roman" w:cs="Times New Roman"/>
          <w:szCs w:val="24"/>
        </w:rPr>
        <w:footnoteReference w:id="11"/>
      </w:r>
      <w:r w:rsidR="00934EB9" w:rsidRPr="00FD1578">
        <w:rPr>
          <w:rFonts w:eastAsia="Times New Roman" w:cs="Times New Roman"/>
          <w:szCs w:val="24"/>
        </w:rPr>
        <w:t xml:space="preserve"> tiek uzskatīti par vienreizējiem, finansēšana jāveic fiskālās disciplīnas noteikumu ietvaros, proti, tādā apmērā, lai nepieļautu vispārējās valdības budžeta deficīta 3% no IKP robežvērtības </w:t>
      </w:r>
      <w:r w:rsidRPr="00FD1578">
        <w:rPr>
          <w:rFonts w:eastAsia="Times New Roman" w:cs="Times New Roman"/>
          <w:szCs w:val="24"/>
        </w:rPr>
        <w:t xml:space="preserve">un fiskālās trajektorijas </w:t>
      </w:r>
      <w:r w:rsidR="00934EB9" w:rsidRPr="00FD1578">
        <w:rPr>
          <w:rFonts w:eastAsia="Times New Roman" w:cs="Times New Roman"/>
          <w:szCs w:val="24"/>
        </w:rPr>
        <w:t xml:space="preserve">pārsniegumu. </w:t>
      </w:r>
    </w:p>
    <w:p w14:paraId="035C780E" w14:textId="782F5CCB" w:rsidR="00557435" w:rsidRPr="00FD1578" w:rsidRDefault="0000055D" w:rsidP="008349F0">
      <w:pPr>
        <w:rPr>
          <w:rFonts w:eastAsia="Times New Roman" w:cs="Times New Roman"/>
          <w:szCs w:val="24"/>
        </w:rPr>
      </w:pPr>
      <w:r w:rsidRPr="00FD1578">
        <w:rPr>
          <w:rFonts w:eastAsia="Calibri" w:cs="Times New Roman"/>
          <w:color w:val="000000"/>
        </w:rPr>
        <w:t>Likumprojekta “Par valsts budžetu 2025. gadam un budžeta ietvaru 2025., 2026. un 2027. gadam” sagatavošanā</w:t>
      </w:r>
      <w:r w:rsidRPr="00FD1578">
        <w:rPr>
          <w:rFonts w:eastAsia="Calibri" w:cs="Times New Roman"/>
          <w:bCs/>
          <w:color w:val="000000"/>
        </w:rPr>
        <w:t xml:space="preserve"> </w:t>
      </w:r>
      <w:r w:rsidR="000433EF" w:rsidRPr="00FD1578">
        <w:rPr>
          <w:rFonts w:eastAsia="Calibri" w:cs="Times New Roman"/>
          <w:bCs/>
          <w:color w:val="000000"/>
        </w:rPr>
        <w:t>tika ņemts</w:t>
      </w:r>
      <w:r w:rsidRPr="00FD1578">
        <w:rPr>
          <w:rFonts w:eastAsia="Calibri" w:cs="Times New Roman"/>
          <w:bCs/>
          <w:color w:val="000000"/>
        </w:rPr>
        <w:t xml:space="preserve"> vērā </w:t>
      </w:r>
      <w:r w:rsidR="00E11486">
        <w:rPr>
          <w:rFonts w:eastAsia="Calibri" w:cs="Times New Roman"/>
          <w:bCs/>
          <w:color w:val="000000"/>
        </w:rPr>
        <w:t>MK</w:t>
      </w:r>
      <w:r w:rsidRPr="00FD1578">
        <w:rPr>
          <w:rFonts w:eastAsia="Calibri" w:cs="Times New Roman"/>
          <w:bCs/>
          <w:color w:val="000000"/>
        </w:rPr>
        <w:t xml:space="preserve"> lēmums (MK 30.04.2024. sēdes protokols Nr.18; 53.§) par FDL pieļaujamā strukturālā deficīta paaugstināšanu no 0,5% no IKP uz 1% no IKP</w:t>
      </w:r>
      <w:r w:rsidR="00F50E99" w:rsidRPr="00FD1578">
        <w:rPr>
          <w:rStyle w:val="FootnoteReference"/>
          <w:rFonts w:eastAsia="Calibri" w:cs="Times New Roman"/>
          <w:bCs/>
          <w:color w:val="000000"/>
        </w:rPr>
        <w:footnoteReference w:id="12"/>
      </w:r>
      <w:r w:rsidRPr="00FD1578">
        <w:rPr>
          <w:rFonts w:eastAsia="Calibri" w:cs="Times New Roman"/>
          <w:bCs/>
          <w:color w:val="000000"/>
        </w:rPr>
        <w:t xml:space="preserve">. Jāatzīmē, ka, ņemot vērā paredzētos grozījumus pieļaujamā strukturālā deficīta apmērā, </w:t>
      </w:r>
      <w:r w:rsidRPr="00FD1578">
        <w:rPr>
          <w:rFonts w:eastAsia="Calibri" w:cs="Times New Roman"/>
          <w:b/>
          <w:color w:val="000000"/>
        </w:rPr>
        <w:t>nav paredzēta jaunu izdevumu pasākumu atzīšana par vienreizējiem</w:t>
      </w:r>
      <w:r w:rsidRPr="00FD1578">
        <w:rPr>
          <w:rFonts w:eastAsia="Calibri" w:cs="Times New Roman"/>
          <w:bCs/>
          <w:color w:val="000000"/>
        </w:rPr>
        <w:t xml:space="preserve"> (papildus jau apstiprinātajiem</w:t>
      </w:r>
      <w:r w:rsidRPr="00FD1578">
        <w:rPr>
          <w:rFonts w:eastAsia="Calibri" w:cs="Times New Roman"/>
          <w:bCs/>
          <w:color w:val="000000"/>
          <w:vertAlign w:val="superscript"/>
        </w:rPr>
        <w:footnoteReference w:id="13"/>
      </w:r>
      <w:r w:rsidRPr="00FD1578">
        <w:rPr>
          <w:rFonts w:eastAsia="Calibri" w:cs="Times New Roman"/>
          <w:bCs/>
          <w:color w:val="000000"/>
        </w:rPr>
        <w:t>). Attiecīgi l</w:t>
      </w:r>
      <w:r w:rsidR="00AB2589" w:rsidRPr="00FD1578">
        <w:rPr>
          <w:rFonts w:eastAsia="Times New Roman" w:cs="Times New Roman"/>
          <w:szCs w:val="24"/>
        </w:rPr>
        <w:t>ikum</w:t>
      </w:r>
      <w:r w:rsidR="00934EB9" w:rsidRPr="00FD1578">
        <w:rPr>
          <w:rFonts w:eastAsia="Times New Roman" w:cs="Times New Roman"/>
          <w:szCs w:val="24"/>
        </w:rPr>
        <w:t>projektā</w:t>
      </w:r>
      <w:r w:rsidR="00557435" w:rsidRPr="00FD1578">
        <w:rPr>
          <w:rFonts w:eastAsia="Times New Roman" w:cs="Times New Roman"/>
          <w:szCs w:val="24"/>
        </w:rPr>
        <w:t xml:space="preserve"> </w:t>
      </w:r>
      <w:r w:rsidR="00065178" w:rsidRPr="00FD1578">
        <w:rPr>
          <w:rFonts w:eastAsia="Times New Roman" w:cs="Times New Roman"/>
          <w:szCs w:val="24"/>
        </w:rPr>
        <w:t>“Par valsts budžetu 202</w:t>
      </w:r>
      <w:r w:rsidR="00934EB9" w:rsidRPr="00FD1578">
        <w:rPr>
          <w:rFonts w:eastAsia="Times New Roman" w:cs="Times New Roman"/>
          <w:szCs w:val="24"/>
        </w:rPr>
        <w:t>5</w:t>
      </w:r>
      <w:r w:rsidR="00065178" w:rsidRPr="00FD1578">
        <w:rPr>
          <w:rFonts w:eastAsia="Times New Roman" w:cs="Times New Roman"/>
          <w:szCs w:val="24"/>
        </w:rPr>
        <w:t>.</w:t>
      </w:r>
      <w:r w:rsidR="003C02EC" w:rsidRPr="00FD1578">
        <w:rPr>
          <w:rFonts w:eastAsia="Times New Roman" w:cs="Times New Roman"/>
          <w:szCs w:val="24"/>
        </w:rPr>
        <w:t xml:space="preserve"> </w:t>
      </w:r>
      <w:r w:rsidR="00065178" w:rsidRPr="00FD1578">
        <w:rPr>
          <w:rFonts w:eastAsia="Times New Roman" w:cs="Times New Roman"/>
          <w:szCs w:val="24"/>
        </w:rPr>
        <w:t>gadam un budžeta ietvaru 202</w:t>
      </w:r>
      <w:r w:rsidR="00934EB9" w:rsidRPr="00FD1578">
        <w:rPr>
          <w:rFonts w:eastAsia="Times New Roman" w:cs="Times New Roman"/>
          <w:szCs w:val="24"/>
        </w:rPr>
        <w:t>5</w:t>
      </w:r>
      <w:r w:rsidR="00065178" w:rsidRPr="00FD1578">
        <w:rPr>
          <w:rFonts w:eastAsia="Times New Roman" w:cs="Times New Roman"/>
          <w:szCs w:val="24"/>
        </w:rPr>
        <w:t>., 202</w:t>
      </w:r>
      <w:r w:rsidR="00934EB9" w:rsidRPr="00FD1578">
        <w:rPr>
          <w:rFonts w:eastAsia="Times New Roman" w:cs="Times New Roman"/>
          <w:szCs w:val="24"/>
        </w:rPr>
        <w:t>6</w:t>
      </w:r>
      <w:r w:rsidR="00065178" w:rsidRPr="00FD1578">
        <w:rPr>
          <w:rFonts w:eastAsia="Times New Roman" w:cs="Times New Roman"/>
          <w:szCs w:val="24"/>
        </w:rPr>
        <w:t>. un 202</w:t>
      </w:r>
      <w:r w:rsidR="00934EB9" w:rsidRPr="00FD1578">
        <w:rPr>
          <w:rFonts w:eastAsia="Times New Roman" w:cs="Times New Roman"/>
          <w:szCs w:val="24"/>
        </w:rPr>
        <w:t>7</w:t>
      </w:r>
      <w:r w:rsidR="00065178" w:rsidRPr="00FD1578">
        <w:rPr>
          <w:rFonts w:eastAsia="Times New Roman" w:cs="Times New Roman"/>
          <w:szCs w:val="24"/>
        </w:rPr>
        <w:t>.</w:t>
      </w:r>
      <w:r w:rsidR="003C02EC" w:rsidRPr="00FD1578">
        <w:rPr>
          <w:rFonts w:eastAsia="Times New Roman" w:cs="Times New Roman"/>
          <w:szCs w:val="24"/>
        </w:rPr>
        <w:t xml:space="preserve"> </w:t>
      </w:r>
      <w:r w:rsidR="00065178" w:rsidRPr="00FD1578">
        <w:rPr>
          <w:rFonts w:eastAsia="Times New Roman" w:cs="Times New Roman"/>
          <w:szCs w:val="24"/>
        </w:rPr>
        <w:t>gad</w:t>
      </w:r>
      <w:r w:rsidR="00FB434A" w:rsidRPr="00FD1578">
        <w:rPr>
          <w:rFonts w:eastAsia="Times New Roman" w:cs="Times New Roman"/>
          <w:szCs w:val="24"/>
        </w:rPr>
        <w:t>am</w:t>
      </w:r>
      <w:r w:rsidR="00065178" w:rsidRPr="00FD1578">
        <w:rPr>
          <w:rFonts w:eastAsia="Times New Roman" w:cs="Times New Roman"/>
          <w:szCs w:val="24"/>
        </w:rPr>
        <w:t xml:space="preserve">” </w:t>
      </w:r>
      <w:r w:rsidR="00AB2589" w:rsidRPr="00FD1578">
        <w:rPr>
          <w:rFonts w:eastAsia="Times New Roman" w:cs="Times New Roman"/>
          <w:szCs w:val="24"/>
        </w:rPr>
        <w:t>no</w:t>
      </w:r>
      <w:r w:rsidRPr="00FD1578">
        <w:rPr>
          <w:rFonts w:eastAsia="Times New Roman" w:cs="Times New Roman"/>
          <w:szCs w:val="24"/>
        </w:rPr>
        <w:t>sakāmais</w:t>
      </w:r>
      <w:r w:rsidR="00C332E1" w:rsidRPr="00FD1578">
        <w:rPr>
          <w:rFonts w:eastAsia="Times New Roman" w:cs="Times New Roman"/>
          <w:szCs w:val="24"/>
        </w:rPr>
        <w:t xml:space="preserve"> vienreizējo pasākumu</w:t>
      </w:r>
      <w:r w:rsidR="00265993" w:rsidRPr="00FD1578">
        <w:rPr>
          <w:rFonts w:eastAsia="Times New Roman" w:cs="Times New Roman"/>
          <w:szCs w:val="24"/>
        </w:rPr>
        <w:t xml:space="preserve"> tvērums</w:t>
      </w:r>
      <w:bookmarkEnd w:id="43"/>
      <w:r w:rsidR="00C65C24" w:rsidRPr="00FD1578">
        <w:rPr>
          <w:rFonts w:eastAsia="Times New Roman" w:cs="Times New Roman"/>
          <w:szCs w:val="24"/>
        </w:rPr>
        <w:t xml:space="preserve"> tiek sašaurināts līdz </w:t>
      </w:r>
      <w:r w:rsidRPr="00FD1578">
        <w:rPr>
          <w:rFonts w:eastAsia="Times New Roman" w:cs="Times New Roman"/>
          <w:szCs w:val="24"/>
        </w:rPr>
        <w:t xml:space="preserve">tiem </w:t>
      </w:r>
      <w:r w:rsidR="00C65C24" w:rsidRPr="00FD1578">
        <w:rPr>
          <w:rFonts w:eastAsia="Times New Roman" w:cs="Times New Roman"/>
          <w:szCs w:val="24"/>
        </w:rPr>
        <w:t xml:space="preserve">pasākumiem, kas attiecināmi uz </w:t>
      </w:r>
      <w:r w:rsidR="000433EF" w:rsidRPr="00FD1578">
        <w:rPr>
          <w:rFonts w:eastAsia="Times New Roman" w:cs="Times New Roman"/>
          <w:szCs w:val="24"/>
        </w:rPr>
        <w:t>apsti</w:t>
      </w:r>
      <w:r w:rsidR="006869B4" w:rsidRPr="00FD1578">
        <w:rPr>
          <w:rFonts w:eastAsia="Times New Roman" w:cs="Times New Roman"/>
          <w:szCs w:val="24"/>
        </w:rPr>
        <w:t>p</w:t>
      </w:r>
      <w:r w:rsidR="000433EF" w:rsidRPr="00FD1578">
        <w:rPr>
          <w:rFonts w:eastAsia="Times New Roman" w:cs="Times New Roman"/>
          <w:szCs w:val="24"/>
        </w:rPr>
        <w:t>rinātajiem</w:t>
      </w:r>
      <w:r w:rsidR="00C65C24" w:rsidRPr="00FD1578">
        <w:rPr>
          <w:rFonts w:eastAsia="Times New Roman" w:cs="Times New Roman"/>
          <w:szCs w:val="24"/>
        </w:rPr>
        <w:t xml:space="preserve"> un vairāku gadu garumā realizējamajiem investīciju projektiem</w:t>
      </w:r>
      <w:r w:rsidR="000A63DF" w:rsidRPr="00FD1578">
        <w:rPr>
          <w:rFonts w:eastAsia="Times New Roman" w:cs="Times New Roman"/>
          <w:szCs w:val="24"/>
        </w:rPr>
        <w:t xml:space="preserve">, kā arī tiek saglabāts </w:t>
      </w:r>
      <w:r w:rsidR="000A63DF" w:rsidRPr="00F9432A">
        <w:rPr>
          <w:rFonts w:eastAsia="Times New Roman" w:cs="Times New Roman"/>
          <w:szCs w:val="24"/>
        </w:rPr>
        <w:t>noteikums, ka</w:t>
      </w:r>
      <w:r w:rsidR="005735FB">
        <w:rPr>
          <w:rFonts w:eastAsia="Times New Roman" w:cs="Times New Roman"/>
          <w:szCs w:val="24"/>
        </w:rPr>
        <w:t xml:space="preserve"> </w:t>
      </w:r>
      <w:r w:rsidR="000A63DF" w:rsidRPr="00F9432A">
        <w:rPr>
          <w:rFonts w:eastAsia="Times New Roman" w:cs="Times New Roman"/>
          <w:szCs w:val="24"/>
        </w:rPr>
        <w:t>valsts aizsardzības bāzes izdevumu pieauguma pret iepriekšējo gadu gadījumā, pieauguma gadā no strukturālā deficīta mērķa rādītāja tiek izslēgts izdevumu pieaugums 100% apmērā</w:t>
      </w:r>
      <w:r w:rsidR="00F9432A" w:rsidRPr="00F9432A">
        <w:rPr>
          <w:rFonts w:eastAsia="Times New Roman" w:cs="Times New Roman"/>
          <w:szCs w:val="24"/>
        </w:rPr>
        <w:t>.</w:t>
      </w:r>
      <w:r w:rsidR="000A63DF" w:rsidRPr="00F9432A">
        <w:rPr>
          <w:rFonts w:eastAsia="Times New Roman" w:cs="Times New Roman"/>
          <w:szCs w:val="24"/>
        </w:rPr>
        <w:t xml:space="preserve"> Pirmajā gadā pēc pieauguma 80% apmērā, otrajā gadā pēc pieauguma 60% apmērā, trešajā gadā pēc pieauguma 40% apmērā un ceturtajā gadā pēc pieauguma 20% apmērā.</w:t>
      </w:r>
      <w:r w:rsidR="005735FB">
        <w:rPr>
          <w:rFonts w:eastAsia="Times New Roman" w:cs="Times New Roman"/>
          <w:szCs w:val="24"/>
        </w:rPr>
        <w:t xml:space="preserve"> </w:t>
      </w:r>
      <w:r w:rsidR="000A63DF" w:rsidRPr="00FD1578">
        <w:rPr>
          <w:rFonts w:eastAsia="Times New Roman" w:cs="Times New Roman"/>
          <w:szCs w:val="24"/>
        </w:rPr>
        <w:t xml:space="preserve"> </w:t>
      </w:r>
    </w:p>
    <w:p w14:paraId="6737B139" w14:textId="7C473D0A" w:rsidR="005E5B55" w:rsidRPr="00FD1578" w:rsidRDefault="008F4EAC" w:rsidP="008349F0">
      <w:pPr>
        <w:rPr>
          <w:rFonts w:eastAsia="Calibri" w:cs="Times New Roman"/>
          <w:color w:val="000000"/>
        </w:rPr>
      </w:pPr>
      <w:r w:rsidRPr="00FD1578">
        <w:rPr>
          <w:rFonts w:eastAsia="Calibri" w:cs="Times New Roman"/>
          <w:color w:val="000000"/>
        </w:rPr>
        <w:t xml:space="preserve">Likumprojekta </w:t>
      </w:r>
      <w:r w:rsidRPr="00FD1578">
        <w:rPr>
          <w:rFonts w:eastAsia="Times New Roman" w:cs="Times New Roman"/>
          <w:szCs w:val="24"/>
        </w:rPr>
        <w:t>“Par valsts budžetu 202</w:t>
      </w:r>
      <w:r w:rsidR="00934EB9" w:rsidRPr="00FD1578">
        <w:rPr>
          <w:rFonts w:eastAsia="Times New Roman" w:cs="Times New Roman"/>
          <w:szCs w:val="24"/>
        </w:rPr>
        <w:t>5</w:t>
      </w:r>
      <w:r w:rsidRPr="00FD1578">
        <w:rPr>
          <w:rFonts w:eastAsia="Times New Roman" w:cs="Times New Roman"/>
          <w:szCs w:val="24"/>
        </w:rPr>
        <w:t>. gadam un budžeta ietvaru 202</w:t>
      </w:r>
      <w:r w:rsidR="00934EB9" w:rsidRPr="00FD1578">
        <w:rPr>
          <w:rFonts w:eastAsia="Times New Roman" w:cs="Times New Roman"/>
          <w:szCs w:val="24"/>
        </w:rPr>
        <w:t>5</w:t>
      </w:r>
      <w:r w:rsidRPr="00FD1578">
        <w:rPr>
          <w:rFonts w:eastAsia="Times New Roman" w:cs="Times New Roman"/>
          <w:szCs w:val="24"/>
        </w:rPr>
        <w:t>., 202</w:t>
      </w:r>
      <w:r w:rsidR="00934EB9" w:rsidRPr="00FD1578">
        <w:rPr>
          <w:rFonts w:eastAsia="Times New Roman" w:cs="Times New Roman"/>
          <w:szCs w:val="24"/>
        </w:rPr>
        <w:t>6</w:t>
      </w:r>
      <w:r w:rsidRPr="00FD1578">
        <w:rPr>
          <w:rFonts w:eastAsia="Times New Roman" w:cs="Times New Roman"/>
          <w:szCs w:val="24"/>
        </w:rPr>
        <w:t>. un 202</w:t>
      </w:r>
      <w:r w:rsidR="00934EB9" w:rsidRPr="00FD1578">
        <w:rPr>
          <w:rFonts w:eastAsia="Times New Roman" w:cs="Times New Roman"/>
          <w:szCs w:val="24"/>
        </w:rPr>
        <w:t>7</w:t>
      </w:r>
      <w:r w:rsidRPr="00FD1578">
        <w:rPr>
          <w:rFonts w:eastAsia="Times New Roman" w:cs="Times New Roman"/>
          <w:szCs w:val="24"/>
        </w:rPr>
        <w:t>. gadam”</w:t>
      </w:r>
      <w:r w:rsidR="005735FB">
        <w:rPr>
          <w:rFonts w:eastAsia="Calibri" w:cs="Times New Roman"/>
          <w:color w:val="000000"/>
        </w:rPr>
        <w:t xml:space="preserve"> </w:t>
      </w:r>
      <w:r w:rsidRPr="00FD1578">
        <w:rPr>
          <w:rFonts w:eastAsia="Calibri" w:cs="Times New Roman"/>
          <w:color w:val="000000"/>
        </w:rPr>
        <w:t xml:space="preserve">sagatavošanā tiek ņemta vērā </w:t>
      </w:r>
      <w:r w:rsidR="00282CB3" w:rsidRPr="00FD1578">
        <w:rPr>
          <w:rFonts w:eastAsia="Calibri" w:cs="Times New Roman"/>
          <w:color w:val="000000"/>
        </w:rPr>
        <w:t>2</w:t>
      </w:r>
      <w:r w:rsidRPr="00FD1578">
        <w:rPr>
          <w:rFonts w:eastAsia="Calibri" w:cs="Times New Roman"/>
          <w:color w:val="000000"/>
        </w:rPr>
        <w:t xml:space="preserve">.1. tabulā norādītā vienreizējo pasākumu fiskālā ietekme. </w:t>
      </w:r>
    </w:p>
    <w:p w14:paraId="36E35139" w14:textId="756D7571" w:rsidR="008F4EAC" w:rsidRPr="005E5B55" w:rsidRDefault="008F4EAC" w:rsidP="008349F0">
      <w:pPr>
        <w:pStyle w:val="ListParagraph"/>
        <w:numPr>
          <w:ilvl w:val="1"/>
          <w:numId w:val="12"/>
        </w:numPr>
        <w:spacing w:before="240"/>
        <w:jc w:val="right"/>
        <w:rPr>
          <w:rFonts w:eastAsia="Calibri" w:cs="Times New Roman"/>
          <w:b/>
          <w:bCs/>
          <w:i/>
          <w:iCs/>
          <w:color w:val="000000"/>
        </w:rPr>
      </w:pPr>
      <w:r w:rsidRPr="005E5B55">
        <w:rPr>
          <w:rFonts w:eastAsia="Calibri" w:cs="Times New Roman"/>
          <w:b/>
          <w:bCs/>
          <w:i/>
          <w:iCs/>
          <w:color w:val="000000"/>
        </w:rPr>
        <w:t>tabula. Vienreizē</w:t>
      </w:r>
      <w:r w:rsidR="00074630" w:rsidRPr="005E5B55">
        <w:rPr>
          <w:rFonts w:eastAsia="Calibri" w:cs="Times New Roman"/>
          <w:b/>
          <w:bCs/>
          <w:i/>
          <w:iCs/>
          <w:color w:val="000000"/>
        </w:rPr>
        <w:t>jo</w:t>
      </w:r>
      <w:r w:rsidRPr="005E5B55">
        <w:rPr>
          <w:rFonts w:eastAsia="Calibri" w:cs="Times New Roman"/>
          <w:b/>
          <w:bCs/>
          <w:i/>
          <w:iCs/>
          <w:color w:val="000000"/>
        </w:rPr>
        <w:t xml:space="preserve"> pasākum</w:t>
      </w:r>
      <w:r w:rsidR="00074630" w:rsidRPr="005E5B55">
        <w:rPr>
          <w:rFonts w:eastAsia="Calibri" w:cs="Times New Roman"/>
          <w:b/>
          <w:bCs/>
          <w:i/>
          <w:iCs/>
          <w:color w:val="000000"/>
        </w:rPr>
        <w:t>u</w:t>
      </w:r>
      <w:r w:rsidRPr="005E5B55">
        <w:rPr>
          <w:rFonts w:eastAsia="Calibri" w:cs="Times New Roman"/>
          <w:b/>
          <w:bCs/>
          <w:i/>
          <w:iCs/>
          <w:color w:val="000000"/>
        </w:rPr>
        <w:t xml:space="preserve"> (</w:t>
      </w:r>
      <w:proofErr w:type="spellStart"/>
      <w:r w:rsidRPr="005E5B55">
        <w:rPr>
          <w:rFonts w:eastAsia="Calibri" w:cs="Times New Roman"/>
          <w:b/>
          <w:bCs/>
          <w:i/>
          <w:iCs/>
          <w:color w:val="000000"/>
        </w:rPr>
        <w:t>one-off</w:t>
      </w:r>
      <w:proofErr w:type="spellEnd"/>
      <w:r w:rsidRPr="005E5B55">
        <w:rPr>
          <w:rFonts w:eastAsia="Calibri" w:cs="Times New Roman"/>
          <w:b/>
          <w:bCs/>
          <w:i/>
          <w:iCs/>
          <w:color w:val="000000"/>
        </w:rPr>
        <w:t>)</w:t>
      </w:r>
      <w:r w:rsidR="00074630" w:rsidRPr="005E5B55">
        <w:rPr>
          <w:rFonts w:eastAsia="Calibri" w:cs="Times New Roman"/>
          <w:b/>
          <w:bCs/>
          <w:i/>
          <w:iCs/>
          <w:color w:val="000000"/>
        </w:rPr>
        <w:t xml:space="preserve"> fiskālā ietekme</w:t>
      </w:r>
    </w:p>
    <w:tbl>
      <w:tblPr>
        <w:tblStyle w:val="TableGrid10"/>
        <w:tblW w:w="10143" w:type="dxa"/>
        <w:jc w:val="center"/>
        <w:tblLayout w:type="fixed"/>
        <w:tblLook w:val="04A0" w:firstRow="1" w:lastRow="0" w:firstColumn="1" w:lastColumn="0" w:noHBand="0" w:noVBand="1"/>
      </w:tblPr>
      <w:tblGrid>
        <w:gridCol w:w="1980"/>
        <w:gridCol w:w="907"/>
        <w:gridCol w:w="907"/>
        <w:gridCol w:w="907"/>
        <w:gridCol w:w="907"/>
        <w:gridCol w:w="907"/>
        <w:gridCol w:w="907"/>
        <w:gridCol w:w="907"/>
        <w:gridCol w:w="907"/>
        <w:gridCol w:w="907"/>
      </w:tblGrid>
      <w:tr w:rsidR="00934EB9" w:rsidRPr="005E5B55" w14:paraId="34AE5C13" w14:textId="77777777" w:rsidTr="008E1E6C">
        <w:trPr>
          <w:trHeight w:val="312"/>
          <w:tblHeader/>
          <w:jc w:val="center"/>
        </w:trPr>
        <w:tc>
          <w:tcPr>
            <w:tcW w:w="1980" w:type="dxa"/>
            <w:shd w:val="clear" w:color="auto" w:fill="9CC2E5" w:themeFill="accent1" w:themeFillTint="99"/>
            <w:noWrap/>
            <w:hideMark/>
          </w:tcPr>
          <w:p w14:paraId="0957E929" w14:textId="77777777" w:rsidR="00934EB9" w:rsidRPr="00FD1578" w:rsidRDefault="00934EB9" w:rsidP="008349F0">
            <w:pPr>
              <w:ind w:firstLine="0"/>
              <w:jc w:val="center"/>
              <w:rPr>
                <w:rFonts w:cs="Times New Roman"/>
                <w:color w:val="000000"/>
                <w:sz w:val="18"/>
                <w:szCs w:val="18"/>
              </w:rPr>
            </w:pPr>
          </w:p>
        </w:tc>
        <w:tc>
          <w:tcPr>
            <w:tcW w:w="907" w:type="dxa"/>
            <w:shd w:val="clear" w:color="auto" w:fill="9CC2E5" w:themeFill="accent1" w:themeFillTint="99"/>
            <w:noWrap/>
            <w:hideMark/>
          </w:tcPr>
          <w:p w14:paraId="0C987E93" w14:textId="77777777" w:rsidR="00934EB9" w:rsidRPr="005E5B55" w:rsidRDefault="00934EB9" w:rsidP="008349F0">
            <w:pPr>
              <w:ind w:firstLine="0"/>
              <w:jc w:val="center"/>
              <w:rPr>
                <w:rFonts w:cs="Times New Roman"/>
                <w:b/>
                <w:bCs/>
                <w:color w:val="000000"/>
                <w:sz w:val="18"/>
                <w:szCs w:val="18"/>
              </w:rPr>
            </w:pPr>
            <w:r w:rsidRPr="005E5B55">
              <w:rPr>
                <w:rFonts w:cs="Times New Roman"/>
                <w:b/>
                <w:bCs/>
                <w:color w:val="000000"/>
                <w:sz w:val="18"/>
                <w:szCs w:val="18"/>
              </w:rPr>
              <w:t>2020</w:t>
            </w:r>
          </w:p>
        </w:tc>
        <w:tc>
          <w:tcPr>
            <w:tcW w:w="907" w:type="dxa"/>
            <w:shd w:val="clear" w:color="auto" w:fill="9CC2E5" w:themeFill="accent1" w:themeFillTint="99"/>
            <w:noWrap/>
            <w:hideMark/>
          </w:tcPr>
          <w:p w14:paraId="513C751D" w14:textId="77777777" w:rsidR="00934EB9" w:rsidRPr="005E5B55" w:rsidRDefault="00934EB9" w:rsidP="008349F0">
            <w:pPr>
              <w:ind w:firstLine="0"/>
              <w:jc w:val="center"/>
              <w:rPr>
                <w:rFonts w:cs="Times New Roman"/>
                <w:b/>
                <w:bCs/>
                <w:color w:val="000000"/>
                <w:sz w:val="18"/>
                <w:szCs w:val="18"/>
              </w:rPr>
            </w:pPr>
            <w:r w:rsidRPr="005E5B55">
              <w:rPr>
                <w:rFonts w:cs="Times New Roman"/>
                <w:b/>
                <w:bCs/>
                <w:color w:val="000000"/>
                <w:sz w:val="18"/>
                <w:szCs w:val="18"/>
              </w:rPr>
              <w:t>2021</w:t>
            </w:r>
          </w:p>
        </w:tc>
        <w:tc>
          <w:tcPr>
            <w:tcW w:w="907" w:type="dxa"/>
            <w:shd w:val="clear" w:color="auto" w:fill="9CC2E5" w:themeFill="accent1" w:themeFillTint="99"/>
            <w:noWrap/>
            <w:hideMark/>
          </w:tcPr>
          <w:p w14:paraId="1765BDB8" w14:textId="77777777" w:rsidR="00934EB9" w:rsidRPr="005E5B55" w:rsidRDefault="00934EB9" w:rsidP="008349F0">
            <w:pPr>
              <w:ind w:firstLine="0"/>
              <w:jc w:val="center"/>
              <w:rPr>
                <w:rFonts w:cs="Times New Roman"/>
                <w:b/>
                <w:bCs/>
                <w:color w:val="000000"/>
                <w:sz w:val="18"/>
                <w:szCs w:val="18"/>
              </w:rPr>
            </w:pPr>
            <w:r w:rsidRPr="005E5B55">
              <w:rPr>
                <w:rFonts w:cs="Times New Roman"/>
                <w:b/>
                <w:bCs/>
                <w:color w:val="000000"/>
                <w:sz w:val="18"/>
                <w:szCs w:val="18"/>
              </w:rPr>
              <w:t>2022</w:t>
            </w:r>
          </w:p>
        </w:tc>
        <w:tc>
          <w:tcPr>
            <w:tcW w:w="907" w:type="dxa"/>
            <w:shd w:val="clear" w:color="auto" w:fill="9CC2E5" w:themeFill="accent1" w:themeFillTint="99"/>
            <w:noWrap/>
            <w:hideMark/>
          </w:tcPr>
          <w:p w14:paraId="352BE9B3" w14:textId="77777777" w:rsidR="00934EB9" w:rsidRPr="005E5B55" w:rsidRDefault="00934EB9" w:rsidP="008349F0">
            <w:pPr>
              <w:ind w:firstLine="0"/>
              <w:jc w:val="center"/>
              <w:rPr>
                <w:rFonts w:cs="Times New Roman"/>
                <w:b/>
                <w:bCs/>
                <w:color w:val="000000"/>
                <w:sz w:val="18"/>
                <w:szCs w:val="18"/>
              </w:rPr>
            </w:pPr>
            <w:r w:rsidRPr="005E5B55">
              <w:rPr>
                <w:rFonts w:cs="Times New Roman"/>
                <w:b/>
                <w:bCs/>
                <w:color w:val="000000"/>
                <w:sz w:val="18"/>
                <w:szCs w:val="18"/>
              </w:rPr>
              <w:t>2023</w:t>
            </w:r>
          </w:p>
        </w:tc>
        <w:tc>
          <w:tcPr>
            <w:tcW w:w="907" w:type="dxa"/>
            <w:shd w:val="clear" w:color="auto" w:fill="9CC2E5" w:themeFill="accent1" w:themeFillTint="99"/>
            <w:noWrap/>
            <w:hideMark/>
          </w:tcPr>
          <w:p w14:paraId="70B15828" w14:textId="77777777" w:rsidR="00934EB9" w:rsidRPr="005E5B55" w:rsidRDefault="00934EB9" w:rsidP="008349F0">
            <w:pPr>
              <w:ind w:firstLine="0"/>
              <w:jc w:val="center"/>
              <w:rPr>
                <w:rFonts w:cs="Times New Roman"/>
                <w:b/>
                <w:bCs/>
                <w:color w:val="000000"/>
                <w:sz w:val="18"/>
                <w:szCs w:val="18"/>
              </w:rPr>
            </w:pPr>
            <w:r w:rsidRPr="005E5B55">
              <w:rPr>
                <w:rFonts w:cs="Times New Roman"/>
                <w:b/>
                <w:bCs/>
                <w:color w:val="000000"/>
                <w:sz w:val="18"/>
                <w:szCs w:val="18"/>
              </w:rPr>
              <w:t>2024</w:t>
            </w:r>
          </w:p>
        </w:tc>
        <w:tc>
          <w:tcPr>
            <w:tcW w:w="907" w:type="dxa"/>
            <w:shd w:val="clear" w:color="auto" w:fill="9CC2E5" w:themeFill="accent1" w:themeFillTint="99"/>
            <w:noWrap/>
            <w:hideMark/>
          </w:tcPr>
          <w:p w14:paraId="5E8FF875" w14:textId="77777777" w:rsidR="00934EB9" w:rsidRPr="005E5B55" w:rsidRDefault="00934EB9" w:rsidP="008349F0">
            <w:pPr>
              <w:ind w:firstLine="0"/>
              <w:jc w:val="center"/>
              <w:rPr>
                <w:rFonts w:cs="Times New Roman"/>
                <w:b/>
                <w:bCs/>
                <w:color w:val="000000"/>
                <w:sz w:val="18"/>
                <w:szCs w:val="18"/>
              </w:rPr>
            </w:pPr>
            <w:r w:rsidRPr="005E5B55">
              <w:rPr>
                <w:rFonts w:cs="Times New Roman"/>
                <w:b/>
                <w:bCs/>
                <w:color w:val="000000"/>
                <w:sz w:val="18"/>
                <w:szCs w:val="18"/>
              </w:rPr>
              <w:t>2025</w:t>
            </w:r>
          </w:p>
        </w:tc>
        <w:tc>
          <w:tcPr>
            <w:tcW w:w="907" w:type="dxa"/>
            <w:shd w:val="clear" w:color="auto" w:fill="9CC2E5" w:themeFill="accent1" w:themeFillTint="99"/>
          </w:tcPr>
          <w:p w14:paraId="543B7925" w14:textId="77777777" w:rsidR="00934EB9" w:rsidRPr="005E5B55" w:rsidRDefault="00934EB9" w:rsidP="008349F0">
            <w:pPr>
              <w:ind w:firstLine="0"/>
              <w:jc w:val="center"/>
              <w:rPr>
                <w:rFonts w:cs="Times New Roman"/>
                <w:b/>
                <w:bCs/>
                <w:color w:val="000000"/>
                <w:sz w:val="18"/>
                <w:szCs w:val="18"/>
              </w:rPr>
            </w:pPr>
            <w:r w:rsidRPr="005E5B55">
              <w:rPr>
                <w:rFonts w:cs="Times New Roman"/>
                <w:b/>
                <w:bCs/>
                <w:color w:val="000000"/>
                <w:sz w:val="18"/>
                <w:szCs w:val="18"/>
              </w:rPr>
              <w:t>2026</w:t>
            </w:r>
          </w:p>
        </w:tc>
        <w:tc>
          <w:tcPr>
            <w:tcW w:w="907" w:type="dxa"/>
            <w:shd w:val="clear" w:color="auto" w:fill="9CC2E5" w:themeFill="accent1" w:themeFillTint="99"/>
          </w:tcPr>
          <w:p w14:paraId="08A355B7" w14:textId="77777777" w:rsidR="00934EB9" w:rsidRPr="005E5B55" w:rsidRDefault="00934EB9" w:rsidP="008349F0">
            <w:pPr>
              <w:ind w:firstLine="0"/>
              <w:jc w:val="center"/>
              <w:rPr>
                <w:rFonts w:cs="Times New Roman"/>
                <w:b/>
                <w:bCs/>
                <w:color w:val="000000"/>
                <w:sz w:val="18"/>
                <w:szCs w:val="18"/>
              </w:rPr>
            </w:pPr>
            <w:r w:rsidRPr="005E5B55">
              <w:rPr>
                <w:rFonts w:cs="Times New Roman"/>
                <w:b/>
                <w:bCs/>
                <w:color w:val="000000"/>
                <w:sz w:val="18"/>
                <w:szCs w:val="18"/>
              </w:rPr>
              <w:t>2027</w:t>
            </w:r>
          </w:p>
        </w:tc>
        <w:tc>
          <w:tcPr>
            <w:tcW w:w="907" w:type="dxa"/>
            <w:shd w:val="clear" w:color="auto" w:fill="9CC2E5" w:themeFill="accent1" w:themeFillTint="99"/>
          </w:tcPr>
          <w:p w14:paraId="7D1BF5B7" w14:textId="77777777" w:rsidR="00934EB9" w:rsidRPr="005E5B55" w:rsidRDefault="00934EB9" w:rsidP="008349F0">
            <w:pPr>
              <w:ind w:firstLine="0"/>
              <w:jc w:val="center"/>
              <w:rPr>
                <w:rFonts w:cs="Times New Roman"/>
                <w:b/>
                <w:bCs/>
                <w:color w:val="000000"/>
                <w:sz w:val="18"/>
                <w:szCs w:val="18"/>
              </w:rPr>
            </w:pPr>
            <w:r w:rsidRPr="005E5B55">
              <w:rPr>
                <w:rFonts w:cs="Times New Roman"/>
                <w:b/>
                <w:bCs/>
                <w:color w:val="000000"/>
                <w:sz w:val="18"/>
                <w:szCs w:val="18"/>
              </w:rPr>
              <w:t>2028</w:t>
            </w:r>
          </w:p>
        </w:tc>
      </w:tr>
      <w:tr w:rsidR="005E5B55" w:rsidRPr="005E5B55" w14:paraId="26320C4F" w14:textId="77777777" w:rsidTr="008E1E6C">
        <w:trPr>
          <w:trHeight w:val="312"/>
          <w:jc w:val="center"/>
        </w:trPr>
        <w:tc>
          <w:tcPr>
            <w:tcW w:w="1980" w:type="dxa"/>
            <w:noWrap/>
            <w:hideMark/>
          </w:tcPr>
          <w:p w14:paraId="200F22A4" w14:textId="77777777" w:rsidR="005E5B55" w:rsidRPr="005E5B55" w:rsidRDefault="005E5B55" w:rsidP="008349F0">
            <w:pPr>
              <w:ind w:firstLine="0"/>
              <w:jc w:val="left"/>
              <w:rPr>
                <w:rFonts w:cs="Times New Roman"/>
                <w:color w:val="000000"/>
                <w:sz w:val="18"/>
                <w:szCs w:val="18"/>
              </w:rPr>
            </w:pPr>
            <w:r w:rsidRPr="005E5B55">
              <w:rPr>
                <w:rFonts w:cs="Times New Roman"/>
                <w:color w:val="000000"/>
                <w:sz w:val="18"/>
                <w:szCs w:val="18"/>
              </w:rPr>
              <w:t xml:space="preserve">IKP, milj. </w:t>
            </w:r>
            <w:proofErr w:type="spellStart"/>
            <w:r w:rsidRPr="005E5B55">
              <w:rPr>
                <w:rFonts w:cs="Times New Roman"/>
                <w:i/>
                <w:iCs/>
                <w:color w:val="000000"/>
                <w:sz w:val="18"/>
                <w:szCs w:val="18"/>
              </w:rPr>
              <w:t>euro</w:t>
            </w:r>
            <w:proofErr w:type="spellEnd"/>
          </w:p>
        </w:tc>
        <w:tc>
          <w:tcPr>
            <w:tcW w:w="907" w:type="dxa"/>
            <w:noWrap/>
            <w:hideMark/>
          </w:tcPr>
          <w:p w14:paraId="7FB0A9F7" w14:textId="1046C383" w:rsidR="005E5B55" w:rsidRPr="005E5B55" w:rsidRDefault="005E5B55" w:rsidP="008349F0">
            <w:pPr>
              <w:ind w:firstLine="0"/>
              <w:jc w:val="center"/>
              <w:rPr>
                <w:rFonts w:cs="Times New Roman"/>
                <w:color w:val="000000"/>
                <w:sz w:val="18"/>
                <w:szCs w:val="18"/>
              </w:rPr>
            </w:pPr>
            <w:r>
              <w:rPr>
                <w:rFonts w:cs="Times New Roman"/>
                <w:b/>
                <w:bCs/>
                <w:color w:val="000000"/>
                <w:sz w:val="20"/>
                <w:szCs w:val="20"/>
              </w:rPr>
              <w:t>30 109</w:t>
            </w:r>
          </w:p>
        </w:tc>
        <w:tc>
          <w:tcPr>
            <w:tcW w:w="907" w:type="dxa"/>
            <w:noWrap/>
            <w:hideMark/>
          </w:tcPr>
          <w:p w14:paraId="3775785E" w14:textId="435FEBF4" w:rsidR="005E5B55" w:rsidRPr="005E5B55" w:rsidRDefault="005E5B55" w:rsidP="008349F0">
            <w:pPr>
              <w:ind w:firstLine="0"/>
              <w:jc w:val="center"/>
              <w:rPr>
                <w:rFonts w:cs="Times New Roman"/>
                <w:color w:val="000000"/>
                <w:sz w:val="18"/>
                <w:szCs w:val="18"/>
              </w:rPr>
            </w:pPr>
            <w:r>
              <w:rPr>
                <w:rFonts w:cs="Times New Roman"/>
                <w:b/>
                <w:bCs/>
                <w:color w:val="000000"/>
                <w:sz w:val="20"/>
                <w:szCs w:val="20"/>
              </w:rPr>
              <w:t>33 349</w:t>
            </w:r>
          </w:p>
        </w:tc>
        <w:tc>
          <w:tcPr>
            <w:tcW w:w="907" w:type="dxa"/>
            <w:noWrap/>
            <w:hideMark/>
          </w:tcPr>
          <w:p w14:paraId="30978FEE" w14:textId="5DC5838B" w:rsidR="005E5B55" w:rsidRPr="005E5B55" w:rsidRDefault="005E5B55" w:rsidP="008349F0">
            <w:pPr>
              <w:ind w:firstLine="0"/>
              <w:jc w:val="center"/>
              <w:rPr>
                <w:rFonts w:cs="Times New Roman"/>
                <w:color w:val="000000"/>
                <w:sz w:val="18"/>
                <w:szCs w:val="18"/>
              </w:rPr>
            </w:pPr>
            <w:r>
              <w:rPr>
                <w:rFonts w:cs="Times New Roman"/>
                <w:b/>
                <w:bCs/>
                <w:color w:val="000000"/>
                <w:sz w:val="20"/>
                <w:szCs w:val="20"/>
              </w:rPr>
              <w:t>38 386</w:t>
            </w:r>
          </w:p>
        </w:tc>
        <w:tc>
          <w:tcPr>
            <w:tcW w:w="907" w:type="dxa"/>
            <w:noWrap/>
            <w:hideMark/>
          </w:tcPr>
          <w:p w14:paraId="417978E0" w14:textId="27BDA5D8" w:rsidR="005E5B55" w:rsidRPr="005E5B55" w:rsidRDefault="005E5B55" w:rsidP="008349F0">
            <w:pPr>
              <w:ind w:firstLine="0"/>
              <w:jc w:val="center"/>
              <w:rPr>
                <w:rFonts w:cs="Times New Roman"/>
                <w:color w:val="000000"/>
                <w:sz w:val="18"/>
                <w:szCs w:val="18"/>
              </w:rPr>
            </w:pPr>
            <w:r>
              <w:rPr>
                <w:rFonts w:cs="Times New Roman"/>
                <w:b/>
                <w:bCs/>
                <w:color w:val="000000"/>
                <w:sz w:val="20"/>
                <w:szCs w:val="20"/>
              </w:rPr>
              <w:t>40 348</w:t>
            </w:r>
          </w:p>
        </w:tc>
        <w:tc>
          <w:tcPr>
            <w:tcW w:w="907" w:type="dxa"/>
            <w:noWrap/>
            <w:hideMark/>
          </w:tcPr>
          <w:p w14:paraId="6C1EF3ED" w14:textId="7ED3384E" w:rsidR="005E5B55" w:rsidRPr="005E5B55" w:rsidRDefault="005E5B55" w:rsidP="008349F0">
            <w:pPr>
              <w:ind w:firstLine="0"/>
              <w:jc w:val="center"/>
              <w:rPr>
                <w:rFonts w:cs="Times New Roman"/>
                <w:color w:val="000000"/>
                <w:sz w:val="18"/>
                <w:szCs w:val="18"/>
              </w:rPr>
            </w:pPr>
            <w:r>
              <w:rPr>
                <w:rFonts w:cs="Times New Roman"/>
                <w:b/>
                <w:bCs/>
                <w:color w:val="000000"/>
                <w:sz w:val="20"/>
                <w:szCs w:val="20"/>
              </w:rPr>
              <w:t>41 894</w:t>
            </w:r>
          </w:p>
        </w:tc>
        <w:tc>
          <w:tcPr>
            <w:tcW w:w="907" w:type="dxa"/>
            <w:noWrap/>
            <w:hideMark/>
          </w:tcPr>
          <w:p w14:paraId="7A80C108" w14:textId="6768BEE6" w:rsidR="005E5B55" w:rsidRPr="005E5B55" w:rsidRDefault="005E5B55" w:rsidP="008349F0">
            <w:pPr>
              <w:ind w:firstLine="0"/>
              <w:jc w:val="center"/>
              <w:rPr>
                <w:rFonts w:cs="Times New Roman"/>
                <w:color w:val="000000"/>
                <w:sz w:val="18"/>
                <w:szCs w:val="18"/>
              </w:rPr>
            </w:pPr>
            <w:r>
              <w:rPr>
                <w:rFonts w:cs="Times New Roman"/>
                <w:b/>
                <w:bCs/>
                <w:color w:val="000000"/>
                <w:sz w:val="20"/>
                <w:szCs w:val="20"/>
              </w:rPr>
              <w:t>44 379</w:t>
            </w:r>
          </w:p>
        </w:tc>
        <w:tc>
          <w:tcPr>
            <w:tcW w:w="907" w:type="dxa"/>
          </w:tcPr>
          <w:p w14:paraId="387A4C83" w14:textId="4A81DC18" w:rsidR="005E5B55" w:rsidRPr="005E5B55" w:rsidRDefault="005E5B55" w:rsidP="008349F0">
            <w:pPr>
              <w:ind w:firstLine="0"/>
              <w:jc w:val="center"/>
              <w:rPr>
                <w:rFonts w:cs="Times New Roman"/>
                <w:color w:val="000000"/>
                <w:sz w:val="18"/>
                <w:szCs w:val="18"/>
              </w:rPr>
            </w:pPr>
            <w:r>
              <w:rPr>
                <w:rFonts w:cs="Times New Roman"/>
                <w:b/>
                <w:bCs/>
                <w:color w:val="000000"/>
                <w:sz w:val="20"/>
                <w:szCs w:val="20"/>
              </w:rPr>
              <w:t>46 836</w:t>
            </w:r>
          </w:p>
        </w:tc>
        <w:tc>
          <w:tcPr>
            <w:tcW w:w="907" w:type="dxa"/>
          </w:tcPr>
          <w:p w14:paraId="46D61A20" w14:textId="644F86C8" w:rsidR="005E5B55" w:rsidRPr="005E5B55" w:rsidRDefault="005E5B55" w:rsidP="008349F0">
            <w:pPr>
              <w:ind w:firstLine="0"/>
              <w:jc w:val="center"/>
              <w:rPr>
                <w:rFonts w:cs="Times New Roman"/>
                <w:color w:val="000000"/>
                <w:sz w:val="18"/>
                <w:szCs w:val="18"/>
              </w:rPr>
            </w:pPr>
            <w:r>
              <w:rPr>
                <w:rFonts w:cs="Times New Roman"/>
                <w:b/>
                <w:bCs/>
                <w:color w:val="000000"/>
                <w:sz w:val="20"/>
                <w:szCs w:val="20"/>
              </w:rPr>
              <w:t>49 349</w:t>
            </w:r>
          </w:p>
        </w:tc>
        <w:tc>
          <w:tcPr>
            <w:tcW w:w="907" w:type="dxa"/>
          </w:tcPr>
          <w:p w14:paraId="1EB523FB" w14:textId="4CB8DA70" w:rsidR="005E5B55" w:rsidRPr="005E5B55" w:rsidRDefault="005E5B55" w:rsidP="008349F0">
            <w:pPr>
              <w:ind w:firstLine="0"/>
              <w:jc w:val="center"/>
              <w:rPr>
                <w:rFonts w:cs="Times New Roman"/>
                <w:color w:val="000000"/>
                <w:sz w:val="18"/>
                <w:szCs w:val="18"/>
              </w:rPr>
            </w:pPr>
            <w:r>
              <w:rPr>
                <w:rFonts w:cs="Times New Roman"/>
                <w:b/>
                <w:bCs/>
                <w:color w:val="000000"/>
                <w:sz w:val="20"/>
                <w:szCs w:val="20"/>
              </w:rPr>
              <w:t>51 851</w:t>
            </w:r>
          </w:p>
        </w:tc>
      </w:tr>
      <w:tr w:rsidR="00934EB9" w:rsidRPr="005E5B55" w14:paraId="2CD5B7B3" w14:textId="77777777" w:rsidTr="008E1E6C">
        <w:trPr>
          <w:trHeight w:val="312"/>
          <w:jc w:val="center"/>
        </w:trPr>
        <w:tc>
          <w:tcPr>
            <w:tcW w:w="1980" w:type="dxa"/>
            <w:shd w:val="clear" w:color="auto" w:fill="9CC2E5" w:themeFill="accent1" w:themeFillTint="99"/>
            <w:noWrap/>
          </w:tcPr>
          <w:p w14:paraId="690EE80C" w14:textId="77777777" w:rsidR="00934EB9" w:rsidRPr="005E5B55" w:rsidRDefault="00934EB9" w:rsidP="008349F0">
            <w:pPr>
              <w:ind w:firstLine="0"/>
              <w:jc w:val="left"/>
              <w:rPr>
                <w:rFonts w:cs="Times New Roman"/>
                <w:color w:val="000000"/>
                <w:sz w:val="18"/>
                <w:szCs w:val="18"/>
              </w:rPr>
            </w:pPr>
          </w:p>
        </w:tc>
        <w:tc>
          <w:tcPr>
            <w:tcW w:w="4535" w:type="dxa"/>
            <w:gridSpan w:val="5"/>
            <w:shd w:val="clear" w:color="auto" w:fill="9CC2E5" w:themeFill="accent1" w:themeFillTint="99"/>
            <w:noWrap/>
          </w:tcPr>
          <w:p w14:paraId="7BE8FAC8" w14:textId="77777777" w:rsidR="00934EB9" w:rsidRPr="008E1E6C" w:rsidRDefault="00934EB9" w:rsidP="008349F0">
            <w:pPr>
              <w:ind w:firstLine="0"/>
              <w:jc w:val="center"/>
              <w:rPr>
                <w:b/>
                <w:bCs/>
                <w:sz w:val="20"/>
                <w:szCs w:val="20"/>
              </w:rPr>
            </w:pPr>
            <w:r w:rsidRPr="008E1E6C">
              <w:rPr>
                <w:rFonts w:cs="Times New Roman"/>
                <w:b/>
                <w:bCs/>
                <w:color w:val="000000"/>
                <w:sz w:val="18"/>
                <w:szCs w:val="18"/>
              </w:rPr>
              <w:t>fakts/novērtējums</w:t>
            </w:r>
          </w:p>
        </w:tc>
        <w:tc>
          <w:tcPr>
            <w:tcW w:w="3628" w:type="dxa"/>
            <w:gridSpan w:val="4"/>
            <w:shd w:val="clear" w:color="auto" w:fill="9CC2E5" w:themeFill="accent1" w:themeFillTint="99"/>
            <w:noWrap/>
          </w:tcPr>
          <w:p w14:paraId="33E9D679" w14:textId="77777777" w:rsidR="00934EB9" w:rsidRPr="008E1E6C" w:rsidRDefault="00934EB9" w:rsidP="008349F0">
            <w:pPr>
              <w:ind w:firstLine="0"/>
              <w:jc w:val="center"/>
              <w:rPr>
                <w:b/>
                <w:bCs/>
                <w:sz w:val="20"/>
                <w:szCs w:val="20"/>
              </w:rPr>
            </w:pPr>
            <w:r w:rsidRPr="008E1E6C">
              <w:rPr>
                <w:rFonts w:cs="Times New Roman"/>
                <w:b/>
                <w:bCs/>
                <w:color w:val="000000"/>
                <w:sz w:val="18"/>
                <w:szCs w:val="18"/>
              </w:rPr>
              <w:t>prognoze</w:t>
            </w:r>
          </w:p>
        </w:tc>
      </w:tr>
      <w:tr w:rsidR="005E5B55" w:rsidRPr="005E5B55" w14:paraId="51C90452" w14:textId="77777777" w:rsidTr="008E1E6C">
        <w:trPr>
          <w:trHeight w:val="312"/>
          <w:jc w:val="center"/>
        </w:trPr>
        <w:tc>
          <w:tcPr>
            <w:tcW w:w="1980" w:type="dxa"/>
            <w:shd w:val="clear" w:color="auto" w:fill="BDD6EE" w:themeFill="accent1" w:themeFillTint="66"/>
            <w:noWrap/>
            <w:hideMark/>
          </w:tcPr>
          <w:p w14:paraId="1DF51C68" w14:textId="77777777" w:rsidR="005E5B55" w:rsidRPr="005E5B55" w:rsidRDefault="005E5B55" w:rsidP="008349F0">
            <w:pPr>
              <w:ind w:firstLine="0"/>
              <w:jc w:val="left"/>
              <w:rPr>
                <w:rFonts w:cs="Times New Roman"/>
                <w:b/>
                <w:bCs/>
                <w:color w:val="000000"/>
                <w:sz w:val="18"/>
                <w:szCs w:val="18"/>
              </w:rPr>
            </w:pPr>
            <w:proofErr w:type="spellStart"/>
            <w:r w:rsidRPr="005E5B55">
              <w:rPr>
                <w:rFonts w:cs="Times New Roman"/>
                <w:b/>
                <w:bCs/>
                <w:i/>
                <w:iCs/>
                <w:color w:val="000000"/>
                <w:sz w:val="18"/>
                <w:szCs w:val="18"/>
              </w:rPr>
              <w:t>one-off</w:t>
            </w:r>
            <w:proofErr w:type="spellEnd"/>
            <w:r w:rsidRPr="005E5B55">
              <w:rPr>
                <w:rFonts w:cs="Times New Roman"/>
                <w:b/>
                <w:bCs/>
                <w:color w:val="000000"/>
                <w:sz w:val="18"/>
                <w:szCs w:val="18"/>
              </w:rPr>
              <w:t xml:space="preserve"> un citi īslaicīgie pasākumi, milj. </w:t>
            </w:r>
            <w:proofErr w:type="spellStart"/>
            <w:r w:rsidRPr="005E5B55">
              <w:rPr>
                <w:rFonts w:cs="Times New Roman"/>
                <w:b/>
                <w:bCs/>
                <w:i/>
                <w:iCs/>
                <w:color w:val="000000"/>
                <w:sz w:val="18"/>
                <w:szCs w:val="18"/>
              </w:rPr>
              <w:t>euro</w:t>
            </w:r>
            <w:proofErr w:type="spellEnd"/>
            <w:r w:rsidRPr="005E5B55">
              <w:rPr>
                <w:rFonts w:cs="Times New Roman"/>
                <w:b/>
                <w:bCs/>
                <w:color w:val="000000"/>
                <w:sz w:val="18"/>
                <w:szCs w:val="18"/>
              </w:rPr>
              <w:t>, tai skaitā</w:t>
            </w:r>
          </w:p>
        </w:tc>
        <w:tc>
          <w:tcPr>
            <w:tcW w:w="907" w:type="dxa"/>
            <w:shd w:val="clear" w:color="auto" w:fill="BDD6EE" w:themeFill="accent1" w:themeFillTint="66"/>
            <w:noWrap/>
          </w:tcPr>
          <w:p w14:paraId="5F4F751B" w14:textId="234FDEA7"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-1 018,1</w:t>
            </w:r>
          </w:p>
        </w:tc>
        <w:tc>
          <w:tcPr>
            <w:tcW w:w="907" w:type="dxa"/>
            <w:shd w:val="clear" w:color="auto" w:fill="BDD6EE" w:themeFill="accent1" w:themeFillTint="66"/>
            <w:noWrap/>
          </w:tcPr>
          <w:p w14:paraId="064C76E9" w14:textId="65FB0638"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-2 054,7</w:t>
            </w:r>
          </w:p>
        </w:tc>
        <w:tc>
          <w:tcPr>
            <w:tcW w:w="907" w:type="dxa"/>
            <w:shd w:val="clear" w:color="auto" w:fill="BDD6EE" w:themeFill="accent1" w:themeFillTint="66"/>
            <w:noWrap/>
          </w:tcPr>
          <w:p w14:paraId="3E7A83EA" w14:textId="7E1F7836"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-1 878,6</w:t>
            </w:r>
          </w:p>
        </w:tc>
        <w:tc>
          <w:tcPr>
            <w:tcW w:w="907" w:type="dxa"/>
            <w:shd w:val="clear" w:color="auto" w:fill="BDD6EE" w:themeFill="accent1" w:themeFillTint="66"/>
            <w:noWrap/>
          </w:tcPr>
          <w:p w14:paraId="7D23757B" w14:textId="5A0365B3"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-820,8</w:t>
            </w:r>
          </w:p>
        </w:tc>
        <w:tc>
          <w:tcPr>
            <w:tcW w:w="907" w:type="dxa"/>
            <w:shd w:val="clear" w:color="auto" w:fill="BDD6EE" w:themeFill="accent1" w:themeFillTint="66"/>
            <w:noWrap/>
          </w:tcPr>
          <w:p w14:paraId="545EE8D7" w14:textId="645B0AD4"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-701,7</w:t>
            </w:r>
          </w:p>
        </w:tc>
        <w:tc>
          <w:tcPr>
            <w:tcW w:w="907" w:type="dxa"/>
            <w:shd w:val="clear" w:color="auto" w:fill="BDD6EE" w:themeFill="accent1" w:themeFillTint="66"/>
            <w:noWrap/>
          </w:tcPr>
          <w:p w14:paraId="5817755E" w14:textId="14DB9EE5"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-773,9</w:t>
            </w:r>
          </w:p>
        </w:tc>
        <w:tc>
          <w:tcPr>
            <w:tcW w:w="907" w:type="dxa"/>
            <w:shd w:val="clear" w:color="auto" w:fill="BDD6EE" w:themeFill="accent1" w:themeFillTint="66"/>
          </w:tcPr>
          <w:p w14:paraId="16FE7B41" w14:textId="5AC5A0DB"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-831,8</w:t>
            </w:r>
          </w:p>
        </w:tc>
        <w:tc>
          <w:tcPr>
            <w:tcW w:w="907" w:type="dxa"/>
            <w:shd w:val="clear" w:color="auto" w:fill="BDD6EE" w:themeFill="accent1" w:themeFillTint="66"/>
          </w:tcPr>
          <w:p w14:paraId="3BCB39DD" w14:textId="4D714476" w:rsidR="005E5B55" w:rsidRPr="005E5B55" w:rsidRDefault="005E5B55" w:rsidP="008349F0">
            <w:pPr>
              <w:ind w:firstLine="0"/>
              <w:jc w:val="center"/>
              <w:rPr>
                <w:b/>
                <w:bCs/>
                <w:color w:val="000000"/>
                <w:sz w:val="20"/>
                <w:szCs w:val="20"/>
              </w:rPr>
            </w:pPr>
            <w:r>
              <w:rPr>
                <w:rFonts w:cs="Times New Roman"/>
                <w:b/>
                <w:bCs/>
                <w:color w:val="000000"/>
                <w:sz w:val="20"/>
                <w:szCs w:val="20"/>
              </w:rPr>
              <w:t>-820,3</w:t>
            </w:r>
          </w:p>
        </w:tc>
        <w:tc>
          <w:tcPr>
            <w:tcW w:w="907" w:type="dxa"/>
            <w:shd w:val="clear" w:color="auto" w:fill="BDD6EE" w:themeFill="accent1" w:themeFillTint="66"/>
          </w:tcPr>
          <w:p w14:paraId="7E77B789" w14:textId="2604E3C4" w:rsidR="005E5B55" w:rsidRPr="005E5B55" w:rsidRDefault="005E5B55" w:rsidP="008349F0">
            <w:pPr>
              <w:ind w:firstLine="0"/>
              <w:jc w:val="center"/>
              <w:rPr>
                <w:b/>
                <w:bCs/>
                <w:color w:val="000000"/>
                <w:sz w:val="20"/>
                <w:szCs w:val="20"/>
              </w:rPr>
            </w:pPr>
            <w:r>
              <w:rPr>
                <w:rFonts w:cs="Times New Roman"/>
                <w:b/>
                <w:bCs/>
                <w:color w:val="000000"/>
                <w:sz w:val="20"/>
                <w:szCs w:val="20"/>
              </w:rPr>
              <w:t>-669,3</w:t>
            </w:r>
          </w:p>
        </w:tc>
      </w:tr>
      <w:tr w:rsidR="005E5B55" w:rsidRPr="005E5B55" w14:paraId="6AE0FFF6" w14:textId="77777777" w:rsidTr="008E1E6C">
        <w:trPr>
          <w:trHeight w:val="312"/>
          <w:jc w:val="center"/>
        </w:trPr>
        <w:tc>
          <w:tcPr>
            <w:tcW w:w="1980" w:type="dxa"/>
            <w:noWrap/>
            <w:hideMark/>
          </w:tcPr>
          <w:p w14:paraId="27B799E1" w14:textId="26EDDCDA" w:rsidR="005E5B55" w:rsidRPr="005E5B55" w:rsidRDefault="005E5B55" w:rsidP="008349F0">
            <w:pPr>
              <w:ind w:firstLine="0"/>
              <w:jc w:val="left"/>
              <w:rPr>
                <w:rFonts w:cs="Times New Roman"/>
                <w:color w:val="000000"/>
                <w:sz w:val="18"/>
                <w:szCs w:val="18"/>
              </w:rPr>
            </w:pPr>
            <w:r w:rsidRPr="005E5B55">
              <w:rPr>
                <w:color w:val="000000"/>
                <w:sz w:val="16"/>
                <w:szCs w:val="16"/>
              </w:rPr>
              <w:t>C</w:t>
            </w:r>
            <w:r w:rsidR="008E1E6C">
              <w:rPr>
                <w:color w:val="000000"/>
                <w:sz w:val="16"/>
                <w:szCs w:val="16"/>
              </w:rPr>
              <w:t>ovid</w:t>
            </w:r>
            <w:r w:rsidRPr="005E5B55">
              <w:rPr>
                <w:color w:val="000000"/>
                <w:sz w:val="16"/>
                <w:szCs w:val="16"/>
              </w:rPr>
              <w:t xml:space="preserve"> -19 pandēmijas mazināšanas pasākumi</w:t>
            </w:r>
          </w:p>
        </w:tc>
        <w:tc>
          <w:tcPr>
            <w:tcW w:w="907" w:type="dxa"/>
            <w:noWrap/>
          </w:tcPr>
          <w:p w14:paraId="49970948" w14:textId="0BFB7934" w:rsidR="005E5B55" w:rsidRPr="005E5B55" w:rsidRDefault="005E5B55" w:rsidP="008349F0">
            <w:pPr>
              <w:ind w:firstLine="0"/>
              <w:jc w:val="center"/>
              <w:rPr>
                <w:rFonts w:cs="Times New Roman"/>
                <w:color w:val="000000"/>
                <w:sz w:val="20"/>
                <w:szCs w:val="20"/>
              </w:rPr>
            </w:pPr>
            <w:r>
              <w:rPr>
                <w:rFonts w:cs="Times New Roman"/>
                <w:color w:val="000000"/>
                <w:sz w:val="20"/>
                <w:szCs w:val="20"/>
              </w:rPr>
              <w:t>-960,8</w:t>
            </w:r>
          </w:p>
        </w:tc>
        <w:tc>
          <w:tcPr>
            <w:tcW w:w="907" w:type="dxa"/>
            <w:noWrap/>
          </w:tcPr>
          <w:p w14:paraId="424BE001" w14:textId="54C84628" w:rsidR="005E5B55" w:rsidRPr="005E5B55" w:rsidRDefault="005E5B55" w:rsidP="008349F0">
            <w:pPr>
              <w:ind w:firstLine="0"/>
              <w:jc w:val="center"/>
              <w:rPr>
                <w:rFonts w:cs="Times New Roman"/>
                <w:color w:val="000000"/>
                <w:sz w:val="20"/>
                <w:szCs w:val="20"/>
              </w:rPr>
            </w:pPr>
            <w:r>
              <w:rPr>
                <w:rFonts w:cs="Times New Roman"/>
                <w:color w:val="000000"/>
                <w:sz w:val="20"/>
                <w:szCs w:val="20"/>
              </w:rPr>
              <w:t>-2 102,8</w:t>
            </w:r>
          </w:p>
        </w:tc>
        <w:tc>
          <w:tcPr>
            <w:tcW w:w="907" w:type="dxa"/>
            <w:noWrap/>
          </w:tcPr>
          <w:p w14:paraId="73DD5FD3" w14:textId="62BCEA05" w:rsidR="005E5B55" w:rsidRPr="005E5B55" w:rsidRDefault="005E5B55" w:rsidP="008349F0">
            <w:pPr>
              <w:ind w:firstLine="0"/>
              <w:jc w:val="center"/>
              <w:rPr>
                <w:rFonts w:cs="Times New Roman"/>
                <w:color w:val="000000"/>
                <w:sz w:val="20"/>
                <w:szCs w:val="20"/>
              </w:rPr>
            </w:pPr>
            <w:r>
              <w:rPr>
                <w:rFonts w:cs="Times New Roman"/>
                <w:color w:val="000000"/>
                <w:sz w:val="20"/>
                <w:szCs w:val="20"/>
              </w:rPr>
              <w:t>-796,4</w:t>
            </w:r>
          </w:p>
        </w:tc>
        <w:tc>
          <w:tcPr>
            <w:tcW w:w="907" w:type="dxa"/>
            <w:noWrap/>
          </w:tcPr>
          <w:p w14:paraId="0EB21D36" w14:textId="0BA84DC3" w:rsidR="005E5B55" w:rsidRPr="005E5B55" w:rsidRDefault="005E5B55" w:rsidP="008349F0">
            <w:pPr>
              <w:ind w:firstLine="0"/>
              <w:jc w:val="center"/>
              <w:rPr>
                <w:rFonts w:cs="Times New Roman"/>
                <w:color w:val="000000"/>
                <w:sz w:val="20"/>
                <w:szCs w:val="20"/>
              </w:rPr>
            </w:pPr>
            <w:r>
              <w:rPr>
                <w:rFonts w:cs="Times New Roman"/>
                <w:color w:val="000000"/>
                <w:sz w:val="20"/>
                <w:szCs w:val="20"/>
              </w:rPr>
              <w:t>-65,3</w:t>
            </w:r>
          </w:p>
        </w:tc>
        <w:tc>
          <w:tcPr>
            <w:tcW w:w="907" w:type="dxa"/>
            <w:noWrap/>
          </w:tcPr>
          <w:p w14:paraId="62176852" w14:textId="0FF6E7F8" w:rsidR="005E5B55" w:rsidRPr="005E5B55" w:rsidRDefault="005E5B55" w:rsidP="008349F0">
            <w:pPr>
              <w:ind w:firstLine="0"/>
              <w:jc w:val="center"/>
              <w:rPr>
                <w:rFonts w:cs="Times New Roman"/>
                <w:color w:val="000000"/>
                <w:sz w:val="20"/>
                <w:szCs w:val="20"/>
              </w:rPr>
            </w:pPr>
            <w:r>
              <w:rPr>
                <w:rFonts w:cs="Times New Roman"/>
                <w:color w:val="000000"/>
                <w:sz w:val="20"/>
                <w:szCs w:val="20"/>
              </w:rPr>
              <w:t>-7,4</w:t>
            </w:r>
          </w:p>
        </w:tc>
        <w:tc>
          <w:tcPr>
            <w:tcW w:w="907" w:type="dxa"/>
            <w:noWrap/>
          </w:tcPr>
          <w:p w14:paraId="370A0B79" w14:textId="0D37FD6E" w:rsidR="005E5B55" w:rsidRPr="005E5B55" w:rsidRDefault="005E5B55" w:rsidP="008349F0">
            <w:pPr>
              <w:ind w:firstLine="0"/>
              <w:jc w:val="center"/>
              <w:rPr>
                <w:rFonts w:cs="Times New Roman"/>
                <w:color w:val="000000"/>
                <w:sz w:val="20"/>
                <w:szCs w:val="20"/>
              </w:rPr>
            </w:pPr>
            <w:r>
              <w:rPr>
                <w:rFonts w:cs="Times New Roman"/>
                <w:color w:val="000000"/>
                <w:sz w:val="20"/>
                <w:szCs w:val="20"/>
              </w:rPr>
              <w:t>-5,3</w:t>
            </w:r>
          </w:p>
        </w:tc>
        <w:tc>
          <w:tcPr>
            <w:tcW w:w="907" w:type="dxa"/>
          </w:tcPr>
          <w:p w14:paraId="1766FA33" w14:textId="44D7A232" w:rsidR="005E5B55" w:rsidRPr="005E5B55" w:rsidRDefault="005E5B55" w:rsidP="008349F0">
            <w:pPr>
              <w:ind w:firstLine="0"/>
              <w:jc w:val="center"/>
              <w:rPr>
                <w:rFonts w:cs="Times New Roman"/>
                <w:color w:val="000000"/>
                <w:sz w:val="20"/>
                <w:szCs w:val="20"/>
              </w:rPr>
            </w:pPr>
            <w:r>
              <w:rPr>
                <w:rFonts w:cs="Times New Roman"/>
                <w:color w:val="000000"/>
                <w:sz w:val="20"/>
                <w:szCs w:val="20"/>
              </w:rPr>
              <w:t>-5,3</w:t>
            </w:r>
          </w:p>
        </w:tc>
        <w:tc>
          <w:tcPr>
            <w:tcW w:w="907" w:type="dxa"/>
          </w:tcPr>
          <w:p w14:paraId="649936D0" w14:textId="1F762126" w:rsidR="005E5B55" w:rsidRPr="005E5B55" w:rsidRDefault="005E5B55" w:rsidP="008349F0">
            <w:pPr>
              <w:ind w:firstLine="0"/>
              <w:jc w:val="center"/>
              <w:rPr>
                <w:color w:val="000000"/>
                <w:sz w:val="20"/>
                <w:szCs w:val="20"/>
              </w:rPr>
            </w:pPr>
            <w:r>
              <w:rPr>
                <w:rFonts w:cs="Times New Roman"/>
                <w:color w:val="000000"/>
                <w:sz w:val="20"/>
                <w:szCs w:val="20"/>
              </w:rPr>
              <w:t>-5,3</w:t>
            </w:r>
          </w:p>
        </w:tc>
        <w:tc>
          <w:tcPr>
            <w:tcW w:w="907" w:type="dxa"/>
          </w:tcPr>
          <w:p w14:paraId="64D8C3EB" w14:textId="11E25F23" w:rsidR="005E5B55" w:rsidRPr="005E5B55" w:rsidRDefault="005E5B55" w:rsidP="008349F0">
            <w:pPr>
              <w:ind w:firstLine="0"/>
              <w:jc w:val="center"/>
              <w:rPr>
                <w:color w:val="000000"/>
                <w:sz w:val="20"/>
                <w:szCs w:val="20"/>
              </w:rPr>
            </w:pPr>
            <w:r>
              <w:rPr>
                <w:rFonts w:cs="Times New Roman"/>
                <w:color w:val="000000"/>
                <w:sz w:val="20"/>
                <w:szCs w:val="20"/>
              </w:rPr>
              <w:t>-5,3</w:t>
            </w:r>
          </w:p>
        </w:tc>
      </w:tr>
      <w:tr w:rsidR="005E5B55" w:rsidRPr="005E5B55" w14:paraId="3A84DBE8" w14:textId="77777777" w:rsidTr="008E1E6C">
        <w:trPr>
          <w:trHeight w:val="312"/>
          <w:jc w:val="center"/>
        </w:trPr>
        <w:tc>
          <w:tcPr>
            <w:tcW w:w="1980" w:type="dxa"/>
            <w:noWrap/>
            <w:hideMark/>
          </w:tcPr>
          <w:p w14:paraId="54C8684B" w14:textId="77777777" w:rsidR="005E5B55" w:rsidRPr="005E5B55" w:rsidRDefault="005E5B55" w:rsidP="008349F0">
            <w:pPr>
              <w:ind w:firstLine="0"/>
              <w:jc w:val="left"/>
              <w:rPr>
                <w:rFonts w:cs="Times New Roman"/>
                <w:color w:val="000000"/>
                <w:sz w:val="18"/>
                <w:szCs w:val="18"/>
              </w:rPr>
            </w:pPr>
            <w:r w:rsidRPr="005E5B55">
              <w:rPr>
                <w:color w:val="000000"/>
                <w:sz w:val="16"/>
                <w:szCs w:val="16"/>
              </w:rPr>
              <w:t>enerģijas cenas pieauguma mazināšanas pasākumi</w:t>
            </w:r>
          </w:p>
        </w:tc>
        <w:tc>
          <w:tcPr>
            <w:tcW w:w="907" w:type="dxa"/>
            <w:noWrap/>
          </w:tcPr>
          <w:p w14:paraId="2755DCB0" w14:textId="77777777" w:rsidR="005E5B55" w:rsidRPr="005E5B55" w:rsidRDefault="005E5B55" w:rsidP="008349F0">
            <w:pPr>
              <w:ind w:firstLine="0"/>
              <w:jc w:val="center"/>
              <w:rPr>
                <w:rFonts w:cs="Times New Roman"/>
                <w:color w:val="000000"/>
                <w:sz w:val="20"/>
                <w:szCs w:val="20"/>
              </w:rPr>
            </w:pPr>
          </w:p>
        </w:tc>
        <w:tc>
          <w:tcPr>
            <w:tcW w:w="907" w:type="dxa"/>
            <w:noWrap/>
          </w:tcPr>
          <w:p w14:paraId="240024CE" w14:textId="274D8000" w:rsidR="005E5B55" w:rsidRPr="005E5B55" w:rsidRDefault="005E5B55" w:rsidP="008349F0">
            <w:pPr>
              <w:ind w:firstLine="0"/>
              <w:jc w:val="center"/>
              <w:rPr>
                <w:rFonts w:cs="Times New Roman"/>
                <w:color w:val="000000"/>
                <w:sz w:val="20"/>
                <w:szCs w:val="20"/>
              </w:rPr>
            </w:pPr>
            <w:r>
              <w:rPr>
                <w:rFonts w:cs="Times New Roman"/>
                <w:color w:val="000000"/>
                <w:sz w:val="20"/>
                <w:szCs w:val="20"/>
              </w:rPr>
              <w:t>-1,9</w:t>
            </w:r>
          </w:p>
        </w:tc>
        <w:tc>
          <w:tcPr>
            <w:tcW w:w="907" w:type="dxa"/>
            <w:noWrap/>
          </w:tcPr>
          <w:p w14:paraId="3490B6A6" w14:textId="664E2DFB" w:rsidR="005E5B55" w:rsidRPr="005E5B55" w:rsidRDefault="005E5B55" w:rsidP="008349F0">
            <w:pPr>
              <w:ind w:firstLine="0"/>
              <w:jc w:val="center"/>
              <w:rPr>
                <w:rFonts w:cs="Times New Roman"/>
                <w:color w:val="000000"/>
                <w:sz w:val="20"/>
                <w:szCs w:val="20"/>
              </w:rPr>
            </w:pPr>
            <w:r>
              <w:rPr>
                <w:rFonts w:cs="Times New Roman"/>
                <w:color w:val="000000"/>
                <w:sz w:val="20"/>
                <w:szCs w:val="20"/>
              </w:rPr>
              <w:t>-1 001,2</w:t>
            </w:r>
          </w:p>
        </w:tc>
        <w:tc>
          <w:tcPr>
            <w:tcW w:w="907" w:type="dxa"/>
            <w:noWrap/>
          </w:tcPr>
          <w:p w14:paraId="2EBBC08B" w14:textId="18C99ACB" w:rsidR="005E5B55" w:rsidRPr="005E5B55" w:rsidRDefault="005E5B55" w:rsidP="008349F0">
            <w:pPr>
              <w:ind w:firstLine="0"/>
              <w:jc w:val="center"/>
              <w:rPr>
                <w:rFonts w:cs="Times New Roman"/>
                <w:color w:val="000000"/>
                <w:sz w:val="20"/>
                <w:szCs w:val="20"/>
              </w:rPr>
            </w:pPr>
            <w:r>
              <w:rPr>
                <w:rFonts w:cs="Times New Roman"/>
                <w:color w:val="000000"/>
                <w:sz w:val="20"/>
                <w:szCs w:val="20"/>
              </w:rPr>
              <w:t>-399,3</w:t>
            </w:r>
          </w:p>
        </w:tc>
        <w:tc>
          <w:tcPr>
            <w:tcW w:w="907" w:type="dxa"/>
            <w:noWrap/>
          </w:tcPr>
          <w:p w14:paraId="73D65DD9" w14:textId="1421A033" w:rsidR="005E5B55" w:rsidRPr="005E5B55" w:rsidRDefault="005E5B55" w:rsidP="008349F0">
            <w:pPr>
              <w:ind w:firstLine="0"/>
              <w:jc w:val="center"/>
              <w:rPr>
                <w:rFonts w:cs="Times New Roman"/>
                <w:color w:val="000000"/>
                <w:sz w:val="20"/>
                <w:szCs w:val="20"/>
              </w:rPr>
            </w:pPr>
            <w:r>
              <w:rPr>
                <w:rFonts w:cs="Times New Roman"/>
                <w:color w:val="000000"/>
                <w:sz w:val="20"/>
                <w:szCs w:val="20"/>
              </w:rPr>
              <w:t>0,0</w:t>
            </w:r>
          </w:p>
        </w:tc>
        <w:tc>
          <w:tcPr>
            <w:tcW w:w="907" w:type="dxa"/>
            <w:noWrap/>
          </w:tcPr>
          <w:p w14:paraId="01DB475F" w14:textId="77777777" w:rsidR="005E5B55" w:rsidRPr="005E5B55" w:rsidRDefault="005E5B55" w:rsidP="008349F0">
            <w:pPr>
              <w:ind w:firstLine="0"/>
              <w:jc w:val="center"/>
              <w:rPr>
                <w:rFonts w:cs="Times New Roman"/>
                <w:color w:val="000000"/>
                <w:sz w:val="20"/>
                <w:szCs w:val="20"/>
              </w:rPr>
            </w:pPr>
          </w:p>
        </w:tc>
        <w:tc>
          <w:tcPr>
            <w:tcW w:w="907" w:type="dxa"/>
          </w:tcPr>
          <w:p w14:paraId="544DAC9A" w14:textId="77777777" w:rsidR="005E5B55" w:rsidRPr="005E5B55" w:rsidRDefault="005E5B55" w:rsidP="008349F0">
            <w:pPr>
              <w:ind w:firstLine="0"/>
              <w:jc w:val="center"/>
              <w:rPr>
                <w:rFonts w:cs="Times New Roman"/>
                <w:color w:val="000000"/>
                <w:sz w:val="20"/>
                <w:szCs w:val="20"/>
              </w:rPr>
            </w:pPr>
          </w:p>
        </w:tc>
        <w:tc>
          <w:tcPr>
            <w:tcW w:w="907" w:type="dxa"/>
          </w:tcPr>
          <w:p w14:paraId="42E3666A" w14:textId="77777777" w:rsidR="005E5B55" w:rsidRPr="005E5B55" w:rsidRDefault="005E5B55" w:rsidP="008349F0">
            <w:pPr>
              <w:ind w:firstLine="0"/>
              <w:jc w:val="center"/>
              <w:rPr>
                <w:rFonts w:cs="Times New Roman"/>
                <w:color w:val="000000"/>
                <w:sz w:val="20"/>
                <w:szCs w:val="20"/>
              </w:rPr>
            </w:pPr>
          </w:p>
        </w:tc>
        <w:tc>
          <w:tcPr>
            <w:tcW w:w="907" w:type="dxa"/>
          </w:tcPr>
          <w:p w14:paraId="28DCD284" w14:textId="77777777" w:rsidR="005E5B55" w:rsidRPr="005E5B55" w:rsidRDefault="005E5B55" w:rsidP="008349F0">
            <w:pPr>
              <w:ind w:firstLine="0"/>
              <w:jc w:val="center"/>
              <w:rPr>
                <w:rFonts w:cs="Times New Roman"/>
                <w:color w:val="000000"/>
                <w:sz w:val="20"/>
                <w:szCs w:val="20"/>
              </w:rPr>
            </w:pPr>
          </w:p>
        </w:tc>
      </w:tr>
      <w:tr w:rsidR="005E5B55" w:rsidRPr="005E5B55" w14:paraId="60B6DFD5" w14:textId="77777777" w:rsidTr="008E1E6C">
        <w:trPr>
          <w:trHeight w:val="312"/>
          <w:jc w:val="center"/>
        </w:trPr>
        <w:tc>
          <w:tcPr>
            <w:tcW w:w="1980" w:type="dxa"/>
            <w:noWrap/>
            <w:hideMark/>
          </w:tcPr>
          <w:p w14:paraId="15F537D7" w14:textId="77777777" w:rsidR="005E5B55" w:rsidRPr="005E5B55" w:rsidRDefault="005E5B55" w:rsidP="008349F0">
            <w:pPr>
              <w:ind w:firstLine="0"/>
              <w:jc w:val="left"/>
              <w:rPr>
                <w:rFonts w:cs="Times New Roman"/>
                <w:color w:val="000000"/>
                <w:sz w:val="18"/>
                <w:szCs w:val="18"/>
              </w:rPr>
            </w:pPr>
            <w:r w:rsidRPr="005E5B55">
              <w:rPr>
                <w:color w:val="000000"/>
                <w:sz w:val="16"/>
                <w:szCs w:val="16"/>
              </w:rPr>
              <w:t>aizsardzības un iekšējās drošības finansējums</w:t>
            </w:r>
          </w:p>
        </w:tc>
        <w:tc>
          <w:tcPr>
            <w:tcW w:w="907" w:type="dxa"/>
            <w:noWrap/>
          </w:tcPr>
          <w:p w14:paraId="7B6BDD70" w14:textId="77777777" w:rsidR="005E5B55" w:rsidRPr="005E5B55" w:rsidRDefault="005E5B55" w:rsidP="008349F0">
            <w:pPr>
              <w:ind w:firstLine="0"/>
              <w:jc w:val="center"/>
              <w:rPr>
                <w:rFonts w:cs="Times New Roman"/>
                <w:color w:val="000000"/>
                <w:sz w:val="20"/>
                <w:szCs w:val="20"/>
              </w:rPr>
            </w:pPr>
          </w:p>
        </w:tc>
        <w:tc>
          <w:tcPr>
            <w:tcW w:w="907" w:type="dxa"/>
            <w:noWrap/>
          </w:tcPr>
          <w:p w14:paraId="741B0393" w14:textId="77777777" w:rsidR="005E5B55" w:rsidRPr="005E5B55" w:rsidRDefault="005E5B55" w:rsidP="008349F0">
            <w:pPr>
              <w:ind w:firstLine="0"/>
              <w:jc w:val="center"/>
              <w:rPr>
                <w:rFonts w:cs="Times New Roman"/>
                <w:color w:val="000000"/>
                <w:sz w:val="20"/>
                <w:szCs w:val="20"/>
              </w:rPr>
            </w:pPr>
          </w:p>
        </w:tc>
        <w:tc>
          <w:tcPr>
            <w:tcW w:w="907" w:type="dxa"/>
            <w:noWrap/>
          </w:tcPr>
          <w:p w14:paraId="4B652233" w14:textId="77777777" w:rsidR="005E5B55" w:rsidRPr="005E5B55" w:rsidRDefault="005E5B55" w:rsidP="008349F0">
            <w:pPr>
              <w:ind w:firstLine="0"/>
              <w:jc w:val="center"/>
              <w:rPr>
                <w:rFonts w:cs="Times New Roman"/>
                <w:color w:val="000000"/>
                <w:sz w:val="20"/>
                <w:szCs w:val="20"/>
              </w:rPr>
            </w:pPr>
          </w:p>
        </w:tc>
        <w:tc>
          <w:tcPr>
            <w:tcW w:w="907" w:type="dxa"/>
            <w:noWrap/>
          </w:tcPr>
          <w:p w14:paraId="01DDEBDA" w14:textId="7A1B581B" w:rsidR="005E5B55" w:rsidRPr="005E5B55" w:rsidRDefault="005E5B55" w:rsidP="008349F0">
            <w:pPr>
              <w:ind w:firstLine="0"/>
              <w:jc w:val="center"/>
              <w:rPr>
                <w:rFonts w:cs="Times New Roman"/>
                <w:color w:val="000000"/>
                <w:sz w:val="20"/>
                <w:szCs w:val="20"/>
              </w:rPr>
            </w:pPr>
            <w:r>
              <w:rPr>
                <w:rFonts w:cs="Times New Roman"/>
                <w:color w:val="000000"/>
                <w:sz w:val="20"/>
                <w:szCs w:val="20"/>
              </w:rPr>
              <w:t>-219,8</w:t>
            </w:r>
          </w:p>
        </w:tc>
        <w:tc>
          <w:tcPr>
            <w:tcW w:w="907" w:type="dxa"/>
            <w:noWrap/>
          </w:tcPr>
          <w:p w14:paraId="39ADBE32" w14:textId="30205148" w:rsidR="005E5B55" w:rsidRPr="005E5B55" w:rsidRDefault="005E5B55" w:rsidP="008349F0">
            <w:pPr>
              <w:ind w:firstLine="0"/>
              <w:jc w:val="center"/>
              <w:rPr>
                <w:rFonts w:cs="Times New Roman"/>
                <w:color w:val="000000"/>
                <w:sz w:val="20"/>
                <w:szCs w:val="20"/>
              </w:rPr>
            </w:pPr>
            <w:r>
              <w:rPr>
                <w:rFonts w:cs="Times New Roman"/>
                <w:color w:val="000000"/>
                <w:sz w:val="20"/>
                <w:szCs w:val="20"/>
              </w:rPr>
              <w:t>-340,3</w:t>
            </w:r>
          </w:p>
        </w:tc>
        <w:tc>
          <w:tcPr>
            <w:tcW w:w="907" w:type="dxa"/>
            <w:noWrap/>
          </w:tcPr>
          <w:p w14:paraId="59666041" w14:textId="093BF768" w:rsidR="005E5B55" w:rsidRPr="005E5B55" w:rsidRDefault="005E5B55" w:rsidP="008349F0">
            <w:pPr>
              <w:ind w:firstLine="0"/>
              <w:jc w:val="center"/>
              <w:rPr>
                <w:rFonts w:cs="Times New Roman"/>
                <w:color w:val="000000"/>
                <w:sz w:val="20"/>
                <w:szCs w:val="20"/>
              </w:rPr>
            </w:pPr>
            <w:r>
              <w:rPr>
                <w:rFonts w:cs="Times New Roman"/>
                <w:color w:val="000000"/>
                <w:sz w:val="20"/>
                <w:szCs w:val="20"/>
              </w:rPr>
              <w:t>-450,3</w:t>
            </w:r>
          </w:p>
        </w:tc>
        <w:tc>
          <w:tcPr>
            <w:tcW w:w="907" w:type="dxa"/>
          </w:tcPr>
          <w:p w14:paraId="47877128" w14:textId="76FEF9FF" w:rsidR="005E5B55" w:rsidRPr="005E5B55" w:rsidRDefault="005E5B55" w:rsidP="008349F0">
            <w:pPr>
              <w:ind w:firstLine="0"/>
              <w:jc w:val="center"/>
              <w:rPr>
                <w:rFonts w:cs="Times New Roman"/>
                <w:color w:val="000000"/>
                <w:sz w:val="20"/>
                <w:szCs w:val="20"/>
              </w:rPr>
            </w:pPr>
            <w:r>
              <w:rPr>
                <w:rFonts w:cs="Times New Roman"/>
                <w:color w:val="000000"/>
                <w:sz w:val="20"/>
                <w:szCs w:val="20"/>
              </w:rPr>
              <w:t>-548,9</w:t>
            </w:r>
          </w:p>
        </w:tc>
        <w:tc>
          <w:tcPr>
            <w:tcW w:w="907" w:type="dxa"/>
          </w:tcPr>
          <w:p w14:paraId="320CF9AD" w14:textId="09C3C994" w:rsidR="005E5B55" w:rsidRPr="005E5B55" w:rsidRDefault="005E5B55" w:rsidP="008349F0">
            <w:pPr>
              <w:ind w:firstLine="0"/>
              <w:jc w:val="center"/>
              <w:rPr>
                <w:sz w:val="20"/>
                <w:szCs w:val="20"/>
              </w:rPr>
            </w:pPr>
            <w:r>
              <w:rPr>
                <w:rFonts w:cs="Times New Roman"/>
                <w:color w:val="000000"/>
                <w:sz w:val="20"/>
                <w:szCs w:val="20"/>
              </w:rPr>
              <w:t>-521,2</w:t>
            </w:r>
          </w:p>
        </w:tc>
        <w:tc>
          <w:tcPr>
            <w:tcW w:w="907" w:type="dxa"/>
          </w:tcPr>
          <w:p w14:paraId="36D33C23" w14:textId="50A1D191" w:rsidR="005E5B55" w:rsidRPr="005E5B55" w:rsidRDefault="005E5B55" w:rsidP="008349F0">
            <w:pPr>
              <w:ind w:firstLine="0"/>
              <w:jc w:val="center"/>
              <w:rPr>
                <w:sz w:val="20"/>
                <w:szCs w:val="20"/>
              </w:rPr>
            </w:pPr>
            <w:r>
              <w:rPr>
                <w:rFonts w:cs="Times New Roman"/>
                <w:color w:val="000000"/>
                <w:sz w:val="20"/>
                <w:szCs w:val="20"/>
              </w:rPr>
              <w:t>-339,0</w:t>
            </w:r>
          </w:p>
        </w:tc>
      </w:tr>
      <w:tr w:rsidR="005E5B55" w:rsidRPr="005E5B55" w14:paraId="0DDC6FD0" w14:textId="77777777" w:rsidTr="008E1E6C">
        <w:trPr>
          <w:trHeight w:val="312"/>
          <w:jc w:val="center"/>
        </w:trPr>
        <w:tc>
          <w:tcPr>
            <w:tcW w:w="1980" w:type="dxa"/>
            <w:noWrap/>
            <w:hideMark/>
          </w:tcPr>
          <w:p w14:paraId="62B5D567" w14:textId="77777777" w:rsidR="005E5B55" w:rsidRPr="005E5B55" w:rsidRDefault="005E5B55" w:rsidP="008349F0">
            <w:pPr>
              <w:ind w:firstLine="0"/>
              <w:jc w:val="left"/>
              <w:rPr>
                <w:rFonts w:cs="Times New Roman"/>
                <w:color w:val="000000"/>
                <w:sz w:val="18"/>
                <w:szCs w:val="18"/>
              </w:rPr>
            </w:pPr>
            <w:r w:rsidRPr="005E5B55">
              <w:rPr>
                <w:color w:val="000000"/>
                <w:sz w:val="16"/>
                <w:szCs w:val="16"/>
              </w:rPr>
              <w:t>atbalsts bēgļiem no Ukrainas</w:t>
            </w:r>
          </w:p>
        </w:tc>
        <w:tc>
          <w:tcPr>
            <w:tcW w:w="907" w:type="dxa"/>
            <w:noWrap/>
          </w:tcPr>
          <w:p w14:paraId="74C8C740" w14:textId="77777777" w:rsidR="005E5B55" w:rsidRPr="005E5B55" w:rsidRDefault="005E5B55" w:rsidP="008349F0">
            <w:pPr>
              <w:ind w:firstLine="0"/>
              <w:jc w:val="center"/>
              <w:rPr>
                <w:rFonts w:cs="Times New Roman"/>
                <w:color w:val="000000"/>
                <w:sz w:val="20"/>
                <w:szCs w:val="20"/>
              </w:rPr>
            </w:pPr>
          </w:p>
        </w:tc>
        <w:tc>
          <w:tcPr>
            <w:tcW w:w="907" w:type="dxa"/>
            <w:noWrap/>
          </w:tcPr>
          <w:p w14:paraId="5590E599" w14:textId="77777777" w:rsidR="005E5B55" w:rsidRPr="005E5B55" w:rsidRDefault="005E5B55" w:rsidP="008349F0">
            <w:pPr>
              <w:ind w:firstLine="0"/>
              <w:jc w:val="center"/>
              <w:rPr>
                <w:rFonts w:cs="Times New Roman"/>
                <w:color w:val="000000"/>
                <w:sz w:val="20"/>
                <w:szCs w:val="20"/>
              </w:rPr>
            </w:pPr>
          </w:p>
        </w:tc>
        <w:tc>
          <w:tcPr>
            <w:tcW w:w="907" w:type="dxa"/>
            <w:noWrap/>
          </w:tcPr>
          <w:p w14:paraId="32C50875" w14:textId="4EA64F41" w:rsidR="005E5B55" w:rsidRPr="005E5B55" w:rsidRDefault="005E5B55" w:rsidP="008349F0">
            <w:pPr>
              <w:ind w:firstLine="0"/>
              <w:jc w:val="center"/>
              <w:rPr>
                <w:rFonts w:cs="Times New Roman"/>
                <w:color w:val="000000"/>
                <w:sz w:val="20"/>
                <w:szCs w:val="20"/>
              </w:rPr>
            </w:pPr>
            <w:r>
              <w:rPr>
                <w:rFonts w:cs="Times New Roman"/>
                <w:color w:val="000000"/>
                <w:sz w:val="20"/>
                <w:szCs w:val="20"/>
              </w:rPr>
              <w:t>-81,0</w:t>
            </w:r>
          </w:p>
        </w:tc>
        <w:tc>
          <w:tcPr>
            <w:tcW w:w="907" w:type="dxa"/>
            <w:noWrap/>
          </w:tcPr>
          <w:p w14:paraId="4BE23D3B" w14:textId="45E09E9B" w:rsidR="005E5B55" w:rsidRPr="005E5B55" w:rsidRDefault="005E5B55" w:rsidP="008349F0">
            <w:pPr>
              <w:ind w:firstLine="0"/>
              <w:jc w:val="center"/>
              <w:rPr>
                <w:rFonts w:cs="Times New Roman"/>
                <w:color w:val="000000"/>
                <w:sz w:val="20"/>
                <w:szCs w:val="20"/>
              </w:rPr>
            </w:pPr>
            <w:r>
              <w:rPr>
                <w:rFonts w:cs="Times New Roman"/>
                <w:color w:val="000000"/>
                <w:sz w:val="20"/>
                <w:szCs w:val="20"/>
              </w:rPr>
              <w:t>-67,9</w:t>
            </w:r>
          </w:p>
        </w:tc>
        <w:tc>
          <w:tcPr>
            <w:tcW w:w="907" w:type="dxa"/>
            <w:noWrap/>
          </w:tcPr>
          <w:p w14:paraId="4153DA46" w14:textId="67D70213" w:rsidR="005E5B55" w:rsidRPr="005E5B55" w:rsidRDefault="005E5B55" w:rsidP="008349F0">
            <w:pPr>
              <w:ind w:firstLine="0"/>
              <w:jc w:val="center"/>
              <w:rPr>
                <w:rFonts w:cs="Times New Roman"/>
                <w:color w:val="000000"/>
                <w:sz w:val="20"/>
                <w:szCs w:val="20"/>
              </w:rPr>
            </w:pPr>
            <w:r>
              <w:rPr>
                <w:rFonts w:cs="Times New Roman"/>
                <w:color w:val="000000"/>
                <w:sz w:val="20"/>
                <w:szCs w:val="20"/>
              </w:rPr>
              <w:t>-70,0</w:t>
            </w:r>
          </w:p>
        </w:tc>
        <w:tc>
          <w:tcPr>
            <w:tcW w:w="907" w:type="dxa"/>
            <w:noWrap/>
          </w:tcPr>
          <w:p w14:paraId="48E9811A" w14:textId="77777777" w:rsidR="005E5B55" w:rsidRPr="005E5B55" w:rsidRDefault="005E5B55" w:rsidP="008349F0">
            <w:pPr>
              <w:ind w:firstLine="0"/>
              <w:jc w:val="center"/>
              <w:rPr>
                <w:rFonts w:cs="Times New Roman"/>
                <w:color w:val="000000"/>
                <w:sz w:val="20"/>
                <w:szCs w:val="20"/>
              </w:rPr>
            </w:pPr>
          </w:p>
        </w:tc>
        <w:tc>
          <w:tcPr>
            <w:tcW w:w="907" w:type="dxa"/>
          </w:tcPr>
          <w:p w14:paraId="410A9BD6" w14:textId="77777777" w:rsidR="005E5B55" w:rsidRPr="005E5B55" w:rsidRDefault="005E5B55" w:rsidP="008349F0">
            <w:pPr>
              <w:ind w:firstLine="0"/>
              <w:jc w:val="center"/>
              <w:rPr>
                <w:rFonts w:cs="Times New Roman"/>
                <w:color w:val="000000"/>
                <w:sz w:val="20"/>
                <w:szCs w:val="20"/>
              </w:rPr>
            </w:pPr>
          </w:p>
        </w:tc>
        <w:tc>
          <w:tcPr>
            <w:tcW w:w="907" w:type="dxa"/>
          </w:tcPr>
          <w:p w14:paraId="4F092EF7" w14:textId="77777777" w:rsidR="005E5B55" w:rsidRPr="005E5B55" w:rsidRDefault="005E5B55" w:rsidP="008349F0">
            <w:pPr>
              <w:ind w:firstLine="0"/>
              <w:jc w:val="center"/>
              <w:rPr>
                <w:rFonts w:cs="Times New Roman"/>
                <w:color w:val="000000"/>
                <w:sz w:val="20"/>
                <w:szCs w:val="20"/>
              </w:rPr>
            </w:pPr>
          </w:p>
        </w:tc>
        <w:tc>
          <w:tcPr>
            <w:tcW w:w="907" w:type="dxa"/>
          </w:tcPr>
          <w:p w14:paraId="2E5BABD9" w14:textId="77777777" w:rsidR="005E5B55" w:rsidRPr="005E5B55" w:rsidRDefault="005E5B55" w:rsidP="008349F0">
            <w:pPr>
              <w:ind w:firstLine="0"/>
              <w:jc w:val="center"/>
              <w:rPr>
                <w:rFonts w:cs="Times New Roman"/>
                <w:color w:val="000000"/>
                <w:sz w:val="20"/>
                <w:szCs w:val="20"/>
              </w:rPr>
            </w:pPr>
          </w:p>
        </w:tc>
      </w:tr>
      <w:tr w:rsidR="005E5B55" w:rsidRPr="005E5B55" w14:paraId="6CCCA6DF" w14:textId="77777777" w:rsidTr="008E1E6C">
        <w:trPr>
          <w:trHeight w:val="312"/>
          <w:jc w:val="center"/>
        </w:trPr>
        <w:tc>
          <w:tcPr>
            <w:tcW w:w="1980" w:type="dxa"/>
            <w:noWrap/>
            <w:hideMark/>
          </w:tcPr>
          <w:p w14:paraId="7F5FF855" w14:textId="77777777" w:rsidR="005E5B55" w:rsidRDefault="005E5B55" w:rsidP="008349F0">
            <w:pPr>
              <w:ind w:firstLine="0"/>
              <w:jc w:val="left"/>
              <w:rPr>
                <w:color w:val="000000"/>
                <w:sz w:val="16"/>
                <w:szCs w:val="16"/>
              </w:rPr>
            </w:pPr>
            <w:r w:rsidRPr="005E5B55">
              <w:rPr>
                <w:color w:val="000000"/>
                <w:sz w:val="16"/>
                <w:szCs w:val="16"/>
              </w:rPr>
              <w:t xml:space="preserve">citi/vienreizējie izdevumi valsts aizsardzībai un iekšējai drošībai </w:t>
            </w:r>
            <w:r w:rsidRPr="005E5B55">
              <w:rPr>
                <w:color w:val="000000"/>
                <w:sz w:val="16"/>
                <w:szCs w:val="16"/>
              </w:rPr>
              <w:br/>
            </w:r>
            <w:r w:rsidRPr="005E5B55">
              <w:rPr>
                <w:color w:val="000000"/>
                <w:sz w:val="16"/>
                <w:szCs w:val="16"/>
              </w:rPr>
              <w:lastRenderedPageBreak/>
              <w:t>(18.pr + % maksājumi par aizdevumu UA)</w:t>
            </w:r>
          </w:p>
          <w:p w14:paraId="5CBA3914" w14:textId="77777777" w:rsidR="00D060E5" w:rsidRPr="005E5B55" w:rsidRDefault="00D060E5" w:rsidP="008349F0">
            <w:pPr>
              <w:ind w:firstLine="0"/>
              <w:jc w:val="left"/>
              <w:rPr>
                <w:rFonts w:cs="Times New Roman"/>
                <w:color w:val="000000"/>
                <w:sz w:val="18"/>
                <w:szCs w:val="18"/>
              </w:rPr>
            </w:pPr>
          </w:p>
        </w:tc>
        <w:tc>
          <w:tcPr>
            <w:tcW w:w="907" w:type="dxa"/>
            <w:noWrap/>
          </w:tcPr>
          <w:p w14:paraId="6F2CAF25" w14:textId="0B9B4CC3" w:rsidR="005E5B55" w:rsidRPr="005E5B55" w:rsidRDefault="005E5B55" w:rsidP="008349F0">
            <w:pPr>
              <w:ind w:firstLine="0"/>
              <w:jc w:val="center"/>
              <w:rPr>
                <w:rFonts w:cs="Times New Roman"/>
                <w:color w:val="000000"/>
                <w:sz w:val="20"/>
                <w:szCs w:val="20"/>
              </w:rPr>
            </w:pPr>
            <w:r>
              <w:rPr>
                <w:rFonts w:cs="Times New Roman"/>
                <w:color w:val="000000"/>
                <w:sz w:val="20"/>
                <w:szCs w:val="20"/>
              </w:rPr>
              <w:lastRenderedPageBreak/>
              <w:t>-57,3</w:t>
            </w:r>
          </w:p>
        </w:tc>
        <w:tc>
          <w:tcPr>
            <w:tcW w:w="907" w:type="dxa"/>
            <w:noWrap/>
          </w:tcPr>
          <w:p w14:paraId="20481A73" w14:textId="299D2627" w:rsidR="005E5B55" w:rsidRPr="005E5B55" w:rsidRDefault="005E5B55" w:rsidP="008349F0">
            <w:pPr>
              <w:ind w:firstLine="0"/>
              <w:jc w:val="center"/>
              <w:rPr>
                <w:rFonts w:cs="Times New Roman"/>
                <w:color w:val="000000"/>
                <w:sz w:val="20"/>
                <w:szCs w:val="20"/>
              </w:rPr>
            </w:pPr>
            <w:r>
              <w:rPr>
                <w:rFonts w:cs="Times New Roman"/>
                <w:color w:val="000000"/>
                <w:sz w:val="20"/>
                <w:szCs w:val="20"/>
              </w:rPr>
              <w:t>49,9</w:t>
            </w:r>
          </w:p>
        </w:tc>
        <w:tc>
          <w:tcPr>
            <w:tcW w:w="907" w:type="dxa"/>
            <w:noWrap/>
          </w:tcPr>
          <w:p w14:paraId="092B78EF" w14:textId="77777777" w:rsidR="005E5B55" w:rsidRPr="005E5B55" w:rsidRDefault="005E5B55" w:rsidP="008349F0">
            <w:pPr>
              <w:ind w:firstLine="0"/>
              <w:jc w:val="center"/>
              <w:rPr>
                <w:rFonts w:cs="Times New Roman"/>
                <w:color w:val="000000"/>
                <w:sz w:val="20"/>
                <w:szCs w:val="20"/>
              </w:rPr>
            </w:pPr>
          </w:p>
        </w:tc>
        <w:tc>
          <w:tcPr>
            <w:tcW w:w="907" w:type="dxa"/>
            <w:noWrap/>
          </w:tcPr>
          <w:p w14:paraId="63CB236B" w14:textId="3FE03EFD" w:rsidR="005E5B55" w:rsidRPr="005E5B55" w:rsidRDefault="005E5B55" w:rsidP="008349F0">
            <w:pPr>
              <w:ind w:firstLine="0"/>
              <w:jc w:val="center"/>
              <w:rPr>
                <w:rFonts w:cs="Times New Roman"/>
                <w:color w:val="000000"/>
                <w:sz w:val="20"/>
                <w:szCs w:val="20"/>
              </w:rPr>
            </w:pPr>
            <w:r>
              <w:rPr>
                <w:rFonts w:cs="Times New Roman"/>
                <w:color w:val="000000"/>
                <w:sz w:val="20"/>
                <w:szCs w:val="20"/>
              </w:rPr>
              <w:t>-68,6</w:t>
            </w:r>
          </w:p>
        </w:tc>
        <w:tc>
          <w:tcPr>
            <w:tcW w:w="907" w:type="dxa"/>
            <w:noWrap/>
          </w:tcPr>
          <w:p w14:paraId="031A9B5D" w14:textId="7CB9588A" w:rsidR="005E5B55" w:rsidRPr="005E5B55" w:rsidRDefault="005E5B55" w:rsidP="008349F0">
            <w:pPr>
              <w:ind w:firstLine="0"/>
              <w:jc w:val="center"/>
              <w:rPr>
                <w:rFonts w:cs="Times New Roman"/>
                <w:color w:val="000000"/>
                <w:sz w:val="20"/>
                <w:szCs w:val="20"/>
              </w:rPr>
            </w:pPr>
            <w:r>
              <w:rPr>
                <w:rFonts w:cs="Times New Roman"/>
                <w:color w:val="000000"/>
                <w:sz w:val="20"/>
                <w:szCs w:val="20"/>
              </w:rPr>
              <w:t>-284,0</w:t>
            </w:r>
          </w:p>
        </w:tc>
        <w:tc>
          <w:tcPr>
            <w:tcW w:w="907" w:type="dxa"/>
            <w:noWrap/>
          </w:tcPr>
          <w:p w14:paraId="2EC6E9F2" w14:textId="604F1282" w:rsidR="005E5B55" w:rsidRPr="005E5B55" w:rsidRDefault="005E5B55" w:rsidP="008349F0">
            <w:pPr>
              <w:ind w:firstLine="0"/>
              <w:jc w:val="center"/>
              <w:rPr>
                <w:rFonts w:cs="Times New Roman"/>
                <w:color w:val="000000"/>
                <w:sz w:val="20"/>
                <w:szCs w:val="20"/>
              </w:rPr>
            </w:pPr>
            <w:r>
              <w:rPr>
                <w:rFonts w:cs="Times New Roman"/>
                <w:color w:val="000000"/>
                <w:sz w:val="20"/>
                <w:szCs w:val="20"/>
              </w:rPr>
              <w:t>-318,3</w:t>
            </w:r>
          </w:p>
        </w:tc>
        <w:tc>
          <w:tcPr>
            <w:tcW w:w="907" w:type="dxa"/>
          </w:tcPr>
          <w:p w14:paraId="2009B45F" w14:textId="2F275CB6" w:rsidR="005E5B55" w:rsidRPr="005E5B55" w:rsidRDefault="005E5B55" w:rsidP="008349F0">
            <w:pPr>
              <w:ind w:firstLine="0"/>
              <w:jc w:val="center"/>
              <w:rPr>
                <w:rFonts w:cs="Times New Roman"/>
                <w:color w:val="000000"/>
                <w:sz w:val="20"/>
                <w:szCs w:val="20"/>
              </w:rPr>
            </w:pPr>
            <w:r>
              <w:rPr>
                <w:rFonts w:cs="Times New Roman"/>
                <w:color w:val="000000"/>
                <w:sz w:val="20"/>
                <w:szCs w:val="20"/>
              </w:rPr>
              <w:t>-277,6</w:t>
            </w:r>
          </w:p>
        </w:tc>
        <w:tc>
          <w:tcPr>
            <w:tcW w:w="907" w:type="dxa"/>
          </w:tcPr>
          <w:p w14:paraId="2F59679F" w14:textId="239CE56C" w:rsidR="005E5B55" w:rsidRPr="005E5B55" w:rsidRDefault="005E5B55" w:rsidP="008349F0">
            <w:pPr>
              <w:ind w:firstLine="0"/>
              <w:jc w:val="center"/>
              <w:rPr>
                <w:rFonts w:cs="Times New Roman"/>
                <w:color w:val="000000"/>
                <w:sz w:val="20"/>
                <w:szCs w:val="20"/>
              </w:rPr>
            </w:pPr>
            <w:r>
              <w:rPr>
                <w:rFonts w:cs="Times New Roman"/>
                <w:color w:val="000000"/>
                <w:sz w:val="20"/>
                <w:szCs w:val="20"/>
              </w:rPr>
              <w:t>-293,8</w:t>
            </w:r>
          </w:p>
        </w:tc>
        <w:tc>
          <w:tcPr>
            <w:tcW w:w="907" w:type="dxa"/>
          </w:tcPr>
          <w:p w14:paraId="13E900B4" w14:textId="48C0272A" w:rsidR="005E5B55" w:rsidRPr="005E5B55" w:rsidRDefault="005E5B55" w:rsidP="008349F0">
            <w:pPr>
              <w:ind w:firstLine="0"/>
              <w:jc w:val="center"/>
              <w:rPr>
                <w:rFonts w:cs="Times New Roman"/>
                <w:color w:val="000000"/>
                <w:sz w:val="20"/>
                <w:szCs w:val="20"/>
              </w:rPr>
            </w:pPr>
            <w:r>
              <w:rPr>
                <w:rFonts w:cs="Times New Roman"/>
                <w:color w:val="000000"/>
                <w:sz w:val="20"/>
                <w:szCs w:val="20"/>
              </w:rPr>
              <w:t>-324,9</w:t>
            </w:r>
          </w:p>
        </w:tc>
      </w:tr>
      <w:tr w:rsidR="00934EB9" w:rsidRPr="005E5B55" w14:paraId="72045F34" w14:textId="77777777" w:rsidTr="008E1E6C">
        <w:trPr>
          <w:trHeight w:val="312"/>
          <w:jc w:val="center"/>
        </w:trPr>
        <w:tc>
          <w:tcPr>
            <w:tcW w:w="1980" w:type="dxa"/>
            <w:shd w:val="clear" w:color="auto" w:fill="9CC2E5" w:themeFill="accent1" w:themeFillTint="99"/>
            <w:noWrap/>
            <w:vAlign w:val="center"/>
          </w:tcPr>
          <w:p w14:paraId="022A9CAC" w14:textId="77777777" w:rsidR="00934EB9" w:rsidRPr="008E1E6C" w:rsidRDefault="00934EB9" w:rsidP="008E1E6C">
            <w:pPr>
              <w:ind w:firstLine="0"/>
              <w:jc w:val="center"/>
              <w:rPr>
                <w:rFonts w:cs="Times New Roman"/>
                <w:b/>
                <w:bCs/>
                <w:color w:val="000000"/>
                <w:sz w:val="18"/>
                <w:szCs w:val="18"/>
              </w:rPr>
            </w:pPr>
          </w:p>
        </w:tc>
        <w:tc>
          <w:tcPr>
            <w:tcW w:w="4535" w:type="dxa"/>
            <w:gridSpan w:val="5"/>
            <w:shd w:val="clear" w:color="auto" w:fill="9CC2E5" w:themeFill="accent1" w:themeFillTint="99"/>
            <w:noWrap/>
            <w:vAlign w:val="center"/>
          </w:tcPr>
          <w:p w14:paraId="37C91613" w14:textId="77777777" w:rsidR="00934EB9" w:rsidRPr="008E1E6C" w:rsidRDefault="00934EB9" w:rsidP="008E1E6C">
            <w:pPr>
              <w:ind w:firstLine="0"/>
              <w:jc w:val="center"/>
              <w:rPr>
                <w:b/>
                <w:bCs/>
                <w:sz w:val="20"/>
                <w:szCs w:val="20"/>
              </w:rPr>
            </w:pPr>
            <w:r w:rsidRPr="008E1E6C">
              <w:rPr>
                <w:rFonts w:cs="Times New Roman"/>
                <w:b/>
                <w:bCs/>
                <w:color w:val="000000"/>
                <w:sz w:val="18"/>
                <w:szCs w:val="18"/>
              </w:rPr>
              <w:t>fakts/novērtējums</w:t>
            </w:r>
          </w:p>
        </w:tc>
        <w:tc>
          <w:tcPr>
            <w:tcW w:w="3628" w:type="dxa"/>
            <w:gridSpan w:val="4"/>
            <w:shd w:val="clear" w:color="auto" w:fill="9CC2E5" w:themeFill="accent1" w:themeFillTint="99"/>
            <w:noWrap/>
            <w:vAlign w:val="center"/>
          </w:tcPr>
          <w:p w14:paraId="3860BB76" w14:textId="77777777" w:rsidR="00934EB9" w:rsidRPr="008E1E6C" w:rsidRDefault="00934EB9" w:rsidP="008E1E6C">
            <w:pPr>
              <w:ind w:firstLine="0"/>
              <w:jc w:val="center"/>
              <w:rPr>
                <w:b/>
                <w:bCs/>
                <w:sz w:val="20"/>
                <w:szCs w:val="20"/>
              </w:rPr>
            </w:pPr>
            <w:r w:rsidRPr="008E1E6C">
              <w:rPr>
                <w:rFonts w:cs="Times New Roman"/>
                <w:b/>
                <w:bCs/>
                <w:color w:val="000000"/>
                <w:sz w:val="18"/>
                <w:szCs w:val="18"/>
              </w:rPr>
              <w:t>prognoze</w:t>
            </w:r>
          </w:p>
        </w:tc>
      </w:tr>
      <w:tr w:rsidR="005E5B55" w:rsidRPr="005E5B55" w14:paraId="614D2D64" w14:textId="77777777" w:rsidTr="008E1E6C">
        <w:trPr>
          <w:trHeight w:val="312"/>
          <w:jc w:val="center"/>
        </w:trPr>
        <w:tc>
          <w:tcPr>
            <w:tcW w:w="1980" w:type="dxa"/>
            <w:shd w:val="clear" w:color="auto" w:fill="BDD6EE" w:themeFill="accent1" w:themeFillTint="66"/>
            <w:noWrap/>
            <w:hideMark/>
          </w:tcPr>
          <w:p w14:paraId="2CC536B8" w14:textId="77777777" w:rsidR="005E5B55" w:rsidRPr="005E5B55" w:rsidRDefault="005E5B55" w:rsidP="008349F0">
            <w:pPr>
              <w:ind w:firstLine="0"/>
              <w:jc w:val="left"/>
              <w:rPr>
                <w:rFonts w:cs="Times New Roman"/>
                <w:b/>
                <w:bCs/>
                <w:color w:val="000000"/>
                <w:sz w:val="18"/>
                <w:szCs w:val="18"/>
              </w:rPr>
            </w:pPr>
            <w:proofErr w:type="spellStart"/>
            <w:r w:rsidRPr="005E5B55">
              <w:rPr>
                <w:rFonts w:cs="Times New Roman"/>
                <w:b/>
                <w:bCs/>
                <w:i/>
                <w:iCs/>
                <w:color w:val="000000"/>
                <w:sz w:val="18"/>
                <w:szCs w:val="18"/>
              </w:rPr>
              <w:t>one-off</w:t>
            </w:r>
            <w:proofErr w:type="spellEnd"/>
            <w:r w:rsidRPr="005E5B55">
              <w:rPr>
                <w:rFonts w:cs="Times New Roman"/>
                <w:b/>
                <w:bCs/>
                <w:color w:val="000000"/>
                <w:sz w:val="18"/>
                <w:szCs w:val="18"/>
              </w:rPr>
              <w:t xml:space="preserve"> un citi īslaicīgie pasākumi, % no IKP, tai skaitā</w:t>
            </w:r>
          </w:p>
        </w:tc>
        <w:tc>
          <w:tcPr>
            <w:tcW w:w="907" w:type="dxa"/>
            <w:shd w:val="clear" w:color="auto" w:fill="BDD6EE" w:themeFill="accent1" w:themeFillTint="66"/>
            <w:noWrap/>
          </w:tcPr>
          <w:p w14:paraId="24D0E8D1" w14:textId="565ECE57"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-3,38</w:t>
            </w:r>
          </w:p>
        </w:tc>
        <w:tc>
          <w:tcPr>
            <w:tcW w:w="907" w:type="dxa"/>
            <w:shd w:val="clear" w:color="auto" w:fill="BDD6EE" w:themeFill="accent1" w:themeFillTint="66"/>
            <w:noWrap/>
          </w:tcPr>
          <w:p w14:paraId="7D8067B3" w14:textId="4ECDD8C8"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-6,16</w:t>
            </w:r>
          </w:p>
        </w:tc>
        <w:tc>
          <w:tcPr>
            <w:tcW w:w="907" w:type="dxa"/>
            <w:shd w:val="clear" w:color="auto" w:fill="BDD6EE" w:themeFill="accent1" w:themeFillTint="66"/>
            <w:noWrap/>
          </w:tcPr>
          <w:p w14:paraId="42172CB2" w14:textId="52FF722E"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-4,89</w:t>
            </w:r>
          </w:p>
        </w:tc>
        <w:tc>
          <w:tcPr>
            <w:tcW w:w="907" w:type="dxa"/>
            <w:shd w:val="clear" w:color="auto" w:fill="BDD6EE" w:themeFill="accent1" w:themeFillTint="66"/>
            <w:noWrap/>
          </w:tcPr>
          <w:p w14:paraId="0E1A8D72" w14:textId="3286B501"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-2,03</w:t>
            </w:r>
          </w:p>
        </w:tc>
        <w:tc>
          <w:tcPr>
            <w:tcW w:w="907" w:type="dxa"/>
            <w:shd w:val="clear" w:color="auto" w:fill="BDD6EE" w:themeFill="accent1" w:themeFillTint="66"/>
            <w:noWrap/>
          </w:tcPr>
          <w:p w14:paraId="2BB10DA8" w14:textId="0466F9C5"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-1,67</w:t>
            </w:r>
          </w:p>
        </w:tc>
        <w:tc>
          <w:tcPr>
            <w:tcW w:w="907" w:type="dxa"/>
            <w:shd w:val="clear" w:color="auto" w:fill="BDD6EE" w:themeFill="accent1" w:themeFillTint="66"/>
            <w:noWrap/>
          </w:tcPr>
          <w:p w14:paraId="4265A532" w14:textId="7E087EFE"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-1,74</w:t>
            </w:r>
          </w:p>
        </w:tc>
        <w:tc>
          <w:tcPr>
            <w:tcW w:w="907" w:type="dxa"/>
            <w:shd w:val="clear" w:color="auto" w:fill="BDD6EE" w:themeFill="accent1" w:themeFillTint="66"/>
          </w:tcPr>
          <w:p w14:paraId="507F4DB9" w14:textId="4EF03EB8" w:rsidR="005E5B55" w:rsidRPr="005E5B55" w:rsidRDefault="005E5B55" w:rsidP="008349F0">
            <w:pPr>
              <w:ind w:firstLine="0"/>
              <w:jc w:val="center"/>
              <w:rPr>
                <w:rFonts w:cs="Times New Roman"/>
                <w:b/>
                <w:bCs/>
                <w:color w:val="000000"/>
                <w:sz w:val="20"/>
                <w:szCs w:val="20"/>
              </w:rPr>
            </w:pPr>
            <w:r>
              <w:rPr>
                <w:rFonts w:cs="Times New Roman"/>
                <w:b/>
                <w:bCs/>
                <w:color w:val="000000"/>
                <w:sz w:val="20"/>
                <w:szCs w:val="20"/>
              </w:rPr>
              <w:t>-1,78</w:t>
            </w:r>
          </w:p>
        </w:tc>
        <w:tc>
          <w:tcPr>
            <w:tcW w:w="907" w:type="dxa"/>
            <w:shd w:val="clear" w:color="auto" w:fill="BDD6EE" w:themeFill="accent1" w:themeFillTint="66"/>
          </w:tcPr>
          <w:p w14:paraId="3ED594E3" w14:textId="13EE8D9E" w:rsidR="005E5B55" w:rsidRPr="005E5B55" w:rsidRDefault="005E5B55" w:rsidP="008349F0">
            <w:pPr>
              <w:ind w:firstLine="0"/>
              <w:jc w:val="center"/>
              <w:rPr>
                <w:b/>
                <w:bCs/>
                <w:color w:val="000000"/>
                <w:sz w:val="20"/>
                <w:szCs w:val="20"/>
              </w:rPr>
            </w:pPr>
            <w:r>
              <w:rPr>
                <w:rFonts w:cs="Times New Roman"/>
                <w:b/>
                <w:bCs/>
                <w:color w:val="000000"/>
                <w:sz w:val="20"/>
                <w:szCs w:val="20"/>
              </w:rPr>
              <w:t>-1,66</w:t>
            </w:r>
          </w:p>
        </w:tc>
        <w:tc>
          <w:tcPr>
            <w:tcW w:w="907" w:type="dxa"/>
            <w:shd w:val="clear" w:color="auto" w:fill="BDD6EE" w:themeFill="accent1" w:themeFillTint="66"/>
          </w:tcPr>
          <w:p w14:paraId="22BDAAC6" w14:textId="58CB0CDA" w:rsidR="005E5B55" w:rsidRPr="005E5B55" w:rsidRDefault="005E5B55" w:rsidP="008349F0">
            <w:pPr>
              <w:ind w:firstLine="0"/>
              <w:jc w:val="center"/>
              <w:rPr>
                <w:b/>
                <w:bCs/>
                <w:color w:val="000000"/>
                <w:sz w:val="20"/>
                <w:szCs w:val="20"/>
              </w:rPr>
            </w:pPr>
            <w:r>
              <w:rPr>
                <w:rFonts w:cs="Times New Roman"/>
                <w:b/>
                <w:bCs/>
                <w:color w:val="000000"/>
                <w:sz w:val="20"/>
                <w:szCs w:val="20"/>
              </w:rPr>
              <w:t>-1,29</w:t>
            </w:r>
          </w:p>
        </w:tc>
      </w:tr>
      <w:tr w:rsidR="005E5B55" w:rsidRPr="005E5B55" w14:paraId="37727151" w14:textId="77777777" w:rsidTr="008E1E6C">
        <w:trPr>
          <w:trHeight w:val="312"/>
          <w:jc w:val="center"/>
        </w:trPr>
        <w:tc>
          <w:tcPr>
            <w:tcW w:w="1980" w:type="dxa"/>
            <w:noWrap/>
            <w:hideMark/>
          </w:tcPr>
          <w:p w14:paraId="68D34FC2" w14:textId="375FDF74" w:rsidR="005E5B55" w:rsidRPr="005E5B55" w:rsidRDefault="005E5B55" w:rsidP="008349F0">
            <w:pPr>
              <w:ind w:firstLine="0"/>
              <w:jc w:val="left"/>
              <w:rPr>
                <w:rFonts w:cs="Times New Roman"/>
                <w:color w:val="000000"/>
                <w:sz w:val="18"/>
                <w:szCs w:val="18"/>
              </w:rPr>
            </w:pPr>
            <w:r w:rsidRPr="005E5B55">
              <w:rPr>
                <w:color w:val="000000"/>
                <w:sz w:val="16"/>
                <w:szCs w:val="16"/>
              </w:rPr>
              <w:t>C</w:t>
            </w:r>
            <w:r w:rsidR="0049382D">
              <w:rPr>
                <w:color w:val="000000"/>
                <w:sz w:val="16"/>
                <w:szCs w:val="16"/>
              </w:rPr>
              <w:t>ovid</w:t>
            </w:r>
            <w:r w:rsidRPr="005E5B55">
              <w:rPr>
                <w:color w:val="000000"/>
                <w:sz w:val="16"/>
                <w:szCs w:val="16"/>
              </w:rPr>
              <w:t>-19 pandēmijas mazināšanas pasākumi</w:t>
            </w:r>
          </w:p>
        </w:tc>
        <w:tc>
          <w:tcPr>
            <w:tcW w:w="907" w:type="dxa"/>
            <w:noWrap/>
          </w:tcPr>
          <w:p w14:paraId="0DA7BE0A" w14:textId="503EE0B3" w:rsidR="005E5B55" w:rsidRPr="005E5B55" w:rsidRDefault="005E5B55" w:rsidP="008349F0">
            <w:pPr>
              <w:ind w:firstLine="0"/>
              <w:jc w:val="center"/>
              <w:rPr>
                <w:rFonts w:cs="Times New Roman"/>
                <w:color w:val="000000"/>
                <w:sz w:val="20"/>
                <w:szCs w:val="20"/>
              </w:rPr>
            </w:pPr>
            <w:r>
              <w:rPr>
                <w:rFonts w:cs="Times New Roman"/>
                <w:color w:val="000000"/>
                <w:sz w:val="20"/>
                <w:szCs w:val="20"/>
              </w:rPr>
              <w:t>-3,19</w:t>
            </w:r>
          </w:p>
        </w:tc>
        <w:tc>
          <w:tcPr>
            <w:tcW w:w="907" w:type="dxa"/>
            <w:noWrap/>
          </w:tcPr>
          <w:p w14:paraId="77324312" w14:textId="68B53F98" w:rsidR="005E5B55" w:rsidRPr="005E5B55" w:rsidRDefault="005E5B55" w:rsidP="008349F0">
            <w:pPr>
              <w:ind w:firstLine="0"/>
              <w:jc w:val="center"/>
              <w:rPr>
                <w:rFonts w:cs="Times New Roman"/>
                <w:color w:val="000000"/>
                <w:sz w:val="20"/>
                <w:szCs w:val="20"/>
              </w:rPr>
            </w:pPr>
            <w:r>
              <w:rPr>
                <w:rFonts w:cs="Times New Roman"/>
                <w:color w:val="000000"/>
                <w:sz w:val="20"/>
                <w:szCs w:val="20"/>
              </w:rPr>
              <w:t>-6,31</w:t>
            </w:r>
          </w:p>
        </w:tc>
        <w:tc>
          <w:tcPr>
            <w:tcW w:w="907" w:type="dxa"/>
            <w:noWrap/>
          </w:tcPr>
          <w:p w14:paraId="5E4407A4" w14:textId="4958D25E" w:rsidR="005E5B55" w:rsidRPr="005E5B55" w:rsidRDefault="005E5B55" w:rsidP="008349F0">
            <w:pPr>
              <w:ind w:firstLine="0"/>
              <w:jc w:val="center"/>
              <w:rPr>
                <w:rFonts w:cs="Times New Roman"/>
                <w:color w:val="000000"/>
                <w:sz w:val="20"/>
                <w:szCs w:val="20"/>
              </w:rPr>
            </w:pPr>
            <w:r>
              <w:rPr>
                <w:rFonts w:cs="Times New Roman"/>
                <w:color w:val="000000"/>
                <w:sz w:val="20"/>
                <w:szCs w:val="20"/>
              </w:rPr>
              <w:t>-2,07</w:t>
            </w:r>
          </w:p>
        </w:tc>
        <w:tc>
          <w:tcPr>
            <w:tcW w:w="907" w:type="dxa"/>
            <w:noWrap/>
          </w:tcPr>
          <w:p w14:paraId="72E61363" w14:textId="4D9AF54B" w:rsidR="005E5B55" w:rsidRPr="005E5B55" w:rsidRDefault="005E5B55" w:rsidP="008349F0">
            <w:pPr>
              <w:ind w:firstLine="0"/>
              <w:jc w:val="center"/>
              <w:rPr>
                <w:rFonts w:cs="Times New Roman"/>
                <w:color w:val="000000"/>
                <w:sz w:val="20"/>
                <w:szCs w:val="20"/>
              </w:rPr>
            </w:pPr>
            <w:r>
              <w:rPr>
                <w:rFonts w:cs="Times New Roman"/>
                <w:color w:val="000000"/>
                <w:sz w:val="20"/>
                <w:szCs w:val="20"/>
              </w:rPr>
              <w:t>-0,16</w:t>
            </w:r>
          </w:p>
        </w:tc>
        <w:tc>
          <w:tcPr>
            <w:tcW w:w="907" w:type="dxa"/>
            <w:noWrap/>
          </w:tcPr>
          <w:p w14:paraId="7F82C3FB" w14:textId="28A30033" w:rsidR="005E5B55" w:rsidRPr="005E5B55" w:rsidRDefault="005E5B55" w:rsidP="008349F0">
            <w:pPr>
              <w:ind w:firstLine="0"/>
              <w:jc w:val="center"/>
              <w:rPr>
                <w:rFonts w:cs="Times New Roman"/>
                <w:color w:val="000000"/>
                <w:sz w:val="20"/>
                <w:szCs w:val="20"/>
              </w:rPr>
            </w:pPr>
            <w:r>
              <w:rPr>
                <w:rFonts w:cs="Times New Roman"/>
                <w:color w:val="000000"/>
                <w:sz w:val="20"/>
                <w:szCs w:val="20"/>
              </w:rPr>
              <w:t>-0,02</w:t>
            </w:r>
          </w:p>
        </w:tc>
        <w:tc>
          <w:tcPr>
            <w:tcW w:w="907" w:type="dxa"/>
            <w:noWrap/>
          </w:tcPr>
          <w:p w14:paraId="56A580AC" w14:textId="3661E5B1" w:rsidR="005E5B55" w:rsidRPr="005E5B55" w:rsidRDefault="005E5B55" w:rsidP="008349F0">
            <w:pPr>
              <w:ind w:firstLine="0"/>
              <w:jc w:val="center"/>
              <w:rPr>
                <w:rFonts w:cs="Times New Roman"/>
                <w:color w:val="000000"/>
                <w:sz w:val="20"/>
                <w:szCs w:val="20"/>
              </w:rPr>
            </w:pPr>
            <w:r>
              <w:rPr>
                <w:rFonts w:cs="Times New Roman"/>
                <w:color w:val="000000"/>
                <w:sz w:val="20"/>
                <w:szCs w:val="20"/>
              </w:rPr>
              <w:t>-0,01</w:t>
            </w:r>
          </w:p>
        </w:tc>
        <w:tc>
          <w:tcPr>
            <w:tcW w:w="907" w:type="dxa"/>
          </w:tcPr>
          <w:p w14:paraId="26463681" w14:textId="2112CBD8" w:rsidR="005E5B55" w:rsidRPr="005E5B55" w:rsidRDefault="005E5B55" w:rsidP="008349F0">
            <w:pPr>
              <w:ind w:firstLine="0"/>
              <w:jc w:val="center"/>
              <w:rPr>
                <w:rFonts w:cs="Times New Roman"/>
                <w:color w:val="000000"/>
                <w:sz w:val="20"/>
                <w:szCs w:val="20"/>
              </w:rPr>
            </w:pPr>
            <w:r>
              <w:rPr>
                <w:rFonts w:cs="Times New Roman"/>
                <w:color w:val="000000"/>
                <w:sz w:val="20"/>
                <w:szCs w:val="20"/>
              </w:rPr>
              <w:t>-0,01</w:t>
            </w:r>
          </w:p>
        </w:tc>
        <w:tc>
          <w:tcPr>
            <w:tcW w:w="907" w:type="dxa"/>
          </w:tcPr>
          <w:p w14:paraId="6EA5BB8B" w14:textId="79601271" w:rsidR="005E5B55" w:rsidRPr="005E5B55" w:rsidRDefault="005E5B55" w:rsidP="008349F0">
            <w:pPr>
              <w:ind w:firstLine="0"/>
              <w:jc w:val="center"/>
              <w:rPr>
                <w:sz w:val="20"/>
                <w:szCs w:val="20"/>
              </w:rPr>
            </w:pPr>
            <w:r>
              <w:rPr>
                <w:rFonts w:cs="Times New Roman"/>
                <w:color w:val="000000"/>
                <w:sz w:val="20"/>
                <w:szCs w:val="20"/>
              </w:rPr>
              <w:t>-0,01</w:t>
            </w:r>
          </w:p>
        </w:tc>
        <w:tc>
          <w:tcPr>
            <w:tcW w:w="907" w:type="dxa"/>
          </w:tcPr>
          <w:p w14:paraId="6718A4AD" w14:textId="0EACBE6A" w:rsidR="005E5B55" w:rsidRPr="005E5B55" w:rsidRDefault="005E5B55" w:rsidP="008349F0">
            <w:pPr>
              <w:ind w:firstLine="0"/>
              <w:jc w:val="center"/>
              <w:rPr>
                <w:sz w:val="20"/>
                <w:szCs w:val="20"/>
              </w:rPr>
            </w:pPr>
            <w:r>
              <w:rPr>
                <w:rFonts w:cs="Times New Roman"/>
                <w:color w:val="000000"/>
                <w:sz w:val="20"/>
                <w:szCs w:val="20"/>
              </w:rPr>
              <w:t>-0,01</w:t>
            </w:r>
          </w:p>
        </w:tc>
      </w:tr>
      <w:tr w:rsidR="005E5B55" w:rsidRPr="005E5B55" w14:paraId="2BF88631" w14:textId="77777777" w:rsidTr="008E1E6C">
        <w:trPr>
          <w:trHeight w:val="312"/>
          <w:jc w:val="center"/>
        </w:trPr>
        <w:tc>
          <w:tcPr>
            <w:tcW w:w="1980" w:type="dxa"/>
            <w:noWrap/>
            <w:hideMark/>
          </w:tcPr>
          <w:p w14:paraId="3C71FC8E" w14:textId="77777777" w:rsidR="005E5B55" w:rsidRPr="005E5B55" w:rsidRDefault="005E5B55" w:rsidP="008349F0">
            <w:pPr>
              <w:ind w:firstLine="0"/>
              <w:jc w:val="left"/>
              <w:rPr>
                <w:rFonts w:cs="Times New Roman"/>
                <w:color w:val="000000"/>
                <w:sz w:val="18"/>
                <w:szCs w:val="18"/>
              </w:rPr>
            </w:pPr>
            <w:r w:rsidRPr="005E5B55">
              <w:rPr>
                <w:color w:val="000000"/>
                <w:sz w:val="16"/>
                <w:szCs w:val="16"/>
              </w:rPr>
              <w:t>enerģijas cenas pieauguma mazināšanas pasākumi</w:t>
            </w:r>
          </w:p>
        </w:tc>
        <w:tc>
          <w:tcPr>
            <w:tcW w:w="907" w:type="dxa"/>
            <w:noWrap/>
          </w:tcPr>
          <w:p w14:paraId="7BF29C0A" w14:textId="77777777" w:rsidR="005E5B55" w:rsidRPr="005E5B55" w:rsidRDefault="005E5B55" w:rsidP="008349F0">
            <w:pPr>
              <w:ind w:firstLine="0"/>
              <w:jc w:val="center"/>
              <w:rPr>
                <w:rFonts w:cs="Times New Roman"/>
                <w:color w:val="000000"/>
                <w:sz w:val="20"/>
                <w:szCs w:val="20"/>
              </w:rPr>
            </w:pPr>
          </w:p>
        </w:tc>
        <w:tc>
          <w:tcPr>
            <w:tcW w:w="907" w:type="dxa"/>
            <w:noWrap/>
          </w:tcPr>
          <w:p w14:paraId="25591E46" w14:textId="03ED14F6" w:rsidR="005E5B55" w:rsidRPr="005E5B55" w:rsidRDefault="005E5B55" w:rsidP="008349F0">
            <w:pPr>
              <w:ind w:firstLine="0"/>
              <w:jc w:val="center"/>
              <w:rPr>
                <w:rFonts w:cs="Times New Roman"/>
                <w:color w:val="000000"/>
                <w:sz w:val="20"/>
                <w:szCs w:val="20"/>
              </w:rPr>
            </w:pPr>
            <w:r>
              <w:rPr>
                <w:rFonts w:cs="Times New Roman"/>
                <w:color w:val="000000"/>
                <w:sz w:val="20"/>
                <w:szCs w:val="20"/>
              </w:rPr>
              <w:t>-0,01</w:t>
            </w:r>
          </w:p>
        </w:tc>
        <w:tc>
          <w:tcPr>
            <w:tcW w:w="907" w:type="dxa"/>
            <w:noWrap/>
          </w:tcPr>
          <w:p w14:paraId="66EB39F8" w14:textId="62431F72" w:rsidR="005E5B55" w:rsidRPr="005E5B55" w:rsidRDefault="005E5B55" w:rsidP="008349F0">
            <w:pPr>
              <w:ind w:firstLine="0"/>
              <w:jc w:val="center"/>
              <w:rPr>
                <w:rFonts w:cs="Times New Roman"/>
                <w:color w:val="000000"/>
                <w:sz w:val="20"/>
                <w:szCs w:val="20"/>
              </w:rPr>
            </w:pPr>
            <w:r>
              <w:rPr>
                <w:rFonts w:cs="Times New Roman"/>
                <w:color w:val="000000"/>
                <w:sz w:val="20"/>
                <w:szCs w:val="20"/>
              </w:rPr>
              <w:t>-2,61</w:t>
            </w:r>
          </w:p>
        </w:tc>
        <w:tc>
          <w:tcPr>
            <w:tcW w:w="907" w:type="dxa"/>
            <w:noWrap/>
          </w:tcPr>
          <w:p w14:paraId="691BD76D" w14:textId="40A14443" w:rsidR="005E5B55" w:rsidRPr="005E5B55" w:rsidRDefault="005E5B55" w:rsidP="008349F0">
            <w:pPr>
              <w:ind w:firstLine="0"/>
              <w:jc w:val="center"/>
              <w:rPr>
                <w:rFonts w:cs="Times New Roman"/>
                <w:color w:val="000000"/>
                <w:sz w:val="20"/>
                <w:szCs w:val="20"/>
              </w:rPr>
            </w:pPr>
            <w:r>
              <w:rPr>
                <w:rFonts w:cs="Times New Roman"/>
                <w:color w:val="000000"/>
                <w:sz w:val="20"/>
                <w:szCs w:val="20"/>
              </w:rPr>
              <w:t>-0,99</w:t>
            </w:r>
          </w:p>
        </w:tc>
        <w:tc>
          <w:tcPr>
            <w:tcW w:w="907" w:type="dxa"/>
            <w:noWrap/>
          </w:tcPr>
          <w:p w14:paraId="6C2465DC" w14:textId="61BE7201" w:rsidR="005E5B55" w:rsidRPr="005E5B55" w:rsidRDefault="005E5B55" w:rsidP="008349F0">
            <w:pPr>
              <w:ind w:firstLine="0"/>
              <w:jc w:val="center"/>
              <w:rPr>
                <w:rFonts w:cs="Times New Roman"/>
                <w:color w:val="000000"/>
                <w:sz w:val="20"/>
                <w:szCs w:val="20"/>
              </w:rPr>
            </w:pPr>
            <w:r>
              <w:rPr>
                <w:rFonts w:cs="Times New Roman"/>
                <w:color w:val="000000"/>
                <w:sz w:val="20"/>
                <w:szCs w:val="20"/>
              </w:rPr>
              <w:t>0,00</w:t>
            </w:r>
          </w:p>
        </w:tc>
        <w:tc>
          <w:tcPr>
            <w:tcW w:w="907" w:type="dxa"/>
            <w:noWrap/>
          </w:tcPr>
          <w:p w14:paraId="4B648D07" w14:textId="77777777" w:rsidR="005E5B55" w:rsidRPr="005E5B55" w:rsidRDefault="005E5B55" w:rsidP="008349F0">
            <w:pPr>
              <w:ind w:firstLine="0"/>
              <w:jc w:val="center"/>
              <w:rPr>
                <w:rFonts w:cs="Times New Roman"/>
                <w:color w:val="000000"/>
                <w:sz w:val="20"/>
                <w:szCs w:val="20"/>
              </w:rPr>
            </w:pPr>
          </w:p>
        </w:tc>
        <w:tc>
          <w:tcPr>
            <w:tcW w:w="907" w:type="dxa"/>
          </w:tcPr>
          <w:p w14:paraId="6B8312CB" w14:textId="77777777" w:rsidR="005E5B55" w:rsidRPr="005E5B55" w:rsidRDefault="005E5B55" w:rsidP="008349F0">
            <w:pPr>
              <w:ind w:firstLine="0"/>
              <w:jc w:val="center"/>
              <w:rPr>
                <w:rFonts w:cs="Times New Roman"/>
                <w:color w:val="000000"/>
                <w:sz w:val="20"/>
                <w:szCs w:val="20"/>
              </w:rPr>
            </w:pPr>
          </w:p>
        </w:tc>
        <w:tc>
          <w:tcPr>
            <w:tcW w:w="907" w:type="dxa"/>
          </w:tcPr>
          <w:p w14:paraId="1E74DA01" w14:textId="77777777" w:rsidR="005E5B55" w:rsidRPr="005E5B55" w:rsidRDefault="005E5B55" w:rsidP="008349F0">
            <w:pPr>
              <w:ind w:firstLine="0"/>
              <w:jc w:val="center"/>
              <w:rPr>
                <w:color w:val="000000"/>
              </w:rPr>
            </w:pPr>
          </w:p>
        </w:tc>
        <w:tc>
          <w:tcPr>
            <w:tcW w:w="907" w:type="dxa"/>
          </w:tcPr>
          <w:p w14:paraId="03DC0D57" w14:textId="77777777" w:rsidR="005E5B55" w:rsidRPr="005E5B55" w:rsidRDefault="005E5B55" w:rsidP="008349F0">
            <w:pPr>
              <w:ind w:firstLine="0"/>
              <w:jc w:val="center"/>
              <w:rPr>
                <w:color w:val="000000"/>
              </w:rPr>
            </w:pPr>
          </w:p>
        </w:tc>
      </w:tr>
      <w:tr w:rsidR="005E5B55" w:rsidRPr="005E5B55" w14:paraId="0C25B2E5" w14:textId="77777777" w:rsidTr="008E1E6C">
        <w:trPr>
          <w:trHeight w:val="312"/>
          <w:jc w:val="center"/>
        </w:trPr>
        <w:tc>
          <w:tcPr>
            <w:tcW w:w="1980" w:type="dxa"/>
            <w:noWrap/>
            <w:hideMark/>
          </w:tcPr>
          <w:p w14:paraId="7840D97E" w14:textId="77777777" w:rsidR="005E5B55" w:rsidRPr="005E5B55" w:rsidRDefault="005E5B55" w:rsidP="008349F0">
            <w:pPr>
              <w:ind w:firstLine="0"/>
              <w:jc w:val="left"/>
              <w:rPr>
                <w:rFonts w:cs="Times New Roman"/>
                <w:color w:val="000000"/>
                <w:sz w:val="18"/>
                <w:szCs w:val="18"/>
              </w:rPr>
            </w:pPr>
            <w:r w:rsidRPr="005E5B55">
              <w:rPr>
                <w:color w:val="000000"/>
                <w:sz w:val="16"/>
                <w:szCs w:val="16"/>
              </w:rPr>
              <w:t>aizsardzības un iekšējās drošības finansējums</w:t>
            </w:r>
          </w:p>
        </w:tc>
        <w:tc>
          <w:tcPr>
            <w:tcW w:w="907" w:type="dxa"/>
            <w:noWrap/>
          </w:tcPr>
          <w:p w14:paraId="6AE4B2DA" w14:textId="77777777" w:rsidR="005E5B55" w:rsidRPr="005E5B55" w:rsidRDefault="005E5B55" w:rsidP="008349F0">
            <w:pPr>
              <w:ind w:firstLine="0"/>
              <w:jc w:val="center"/>
              <w:rPr>
                <w:rFonts w:cs="Times New Roman"/>
                <w:color w:val="000000"/>
                <w:sz w:val="20"/>
                <w:szCs w:val="20"/>
              </w:rPr>
            </w:pPr>
          </w:p>
        </w:tc>
        <w:tc>
          <w:tcPr>
            <w:tcW w:w="907" w:type="dxa"/>
            <w:noWrap/>
          </w:tcPr>
          <w:p w14:paraId="62AE4D9A" w14:textId="77777777" w:rsidR="005E5B55" w:rsidRPr="005E5B55" w:rsidRDefault="005E5B55" w:rsidP="008349F0">
            <w:pPr>
              <w:ind w:firstLine="0"/>
              <w:jc w:val="center"/>
              <w:rPr>
                <w:rFonts w:cs="Times New Roman"/>
                <w:color w:val="000000"/>
                <w:sz w:val="20"/>
                <w:szCs w:val="20"/>
              </w:rPr>
            </w:pPr>
          </w:p>
        </w:tc>
        <w:tc>
          <w:tcPr>
            <w:tcW w:w="907" w:type="dxa"/>
            <w:noWrap/>
          </w:tcPr>
          <w:p w14:paraId="53E40940" w14:textId="77777777" w:rsidR="005E5B55" w:rsidRPr="005E5B55" w:rsidRDefault="005E5B55" w:rsidP="008349F0">
            <w:pPr>
              <w:ind w:firstLine="0"/>
              <w:jc w:val="center"/>
              <w:rPr>
                <w:rFonts w:cs="Times New Roman"/>
                <w:color w:val="000000"/>
                <w:sz w:val="20"/>
                <w:szCs w:val="20"/>
              </w:rPr>
            </w:pPr>
          </w:p>
        </w:tc>
        <w:tc>
          <w:tcPr>
            <w:tcW w:w="907" w:type="dxa"/>
            <w:noWrap/>
          </w:tcPr>
          <w:p w14:paraId="6E43C333" w14:textId="43795ED2" w:rsidR="005E5B55" w:rsidRPr="005E5B55" w:rsidRDefault="005E5B55" w:rsidP="008349F0">
            <w:pPr>
              <w:ind w:firstLine="0"/>
              <w:jc w:val="center"/>
              <w:rPr>
                <w:rFonts w:cs="Times New Roman"/>
                <w:color w:val="000000"/>
                <w:sz w:val="20"/>
                <w:szCs w:val="20"/>
              </w:rPr>
            </w:pPr>
            <w:r>
              <w:rPr>
                <w:rFonts w:cs="Times New Roman"/>
                <w:color w:val="000000"/>
                <w:sz w:val="20"/>
                <w:szCs w:val="20"/>
              </w:rPr>
              <w:t>-0,54</w:t>
            </w:r>
          </w:p>
        </w:tc>
        <w:tc>
          <w:tcPr>
            <w:tcW w:w="907" w:type="dxa"/>
            <w:noWrap/>
          </w:tcPr>
          <w:p w14:paraId="38A46B65" w14:textId="46334E36" w:rsidR="005E5B55" w:rsidRPr="005E5B55" w:rsidRDefault="005E5B55" w:rsidP="008349F0">
            <w:pPr>
              <w:ind w:firstLine="0"/>
              <w:jc w:val="center"/>
              <w:rPr>
                <w:rFonts w:cs="Times New Roman"/>
                <w:color w:val="000000"/>
                <w:sz w:val="20"/>
                <w:szCs w:val="20"/>
              </w:rPr>
            </w:pPr>
            <w:r>
              <w:rPr>
                <w:rFonts w:cs="Times New Roman"/>
                <w:color w:val="000000"/>
                <w:sz w:val="20"/>
                <w:szCs w:val="20"/>
              </w:rPr>
              <w:t>-0,81</w:t>
            </w:r>
          </w:p>
        </w:tc>
        <w:tc>
          <w:tcPr>
            <w:tcW w:w="907" w:type="dxa"/>
            <w:noWrap/>
          </w:tcPr>
          <w:p w14:paraId="16B8E2E0" w14:textId="3D4FF155" w:rsidR="005E5B55" w:rsidRPr="005E5B55" w:rsidRDefault="005E5B55" w:rsidP="008349F0">
            <w:pPr>
              <w:ind w:firstLine="0"/>
              <w:jc w:val="center"/>
              <w:rPr>
                <w:rFonts w:cs="Times New Roman"/>
                <w:color w:val="000000"/>
                <w:sz w:val="20"/>
                <w:szCs w:val="20"/>
              </w:rPr>
            </w:pPr>
            <w:r>
              <w:rPr>
                <w:rFonts w:cs="Times New Roman"/>
                <w:color w:val="000000"/>
                <w:sz w:val="20"/>
                <w:szCs w:val="20"/>
              </w:rPr>
              <w:t>-1,01</w:t>
            </w:r>
          </w:p>
        </w:tc>
        <w:tc>
          <w:tcPr>
            <w:tcW w:w="907" w:type="dxa"/>
          </w:tcPr>
          <w:p w14:paraId="4DE47567" w14:textId="37E795D3" w:rsidR="005E5B55" w:rsidRPr="005E5B55" w:rsidRDefault="005E5B55" w:rsidP="008349F0">
            <w:pPr>
              <w:ind w:firstLine="0"/>
              <w:jc w:val="center"/>
              <w:rPr>
                <w:rFonts w:cs="Times New Roman"/>
                <w:color w:val="000000"/>
                <w:sz w:val="20"/>
                <w:szCs w:val="20"/>
              </w:rPr>
            </w:pPr>
            <w:r>
              <w:rPr>
                <w:rFonts w:cs="Times New Roman"/>
                <w:color w:val="000000"/>
                <w:sz w:val="20"/>
                <w:szCs w:val="20"/>
              </w:rPr>
              <w:t>-1,17</w:t>
            </w:r>
          </w:p>
        </w:tc>
        <w:tc>
          <w:tcPr>
            <w:tcW w:w="907" w:type="dxa"/>
          </w:tcPr>
          <w:p w14:paraId="5078DBF0" w14:textId="1E6D771E" w:rsidR="005E5B55" w:rsidRPr="005E5B55" w:rsidRDefault="005E5B55" w:rsidP="008349F0">
            <w:pPr>
              <w:ind w:firstLine="0"/>
              <w:jc w:val="center"/>
              <w:rPr>
                <w:sz w:val="20"/>
                <w:szCs w:val="20"/>
              </w:rPr>
            </w:pPr>
            <w:r>
              <w:rPr>
                <w:rFonts w:cs="Times New Roman"/>
                <w:color w:val="000000"/>
                <w:sz w:val="20"/>
                <w:szCs w:val="20"/>
              </w:rPr>
              <w:t>-1,06</w:t>
            </w:r>
          </w:p>
        </w:tc>
        <w:tc>
          <w:tcPr>
            <w:tcW w:w="907" w:type="dxa"/>
          </w:tcPr>
          <w:p w14:paraId="479A7921" w14:textId="7EFDA63A" w:rsidR="005E5B55" w:rsidRPr="005E5B55" w:rsidRDefault="005E5B55" w:rsidP="008349F0">
            <w:pPr>
              <w:ind w:firstLine="0"/>
              <w:jc w:val="center"/>
              <w:rPr>
                <w:sz w:val="20"/>
                <w:szCs w:val="20"/>
              </w:rPr>
            </w:pPr>
            <w:r>
              <w:rPr>
                <w:rFonts w:cs="Times New Roman"/>
                <w:color w:val="000000"/>
                <w:sz w:val="20"/>
                <w:szCs w:val="20"/>
              </w:rPr>
              <w:t>-0,65</w:t>
            </w:r>
          </w:p>
        </w:tc>
      </w:tr>
      <w:tr w:rsidR="005E5B55" w:rsidRPr="005E5B55" w14:paraId="449E98FB" w14:textId="77777777" w:rsidTr="008E1E6C">
        <w:trPr>
          <w:trHeight w:val="312"/>
          <w:jc w:val="center"/>
        </w:trPr>
        <w:tc>
          <w:tcPr>
            <w:tcW w:w="1980" w:type="dxa"/>
            <w:noWrap/>
            <w:hideMark/>
          </w:tcPr>
          <w:p w14:paraId="1D4CAEBF" w14:textId="77777777" w:rsidR="005E5B55" w:rsidRPr="005E5B55" w:rsidRDefault="005E5B55" w:rsidP="008349F0">
            <w:pPr>
              <w:ind w:firstLine="0"/>
              <w:jc w:val="left"/>
              <w:rPr>
                <w:rFonts w:cs="Times New Roman"/>
                <w:color w:val="000000"/>
                <w:sz w:val="18"/>
                <w:szCs w:val="18"/>
              </w:rPr>
            </w:pPr>
            <w:r w:rsidRPr="005E5B55">
              <w:rPr>
                <w:color w:val="000000"/>
                <w:sz w:val="16"/>
                <w:szCs w:val="16"/>
              </w:rPr>
              <w:t>atbalsts bēgļiem no Ukrainas</w:t>
            </w:r>
          </w:p>
        </w:tc>
        <w:tc>
          <w:tcPr>
            <w:tcW w:w="907" w:type="dxa"/>
            <w:noWrap/>
          </w:tcPr>
          <w:p w14:paraId="21D887AA" w14:textId="77777777" w:rsidR="005E5B55" w:rsidRPr="005E5B55" w:rsidRDefault="005E5B55" w:rsidP="008349F0">
            <w:pPr>
              <w:ind w:firstLine="0"/>
              <w:jc w:val="center"/>
              <w:rPr>
                <w:rFonts w:cs="Times New Roman"/>
                <w:color w:val="000000"/>
                <w:sz w:val="20"/>
                <w:szCs w:val="20"/>
              </w:rPr>
            </w:pPr>
          </w:p>
        </w:tc>
        <w:tc>
          <w:tcPr>
            <w:tcW w:w="907" w:type="dxa"/>
            <w:noWrap/>
          </w:tcPr>
          <w:p w14:paraId="0AD95A08" w14:textId="77777777" w:rsidR="005E5B55" w:rsidRPr="005E5B55" w:rsidRDefault="005E5B55" w:rsidP="008349F0">
            <w:pPr>
              <w:ind w:firstLine="0"/>
              <w:jc w:val="center"/>
              <w:rPr>
                <w:rFonts w:cs="Times New Roman"/>
                <w:color w:val="000000"/>
                <w:sz w:val="20"/>
                <w:szCs w:val="20"/>
              </w:rPr>
            </w:pPr>
          </w:p>
        </w:tc>
        <w:tc>
          <w:tcPr>
            <w:tcW w:w="907" w:type="dxa"/>
            <w:noWrap/>
          </w:tcPr>
          <w:p w14:paraId="4F5F8D24" w14:textId="7EDC9C30" w:rsidR="005E5B55" w:rsidRPr="005E5B55" w:rsidRDefault="005E5B55" w:rsidP="008349F0">
            <w:pPr>
              <w:ind w:firstLine="0"/>
              <w:jc w:val="center"/>
              <w:rPr>
                <w:rFonts w:cs="Times New Roman"/>
                <w:color w:val="000000"/>
                <w:sz w:val="20"/>
                <w:szCs w:val="20"/>
              </w:rPr>
            </w:pPr>
            <w:r>
              <w:rPr>
                <w:rFonts w:cs="Times New Roman"/>
                <w:color w:val="000000"/>
                <w:sz w:val="20"/>
                <w:szCs w:val="20"/>
              </w:rPr>
              <w:t>-0,21</w:t>
            </w:r>
          </w:p>
        </w:tc>
        <w:tc>
          <w:tcPr>
            <w:tcW w:w="907" w:type="dxa"/>
            <w:noWrap/>
          </w:tcPr>
          <w:p w14:paraId="1FB68CAD" w14:textId="4E9C9454" w:rsidR="005E5B55" w:rsidRPr="005E5B55" w:rsidRDefault="005E5B55" w:rsidP="008349F0">
            <w:pPr>
              <w:ind w:firstLine="0"/>
              <w:jc w:val="center"/>
              <w:rPr>
                <w:rFonts w:cs="Times New Roman"/>
                <w:color w:val="000000"/>
                <w:sz w:val="20"/>
                <w:szCs w:val="20"/>
              </w:rPr>
            </w:pPr>
            <w:r>
              <w:rPr>
                <w:rFonts w:cs="Times New Roman"/>
                <w:color w:val="000000"/>
                <w:sz w:val="20"/>
                <w:szCs w:val="20"/>
              </w:rPr>
              <w:t>-0,17</w:t>
            </w:r>
          </w:p>
        </w:tc>
        <w:tc>
          <w:tcPr>
            <w:tcW w:w="907" w:type="dxa"/>
            <w:noWrap/>
          </w:tcPr>
          <w:p w14:paraId="393F8038" w14:textId="7865D624" w:rsidR="005E5B55" w:rsidRPr="005E5B55" w:rsidRDefault="005E5B55" w:rsidP="008349F0">
            <w:pPr>
              <w:ind w:firstLine="0"/>
              <w:jc w:val="center"/>
              <w:rPr>
                <w:rFonts w:cs="Times New Roman"/>
                <w:color w:val="000000"/>
                <w:sz w:val="20"/>
                <w:szCs w:val="20"/>
              </w:rPr>
            </w:pPr>
            <w:r>
              <w:rPr>
                <w:rFonts w:cs="Times New Roman"/>
                <w:color w:val="000000"/>
                <w:sz w:val="20"/>
                <w:szCs w:val="20"/>
              </w:rPr>
              <w:t>-0,17</w:t>
            </w:r>
          </w:p>
        </w:tc>
        <w:tc>
          <w:tcPr>
            <w:tcW w:w="907" w:type="dxa"/>
            <w:noWrap/>
          </w:tcPr>
          <w:p w14:paraId="5426C719" w14:textId="77777777" w:rsidR="005E5B55" w:rsidRPr="005E5B55" w:rsidRDefault="005E5B55" w:rsidP="008349F0">
            <w:pPr>
              <w:ind w:firstLine="0"/>
              <w:jc w:val="center"/>
              <w:rPr>
                <w:rFonts w:cs="Times New Roman"/>
                <w:color w:val="000000"/>
                <w:sz w:val="20"/>
                <w:szCs w:val="20"/>
              </w:rPr>
            </w:pPr>
          </w:p>
        </w:tc>
        <w:tc>
          <w:tcPr>
            <w:tcW w:w="907" w:type="dxa"/>
          </w:tcPr>
          <w:p w14:paraId="6EB0F35B" w14:textId="77777777" w:rsidR="005E5B55" w:rsidRPr="005E5B55" w:rsidRDefault="005E5B55" w:rsidP="008349F0">
            <w:pPr>
              <w:ind w:firstLine="0"/>
              <w:jc w:val="center"/>
              <w:rPr>
                <w:rFonts w:cs="Times New Roman"/>
                <w:color w:val="000000"/>
                <w:sz w:val="20"/>
                <w:szCs w:val="20"/>
              </w:rPr>
            </w:pPr>
          </w:p>
        </w:tc>
        <w:tc>
          <w:tcPr>
            <w:tcW w:w="907" w:type="dxa"/>
          </w:tcPr>
          <w:p w14:paraId="1574CBC5" w14:textId="77777777" w:rsidR="005E5B55" w:rsidRPr="005E5B55" w:rsidRDefault="005E5B55" w:rsidP="008349F0">
            <w:pPr>
              <w:ind w:firstLine="0"/>
              <w:jc w:val="center"/>
              <w:rPr>
                <w:color w:val="000000"/>
              </w:rPr>
            </w:pPr>
          </w:p>
        </w:tc>
        <w:tc>
          <w:tcPr>
            <w:tcW w:w="907" w:type="dxa"/>
          </w:tcPr>
          <w:p w14:paraId="3CB9F2A6" w14:textId="77777777" w:rsidR="005E5B55" w:rsidRPr="005E5B55" w:rsidRDefault="005E5B55" w:rsidP="008349F0">
            <w:pPr>
              <w:ind w:firstLine="0"/>
              <w:jc w:val="center"/>
              <w:rPr>
                <w:color w:val="000000"/>
              </w:rPr>
            </w:pPr>
          </w:p>
        </w:tc>
      </w:tr>
      <w:tr w:rsidR="005E5B55" w:rsidRPr="00FD1578" w14:paraId="1919676E" w14:textId="77777777" w:rsidTr="008E1E6C">
        <w:trPr>
          <w:trHeight w:val="312"/>
          <w:jc w:val="center"/>
        </w:trPr>
        <w:tc>
          <w:tcPr>
            <w:tcW w:w="1980" w:type="dxa"/>
            <w:noWrap/>
            <w:hideMark/>
          </w:tcPr>
          <w:p w14:paraId="135FA463" w14:textId="77777777" w:rsidR="005E5B55" w:rsidRPr="005E5B55" w:rsidRDefault="005E5B55" w:rsidP="008349F0">
            <w:pPr>
              <w:ind w:firstLine="0"/>
              <w:jc w:val="left"/>
              <w:rPr>
                <w:rFonts w:cs="Times New Roman"/>
                <w:color w:val="000000"/>
                <w:sz w:val="18"/>
                <w:szCs w:val="18"/>
              </w:rPr>
            </w:pPr>
            <w:r w:rsidRPr="005E5B55">
              <w:rPr>
                <w:color w:val="000000"/>
                <w:sz w:val="16"/>
                <w:szCs w:val="16"/>
              </w:rPr>
              <w:t xml:space="preserve">citi/vienreizējie izdevumi valsts aizsardzībai un iekšējai drošībai </w:t>
            </w:r>
            <w:r w:rsidRPr="005E5B55">
              <w:rPr>
                <w:color w:val="000000"/>
                <w:sz w:val="16"/>
                <w:szCs w:val="16"/>
              </w:rPr>
              <w:br/>
              <w:t>(18.pr + % maksājumi par aizdevumu UA)</w:t>
            </w:r>
          </w:p>
        </w:tc>
        <w:tc>
          <w:tcPr>
            <w:tcW w:w="907" w:type="dxa"/>
            <w:noWrap/>
          </w:tcPr>
          <w:p w14:paraId="57321D37" w14:textId="0BCB9D83" w:rsidR="005E5B55" w:rsidRPr="005E5B55" w:rsidRDefault="005E5B55" w:rsidP="008349F0">
            <w:pPr>
              <w:ind w:firstLine="0"/>
              <w:jc w:val="center"/>
              <w:rPr>
                <w:rFonts w:cs="Times New Roman"/>
                <w:color w:val="000000"/>
                <w:sz w:val="20"/>
                <w:szCs w:val="20"/>
              </w:rPr>
            </w:pPr>
            <w:r>
              <w:rPr>
                <w:rFonts w:cs="Times New Roman"/>
                <w:color w:val="000000"/>
                <w:sz w:val="20"/>
                <w:szCs w:val="20"/>
              </w:rPr>
              <w:t>-0,19</w:t>
            </w:r>
          </w:p>
        </w:tc>
        <w:tc>
          <w:tcPr>
            <w:tcW w:w="907" w:type="dxa"/>
            <w:noWrap/>
          </w:tcPr>
          <w:p w14:paraId="3897AA1D" w14:textId="7B16C523" w:rsidR="005E5B55" w:rsidRPr="005E5B55" w:rsidRDefault="005E5B55" w:rsidP="008349F0">
            <w:pPr>
              <w:ind w:firstLine="0"/>
              <w:jc w:val="center"/>
              <w:rPr>
                <w:rFonts w:cs="Times New Roman"/>
                <w:color w:val="000000"/>
                <w:sz w:val="20"/>
                <w:szCs w:val="20"/>
              </w:rPr>
            </w:pPr>
            <w:r>
              <w:rPr>
                <w:rFonts w:cs="Times New Roman"/>
                <w:color w:val="000000"/>
                <w:sz w:val="20"/>
                <w:szCs w:val="20"/>
              </w:rPr>
              <w:t>0,15</w:t>
            </w:r>
          </w:p>
        </w:tc>
        <w:tc>
          <w:tcPr>
            <w:tcW w:w="907" w:type="dxa"/>
            <w:noWrap/>
          </w:tcPr>
          <w:p w14:paraId="2D65D9ED" w14:textId="77777777" w:rsidR="005E5B55" w:rsidRPr="005E5B55" w:rsidRDefault="005E5B55" w:rsidP="008349F0">
            <w:pPr>
              <w:ind w:firstLine="0"/>
              <w:jc w:val="center"/>
              <w:rPr>
                <w:rFonts w:cs="Times New Roman"/>
                <w:color w:val="000000"/>
                <w:sz w:val="20"/>
                <w:szCs w:val="20"/>
              </w:rPr>
            </w:pPr>
          </w:p>
        </w:tc>
        <w:tc>
          <w:tcPr>
            <w:tcW w:w="907" w:type="dxa"/>
            <w:noWrap/>
          </w:tcPr>
          <w:p w14:paraId="37662633" w14:textId="15B237FB" w:rsidR="005E5B55" w:rsidRPr="005E5B55" w:rsidRDefault="005E5B55" w:rsidP="008349F0">
            <w:pPr>
              <w:ind w:firstLine="0"/>
              <w:jc w:val="center"/>
              <w:rPr>
                <w:rFonts w:cs="Times New Roman"/>
                <w:color w:val="000000"/>
                <w:sz w:val="20"/>
                <w:szCs w:val="20"/>
              </w:rPr>
            </w:pPr>
            <w:r>
              <w:rPr>
                <w:rFonts w:cs="Times New Roman"/>
                <w:color w:val="000000"/>
                <w:sz w:val="20"/>
                <w:szCs w:val="20"/>
              </w:rPr>
              <w:t>-0,17</w:t>
            </w:r>
          </w:p>
        </w:tc>
        <w:tc>
          <w:tcPr>
            <w:tcW w:w="907" w:type="dxa"/>
            <w:noWrap/>
          </w:tcPr>
          <w:p w14:paraId="64D448D8" w14:textId="1D0B5392" w:rsidR="005E5B55" w:rsidRPr="005E5B55" w:rsidRDefault="005E5B55" w:rsidP="008349F0">
            <w:pPr>
              <w:ind w:firstLine="0"/>
              <w:jc w:val="center"/>
              <w:rPr>
                <w:rFonts w:cs="Times New Roman"/>
                <w:color w:val="000000"/>
                <w:sz w:val="20"/>
                <w:szCs w:val="20"/>
              </w:rPr>
            </w:pPr>
            <w:r>
              <w:rPr>
                <w:rFonts w:cs="Times New Roman"/>
                <w:color w:val="000000"/>
                <w:sz w:val="20"/>
                <w:szCs w:val="20"/>
              </w:rPr>
              <w:t>-0,68</w:t>
            </w:r>
          </w:p>
        </w:tc>
        <w:tc>
          <w:tcPr>
            <w:tcW w:w="907" w:type="dxa"/>
            <w:noWrap/>
          </w:tcPr>
          <w:p w14:paraId="3EFB69E6" w14:textId="33E419CF" w:rsidR="005E5B55" w:rsidRPr="005E5B55" w:rsidRDefault="005E5B55" w:rsidP="008349F0">
            <w:pPr>
              <w:ind w:firstLine="0"/>
              <w:jc w:val="center"/>
              <w:rPr>
                <w:rFonts w:cs="Times New Roman"/>
                <w:color w:val="000000"/>
                <w:sz w:val="20"/>
                <w:szCs w:val="20"/>
              </w:rPr>
            </w:pPr>
            <w:r>
              <w:rPr>
                <w:rFonts w:cs="Times New Roman"/>
                <w:color w:val="000000"/>
                <w:sz w:val="20"/>
                <w:szCs w:val="20"/>
              </w:rPr>
              <w:t>-0,72</w:t>
            </w:r>
          </w:p>
        </w:tc>
        <w:tc>
          <w:tcPr>
            <w:tcW w:w="907" w:type="dxa"/>
          </w:tcPr>
          <w:p w14:paraId="4E1A77D1" w14:textId="493A6E94" w:rsidR="005E5B55" w:rsidRPr="005E5B55" w:rsidRDefault="005E5B55" w:rsidP="008349F0">
            <w:pPr>
              <w:ind w:firstLine="0"/>
              <w:jc w:val="center"/>
              <w:rPr>
                <w:rFonts w:cs="Times New Roman"/>
                <w:color w:val="000000"/>
                <w:sz w:val="20"/>
                <w:szCs w:val="20"/>
              </w:rPr>
            </w:pPr>
            <w:r>
              <w:rPr>
                <w:rFonts w:cs="Times New Roman"/>
                <w:color w:val="000000"/>
                <w:sz w:val="20"/>
                <w:szCs w:val="20"/>
              </w:rPr>
              <w:t>-0,59</w:t>
            </w:r>
          </w:p>
        </w:tc>
        <w:tc>
          <w:tcPr>
            <w:tcW w:w="907" w:type="dxa"/>
          </w:tcPr>
          <w:p w14:paraId="68736FE7" w14:textId="604E1A56" w:rsidR="005E5B55" w:rsidRPr="005E5B55" w:rsidRDefault="005E5B55" w:rsidP="008349F0">
            <w:pPr>
              <w:ind w:firstLine="0"/>
              <w:jc w:val="center"/>
              <w:rPr>
                <w:color w:val="000000"/>
              </w:rPr>
            </w:pPr>
            <w:r>
              <w:rPr>
                <w:rFonts w:cs="Times New Roman"/>
                <w:color w:val="000000"/>
                <w:sz w:val="20"/>
                <w:szCs w:val="20"/>
              </w:rPr>
              <w:t>-0,60</w:t>
            </w:r>
          </w:p>
        </w:tc>
        <w:tc>
          <w:tcPr>
            <w:tcW w:w="907" w:type="dxa"/>
          </w:tcPr>
          <w:p w14:paraId="2F98EF19" w14:textId="76ECD165" w:rsidR="005E5B55" w:rsidRPr="00FD1578" w:rsidRDefault="005E5B55" w:rsidP="008349F0">
            <w:pPr>
              <w:ind w:firstLine="0"/>
              <w:jc w:val="center"/>
              <w:rPr>
                <w:color w:val="000000"/>
              </w:rPr>
            </w:pPr>
            <w:r>
              <w:rPr>
                <w:rFonts w:cs="Times New Roman"/>
                <w:color w:val="000000"/>
                <w:sz w:val="20"/>
                <w:szCs w:val="20"/>
              </w:rPr>
              <w:t>-0,63</w:t>
            </w:r>
          </w:p>
        </w:tc>
      </w:tr>
    </w:tbl>
    <w:p w14:paraId="57F7C494" w14:textId="77777777" w:rsidR="005E5B55" w:rsidRDefault="005E5B55" w:rsidP="008349F0">
      <w:pPr>
        <w:rPr>
          <w:rFonts w:eastAsia="Times New Roman" w:cs="Times New Roman"/>
          <w:szCs w:val="24"/>
        </w:rPr>
      </w:pPr>
    </w:p>
    <w:p w14:paraId="2A9CBC23" w14:textId="5E96BDAF" w:rsidR="00F779F7" w:rsidRPr="00FD1578" w:rsidRDefault="00043D08" w:rsidP="008349F0">
      <w:pPr>
        <w:rPr>
          <w:rFonts w:eastAsia="Times New Roman" w:cs="Times New Roman"/>
          <w:szCs w:val="24"/>
        </w:rPr>
      </w:pPr>
      <w:r w:rsidRPr="00FD1578">
        <w:rPr>
          <w:rFonts w:eastAsia="Times New Roman" w:cs="Times New Roman"/>
          <w:szCs w:val="24"/>
        </w:rPr>
        <w:t xml:space="preserve">Vidēja termiņa budžeta ietvars ir Latvijas fiskālās politikas īstenošanas rīks. </w:t>
      </w:r>
      <w:r w:rsidR="00F779F7" w:rsidRPr="00FD1578">
        <w:rPr>
          <w:rFonts w:eastAsia="Times New Roman" w:cs="Times New Roman"/>
          <w:szCs w:val="24"/>
        </w:rPr>
        <w:t xml:space="preserve">Ar tā starpniecību tiek </w:t>
      </w:r>
      <w:r w:rsidRPr="00FD1578">
        <w:rPr>
          <w:rFonts w:eastAsia="Times New Roman" w:cs="Times New Roman"/>
          <w:szCs w:val="24"/>
        </w:rPr>
        <w:t>īsteno</w:t>
      </w:r>
      <w:r w:rsidR="00F779F7" w:rsidRPr="00FD1578">
        <w:rPr>
          <w:rFonts w:eastAsia="Times New Roman" w:cs="Times New Roman"/>
          <w:szCs w:val="24"/>
        </w:rPr>
        <w:t>ti</w:t>
      </w:r>
      <w:r w:rsidRPr="00FD1578">
        <w:rPr>
          <w:rFonts w:eastAsia="Times New Roman" w:cs="Times New Roman"/>
          <w:szCs w:val="24"/>
        </w:rPr>
        <w:t xml:space="preserve"> gan Latvijas fiskālās politikas </w:t>
      </w:r>
      <w:r w:rsidRPr="00FD1578">
        <w:rPr>
          <w:rFonts w:eastAsia="Times New Roman" w:cs="Times New Roman"/>
          <w:szCs w:val="24"/>
          <w:u w:val="single"/>
        </w:rPr>
        <w:t>vispārēj</w:t>
      </w:r>
      <w:r w:rsidR="00F779F7" w:rsidRPr="00FD1578">
        <w:rPr>
          <w:rFonts w:eastAsia="Times New Roman" w:cs="Times New Roman"/>
          <w:szCs w:val="24"/>
          <w:u w:val="single"/>
        </w:rPr>
        <w:t>ais</w:t>
      </w:r>
      <w:r w:rsidRPr="00FD1578">
        <w:rPr>
          <w:rFonts w:eastAsia="Times New Roman" w:cs="Times New Roman"/>
          <w:szCs w:val="24"/>
        </w:rPr>
        <w:t xml:space="preserve">, gan </w:t>
      </w:r>
      <w:r w:rsidRPr="00FD1578">
        <w:rPr>
          <w:rFonts w:eastAsia="Times New Roman" w:cs="Times New Roman"/>
          <w:szCs w:val="24"/>
          <w:u w:val="single"/>
        </w:rPr>
        <w:t>specifisk</w:t>
      </w:r>
      <w:r w:rsidR="00F779F7" w:rsidRPr="00FD1578">
        <w:rPr>
          <w:rFonts w:eastAsia="Times New Roman" w:cs="Times New Roman"/>
          <w:szCs w:val="24"/>
          <w:u w:val="single"/>
        </w:rPr>
        <w:t>ie</w:t>
      </w:r>
      <w:r w:rsidRPr="00FD1578">
        <w:rPr>
          <w:rFonts w:eastAsia="Times New Roman" w:cs="Times New Roman"/>
          <w:szCs w:val="24"/>
          <w:u w:val="single"/>
        </w:rPr>
        <w:t xml:space="preserve"> mērķ</w:t>
      </w:r>
      <w:r w:rsidR="00F779F7" w:rsidRPr="00FD1578">
        <w:rPr>
          <w:rFonts w:eastAsia="Times New Roman" w:cs="Times New Roman"/>
          <w:szCs w:val="24"/>
          <w:u w:val="single"/>
        </w:rPr>
        <w:t>i</w:t>
      </w:r>
      <w:r w:rsidR="000A63DF" w:rsidRPr="00FD1578">
        <w:rPr>
          <w:rFonts w:eastAsia="Times New Roman" w:cs="Times New Roman"/>
          <w:szCs w:val="24"/>
        </w:rPr>
        <w:t xml:space="preserve"> (</w:t>
      </w:r>
      <w:r w:rsidRPr="00FD1578">
        <w:rPr>
          <w:rFonts w:eastAsia="Times New Roman" w:cs="Times New Roman"/>
          <w:szCs w:val="24"/>
        </w:rPr>
        <w:t>vidēja termiņa budžeta politikas prioritār</w:t>
      </w:r>
      <w:r w:rsidR="00F779F7" w:rsidRPr="00FD1578">
        <w:rPr>
          <w:rFonts w:eastAsia="Times New Roman" w:cs="Times New Roman"/>
          <w:szCs w:val="24"/>
        </w:rPr>
        <w:t>ie</w:t>
      </w:r>
      <w:r w:rsidRPr="00FD1578">
        <w:rPr>
          <w:rFonts w:eastAsia="Times New Roman" w:cs="Times New Roman"/>
          <w:szCs w:val="24"/>
        </w:rPr>
        <w:t xml:space="preserve"> attīstības virzien</w:t>
      </w:r>
      <w:r w:rsidR="00F779F7" w:rsidRPr="00FD1578">
        <w:rPr>
          <w:rFonts w:eastAsia="Times New Roman" w:cs="Times New Roman"/>
          <w:szCs w:val="24"/>
        </w:rPr>
        <w:t>i</w:t>
      </w:r>
      <w:r w:rsidR="000A63DF" w:rsidRPr="00FD1578">
        <w:rPr>
          <w:rFonts w:eastAsia="Times New Roman" w:cs="Times New Roman"/>
          <w:szCs w:val="24"/>
        </w:rPr>
        <w:t>)</w:t>
      </w:r>
      <w:r w:rsidRPr="00FD1578">
        <w:rPr>
          <w:rFonts w:eastAsia="Times New Roman" w:cs="Times New Roman"/>
          <w:szCs w:val="24"/>
        </w:rPr>
        <w:t xml:space="preserve">. </w:t>
      </w:r>
      <w:r w:rsidR="00F779F7" w:rsidRPr="00FD1578">
        <w:rPr>
          <w:rFonts w:eastAsia="Times New Roman" w:cs="Times New Roman"/>
          <w:szCs w:val="24"/>
        </w:rPr>
        <w:t xml:space="preserve">Nav pamata sagaidīt, ka fiskālās politikas vispārējais mērķis katru gadu būtu citādāks, arī fiskālās politikas specifiskajiem mērķiem īstermiņā būtu jābūt pamatā stabiliem. </w:t>
      </w:r>
    </w:p>
    <w:p w14:paraId="464A3668" w14:textId="429283F5" w:rsidR="001832CB" w:rsidRPr="00FD1578" w:rsidRDefault="000A63DF" w:rsidP="008349F0">
      <w:r w:rsidRPr="00FD1578">
        <w:t xml:space="preserve">Latvijas fiskālā politika </w:t>
      </w:r>
      <w:r w:rsidR="00695ACB" w:rsidRPr="00FD1578">
        <w:t xml:space="preserve">tiek pakārtota deklarācijai par </w:t>
      </w:r>
      <w:proofErr w:type="spellStart"/>
      <w:r w:rsidR="00695ACB" w:rsidRPr="00FD1578">
        <w:t>Evikas</w:t>
      </w:r>
      <w:proofErr w:type="spellEnd"/>
      <w:r w:rsidR="00695ACB" w:rsidRPr="00FD1578">
        <w:t xml:space="preserve"> Siliņas vadītā MK iecerēto darbību</w:t>
      </w:r>
      <w:r w:rsidR="00695ACB" w:rsidRPr="00FD1578">
        <w:rPr>
          <w:rStyle w:val="FootnoteReference"/>
        </w:rPr>
        <w:footnoteReference w:id="14"/>
      </w:r>
      <w:r w:rsidR="00695ACB" w:rsidRPr="00FD1578">
        <w:t xml:space="preserve">. </w:t>
      </w:r>
      <w:r w:rsidR="000433EF" w:rsidRPr="00FD1578">
        <w:t xml:space="preserve">Attiecīgi </w:t>
      </w:r>
      <w:r w:rsidR="001832CB" w:rsidRPr="00FD1578">
        <w:rPr>
          <w:rFonts w:eastAsia="Times New Roman" w:cs="Times New Roman"/>
          <w:b/>
          <w:bCs/>
          <w:szCs w:val="24"/>
        </w:rPr>
        <w:t xml:space="preserve">Latvijas fiskālās politikas vispārējais mērķis paliek nemainīgs - </w:t>
      </w:r>
      <w:r w:rsidR="001832CB" w:rsidRPr="00FD1578">
        <w:rPr>
          <w:rFonts w:cs="Times New Roman"/>
          <w:b/>
          <w:bCs/>
          <w:color w:val="000000"/>
          <w:sz w:val="23"/>
          <w:szCs w:val="23"/>
        </w:rPr>
        <w:t>ilgtspējīgas valsts veidošana, uzlabojot ģimeņu dzīves kvalitāti</w:t>
      </w:r>
      <w:r w:rsidR="001832CB" w:rsidRPr="00FD1578">
        <w:rPr>
          <w:b/>
          <w:bCs/>
        </w:rPr>
        <w:t xml:space="preserve">. </w:t>
      </w:r>
      <w:r w:rsidR="001832CB" w:rsidRPr="00FD1578">
        <w:t xml:space="preserve">Atbilstoši Deklarācijai fiskālo politiku plānots īstenot atbildīgi, nodrošinot valdības parādu ilgtermiņā vidēji 40% līmenī no IKP, ievērojot </w:t>
      </w:r>
      <w:proofErr w:type="spellStart"/>
      <w:r w:rsidR="001832CB" w:rsidRPr="00FD1578">
        <w:t>pretcikliskas</w:t>
      </w:r>
      <w:proofErr w:type="spellEnd"/>
      <w:r w:rsidR="001832CB" w:rsidRPr="00FD1578">
        <w:t xml:space="preserve"> fiskālās politikas principus un nodrošinot sociāli atbildīgu un attīstību veicinošu fiskālo politiku.</w:t>
      </w:r>
    </w:p>
    <w:p w14:paraId="4F17D038" w14:textId="5EB52A6F" w:rsidR="00695ACB" w:rsidRPr="00FD1578" w:rsidRDefault="00100BDF" w:rsidP="008349F0">
      <w:pPr>
        <w:rPr>
          <w:b/>
          <w:bCs/>
        </w:rPr>
      </w:pPr>
      <w:r w:rsidRPr="00FD1578">
        <w:rPr>
          <w:rFonts w:eastAsia="Times New Roman" w:cs="Times New Roman"/>
          <w:b/>
          <w:bCs/>
          <w:szCs w:val="24"/>
        </w:rPr>
        <w:t>Ņemot vērā valdības definētos rīcības prioritāros virzienus (drošība</w:t>
      </w:r>
      <w:r w:rsidRPr="00FD1578">
        <w:rPr>
          <w:rFonts w:eastAsia="Times New Roman" w:cs="Times New Roman"/>
          <w:szCs w:val="24"/>
        </w:rPr>
        <w:t xml:space="preserve">, </w:t>
      </w:r>
      <w:r w:rsidRPr="00FD1578">
        <w:rPr>
          <w:rFonts w:eastAsia="Times New Roman" w:cs="Times New Roman"/>
          <w:b/>
          <w:bCs/>
          <w:szCs w:val="24"/>
        </w:rPr>
        <w:t>izaugsme</w:t>
      </w:r>
      <w:r w:rsidRPr="00FD1578">
        <w:rPr>
          <w:rFonts w:eastAsia="Times New Roman" w:cs="Times New Roman"/>
          <w:szCs w:val="24"/>
        </w:rPr>
        <w:t xml:space="preserve">, </w:t>
      </w:r>
      <w:r w:rsidRPr="00FD1578">
        <w:rPr>
          <w:rFonts w:eastAsia="Times New Roman" w:cs="Times New Roman"/>
          <w:b/>
          <w:bCs/>
          <w:szCs w:val="24"/>
        </w:rPr>
        <w:t xml:space="preserve">labklājība), </w:t>
      </w:r>
      <w:r w:rsidR="003F150F" w:rsidRPr="00FD1578">
        <w:rPr>
          <w:rFonts w:eastAsia="Times New Roman" w:cs="Times New Roman"/>
          <w:b/>
          <w:bCs/>
          <w:szCs w:val="24"/>
        </w:rPr>
        <w:t xml:space="preserve">Latvijas </w:t>
      </w:r>
      <w:r w:rsidRPr="00FD1578">
        <w:rPr>
          <w:rFonts w:eastAsia="Times New Roman" w:cs="Times New Roman"/>
          <w:b/>
          <w:bCs/>
          <w:szCs w:val="24"/>
        </w:rPr>
        <w:t>fiskālās politikas specifiskie mērķi, jeb v</w:t>
      </w:r>
      <w:r w:rsidR="00695ACB" w:rsidRPr="00FD1578">
        <w:rPr>
          <w:rFonts w:eastAsia="Times New Roman" w:cs="Times New Roman"/>
          <w:b/>
          <w:bCs/>
          <w:szCs w:val="24"/>
        </w:rPr>
        <w:t>idēja termiņa budžeta politikas prioritārie attīstības virzieni</w:t>
      </w:r>
      <w:r w:rsidR="001832CB" w:rsidRPr="00FD1578">
        <w:rPr>
          <w:rFonts w:eastAsia="Times New Roman" w:cs="Times New Roman"/>
          <w:b/>
          <w:bCs/>
          <w:szCs w:val="24"/>
        </w:rPr>
        <w:t xml:space="preserve"> tiek precizēti atbilstoši </w:t>
      </w:r>
      <w:r w:rsidR="00504BB9" w:rsidRPr="00FD1578">
        <w:rPr>
          <w:rFonts w:eastAsia="Times New Roman" w:cs="Times New Roman"/>
          <w:b/>
          <w:bCs/>
          <w:szCs w:val="24"/>
        </w:rPr>
        <w:t xml:space="preserve">zemāk norādītajiem </w:t>
      </w:r>
      <w:r w:rsidR="001832CB" w:rsidRPr="00FD1578">
        <w:rPr>
          <w:rFonts w:eastAsia="Times New Roman" w:cs="Times New Roman"/>
          <w:b/>
          <w:bCs/>
          <w:szCs w:val="24"/>
        </w:rPr>
        <w:t>MK pieņemtajiem lēmumiem.</w:t>
      </w:r>
    </w:p>
    <w:p w14:paraId="4C79B30E" w14:textId="66C8FE5E" w:rsidR="00AD431A" w:rsidRPr="00FD1578" w:rsidRDefault="00AD431A" w:rsidP="008349F0">
      <w:pPr>
        <w:pStyle w:val="boldparagraphheader"/>
        <w:spacing w:before="160" w:after="120"/>
        <w:ind w:firstLine="720"/>
        <w:contextualSpacing w:val="0"/>
        <w:jc w:val="both"/>
        <w:rPr>
          <w:b w:val="0"/>
          <w:bCs/>
          <w:color w:val="auto"/>
          <w:sz w:val="24"/>
          <w:szCs w:val="24"/>
        </w:rPr>
      </w:pPr>
      <w:r w:rsidRPr="00FD1578">
        <w:rPr>
          <w:b w:val="0"/>
          <w:bCs/>
          <w:color w:val="auto"/>
          <w:sz w:val="24"/>
          <w:szCs w:val="24"/>
        </w:rPr>
        <w:t xml:space="preserve">Saskaņā ar </w:t>
      </w:r>
      <w:r w:rsidR="00E11486">
        <w:rPr>
          <w:b w:val="0"/>
          <w:bCs/>
          <w:color w:val="auto"/>
          <w:sz w:val="24"/>
          <w:szCs w:val="24"/>
        </w:rPr>
        <w:t>MK</w:t>
      </w:r>
      <w:r w:rsidRPr="00FD1578">
        <w:rPr>
          <w:b w:val="0"/>
          <w:bCs/>
          <w:color w:val="auto"/>
          <w:sz w:val="24"/>
          <w:szCs w:val="24"/>
        </w:rPr>
        <w:t xml:space="preserve"> 2024. gada 30. aprīļa sēdē apstiprināto informatīvo ziņojumu „</w:t>
      </w:r>
      <w:bookmarkStart w:id="44" w:name="_Hlk167266376"/>
      <w:r w:rsidRPr="00FD1578">
        <w:rPr>
          <w:b w:val="0"/>
          <w:bCs/>
          <w:color w:val="auto"/>
          <w:sz w:val="24"/>
          <w:szCs w:val="24"/>
        </w:rPr>
        <w:t xml:space="preserve">Latvijas Stabilitātes programma 2024. </w:t>
      </w:r>
      <w:r w:rsidRPr="00FD1578">
        <w:rPr>
          <w:b w:val="0"/>
          <w:bCs/>
          <w:iCs/>
          <w:color w:val="auto"/>
          <w:sz w:val="24"/>
          <w:szCs w:val="24"/>
        </w:rPr>
        <w:t>–</w:t>
      </w:r>
      <w:r w:rsidR="005735FB">
        <w:rPr>
          <w:b w:val="0"/>
          <w:bCs/>
          <w:iCs/>
          <w:color w:val="auto"/>
          <w:sz w:val="24"/>
          <w:szCs w:val="24"/>
        </w:rPr>
        <w:t xml:space="preserve"> </w:t>
      </w:r>
      <w:r w:rsidRPr="00FD1578">
        <w:rPr>
          <w:b w:val="0"/>
          <w:bCs/>
          <w:color w:val="auto"/>
          <w:sz w:val="24"/>
          <w:szCs w:val="24"/>
        </w:rPr>
        <w:t>2028. gadam</w:t>
      </w:r>
      <w:bookmarkEnd w:id="44"/>
      <w:r w:rsidRPr="00FD1578">
        <w:rPr>
          <w:b w:val="0"/>
          <w:bCs/>
          <w:color w:val="auto"/>
          <w:sz w:val="24"/>
          <w:szCs w:val="24"/>
        </w:rPr>
        <w:t>”</w:t>
      </w:r>
      <w:r w:rsidRPr="00FD1578">
        <w:rPr>
          <w:b w:val="0"/>
          <w:bCs/>
          <w:color w:val="auto"/>
          <w:sz w:val="24"/>
          <w:szCs w:val="24"/>
          <w:vertAlign w:val="superscript"/>
        </w:rPr>
        <w:footnoteReference w:id="15"/>
      </w:r>
      <w:r w:rsidRPr="00FD1578">
        <w:rPr>
          <w:b w:val="0"/>
          <w:bCs/>
          <w:color w:val="auto"/>
          <w:sz w:val="24"/>
          <w:szCs w:val="24"/>
        </w:rPr>
        <w:t xml:space="preserve"> </w:t>
      </w:r>
      <w:r w:rsidR="000433EF" w:rsidRPr="00FD1578">
        <w:rPr>
          <w:b w:val="0"/>
          <w:bCs/>
          <w:color w:val="auto"/>
          <w:sz w:val="24"/>
          <w:szCs w:val="24"/>
        </w:rPr>
        <w:t xml:space="preserve">tika </w:t>
      </w:r>
      <w:r w:rsidRPr="00FD1578">
        <w:rPr>
          <w:b w:val="0"/>
          <w:bCs/>
          <w:color w:val="auto"/>
          <w:sz w:val="24"/>
          <w:szCs w:val="24"/>
        </w:rPr>
        <w:t>prognozēta negatīva fiskālā telpa 2025. – 2027. gadā un pozitīva, bet ļoti ierobežota fiskālā telpa 2028. gadā.</w:t>
      </w:r>
    </w:p>
    <w:p w14:paraId="4AF508C2" w14:textId="3F8B89BD" w:rsidR="007356F8" w:rsidRPr="00FD1578" w:rsidRDefault="007356F8" w:rsidP="008349F0">
      <w:pPr>
        <w:pStyle w:val="boldparagraphheader"/>
        <w:spacing w:before="160"/>
        <w:ind w:firstLine="720"/>
        <w:jc w:val="both"/>
        <w:rPr>
          <w:b w:val="0"/>
          <w:bCs/>
          <w:color w:val="auto"/>
          <w:sz w:val="24"/>
          <w:szCs w:val="24"/>
        </w:rPr>
      </w:pPr>
      <w:r w:rsidRPr="00FD1578">
        <w:rPr>
          <w:b w:val="0"/>
          <w:bCs/>
          <w:color w:val="auto"/>
          <w:sz w:val="24"/>
          <w:szCs w:val="24"/>
        </w:rPr>
        <w:t xml:space="preserve">2024. gada 30. aprīlī, </w:t>
      </w:r>
      <w:r w:rsidR="00E11486">
        <w:rPr>
          <w:b w:val="0"/>
          <w:bCs/>
          <w:color w:val="auto"/>
          <w:sz w:val="24"/>
          <w:szCs w:val="24"/>
        </w:rPr>
        <w:t>MK,</w:t>
      </w:r>
      <w:r w:rsidRPr="00FD1578">
        <w:rPr>
          <w:b w:val="0"/>
          <w:bCs/>
          <w:color w:val="auto"/>
          <w:sz w:val="24"/>
          <w:szCs w:val="24"/>
        </w:rPr>
        <w:t xml:space="preserve"> izskatot informatīvo ziņojumu “Latvijas Stabilitātes programma 2024.-2028. gadam” </w:t>
      </w:r>
      <w:r w:rsidR="000433EF" w:rsidRPr="00FD1578">
        <w:rPr>
          <w:b w:val="0"/>
          <w:bCs/>
          <w:color w:val="auto"/>
          <w:sz w:val="24"/>
          <w:szCs w:val="24"/>
        </w:rPr>
        <w:t xml:space="preserve">un informatīvo ziņojumu “Par Latvijas ekonomikas attīstību” </w:t>
      </w:r>
      <w:r w:rsidRPr="00FD1578">
        <w:rPr>
          <w:b w:val="0"/>
          <w:bCs/>
          <w:color w:val="auto"/>
          <w:sz w:val="24"/>
          <w:szCs w:val="24"/>
        </w:rPr>
        <w:t>(protokols Nr. 18 52. § un</w:t>
      </w:r>
      <w:r w:rsidR="005735FB">
        <w:rPr>
          <w:b w:val="0"/>
          <w:bCs/>
          <w:color w:val="auto"/>
          <w:sz w:val="24"/>
          <w:szCs w:val="24"/>
        </w:rPr>
        <w:t xml:space="preserve"> </w:t>
      </w:r>
      <w:r w:rsidRPr="00FD1578">
        <w:rPr>
          <w:b w:val="0"/>
          <w:bCs/>
          <w:color w:val="auto"/>
          <w:sz w:val="24"/>
          <w:szCs w:val="24"/>
        </w:rPr>
        <w:t>53. §),</w:t>
      </w:r>
      <w:r w:rsidR="005735FB">
        <w:rPr>
          <w:b w:val="0"/>
          <w:bCs/>
          <w:color w:val="auto"/>
          <w:sz w:val="24"/>
          <w:szCs w:val="24"/>
        </w:rPr>
        <w:t xml:space="preserve"> </w:t>
      </w:r>
      <w:r w:rsidR="00916E47" w:rsidRPr="00FD1578">
        <w:rPr>
          <w:b w:val="0"/>
          <w:bCs/>
          <w:color w:val="auto"/>
          <w:sz w:val="24"/>
          <w:szCs w:val="24"/>
        </w:rPr>
        <w:t>notika diskusija</w:t>
      </w:r>
      <w:r w:rsidRPr="00FD1578">
        <w:rPr>
          <w:b w:val="0"/>
          <w:bCs/>
          <w:color w:val="auto"/>
          <w:sz w:val="24"/>
          <w:szCs w:val="24"/>
        </w:rPr>
        <w:t xml:space="preserve"> par iespējamiem prioritārajiem virzieniem ekonomikas attīstībai</w:t>
      </w:r>
      <w:r w:rsidR="00AD431A" w:rsidRPr="00FD1578">
        <w:rPr>
          <w:b w:val="0"/>
          <w:bCs/>
          <w:color w:val="auto"/>
          <w:sz w:val="24"/>
          <w:szCs w:val="24"/>
        </w:rPr>
        <w:t xml:space="preserve"> un d</w:t>
      </w:r>
      <w:r w:rsidRPr="00FD1578">
        <w:rPr>
          <w:b w:val="0"/>
          <w:bCs/>
          <w:color w:val="auto"/>
          <w:sz w:val="24"/>
          <w:szCs w:val="24"/>
        </w:rPr>
        <w:t xml:space="preserve">iskusiju rezultātā tika nolemts uzdot Ekonomikas ministrijai, konsultējoties ar nozaru ministrijām un Valsts kanceleju, sagatavot priekšlikumus Valdības rīcības plāna papildināšanai ar prioritārajām jomām un ikgadēji sasniedzamajiem rezultātiem ekonomikas attīstībai primāri produktivitātes, </w:t>
      </w:r>
      <w:proofErr w:type="spellStart"/>
      <w:r w:rsidRPr="00FD1578">
        <w:rPr>
          <w:b w:val="0"/>
          <w:bCs/>
          <w:color w:val="auto"/>
          <w:sz w:val="24"/>
          <w:szCs w:val="24"/>
        </w:rPr>
        <w:t>cilvēkkapitāla</w:t>
      </w:r>
      <w:proofErr w:type="spellEnd"/>
      <w:r w:rsidRPr="00FD1578">
        <w:rPr>
          <w:b w:val="0"/>
          <w:bCs/>
          <w:color w:val="auto"/>
          <w:sz w:val="24"/>
          <w:szCs w:val="24"/>
        </w:rPr>
        <w:t xml:space="preserve"> un eksporta atbalsta jomā </w:t>
      </w:r>
      <w:r w:rsidRPr="00FD1578">
        <w:rPr>
          <w:b w:val="0"/>
          <w:bCs/>
          <w:color w:val="auto"/>
          <w:sz w:val="24"/>
          <w:szCs w:val="24"/>
        </w:rPr>
        <w:lastRenderedPageBreak/>
        <w:t>(protokols Nr. 18 52. § 6. punkts).</w:t>
      </w:r>
      <w:r w:rsidR="004F74EA" w:rsidRPr="00FD1578">
        <w:rPr>
          <w:b w:val="0"/>
          <w:bCs/>
          <w:color w:val="auto"/>
          <w:sz w:val="24"/>
          <w:szCs w:val="24"/>
        </w:rPr>
        <w:t xml:space="preserve"> Papildus</w:t>
      </w:r>
      <w:r w:rsidR="00835A7A" w:rsidRPr="00FD1578">
        <w:rPr>
          <w:b w:val="0"/>
          <w:bCs/>
          <w:color w:val="auto"/>
          <w:sz w:val="24"/>
          <w:szCs w:val="24"/>
        </w:rPr>
        <w:t xml:space="preserve"> tam, veicinot </w:t>
      </w:r>
      <w:r w:rsidR="00835A7A" w:rsidRPr="00FD1578">
        <w:rPr>
          <w:b w:val="0"/>
          <w:bCs/>
          <w:color w:val="000000"/>
          <w:spacing w:val="-2"/>
          <w:sz w:val="24"/>
          <w:szCs w:val="24"/>
        </w:rPr>
        <w:t>politisku diskusiju likumdevēja līmenī,</w:t>
      </w:r>
      <w:r w:rsidR="004F74EA" w:rsidRPr="00FD1578">
        <w:rPr>
          <w:b w:val="0"/>
          <w:bCs/>
          <w:color w:val="auto"/>
          <w:sz w:val="24"/>
          <w:szCs w:val="24"/>
        </w:rPr>
        <w:t xml:space="preserve"> 2024. gada 16. maijā </w:t>
      </w:r>
      <w:r w:rsidR="00835A7A" w:rsidRPr="00FD1578">
        <w:rPr>
          <w:b w:val="0"/>
          <w:bCs/>
          <w:color w:val="auto"/>
          <w:sz w:val="24"/>
          <w:szCs w:val="24"/>
        </w:rPr>
        <w:t xml:space="preserve">jau otro gadu pēc kārtas notika </w:t>
      </w:r>
      <w:r w:rsidR="004F74EA" w:rsidRPr="00FD1578">
        <w:rPr>
          <w:b w:val="0"/>
          <w:bCs/>
          <w:color w:val="auto"/>
          <w:sz w:val="24"/>
          <w:szCs w:val="24"/>
        </w:rPr>
        <w:t>debates</w:t>
      </w:r>
      <w:r w:rsidR="004F74EA" w:rsidRPr="00FD1578">
        <w:rPr>
          <w:b w:val="0"/>
          <w:bCs/>
          <w:color w:val="auto"/>
          <w:szCs w:val="24"/>
        </w:rPr>
        <w:t xml:space="preserve"> </w:t>
      </w:r>
      <w:r w:rsidR="004F74EA" w:rsidRPr="00FD1578">
        <w:rPr>
          <w:b w:val="0"/>
          <w:bCs/>
          <w:color w:val="auto"/>
          <w:sz w:val="24"/>
          <w:szCs w:val="24"/>
        </w:rPr>
        <w:t>Latvijas Repu</w:t>
      </w:r>
      <w:r w:rsidR="004F74EA" w:rsidRPr="00FD1578">
        <w:rPr>
          <w:b w:val="0"/>
          <w:color w:val="auto"/>
          <w:sz w:val="24"/>
          <w:szCs w:val="24"/>
        </w:rPr>
        <w:t>blikas 14. Saeimas pavasara sesijas 8.</w:t>
      </w:r>
      <w:r w:rsidR="00085786" w:rsidRPr="00FD1578">
        <w:rPr>
          <w:b w:val="0"/>
          <w:color w:val="auto"/>
          <w:sz w:val="24"/>
          <w:szCs w:val="24"/>
        </w:rPr>
        <w:t xml:space="preserve"> </w:t>
      </w:r>
      <w:r w:rsidR="004F74EA" w:rsidRPr="00FD1578">
        <w:rPr>
          <w:b w:val="0"/>
          <w:color w:val="auto"/>
          <w:sz w:val="24"/>
          <w:szCs w:val="24"/>
        </w:rPr>
        <w:t>plenārsēdē</w:t>
      </w:r>
      <w:r w:rsidR="004F74EA" w:rsidRPr="00FD1578">
        <w:rPr>
          <w:b w:val="0"/>
          <w:bCs/>
          <w:color w:val="auto"/>
          <w:sz w:val="24"/>
          <w:szCs w:val="24"/>
        </w:rPr>
        <w:t>, finanšu ministram ziņojot par Latvijas Stabilitātes programm</w:t>
      </w:r>
      <w:r w:rsidR="00835A7A" w:rsidRPr="00FD1578">
        <w:rPr>
          <w:b w:val="0"/>
          <w:bCs/>
          <w:color w:val="auto"/>
          <w:sz w:val="24"/>
          <w:szCs w:val="24"/>
        </w:rPr>
        <w:t>u</w:t>
      </w:r>
      <w:r w:rsidR="00835A7A" w:rsidRPr="00FD1578">
        <w:rPr>
          <w:rStyle w:val="FootnoteReference"/>
          <w:b w:val="0"/>
          <w:bCs/>
          <w:color w:val="auto"/>
          <w:sz w:val="24"/>
          <w:szCs w:val="24"/>
        </w:rPr>
        <w:footnoteReference w:id="16"/>
      </w:r>
      <w:r w:rsidR="00835A7A" w:rsidRPr="00FD1578">
        <w:rPr>
          <w:b w:val="0"/>
          <w:bCs/>
          <w:color w:val="auto"/>
          <w:sz w:val="24"/>
          <w:szCs w:val="24"/>
        </w:rPr>
        <w:t xml:space="preserve">. Debatēs bija iespēja diskutēt ne tikai par valsts finanšu stāvokli, bet arī par budžeta prioritātēm nākamajam gadam un vidējam termiņam. Viens no galvenajiem valsts budžeta uzdevumiem ir ne tikai nodrošināt publiskos pakalpojumus un īstenot </w:t>
      </w:r>
      <w:proofErr w:type="spellStart"/>
      <w:r w:rsidR="00835A7A" w:rsidRPr="00FD1578">
        <w:rPr>
          <w:b w:val="0"/>
          <w:bCs/>
          <w:color w:val="auto"/>
          <w:sz w:val="24"/>
          <w:szCs w:val="24"/>
        </w:rPr>
        <w:t>pretciklisku</w:t>
      </w:r>
      <w:proofErr w:type="spellEnd"/>
      <w:r w:rsidR="00835A7A" w:rsidRPr="00FD1578">
        <w:rPr>
          <w:b w:val="0"/>
          <w:bCs/>
          <w:color w:val="auto"/>
          <w:sz w:val="24"/>
          <w:szCs w:val="24"/>
        </w:rPr>
        <w:t xml:space="preserve"> fiskālo politiku, bet arī nodrošināt labvēlīgus apstākļus ekonomikas attīstībai. Tāpēc šogad finanšu ministra ziņojuma </w:t>
      </w:r>
      <w:r w:rsidR="00916E47" w:rsidRPr="00FD1578">
        <w:rPr>
          <w:b w:val="0"/>
          <w:bCs/>
          <w:color w:val="auto"/>
          <w:sz w:val="24"/>
          <w:szCs w:val="24"/>
        </w:rPr>
        <w:t xml:space="preserve">par Latvijas Stabilitātes programmu </w:t>
      </w:r>
      <w:r w:rsidR="00835A7A" w:rsidRPr="00FD1578">
        <w:rPr>
          <w:b w:val="0"/>
          <w:bCs/>
          <w:color w:val="auto"/>
          <w:sz w:val="24"/>
          <w:szCs w:val="24"/>
        </w:rPr>
        <w:t>ietvaros uzklausīts arī ekonomikas ministra ziņojums par ekonomisko politiku</w:t>
      </w:r>
      <w:r w:rsidR="004F74EA" w:rsidRPr="00FD1578">
        <w:rPr>
          <w:b w:val="0"/>
          <w:bCs/>
          <w:color w:val="auto"/>
          <w:sz w:val="24"/>
          <w:szCs w:val="24"/>
        </w:rPr>
        <w:t xml:space="preserve">. </w:t>
      </w:r>
    </w:p>
    <w:p w14:paraId="3BE79695" w14:textId="03DAFD73" w:rsidR="00C32063" w:rsidRPr="00FD1578" w:rsidRDefault="00AD431A" w:rsidP="008349F0">
      <w:pPr>
        <w:rPr>
          <w:rFonts w:eastAsia="Times New Roman" w:cs="Times New Roman"/>
          <w:szCs w:val="24"/>
        </w:rPr>
      </w:pPr>
      <w:r w:rsidRPr="00FD1578">
        <w:rPr>
          <w:rFonts w:eastAsia="Times New Roman" w:cs="Times New Roman"/>
          <w:szCs w:val="24"/>
        </w:rPr>
        <w:t xml:space="preserve">Savukārt, </w:t>
      </w:r>
      <w:r w:rsidR="007356F8" w:rsidRPr="00FD1578">
        <w:rPr>
          <w:rFonts w:eastAsia="Times New Roman" w:cs="Times New Roman"/>
          <w:szCs w:val="24"/>
        </w:rPr>
        <w:t>2024. gada 18. jūnijā</w:t>
      </w:r>
      <w:r w:rsidR="00A5258C" w:rsidRPr="00FD1578">
        <w:rPr>
          <w:rFonts w:eastAsia="Times New Roman" w:cs="Times New Roman"/>
          <w:szCs w:val="24"/>
        </w:rPr>
        <w:t>, izskatot informatīvo ziņojumu</w:t>
      </w:r>
      <w:r w:rsidR="00A5258C" w:rsidRPr="00FD1578">
        <w:rPr>
          <w:rFonts w:eastAsiaTheme="minorHAnsi" w:cs="Times New Roman"/>
          <w:b/>
          <w:sz w:val="28"/>
          <w:szCs w:val="28"/>
          <w:lang w:eastAsia="en-US"/>
        </w:rPr>
        <w:t xml:space="preserve"> </w:t>
      </w:r>
      <w:r w:rsidR="00A5258C" w:rsidRPr="00FD1578">
        <w:rPr>
          <w:rFonts w:eastAsia="Times New Roman" w:cs="Times New Roman"/>
          <w:bCs/>
          <w:szCs w:val="24"/>
        </w:rPr>
        <w:t xml:space="preserve">“Par vidēja termiņa budžeta prioritārajiem attīstības virzieniem”, </w:t>
      </w:r>
      <w:r w:rsidR="00E11486">
        <w:rPr>
          <w:rFonts w:eastAsia="Times New Roman" w:cs="Times New Roman"/>
          <w:bCs/>
          <w:szCs w:val="24"/>
        </w:rPr>
        <w:t>MK</w:t>
      </w:r>
      <w:r w:rsidR="00603144" w:rsidRPr="00FD1578">
        <w:rPr>
          <w:rFonts w:eastAsia="Times New Roman" w:cs="Times New Roman"/>
          <w:bCs/>
          <w:szCs w:val="24"/>
        </w:rPr>
        <w:t xml:space="preserve">, ņemot vērā </w:t>
      </w:r>
      <w:r w:rsidR="00603144" w:rsidRPr="00FD1578">
        <w:rPr>
          <w:bCs/>
          <w:szCs w:val="24"/>
        </w:rPr>
        <w:t xml:space="preserve">Latvijas Stabilitātes programmas 2024. </w:t>
      </w:r>
      <w:r w:rsidR="00603144" w:rsidRPr="00FD1578">
        <w:rPr>
          <w:bCs/>
          <w:iCs/>
          <w:szCs w:val="24"/>
        </w:rPr>
        <w:t>–</w:t>
      </w:r>
      <w:r w:rsidR="005735FB">
        <w:rPr>
          <w:bCs/>
          <w:iCs/>
          <w:szCs w:val="24"/>
        </w:rPr>
        <w:t xml:space="preserve"> </w:t>
      </w:r>
      <w:r w:rsidR="00603144" w:rsidRPr="00FD1578">
        <w:rPr>
          <w:bCs/>
          <w:szCs w:val="24"/>
        </w:rPr>
        <w:t>2028. gadam</w:t>
      </w:r>
      <w:r w:rsidR="00603144" w:rsidRPr="00FD1578">
        <w:rPr>
          <w:rFonts w:eastAsia="Times New Roman" w:cs="Times New Roman"/>
          <w:bCs/>
          <w:szCs w:val="24"/>
        </w:rPr>
        <w:t xml:space="preserve"> sagatavošanā izmantotās makroekonomiskās attīstības prognozes, prognozēto negatīvo fiskālo telpu un likumā par budžetu un finanšu vadību noteikto</w:t>
      </w:r>
      <w:r w:rsidR="00603144" w:rsidRPr="00FD1578">
        <w:rPr>
          <w:rStyle w:val="FootnoteReference"/>
          <w:rFonts w:eastAsia="Times New Roman" w:cs="Times New Roman"/>
          <w:bCs/>
          <w:szCs w:val="24"/>
        </w:rPr>
        <w:footnoteReference w:id="17"/>
      </w:r>
      <w:r w:rsidR="00603144" w:rsidRPr="00FD1578">
        <w:rPr>
          <w:rFonts w:eastAsia="Times New Roman" w:cs="Times New Roman"/>
          <w:bCs/>
          <w:szCs w:val="24"/>
        </w:rPr>
        <w:t>, pieņ</w:t>
      </w:r>
      <w:r w:rsidR="00916E47" w:rsidRPr="00FD1578">
        <w:rPr>
          <w:rFonts w:eastAsia="Times New Roman" w:cs="Times New Roman"/>
          <w:bCs/>
          <w:szCs w:val="24"/>
        </w:rPr>
        <w:t>ēma</w:t>
      </w:r>
      <w:r w:rsidR="00603144" w:rsidRPr="00FD1578">
        <w:rPr>
          <w:rFonts w:eastAsia="Times New Roman" w:cs="Times New Roman"/>
          <w:bCs/>
          <w:szCs w:val="24"/>
        </w:rPr>
        <w:t xml:space="preserve"> konceptuālu </w:t>
      </w:r>
      <w:r w:rsidR="007356F8" w:rsidRPr="00FD1578">
        <w:rPr>
          <w:rFonts w:eastAsia="Times New Roman" w:cs="Times New Roman"/>
          <w:bCs/>
          <w:szCs w:val="24"/>
        </w:rPr>
        <w:t>lēmumu likumprojekta “Par</w:t>
      </w:r>
      <w:r w:rsidR="007356F8" w:rsidRPr="00FD1578">
        <w:rPr>
          <w:rFonts w:eastAsia="Times New Roman" w:cs="Times New Roman"/>
          <w:szCs w:val="24"/>
        </w:rPr>
        <w:t xml:space="preserve"> valsts budžetu 2025. gadam un budžeta ietvaru 2025., 2026. un 2027. gadam” sagatavošanā kā vienīgo </w:t>
      </w:r>
      <w:r w:rsidR="007356F8" w:rsidRPr="00FD1578">
        <w:rPr>
          <w:rFonts w:eastAsia="Times New Roman" w:cs="Times New Roman"/>
          <w:b/>
          <w:bCs/>
          <w:szCs w:val="24"/>
        </w:rPr>
        <w:t>vidēja termiņa budžeta prioritāro attīstības virzienu no</w:t>
      </w:r>
      <w:r w:rsidR="00916E47" w:rsidRPr="00FD1578">
        <w:rPr>
          <w:rFonts w:eastAsia="Times New Roman" w:cs="Times New Roman"/>
          <w:b/>
          <w:bCs/>
          <w:szCs w:val="24"/>
        </w:rPr>
        <w:t xml:space="preserve">teikt </w:t>
      </w:r>
      <w:r w:rsidR="007356F8" w:rsidRPr="00FD1578">
        <w:rPr>
          <w:rFonts w:eastAsia="Times New Roman" w:cs="Times New Roman"/>
          <w:b/>
          <w:bCs/>
          <w:szCs w:val="24"/>
        </w:rPr>
        <w:t>valsts drošību</w:t>
      </w:r>
      <w:r w:rsidR="007356F8" w:rsidRPr="00FD1578">
        <w:rPr>
          <w:rFonts w:eastAsia="Times New Roman" w:cs="Times New Roman"/>
          <w:szCs w:val="24"/>
        </w:rPr>
        <w:t xml:space="preserve"> (protokols Nr. 25 74. § 2. punkts).</w:t>
      </w:r>
      <w:r w:rsidR="00C32063" w:rsidRPr="00FD1578">
        <w:rPr>
          <w:rFonts w:eastAsia="Times New Roman" w:cs="Times New Roman"/>
          <w:szCs w:val="24"/>
        </w:rPr>
        <w:t xml:space="preserve"> Citu vidēja termiņa budžeta prioritāro attīstības virzienu noteikšana </w:t>
      </w:r>
      <w:r w:rsidR="00916E47" w:rsidRPr="00FD1578">
        <w:rPr>
          <w:rFonts w:eastAsia="Times New Roman" w:cs="Times New Roman"/>
          <w:szCs w:val="24"/>
        </w:rPr>
        <w:t xml:space="preserve">bija </w:t>
      </w:r>
      <w:r w:rsidR="00C32063" w:rsidRPr="00FD1578">
        <w:rPr>
          <w:rFonts w:eastAsia="Times New Roman" w:cs="Times New Roman"/>
          <w:szCs w:val="24"/>
        </w:rPr>
        <w:t xml:space="preserve">iespējama, pārskatot esošo budžeta programmu/ apakšprogrammu izdevumus un pārvirzot resursus aktuālākiem prioritārajiem pasākumiem, vai rodot papildu finansējuma avotus, sagatavojot fiskāli neitrālus priekšlikumus jaunu prioritāro pasākumu finansēšanai. Attiecīgi </w:t>
      </w:r>
      <w:r w:rsidR="00603144" w:rsidRPr="00FD1578">
        <w:rPr>
          <w:rFonts w:eastAsia="Times New Roman" w:cs="Times New Roman"/>
          <w:szCs w:val="24"/>
        </w:rPr>
        <w:t xml:space="preserve">nozaru </w:t>
      </w:r>
      <w:r w:rsidR="00C32063" w:rsidRPr="00FD1578">
        <w:rPr>
          <w:rFonts w:eastAsia="Times New Roman" w:cs="Times New Roman"/>
          <w:szCs w:val="24"/>
        </w:rPr>
        <w:t>ministrijām bija jāpārskata bāzes izdevumi un jāsagatavo priekšlikumi, lai citu pasākumu, kas nav saistīti ar valsts drošību, finansēšanu nodrošinātu esošo bāzes izdevumu ietvaros. Arī neatkarīgās iestādes tika aicinātas sniegt priekšlikumus par prioritārajiem pasākumiem, kas saistīti tikai ar valsts drošību.</w:t>
      </w:r>
    </w:p>
    <w:p w14:paraId="6A0430FE" w14:textId="5127F435" w:rsidR="00557435" w:rsidRPr="00FD1578" w:rsidRDefault="00557435" w:rsidP="008349F0">
      <w:pPr>
        <w:widowControl w:val="0"/>
        <w:spacing w:after="0"/>
        <w:rPr>
          <w:rFonts w:eastAsia="Times New Roman" w:cs="Times New Roman"/>
          <w:szCs w:val="24"/>
        </w:rPr>
      </w:pPr>
      <w:r w:rsidRPr="00FD1578">
        <w:rPr>
          <w:rFonts w:eastAsia="Times New Roman" w:cs="Times New Roman"/>
          <w:szCs w:val="24"/>
        </w:rPr>
        <w:t>Tālāk šajā nodaļā ti</w:t>
      </w:r>
      <w:r w:rsidR="00AA3F38">
        <w:rPr>
          <w:rFonts w:eastAsia="Times New Roman" w:cs="Times New Roman"/>
          <w:szCs w:val="24"/>
        </w:rPr>
        <w:t>ek</w:t>
      </w:r>
      <w:r w:rsidRPr="00FD1578">
        <w:rPr>
          <w:rFonts w:eastAsia="Times New Roman" w:cs="Times New Roman"/>
          <w:szCs w:val="24"/>
        </w:rPr>
        <w:t xml:space="preserve"> sniegts izvērsums gan par to</w:t>
      </w:r>
      <w:r w:rsidR="008F02A2" w:rsidRPr="00FD1578">
        <w:rPr>
          <w:rFonts w:eastAsia="Times New Roman" w:cs="Times New Roman"/>
          <w:szCs w:val="24"/>
        </w:rPr>
        <w:t>,</w:t>
      </w:r>
      <w:r w:rsidRPr="00FD1578">
        <w:rPr>
          <w:rFonts w:eastAsia="Times New Roman" w:cs="Times New Roman"/>
          <w:szCs w:val="24"/>
        </w:rPr>
        <w:t xml:space="preserve"> kā tiek aprēķināti pieejamie papildus resursi budžeta prioritāšu īstenošanai, gan arī par to, kādi ir </w:t>
      </w:r>
      <w:r w:rsidR="00801615" w:rsidRPr="00FD1578">
        <w:rPr>
          <w:rFonts w:eastAsia="Times New Roman" w:cs="Times New Roman"/>
          <w:szCs w:val="24"/>
        </w:rPr>
        <w:t>MK</w:t>
      </w:r>
      <w:r w:rsidRPr="00FD1578">
        <w:rPr>
          <w:rFonts w:eastAsia="Times New Roman" w:cs="Times New Roman"/>
          <w:szCs w:val="24"/>
        </w:rPr>
        <w:t xml:space="preserve"> pieņemtie lēmumi fiskālās politikas vispārējā mērķa un specifisko mērķu sasniegšanai. Informācija ietverta sekojošās apakšdaļās:</w:t>
      </w:r>
    </w:p>
    <w:p w14:paraId="3DD85CE3" w14:textId="77777777" w:rsidR="00557435" w:rsidRPr="00FD1578" w:rsidRDefault="00557435" w:rsidP="008349F0">
      <w:pPr>
        <w:widowControl w:val="0"/>
        <w:numPr>
          <w:ilvl w:val="0"/>
          <w:numId w:val="5"/>
        </w:numPr>
        <w:spacing w:after="0"/>
        <w:ind w:left="1069"/>
        <w:rPr>
          <w:rFonts w:eastAsia="Times New Roman" w:cs="Times New Roman"/>
          <w:szCs w:val="24"/>
        </w:rPr>
      </w:pPr>
      <w:r w:rsidRPr="00FD1578">
        <w:rPr>
          <w:rFonts w:eastAsia="Times New Roman" w:cs="Times New Roman"/>
          <w:szCs w:val="24"/>
        </w:rPr>
        <w:t>vidēja termiņa strukturālās bilances mērķu noteikšana;</w:t>
      </w:r>
    </w:p>
    <w:p w14:paraId="3070376C" w14:textId="77777777" w:rsidR="00557435" w:rsidRPr="00FD1578" w:rsidRDefault="00557435" w:rsidP="008349F0">
      <w:pPr>
        <w:widowControl w:val="0"/>
        <w:numPr>
          <w:ilvl w:val="0"/>
          <w:numId w:val="5"/>
        </w:numPr>
        <w:spacing w:after="0"/>
        <w:ind w:left="1069"/>
        <w:rPr>
          <w:rFonts w:eastAsia="Times New Roman" w:cs="Times New Roman"/>
          <w:szCs w:val="24"/>
        </w:rPr>
      </w:pPr>
      <w:r w:rsidRPr="00FD1578">
        <w:rPr>
          <w:rFonts w:eastAsia="Times New Roman" w:cs="Times New Roman"/>
          <w:szCs w:val="24"/>
        </w:rPr>
        <w:t>vispārējās valdības budžeta bilance;</w:t>
      </w:r>
    </w:p>
    <w:p w14:paraId="5C0B0499" w14:textId="77777777" w:rsidR="00557435" w:rsidRPr="00FD1578" w:rsidRDefault="00557435" w:rsidP="008349F0">
      <w:pPr>
        <w:widowControl w:val="0"/>
        <w:numPr>
          <w:ilvl w:val="0"/>
          <w:numId w:val="5"/>
        </w:numPr>
        <w:spacing w:after="0"/>
        <w:ind w:left="1069"/>
        <w:rPr>
          <w:rFonts w:eastAsia="Times New Roman" w:cs="Times New Roman"/>
          <w:szCs w:val="24"/>
        </w:rPr>
      </w:pPr>
      <w:r w:rsidRPr="00FD1578">
        <w:rPr>
          <w:rFonts w:eastAsia="Times New Roman" w:cs="Times New Roman"/>
          <w:szCs w:val="24"/>
        </w:rPr>
        <w:t>vidēja termiņa budžeta prioritārie attīstības virzieni.</w:t>
      </w:r>
    </w:p>
    <w:p w14:paraId="69777FB6" w14:textId="11506410" w:rsidR="0042606F" w:rsidRPr="00FD1578" w:rsidRDefault="003164D4" w:rsidP="008349F0">
      <w:pPr>
        <w:pStyle w:val="Heading2"/>
      </w:pPr>
      <w:bookmarkStart w:id="45" w:name="_Toc179356080"/>
      <w:r w:rsidRPr="008E1E6C">
        <w:t>2.</w:t>
      </w:r>
      <w:r w:rsidRPr="00FD1578">
        <w:t xml:space="preserve">1. </w:t>
      </w:r>
      <w:r w:rsidR="000548A5" w:rsidRPr="00FD1578">
        <w:t>Vidēja termiņa strukturālās bilances mērķu noteikšana</w:t>
      </w:r>
      <w:bookmarkEnd w:id="45"/>
    </w:p>
    <w:p w14:paraId="4E14BACA" w14:textId="1819C296" w:rsidR="00EA4FF4" w:rsidRPr="00FD1578" w:rsidRDefault="00EA4FF4" w:rsidP="008349F0">
      <w:pPr>
        <w:ind w:firstLine="709"/>
        <w:rPr>
          <w:rFonts w:eastAsia="Calibri" w:cs="Times New Roman"/>
          <w:szCs w:val="20"/>
        </w:rPr>
      </w:pPr>
      <w:r w:rsidRPr="00FD1578">
        <w:rPr>
          <w:rFonts w:eastAsia="Calibri" w:cs="Times New Roman"/>
          <w:szCs w:val="20"/>
        </w:rPr>
        <w:t>Valdības deklarācijā</w:t>
      </w:r>
      <w:r w:rsidRPr="00FD1578">
        <w:rPr>
          <w:rStyle w:val="FootnoteReference"/>
          <w:rFonts w:eastAsia="Calibri" w:cs="Times New Roman"/>
          <w:szCs w:val="20"/>
        </w:rPr>
        <w:footnoteReference w:id="18"/>
      </w:r>
      <w:r w:rsidRPr="00FD1578">
        <w:rPr>
          <w:rFonts w:eastAsia="Calibri" w:cs="Times New Roman"/>
          <w:szCs w:val="20"/>
        </w:rPr>
        <w:t xml:space="preserve"> ir nostiprināta a</w:t>
      </w:r>
      <w:r w:rsidR="00644AD1" w:rsidRPr="00FD1578">
        <w:rPr>
          <w:rFonts w:eastAsia="Calibri" w:cs="Times New Roman"/>
          <w:szCs w:val="20"/>
        </w:rPr>
        <w:t xml:space="preserve">pņemšanās </w:t>
      </w:r>
      <w:r w:rsidRPr="00FD1578">
        <w:rPr>
          <w:rFonts w:eastAsia="Calibri" w:cs="Times New Roman"/>
          <w:szCs w:val="20"/>
        </w:rPr>
        <w:t>īstenot</w:t>
      </w:r>
      <w:r w:rsidR="00644AD1" w:rsidRPr="00FD1578">
        <w:rPr>
          <w:rFonts w:eastAsia="Calibri" w:cs="Times New Roman"/>
          <w:szCs w:val="20"/>
        </w:rPr>
        <w:t xml:space="preserve"> </w:t>
      </w:r>
      <w:r w:rsidRPr="00FD1578">
        <w:rPr>
          <w:rFonts w:eastAsia="Calibri" w:cs="Times New Roman"/>
          <w:szCs w:val="20"/>
        </w:rPr>
        <w:t>f</w:t>
      </w:r>
      <w:r w:rsidRPr="00FD1578">
        <w:t xml:space="preserve">iskālo politiku saskaņā ar spēkā esošajiem Latvijas un </w:t>
      </w:r>
      <w:r w:rsidR="00B93389" w:rsidRPr="00FD1578">
        <w:t>ES</w:t>
      </w:r>
      <w:r w:rsidRPr="00FD1578">
        <w:t xml:space="preserve"> tiesību aktos noteiktajiem fiskālajiem nosacījumiem un adaptēt to atbilstoši </w:t>
      </w:r>
      <w:r w:rsidR="00114704" w:rsidRPr="00FD1578">
        <w:t xml:space="preserve">reformētam </w:t>
      </w:r>
      <w:r w:rsidRPr="00FD1578">
        <w:t>ES ekonomiskās pārvaldības tiesisk</w:t>
      </w:r>
      <w:r w:rsidR="00114704" w:rsidRPr="00FD1578">
        <w:t>ajam</w:t>
      </w:r>
      <w:r w:rsidRPr="00FD1578">
        <w:t xml:space="preserve"> ietvara</w:t>
      </w:r>
      <w:r w:rsidR="00114704" w:rsidRPr="00FD1578">
        <w:t>m</w:t>
      </w:r>
      <w:r w:rsidRPr="00FD1578">
        <w:t>.</w:t>
      </w:r>
    </w:p>
    <w:p w14:paraId="4D826C6C" w14:textId="77777777" w:rsidR="00AE0B8A" w:rsidRPr="00FD1578" w:rsidRDefault="00AE0B8A" w:rsidP="008349F0">
      <w:pPr>
        <w:ind w:firstLine="709"/>
        <w:rPr>
          <w:rFonts w:eastAsia="Times New Roman" w:cs="Times New Roman"/>
          <w:highlight w:val="lightGray"/>
        </w:rPr>
      </w:pPr>
    </w:p>
    <w:p w14:paraId="5BA47DAE" w14:textId="29AEA3A9" w:rsidR="00B02A36" w:rsidRPr="00FD1578" w:rsidRDefault="00A7117E" w:rsidP="008349F0">
      <w:pPr>
        <w:pStyle w:val="Heading3"/>
        <w:numPr>
          <w:ilvl w:val="0"/>
          <w:numId w:val="0"/>
        </w:numPr>
        <w:rPr>
          <w:sz w:val="24"/>
          <w:szCs w:val="24"/>
        </w:rPr>
      </w:pPr>
      <w:bookmarkStart w:id="46" w:name="_Toc179356081"/>
      <w:r w:rsidRPr="00FD1578">
        <w:rPr>
          <w:szCs w:val="24"/>
        </w:rPr>
        <w:lastRenderedPageBreak/>
        <w:t xml:space="preserve">2.1.1. </w:t>
      </w:r>
      <w:r w:rsidR="007F6BDA" w:rsidRPr="007F6BDA">
        <w:t xml:space="preserve">Strukturālās </w:t>
      </w:r>
      <w:r w:rsidRPr="00FD1578">
        <w:t>bilances mērķi</w:t>
      </w:r>
      <w:bookmarkEnd w:id="46"/>
    </w:p>
    <w:p w14:paraId="6112858F" w14:textId="77777777" w:rsidR="0000055D" w:rsidRPr="00FD1578" w:rsidRDefault="00425BD5" w:rsidP="008349F0">
      <w:pPr>
        <w:ind w:firstLine="709"/>
        <w:rPr>
          <w:rFonts w:eastAsia="Times New Roman" w:cs="Times New Roman"/>
        </w:rPr>
      </w:pPr>
      <w:r w:rsidRPr="00FD1578">
        <w:rPr>
          <w:rFonts w:eastAsia="Times New Roman" w:cs="Times New Roman"/>
        </w:rPr>
        <w:t xml:space="preserve">Vispārējā gadījumā FDL paredz, ka strukturālās bilances mērķu definēšanā tiek piemērota vairāku pakāpju metode un tai ir vienlaicīgi jānodrošina atbilstība nacionālā līmeņa fiskālajiem nosacījumiem (bilances nosacījums, izdevumu pieauguma nosacījums un izdevumu </w:t>
      </w:r>
      <w:proofErr w:type="spellStart"/>
      <w:r w:rsidRPr="00FD1578">
        <w:rPr>
          <w:rFonts w:eastAsia="Times New Roman" w:cs="Times New Roman"/>
        </w:rPr>
        <w:t>pārmantojamības</w:t>
      </w:r>
      <w:proofErr w:type="spellEnd"/>
      <w:r w:rsidRPr="00FD1578">
        <w:rPr>
          <w:rFonts w:eastAsia="Times New Roman" w:cs="Times New Roman"/>
        </w:rPr>
        <w:t xml:space="preserve"> nosacījums), gan arī </w:t>
      </w:r>
      <w:r w:rsidR="001145C0" w:rsidRPr="00FD1578">
        <w:rPr>
          <w:rFonts w:eastAsia="Times New Roman" w:cs="Times New Roman"/>
        </w:rPr>
        <w:t xml:space="preserve">ES fiskālajiem </w:t>
      </w:r>
      <w:r w:rsidRPr="00FD1578">
        <w:rPr>
          <w:rFonts w:eastAsia="Times New Roman" w:cs="Times New Roman"/>
        </w:rPr>
        <w:t xml:space="preserve">nosacījumiem. </w:t>
      </w:r>
    </w:p>
    <w:p w14:paraId="53E22E42" w14:textId="3E6262F6" w:rsidR="0000055D" w:rsidRPr="00FD1578" w:rsidRDefault="00504BB9" w:rsidP="008349F0">
      <w:pPr>
        <w:ind w:firstLine="709"/>
        <w:rPr>
          <w:rFonts w:eastAsia="Times New Roman" w:cs="Times New Roman"/>
        </w:rPr>
      </w:pPr>
      <w:r w:rsidRPr="00FD1578">
        <w:rPr>
          <w:rFonts w:eastAsia="Times New Roman" w:cs="Times New Roman"/>
        </w:rPr>
        <w:t xml:space="preserve">Jāatzīmē, ka Regula ļauj dalībvalstīm noteikt savus valstu budžeta mērķus dažādu rādītāju izteiksmē, piemēram, kā strukturālā bilance, ja tas paredzēts to valstu tiesību aktos. </w:t>
      </w:r>
      <w:r w:rsidR="0000055D" w:rsidRPr="00FD1578">
        <w:rPr>
          <w:rFonts w:eastAsia="Times New Roman" w:cs="Times New Roman"/>
        </w:rPr>
        <w:t>Attiecīgi šajā kontekstā konkrēto FDL fiskālo nosacījumu piemērošana jāskata kontekstā ar izmaiņām ES fiskāl</w:t>
      </w:r>
      <w:r w:rsidR="006B0061" w:rsidRPr="00FD1578">
        <w:rPr>
          <w:rFonts w:eastAsia="Times New Roman" w:cs="Times New Roman"/>
        </w:rPr>
        <w:t>ajos</w:t>
      </w:r>
      <w:r w:rsidR="0000055D" w:rsidRPr="00FD1578">
        <w:rPr>
          <w:rFonts w:eastAsia="Times New Roman" w:cs="Times New Roman"/>
        </w:rPr>
        <w:t xml:space="preserve"> noteikumos, t.sk. ar plānošanas/prognozēšanas cikla pagarināšanu par vienu gadu. </w:t>
      </w:r>
      <w:r w:rsidR="00AD48DA" w:rsidRPr="00FD1578">
        <w:rPr>
          <w:rFonts w:eastAsia="Times New Roman" w:cs="Times New Roman"/>
        </w:rPr>
        <w:t>Dati par 2028. gadu šī dokumenta ietvaros tiek ietverti informatīvos nolūkos.</w:t>
      </w:r>
    </w:p>
    <w:p w14:paraId="62154100" w14:textId="23F93232" w:rsidR="00EC52D5" w:rsidRPr="00FD1578" w:rsidRDefault="00EC52D5" w:rsidP="008349F0">
      <w:pPr>
        <w:ind w:firstLine="709"/>
        <w:rPr>
          <w:rFonts w:eastAsia="Times New Roman" w:cs="Times New Roman"/>
        </w:rPr>
      </w:pPr>
      <w:r w:rsidRPr="00FD1578">
        <w:rPr>
          <w:rFonts w:eastAsia="Times New Roman" w:cs="Times New Roman"/>
        </w:rPr>
        <w:t>EK 2024. gada 21. jūnijā Latvijai ir sniegusi tehnisko informāciju Fiskāli strukturālā plāna sagatavošanai</w:t>
      </w:r>
      <w:r w:rsidRPr="00FD1578">
        <w:rPr>
          <w:rFonts w:eastAsia="Times New Roman" w:cs="Times New Roman"/>
          <w:vertAlign w:val="superscript"/>
        </w:rPr>
        <w:footnoteReference w:id="19"/>
      </w:r>
      <w:r w:rsidRPr="00FD1578">
        <w:rPr>
          <w:rFonts w:eastAsia="Times New Roman" w:cs="Times New Roman"/>
        </w:rPr>
        <w:t>, kur norādīts minimālais strukturālās primārās bilances līmenis, kas nepieciešams, lai nodrošinātu, ka nominālais budžeta deficīts tiek saglabāts zem 3% no IKP un vispārējās valdības parāds tiek saglabāts zem 60% no IKP, pieņemot, ka nepastāv jebkādi papildu politikas pasākumi pēc 4 gadu korekcijas perioda</w:t>
      </w:r>
      <w:r w:rsidR="00AD48DA" w:rsidRPr="00FD1578">
        <w:rPr>
          <w:rFonts w:eastAsia="Times New Roman" w:cs="Times New Roman"/>
        </w:rPr>
        <w:t xml:space="preserve"> (skat.</w:t>
      </w:r>
      <w:r w:rsidR="00AA3F38">
        <w:rPr>
          <w:rFonts w:eastAsia="Times New Roman" w:cs="Times New Roman"/>
        </w:rPr>
        <w:t xml:space="preserve"> </w:t>
      </w:r>
      <w:r w:rsidR="00AD48DA" w:rsidRPr="00FD1578">
        <w:rPr>
          <w:rFonts w:eastAsia="Times New Roman" w:cs="Times New Roman"/>
        </w:rPr>
        <w:t>2.11. tabulu)</w:t>
      </w:r>
      <w:r w:rsidRPr="00FD1578">
        <w:rPr>
          <w:rFonts w:eastAsia="Times New Roman" w:cs="Times New Roman"/>
        </w:rPr>
        <w:t xml:space="preserve">. </w:t>
      </w:r>
    </w:p>
    <w:p w14:paraId="4F788CD7" w14:textId="227FBD3C" w:rsidR="001145C0" w:rsidRPr="00FD1578" w:rsidRDefault="001145C0" w:rsidP="008349F0">
      <w:pPr>
        <w:rPr>
          <w:rFonts w:eastAsia="Times New Roman" w:cs="Times New Roman"/>
          <w:bCs/>
        </w:rPr>
      </w:pPr>
      <w:r w:rsidRPr="00FD1578">
        <w:rPr>
          <w:rFonts w:eastAsia="Times New Roman" w:cs="Times New Roman"/>
          <w:bCs/>
        </w:rPr>
        <w:t>Ņemot vērā jaunos ES fiskālos nosacījumus, nosakot 2025., 2026.</w:t>
      </w:r>
      <w:r w:rsidR="006B0061" w:rsidRPr="00FD1578">
        <w:rPr>
          <w:rFonts w:eastAsia="Times New Roman" w:cs="Times New Roman"/>
          <w:bCs/>
        </w:rPr>
        <w:t xml:space="preserve">, </w:t>
      </w:r>
      <w:r w:rsidRPr="00FD1578">
        <w:rPr>
          <w:rFonts w:eastAsia="Times New Roman" w:cs="Times New Roman"/>
          <w:bCs/>
        </w:rPr>
        <w:t xml:space="preserve">2027. </w:t>
      </w:r>
      <w:r w:rsidR="006B0061" w:rsidRPr="00FD1578">
        <w:rPr>
          <w:rFonts w:eastAsia="Times New Roman" w:cs="Times New Roman"/>
          <w:bCs/>
        </w:rPr>
        <w:t xml:space="preserve">un 2028. gada </w:t>
      </w:r>
      <w:r w:rsidRPr="00FD1578">
        <w:rPr>
          <w:rFonts w:eastAsia="Times New Roman" w:cs="Times New Roman"/>
          <w:bCs/>
        </w:rPr>
        <w:t>strukturālās bilances mērķus faktiski tiek pielietoti trīs fiskālie nosacījumi:</w:t>
      </w:r>
    </w:p>
    <w:p w14:paraId="5EBFEB8C" w14:textId="77777777" w:rsidR="001145C0" w:rsidRPr="00FD1578" w:rsidRDefault="001145C0" w:rsidP="00F87D38">
      <w:pPr>
        <w:numPr>
          <w:ilvl w:val="0"/>
          <w:numId w:val="13"/>
        </w:numPr>
        <w:ind w:left="993"/>
        <w:rPr>
          <w:rFonts w:eastAsia="Times New Roman" w:cs="Times New Roman"/>
          <w:bCs/>
        </w:rPr>
      </w:pPr>
      <w:r w:rsidRPr="00FD1578">
        <w:rPr>
          <w:rFonts w:eastAsia="Times New Roman" w:cs="Times New Roman"/>
          <w:bCs/>
        </w:rPr>
        <w:t>FDL strukturālās bilances nosacījums;</w:t>
      </w:r>
    </w:p>
    <w:p w14:paraId="03BC32BA" w14:textId="77777777" w:rsidR="001145C0" w:rsidRPr="00FD1578" w:rsidRDefault="001145C0" w:rsidP="00F87D38">
      <w:pPr>
        <w:numPr>
          <w:ilvl w:val="0"/>
          <w:numId w:val="13"/>
        </w:numPr>
        <w:ind w:left="993"/>
        <w:rPr>
          <w:rFonts w:eastAsia="Times New Roman" w:cs="Times New Roman"/>
          <w:bCs/>
        </w:rPr>
      </w:pPr>
      <w:r w:rsidRPr="00FD1578">
        <w:rPr>
          <w:rFonts w:eastAsia="Times New Roman" w:cs="Times New Roman"/>
          <w:bCs/>
        </w:rPr>
        <w:t>ES strukturālās primārās bilances nosacījums;</w:t>
      </w:r>
    </w:p>
    <w:p w14:paraId="65F2CD61" w14:textId="77777777" w:rsidR="001145C0" w:rsidRPr="00FD1578" w:rsidRDefault="001145C0" w:rsidP="00F87D38">
      <w:pPr>
        <w:numPr>
          <w:ilvl w:val="0"/>
          <w:numId w:val="13"/>
        </w:numPr>
        <w:ind w:left="993"/>
        <w:rPr>
          <w:rFonts w:eastAsia="Times New Roman" w:cs="Times New Roman"/>
          <w:bCs/>
        </w:rPr>
      </w:pPr>
      <w:r w:rsidRPr="00FD1578">
        <w:rPr>
          <w:rFonts w:eastAsia="Times New Roman" w:cs="Times New Roman"/>
          <w:bCs/>
        </w:rPr>
        <w:t xml:space="preserve">ES valsts finansēto neto primāro izdevumu nosacījums. </w:t>
      </w:r>
    </w:p>
    <w:p w14:paraId="1EAED6DB" w14:textId="0A8D40A8" w:rsidR="00504BB9" w:rsidRPr="00FD1578" w:rsidRDefault="00EC52D5" w:rsidP="008349F0">
      <w:pPr>
        <w:rPr>
          <w:rFonts w:eastAsia="Times New Roman" w:cs="Times New Roman"/>
        </w:rPr>
      </w:pPr>
      <w:r w:rsidRPr="00FD1578">
        <w:rPr>
          <w:rFonts w:eastAsia="Times New Roman" w:cs="Times New Roman"/>
        </w:rPr>
        <w:t>Ņemot vērā</w:t>
      </w:r>
      <w:r w:rsidR="00EB03B0" w:rsidRPr="00FD1578">
        <w:rPr>
          <w:rFonts w:eastAsia="Times New Roman" w:cs="Times New Roman"/>
        </w:rPr>
        <w:t xml:space="preserve"> izmaiņas ES fiskālās politikas regulējumā, FDL noteiktais izdevumu </w:t>
      </w:r>
      <w:proofErr w:type="spellStart"/>
      <w:r w:rsidR="00EB03B0" w:rsidRPr="00FD1578">
        <w:rPr>
          <w:rFonts w:eastAsia="Times New Roman" w:cs="Times New Roman"/>
        </w:rPr>
        <w:t>pārmatojamības</w:t>
      </w:r>
      <w:proofErr w:type="spellEnd"/>
      <w:r w:rsidR="00EB03B0" w:rsidRPr="00FD1578">
        <w:rPr>
          <w:rFonts w:eastAsia="Times New Roman" w:cs="Times New Roman"/>
        </w:rPr>
        <w:t xml:space="preserve"> nosacījums un koriģēto maksimāli pieļaujamo valsts budžeta izdevumu aprēķins nav pielietojams, jo tie būtu pretrunā ar ES fiskālajiem nosacījumiem. Tāpēc likuma</w:t>
      </w:r>
      <w:r w:rsidR="005735FB">
        <w:rPr>
          <w:rFonts w:eastAsia="Times New Roman" w:cs="Times New Roman"/>
        </w:rPr>
        <w:t xml:space="preserve"> </w:t>
      </w:r>
      <w:r w:rsidR="00EB03B0" w:rsidRPr="00F62287">
        <w:rPr>
          <w:rFonts w:eastAsia="Times New Roman" w:cs="Times New Roman"/>
        </w:rPr>
        <w:t>9. pants un 14.</w:t>
      </w:r>
      <w:r w:rsidR="008512C8">
        <w:rPr>
          <w:rFonts w:eastAsia="Times New Roman" w:cs="Times New Roman"/>
        </w:rPr>
        <w:t xml:space="preserve"> </w:t>
      </w:r>
      <w:r w:rsidR="00EB03B0" w:rsidRPr="00F62287">
        <w:rPr>
          <w:rFonts w:eastAsia="Times New Roman" w:cs="Times New Roman"/>
        </w:rPr>
        <w:t>pants</w:t>
      </w:r>
      <w:r w:rsidR="00EB03B0" w:rsidRPr="004449EC">
        <w:rPr>
          <w:rFonts w:eastAsia="Times New Roman" w:cs="Times New Roman"/>
        </w:rPr>
        <w:t xml:space="preserve"> tos izslēdz.</w:t>
      </w:r>
      <w:r w:rsidR="005735FB">
        <w:rPr>
          <w:rFonts w:eastAsia="Times New Roman" w:cs="Times New Roman"/>
        </w:rPr>
        <w:t xml:space="preserve">    </w:t>
      </w:r>
    </w:p>
    <w:p w14:paraId="2EBDEAD7" w14:textId="6BA88A98" w:rsidR="001145C0" w:rsidRPr="00FD1578" w:rsidRDefault="001145C0" w:rsidP="008349F0">
      <w:pPr>
        <w:rPr>
          <w:rFonts w:eastAsia="Times New Roman" w:cs="Times New Roman"/>
          <w:bCs/>
        </w:rPr>
      </w:pPr>
      <w:r w:rsidRPr="00FD1578">
        <w:rPr>
          <w:rFonts w:eastAsia="Times New Roman" w:cs="Times New Roman"/>
          <w:bCs/>
        </w:rPr>
        <w:t xml:space="preserve">Katrs no </w:t>
      </w:r>
      <w:r w:rsidR="00EC52D5" w:rsidRPr="00FD1578">
        <w:rPr>
          <w:rFonts w:eastAsia="Times New Roman" w:cs="Times New Roman"/>
          <w:bCs/>
        </w:rPr>
        <w:t xml:space="preserve">minētajiem </w:t>
      </w:r>
      <w:r w:rsidRPr="00FD1578">
        <w:rPr>
          <w:rFonts w:eastAsia="Times New Roman" w:cs="Times New Roman"/>
          <w:bCs/>
        </w:rPr>
        <w:t>fiskālajiem nosacījumiem attiecas uz citu fiskālo rādītāju, bet, lai nodrošinātu salīdzināmību un noteiktu, kurš no fiskālajiem nosacījumiem ir dominējošais, fiskālie rādītāji tiek pārrēķināti vienā fiskālajā rādītājā. Šim nolūkam jau Stabilitātes programmas 2024. – 2028. gadam</w:t>
      </w:r>
      <w:r w:rsidRPr="00FD1578">
        <w:rPr>
          <w:rFonts w:eastAsia="Times New Roman" w:cs="Times New Roman"/>
          <w:bCs/>
          <w:vertAlign w:val="superscript"/>
        </w:rPr>
        <w:footnoteReference w:id="20"/>
      </w:r>
      <w:r w:rsidRPr="00FD1578">
        <w:rPr>
          <w:rFonts w:eastAsia="Times New Roman" w:cs="Times New Roman"/>
          <w:bCs/>
        </w:rPr>
        <w:t xml:space="preserve"> sagatavošanā tika izvēlēts </w:t>
      </w:r>
      <w:r w:rsidRPr="00FD1578">
        <w:rPr>
          <w:rFonts w:eastAsia="Times New Roman" w:cs="Times New Roman"/>
          <w:b/>
        </w:rPr>
        <w:t>FDL strukturālās bilances rādītājs</w:t>
      </w:r>
      <w:r w:rsidRPr="00FD1578">
        <w:rPr>
          <w:rFonts w:eastAsia="Times New Roman" w:cs="Times New Roman"/>
          <w:bCs/>
        </w:rPr>
        <w:t xml:space="preserve">. </w:t>
      </w:r>
    </w:p>
    <w:p w14:paraId="759E5868" w14:textId="2D268B55" w:rsidR="00425BD5" w:rsidRPr="00FD1578" w:rsidRDefault="00425BD5" w:rsidP="008349F0">
      <w:pPr>
        <w:rPr>
          <w:color w:val="000000" w:themeColor="text1"/>
          <w:szCs w:val="24"/>
        </w:rPr>
      </w:pPr>
      <w:r w:rsidRPr="00FD1578">
        <w:rPr>
          <w:color w:val="000000" w:themeColor="text1"/>
          <w:szCs w:val="24"/>
        </w:rPr>
        <w:t xml:space="preserve">Kā </w:t>
      </w:r>
      <w:r w:rsidR="00DF0C48" w:rsidRPr="00FD1578">
        <w:rPr>
          <w:color w:val="000000" w:themeColor="text1"/>
          <w:szCs w:val="24"/>
        </w:rPr>
        <w:t>norādīts</w:t>
      </w:r>
      <w:r w:rsidRPr="00FD1578">
        <w:rPr>
          <w:color w:val="000000" w:themeColor="text1"/>
          <w:szCs w:val="24"/>
        </w:rPr>
        <w:t xml:space="preserve"> iepriekšējā sadaļā, </w:t>
      </w:r>
      <w:r w:rsidR="00AA5308" w:rsidRPr="00FD1578">
        <w:rPr>
          <w:color w:val="000000" w:themeColor="text1"/>
          <w:szCs w:val="24"/>
        </w:rPr>
        <w:t xml:space="preserve">nacionālā </w:t>
      </w:r>
      <w:r w:rsidRPr="00FD1578">
        <w:rPr>
          <w:color w:val="000000" w:themeColor="text1"/>
          <w:szCs w:val="24"/>
        </w:rPr>
        <w:t>fiskālās politikas stratēģija nosaka virkni pasākumu, kas tiek atzīti par vienreizējiem vispārējās valdības budžeta strukturālās bilances aprēķinā un šo pasākumu izdevumi attiecīgi tiek izslēgti no strukturālās bilances aprēķina</w:t>
      </w:r>
      <w:r w:rsidR="00CF2C6E" w:rsidRPr="00FD1578">
        <w:rPr>
          <w:color w:val="000000" w:themeColor="text1"/>
          <w:szCs w:val="24"/>
        </w:rPr>
        <w:t xml:space="preserve">, tomēr </w:t>
      </w:r>
      <w:r w:rsidR="00CF2C6E" w:rsidRPr="00FD1578">
        <w:rPr>
          <w:rFonts w:cs="Times New Roman"/>
          <w:szCs w:val="24"/>
        </w:rPr>
        <w:t xml:space="preserve">saskaņā ar ES metodoloģiju </w:t>
      </w:r>
      <w:r w:rsidR="00AA5308" w:rsidRPr="00FD1578">
        <w:rPr>
          <w:rFonts w:cs="Times New Roman"/>
          <w:szCs w:val="24"/>
        </w:rPr>
        <w:t xml:space="preserve">šie vienreizējie </w:t>
      </w:r>
      <w:r w:rsidR="00CF2C6E" w:rsidRPr="00FD1578">
        <w:rPr>
          <w:rFonts w:cs="Times New Roman"/>
          <w:szCs w:val="24"/>
        </w:rPr>
        <w:t>izdevumi netiek izslēgti no strukturālās bilances aprēķina</w:t>
      </w:r>
      <w:r w:rsidR="00AA5308" w:rsidRPr="00FD1578">
        <w:rPr>
          <w:rFonts w:cs="Times New Roman"/>
          <w:szCs w:val="24"/>
        </w:rPr>
        <w:t>.</w:t>
      </w:r>
    </w:p>
    <w:p w14:paraId="6C6FF44C" w14:textId="77777777" w:rsidR="001219A0" w:rsidRPr="00FD1578" w:rsidRDefault="001219A0" w:rsidP="008349F0">
      <w:pPr>
        <w:widowControl w:val="0"/>
        <w:spacing w:before="240"/>
        <w:rPr>
          <w:rFonts w:eastAsia="Times New Roman" w:cs="Times New Roman"/>
          <w:b/>
        </w:rPr>
      </w:pPr>
      <w:r w:rsidRPr="00FD1578">
        <w:rPr>
          <w:rFonts w:eastAsia="Times New Roman" w:cs="Times New Roman"/>
          <w:b/>
        </w:rPr>
        <w:t>FDL strukturālās bilances nosacījums (1)</w:t>
      </w:r>
    </w:p>
    <w:p w14:paraId="1DFBE7F8" w14:textId="0E68905E" w:rsidR="001219A0" w:rsidRPr="00FD1578" w:rsidRDefault="001219A0" w:rsidP="008349F0">
      <w:pPr>
        <w:widowControl w:val="0"/>
        <w:rPr>
          <w:rFonts w:eastAsia="Times New Roman" w:cs="Times New Roman"/>
          <w:bCs/>
        </w:rPr>
      </w:pPr>
      <w:r w:rsidRPr="00FD1578">
        <w:rPr>
          <w:rFonts w:eastAsia="Times New Roman" w:cs="Times New Roman"/>
          <w:bCs/>
        </w:rPr>
        <w:t>Saskaņā ar Fiskālās politikas stratēģiju, strukturālās bilances mērķis 2025. – 2028.</w:t>
      </w:r>
      <w:r w:rsidR="005735FB">
        <w:rPr>
          <w:rFonts w:eastAsia="Times New Roman" w:cs="Times New Roman"/>
          <w:bCs/>
        </w:rPr>
        <w:t xml:space="preserve"> </w:t>
      </w:r>
      <w:r w:rsidRPr="00FD1578">
        <w:rPr>
          <w:rFonts w:eastAsia="Times New Roman" w:cs="Times New Roman"/>
          <w:bCs/>
        </w:rPr>
        <w:t xml:space="preserve">gadam tiek noteikts, par pamatu ņemot 2024. gada strukturālās bilances prognozi. </w:t>
      </w:r>
    </w:p>
    <w:p w14:paraId="5B23F27A" w14:textId="5E2772C9" w:rsidR="00292CF4" w:rsidRPr="00FD1578" w:rsidRDefault="00292CF4" w:rsidP="008349F0">
      <w:pPr>
        <w:rPr>
          <w:rFonts w:eastAsia="Times New Roman" w:cs="Times New Roman"/>
          <w:bCs/>
        </w:rPr>
      </w:pPr>
      <w:r w:rsidRPr="00FD1578">
        <w:rPr>
          <w:color w:val="000000" w:themeColor="text1"/>
          <w:szCs w:val="24"/>
        </w:rPr>
        <w:t>Atbilstoši informatīvajam ziņojumam “</w:t>
      </w:r>
      <w:r w:rsidRPr="00FD1578">
        <w:rPr>
          <w:bCs/>
          <w:color w:val="000000" w:themeColor="text1"/>
          <w:szCs w:val="24"/>
        </w:rPr>
        <w:t>Par makroekonomisko rādītāju, ieņēmumu un vispārējās valdības budžeta bilances prognozēm 2025., 2026., 2027. un 2028. gadā</w:t>
      </w:r>
      <w:r w:rsidRPr="00FD1578">
        <w:rPr>
          <w:color w:val="000000" w:themeColor="text1"/>
          <w:szCs w:val="24"/>
        </w:rPr>
        <w:t xml:space="preserve">” (MK </w:t>
      </w:r>
      <w:r w:rsidRPr="00FD1578">
        <w:rPr>
          <w:color w:val="000000" w:themeColor="text1"/>
          <w:szCs w:val="24"/>
        </w:rPr>
        <w:lastRenderedPageBreak/>
        <w:t>20.08.2024. sēdes protokols Nr.32 59. §)</w:t>
      </w:r>
      <w:r w:rsidRPr="00FD1578">
        <w:rPr>
          <w:rStyle w:val="FootnoteReference"/>
          <w:color w:val="000000" w:themeColor="text1"/>
          <w:szCs w:val="24"/>
        </w:rPr>
        <w:footnoteReference w:id="21"/>
      </w:r>
      <w:r w:rsidRPr="00FD1578">
        <w:rPr>
          <w:color w:val="000000" w:themeColor="text1"/>
          <w:szCs w:val="24"/>
        </w:rPr>
        <w:t xml:space="preserve"> 2024. gadā vispārējās valdības budžeta deficīts pie nemainīgas politikas tika novērtēts 2,6% no IKP. </w:t>
      </w:r>
    </w:p>
    <w:p w14:paraId="244C8750" w14:textId="2E2E640A" w:rsidR="00292CF4" w:rsidRPr="00FD1578" w:rsidRDefault="00292CF4" w:rsidP="008349F0">
      <w:pPr>
        <w:widowControl w:val="0"/>
        <w:rPr>
          <w:color w:val="000000" w:themeColor="text1"/>
          <w:szCs w:val="24"/>
        </w:rPr>
      </w:pPr>
      <w:r w:rsidRPr="006F1997">
        <w:rPr>
          <w:color w:val="000000" w:themeColor="text1"/>
          <w:szCs w:val="24"/>
        </w:rPr>
        <w:t>Ņemot vērā izlaižu starpību un vienreizējo pasākumu apmēru var konstatēt, ka 2024. gada vispārējas valdības strukturālā budžeta bilance ir 0,2% no IKP (skat. 2.2.</w:t>
      </w:r>
      <w:r w:rsidR="00B83230">
        <w:rPr>
          <w:color w:val="000000" w:themeColor="text1"/>
          <w:szCs w:val="24"/>
        </w:rPr>
        <w:t xml:space="preserve"> </w:t>
      </w:r>
      <w:r w:rsidRPr="006F1997">
        <w:rPr>
          <w:color w:val="000000" w:themeColor="text1"/>
          <w:szCs w:val="24"/>
        </w:rPr>
        <w:t xml:space="preserve">tabulu). Tas nozīmē, ka ar likumu “Par valsts budžetu 2024. gadam un budžeta ietvaru 2024., 2025. un 2026. gadam” noteiktais strukturālās bilances mērķis ir provizoriski sasniegts un fiskālās politikas uzdevums strukturālo bilanci turpmākajos gados uzturēt līmenī, kas nav augstāks par FDL 10. pantā noteikto maksimāli pieļaujamo līmeni. </w:t>
      </w:r>
    </w:p>
    <w:p w14:paraId="3CCE2BB5" w14:textId="77777777" w:rsidR="00AE0B8A" w:rsidRPr="00FD1578" w:rsidRDefault="00AE0B8A" w:rsidP="008349F0">
      <w:pPr>
        <w:spacing w:after="0"/>
        <w:ind w:firstLine="0"/>
        <w:rPr>
          <w:color w:val="000000" w:themeColor="text1"/>
          <w:szCs w:val="24"/>
          <w:highlight w:val="lightGray"/>
        </w:rPr>
      </w:pPr>
    </w:p>
    <w:p w14:paraId="2DFBA00A" w14:textId="5BFF5088" w:rsidR="004B20AA" w:rsidRPr="00FD1578" w:rsidRDefault="00D64F4A" w:rsidP="008349F0">
      <w:pPr>
        <w:pStyle w:val="ListParagraph"/>
        <w:widowControl w:val="0"/>
        <w:ind w:left="0"/>
        <w:contextualSpacing w:val="0"/>
        <w:jc w:val="right"/>
        <w:rPr>
          <w:rFonts w:eastAsia="Times New Roman" w:cs="Times New Roman"/>
          <w:bCs/>
          <w:i/>
          <w:iCs/>
          <w:szCs w:val="28"/>
          <w:highlight w:val="lightGray"/>
          <w:lang w:eastAsia="en-US"/>
        </w:rPr>
      </w:pPr>
      <w:r w:rsidRPr="00C8255D">
        <w:rPr>
          <w:rFonts w:eastAsia="Times New Roman" w:cs="Times New Roman"/>
          <w:b/>
          <w:i/>
          <w:iCs/>
          <w:szCs w:val="24"/>
          <w:lang w:eastAsia="en-US"/>
        </w:rPr>
        <w:t>2</w:t>
      </w:r>
      <w:r w:rsidR="00056940" w:rsidRPr="00C8255D">
        <w:rPr>
          <w:rFonts w:eastAsia="Times New Roman" w:cs="Times New Roman"/>
          <w:b/>
          <w:i/>
          <w:iCs/>
          <w:szCs w:val="24"/>
          <w:lang w:eastAsia="en-US"/>
        </w:rPr>
        <w:t>.</w:t>
      </w:r>
      <w:r w:rsidR="005E3EDA" w:rsidRPr="00C8255D">
        <w:rPr>
          <w:rFonts w:eastAsia="Times New Roman" w:cs="Times New Roman"/>
          <w:b/>
          <w:i/>
          <w:iCs/>
          <w:szCs w:val="24"/>
          <w:lang w:eastAsia="en-US"/>
        </w:rPr>
        <w:t>2</w:t>
      </w:r>
      <w:r w:rsidR="004B20AA" w:rsidRPr="00C8255D">
        <w:rPr>
          <w:rFonts w:eastAsia="Times New Roman" w:cs="Times New Roman"/>
          <w:b/>
          <w:i/>
          <w:iCs/>
          <w:szCs w:val="24"/>
          <w:lang w:eastAsia="en-US"/>
        </w:rPr>
        <w:t>.</w:t>
      </w:r>
      <w:r w:rsidR="00056940" w:rsidRPr="00C8255D">
        <w:rPr>
          <w:rFonts w:eastAsia="Times New Roman" w:cs="Times New Roman"/>
          <w:b/>
          <w:i/>
          <w:iCs/>
          <w:szCs w:val="24"/>
          <w:lang w:eastAsia="en-US"/>
        </w:rPr>
        <w:t xml:space="preserve"> </w:t>
      </w:r>
      <w:r w:rsidR="004B20AA" w:rsidRPr="00C8255D">
        <w:rPr>
          <w:rFonts w:eastAsia="Times New Roman" w:cs="Times New Roman"/>
          <w:b/>
          <w:i/>
          <w:iCs/>
          <w:szCs w:val="24"/>
          <w:lang w:eastAsia="en-US"/>
        </w:rPr>
        <w:t xml:space="preserve">tabula </w:t>
      </w:r>
      <w:r w:rsidR="00CB177C" w:rsidRPr="00FD1578">
        <w:rPr>
          <w:rFonts w:eastAsia="Times New Roman" w:cs="Times New Roman"/>
          <w:b/>
          <w:i/>
          <w:iCs/>
        </w:rPr>
        <w:t>V</w:t>
      </w:r>
      <w:r w:rsidR="00CB177C" w:rsidRPr="00FD1578">
        <w:rPr>
          <w:rFonts w:eastAsia="Times New Roman" w:cs="Times New Roman"/>
          <w:b/>
          <w:i/>
          <w:iCs/>
          <w:szCs w:val="24"/>
        </w:rPr>
        <w:t>ispārējās valdības strukturālās bilances mērķi,</w:t>
      </w:r>
      <w:r w:rsidR="00CB177C" w:rsidRPr="00FD1578">
        <w:rPr>
          <w:rFonts w:eastAsia="Times New Roman" w:cs="Times New Roman"/>
          <w:b/>
          <w:i/>
          <w:iCs/>
        </w:rPr>
        <w:t xml:space="preserve"> </w:t>
      </w:r>
      <w:r w:rsidR="00CB177C" w:rsidRPr="00FD1578">
        <w:rPr>
          <w:rFonts w:eastAsia="Times New Roman" w:cs="Times New Roman"/>
          <w:b/>
          <w:i/>
          <w:iCs/>
          <w:szCs w:val="24"/>
        </w:rPr>
        <w:t xml:space="preserve">balstoties uz FDL </w:t>
      </w:r>
      <w:r w:rsidR="00CB177C" w:rsidRPr="00FD1578">
        <w:rPr>
          <w:rFonts w:eastAsia="Times New Roman" w:cs="Times New Roman"/>
          <w:b/>
          <w:i/>
          <w:iCs/>
        </w:rPr>
        <w:t>strukturālās bilances nosacījumu</w:t>
      </w:r>
    </w:p>
    <w:tbl>
      <w:tblPr>
        <w:tblW w:w="8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276"/>
        <w:gridCol w:w="1098"/>
        <w:gridCol w:w="737"/>
        <w:gridCol w:w="737"/>
        <w:gridCol w:w="737"/>
        <w:gridCol w:w="737"/>
      </w:tblGrid>
      <w:tr w:rsidR="00CB177C" w:rsidRPr="00FD1578" w14:paraId="24168374" w14:textId="77777777" w:rsidTr="005B33E7">
        <w:trPr>
          <w:trHeight w:val="20"/>
          <w:tblHeader/>
          <w:jc w:val="center"/>
        </w:trPr>
        <w:tc>
          <w:tcPr>
            <w:tcW w:w="3397" w:type="dxa"/>
            <w:shd w:val="clear" w:color="auto" w:fill="BDD6EE" w:themeFill="accent1" w:themeFillTint="66"/>
            <w:noWrap/>
            <w:vAlign w:val="bottom"/>
            <w:hideMark/>
          </w:tcPr>
          <w:p w14:paraId="6FD1A3E3"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276" w:type="dxa"/>
            <w:shd w:val="clear" w:color="auto" w:fill="BDD6EE" w:themeFill="accent1" w:themeFillTint="66"/>
            <w:noWrap/>
            <w:vAlign w:val="bottom"/>
            <w:hideMark/>
          </w:tcPr>
          <w:p w14:paraId="5889378B"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098" w:type="dxa"/>
            <w:shd w:val="clear" w:color="auto" w:fill="BDD6EE" w:themeFill="accent1" w:themeFillTint="66"/>
            <w:noWrap/>
            <w:vAlign w:val="center"/>
            <w:hideMark/>
          </w:tcPr>
          <w:p w14:paraId="2324C7E8"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2024</w:t>
            </w:r>
          </w:p>
        </w:tc>
        <w:tc>
          <w:tcPr>
            <w:tcW w:w="737" w:type="dxa"/>
            <w:shd w:val="clear" w:color="auto" w:fill="BDD6EE" w:themeFill="accent1" w:themeFillTint="66"/>
            <w:noWrap/>
            <w:vAlign w:val="center"/>
            <w:hideMark/>
          </w:tcPr>
          <w:p w14:paraId="5515E526"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737" w:type="dxa"/>
            <w:shd w:val="clear" w:color="auto" w:fill="BDD6EE" w:themeFill="accent1" w:themeFillTint="66"/>
            <w:noWrap/>
            <w:vAlign w:val="center"/>
            <w:hideMark/>
          </w:tcPr>
          <w:p w14:paraId="4404C2CA"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737" w:type="dxa"/>
            <w:shd w:val="clear" w:color="auto" w:fill="BDD6EE" w:themeFill="accent1" w:themeFillTint="66"/>
            <w:vAlign w:val="center"/>
          </w:tcPr>
          <w:p w14:paraId="05B18D03"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737" w:type="dxa"/>
            <w:shd w:val="clear" w:color="auto" w:fill="BDD6EE" w:themeFill="accent1" w:themeFillTint="66"/>
            <w:noWrap/>
            <w:vAlign w:val="center"/>
            <w:hideMark/>
          </w:tcPr>
          <w:p w14:paraId="077B6676"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5E5B55" w:rsidRPr="00FD1578" w14:paraId="0A129238" w14:textId="77777777" w:rsidTr="006F1997">
        <w:trPr>
          <w:trHeight w:val="20"/>
          <w:jc w:val="center"/>
        </w:trPr>
        <w:tc>
          <w:tcPr>
            <w:tcW w:w="3397" w:type="dxa"/>
            <w:shd w:val="clear" w:color="auto" w:fill="auto"/>
            <w:noWrap/>
            <w:vAlign w:val="center"/>
          </w:tcPr>
          <w:p w14:paraId="0EBDB0AA" w14:textId="77777777"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IKP prognoze, milj. </w:t>
            </w:r>
            <w:proofErr w:type="spellStart"/>
            <w:r w:rsidRPr="00FD1578">
              <w:rPr>
                <w:rFonts w:eastAsia="Times New Roman" w:cs="Times New Roman"/>
                <w:i/>
                <w:iCs/>
                <w:color w:val="000000"/>
                <w:sz w:val="18"/>
                <w:szCs w:val="18"/>
              </w:rPr>
              <w:t>euro</w:t>
            </w:r>
            <w:proofErr w:type="spellEnd"/>
          </w:p>
        </w:tc>
        <w:tc>
          <w:tcPr>
            <w:tcW w:w="1276" w:type="dxa"/>
            <w:shd w:val="clear" w:color="auto" w:fill="auto"/>
            <w:noWrap/>
            <w:vAlign w:val="center"/>
            <w:hideMark/>
          </w:tcPr>
          <w:p w14:paraId="1E2F3417"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p>
        </w:tc>
        <w:tc>
          <w:tcPr>
            <w:tcW w:w="1098" w:type="dxa"/>
            <w:shd w:val="clear" w:color="auto" w:fill="auto"/>
            <w:noWrap/>
          </w:tcPr>
          <w:p w14:paraId="13EE1107" w14:textId="461C1677" w:rsidR="005E5B55" w:rsidRPr="00FD1578" w:rsidRDefault="005E5B55" w:rsidP="008349F0">
            <w:pPr>
              <w:spacing w:before="60" w:after="0"/>
              <w:ind w:firstLine="0"/>
              <w:jc w:val="center"/>
              <w:rPr>
                <w:rFonts w:eastAsia="Times New Roman" w:cs="Times New Roman"/>
                <w:color w:val="000000"/>
                <w:sz w:val="18"/>
                <w:szCs w:val="18"/>
                <w:highlight w:val="yellow"/>
              </w:rPr>
            </w:pPr>
            <w:r w:rsidRPr="006F1997">
              <w:rPr>
                <w:rFonts w:eastAsia="Times New Roman" w:cs="Times New Roman"/>
                <w:color w:val="000000"/>
                <w:sz w:val="18"/>
                <w:szCs w:val="18"/>
              </w:rPr>
              <w:t>41 894</w:t>
            </w:r>
          </w:p>
        </w:tc>
        <w:tc>
          <w:tcPr>
            <w:tcW w:w="737" w:type="dxa"/>
            <w:shd w:val="clear" w:color="auto" w:fill="E7E6E6" w:themeFill="background2"/>
            <w:noWrap/>
            <w:vAlign w:val="center"/>
            <w:hideMark/>
          </w:tcPr>
          <w:p w14:paraId="2F0FF5A3"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124F3B9E"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04AEE83B"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450FCC04"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08D82CB6" w14:textId="77777777" w:rsidTr="00101E84">
        <w:trPr>
          <w:trHeight w:val="20"/>
          <w:jc w:val="center"/>
        </w:trPr>
        <w:tc>
          <w:tcPr>
            <w:tcW w:w="3397" w:type="dxa"/>
            <w:shd w:val="clear" w:color="auto" w:fill="auto"/>
            <w:noWrap/>
            <w:vAlign w:val="center"/>
          </w:tcPr>
          <w:p w14:paraId="05801CE1" w14:textId="77777777"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2024. gada vispārējās valdības budžeta bilance, milj. </w:t>
            </w:r>
            <w:proofErr w:type="spellStart"/>
            <w:r w:rsidRPr="00FD1578">
              <w:rPr>
                <w:rFonts w:eastAsia="Times New Roman" w:cs="Times New Roman"/>
                <w:i/>
                <w:iCs/>
                <w:color w:val="000000"/>
                <w:sz w:val="18"/>
                <w:szCs w:val="18"/>
              </w:rPr>
              <w:t>euro</w:t>
            </w:r>
            <w:proofErr w:type="spellEnd"/>
          </w:p>
        </w:tc>
        <w:tc>
          <w:tcPr>
            <w:tcW w:w="1276" w:type="dxa"/>
            <w:shd w:val="clear" w:color="auto" w:fill="auto"/>
            <w:noWrap/>
            <w:vAlign w:val="center"/>
            <w:hideMark/>
          </w:tcPr>
          <w:p w14:paraId="1EE08F80"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w:t>
            </w:r>
          </w:p>
        </w:tc>
        <w:tc>
          <w:tcPr>
            <w:tcW w:w="1098" w:type="dxa"/>
            <w:shd w:val="clear" w:color="auto" w:fill="auto"/>
            <w:noWrap/>
            <w:vAlign w:val="center"/>
          </w:tcPr>
          <w:p w14:paraId="27EDD7FA" w14:textId="02A8D19F"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-1 075</w:t>
            </w:r>
          </w:p>
        </w:tc>
        <w:tc>
          <w:tcPr>
            <w:tcW w:w="737" w:type="dxa"/>
            <w:shd w:val="clear" w:color="auto" w:fill="E7E6E6" w:themeFill="background2"/>
            <w:noWrap/>
            <w:vAlign w:val="center"/>
            <w:hideMark/>
          </w:tcPr>
          <w:p w14:paraId="6A834751"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4953E2CA"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32303C98"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7F916B8E"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6BB9DD56" w14:textId="77777777" w:rsidTr="00101E84">
        <w:trPr>
          <w:trHeight w:val="20"/>
          <w:jc w:val="center"/>
        </w:trPr>
        <w:tc>
          <w:tcPr>
            <w:tcW w:w="3397" w:type="dxa"/>
            <w:shd w:val="clear" w:color="auto" w:fill="auto"/>
            <w:noWrap/>
            <w:vAlign w:val="center"/>
          </w:tcPr>
          <w:p w14:paraId="6837FAFC" w14:textId="77777777"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2024. gada vispārējās valdības budžeta bilance, % IKP</w:t>
            </w:r>
          </w:p>
        </w:tc>
        <w:tc>
          <w:tcPr>
            <w:tcW w:w="1276" w:type="dxa"/>
            <w:shd w:val="clear" w:color="auto" w:fill="auto"/>
            <w:noWrap/>
            <w:vAlign w:val="center"/>
            <w:hideMark/>
          </w:tcPr>
          <w:p w14:paraId="46A49094"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(3)=(2)/(1)*100</w:t>
            </w:r>
          </w:p>
        </w:tc>
        <w:tc>
          <w:tcPr>
            <w:tcW w:w="1098" w:type="dxa"/>
            <w:shd w:val="clear" w:color="auto" w:fill="auto"/>
            <w:noWrap/>
            <w:vAlign w:val="center"/>
          </w:tcPr>
          <w:p w14:paraId="324B6159" w14:textId="45679509"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-2,6</w:t>
            </w:r>
          </w:p>
        </w:tc>
        <w:tc>
          <w:tcPr>
            <w:tcW w:w="737" w:type="dxa"/>
            <w:shd w:val="clear" w:color="auto" w:fill="E7E6E6" w:themeFill="background2"/>
            <w:noWrap/>
            <w:vAlign w:val="center"/>
            <w:hideMark/>
          </w:tcPr>
          <w:p w14:paraId="10E2562C"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56108A5C"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5398C3FC"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26A38F36"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1C40521C" w14:textId="77777777" w:rsidTr="00101E84">
        <w:trPr>
          <w:trHeight w:val="20"/>
          <w:jc w:val="center"/>
        </w:trPr>
        <w:tc>
          <w:tcPr>
            <w:tcW w:w="3397" w:type="dxa"/>
            <w:shd w:val="clear" w:color="auto" w:fill="auto"/>
            <w:noWrap/>
            <w:vAlign w:val="center"/>
          </w:tcPr>
          <w:p w14:paraId="546D1A76" w14:textId="77777777"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izlaižu starpība, % no potenciālā IKP</w:t>
            </w:r>
          </w:p>
        </w:tc>
        <w:tc>
          <w:tcPr>
            <w:tcW w:w="1276" w:type="dxa"/>
            <w:shd w:val="clear" w:color="auto" w:fill="auto"/>
            <w:noWrap/>
            <w:vAlign w:val="center"/>
            <w:hideMark/>
          </w:tcPr>
          <w:p w14:paraId="789D0232"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w:t>
            </w:r>
          </w:p>
        </w:tc>
        <w:tc>
          <w:tcPr>
            <w:tcW w:w="1098" w:type="dxa"/>
            <w:shd w:val="clear" w:color="auto" w:fill="auto"/>
            <w:noWrap/>
            <w:vAlign w:val="center"/>
          </w:tcPr>
          <w:p w14:paraId="3A6A367E" w14:textId="6AFE308C"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-1,8</w:t>
            </w:r>
          </w:p>
        </w:tc>
        <w:tc>
          <w:tcPr>
            <w:tcW w:w="737" w:type="dxa"/>
            <w:shd w:val="clear" w:color="auto" w:fill="E7E6E6" w:themeFill="background2"/>
            <w:noWrap/>
            <w:vAlign w:val="center"/>
            <w:hideMark/>
          </w:tcPr>
          <w:p w14:paraId="17B96335"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3E1F9D27"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5DDCC426"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795DBD9E"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5266FC54" w14:textId="77777777" w:rsidTr="00101E84">
        <w:trPr>
          <w:trHeight w:val="20"/>
          <w:jc w:val="center"/>
        </w:trPr>
        <w:tc>
          <w:tcPr>
            <w:tcW w:w="3397" w:type="dxa"/>
            <w:shd w:val="clear" w:color="auto" w:fill="auto"/>
            <w:noWrap/>
            <w:vAlign w:val="center"/>
          </w:tcPr>
          <w:p w14:paraId="6A9AAB73" w14:textId="77777777"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bilances cikliskā komponente, % no IKP</w:t>
            </w:r>
          </w:p>
        </w:tc>
        <w:tc>
          <w:tcPr>
            <w:tcW w:w="1276" w:type="dxa"/>
            <w:shd w:val="clear" w:color="auto" w:fill="auto"/>
            <w:noWrap/>
            <w:vAlign w:val="center"/>
            <w:hideMark/>
          </w:tcPr>
          <w:p w14:paraId="4AB04C38"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(5)=0,378*(4)</w:t>
            </w:r>
          </w:p>
        </w:tc>
        <w:tc>
          <w:tcPr>
            <w:tcW w:w="1098" w:type="dxa"/>
            <w:shd w:val="clear" w:color="auto" w:fill="auto"/>
            <w:noWrap/>
            <w:vAlign w:val="center"/>
          </w:tcPr>
          <w:p w14:paraId="6868DA55" w14:textId="17EC20B9"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-0,7</w:t>
            </w:r>
          </w:p>
        </w:tc>
        <w:tc>
          <w:tcPr>
            <w:tcW w:w="737" w:type="dxa"/>
            <w:shd w:val="clear" w:color="auto" w:fill="E7E6E6" w:themeFill="background2"/>
            <w:noWrap/>
            <w:vAlign w:val="center"/>
            <w:hideMark/>
          </w:tcPr>
          <w:p w14:paraId="198CCE7D"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49DA628F"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5A03D6EC"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605906CE"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370AC773" w14:textId="77777777" w:rsidTr="00101E84">
        <w:trPr>
          <w:trHeight w:val="20"/>
          <w:jc w:val="center"/>
        </w:trPr>
        <w:tc>
          <w:tcPr>
            <w:tcW w:w="3397" w:type="dxa"/>
            <w:shd w:val="clear" w:color="auto" w:fill="auto"/>
            <w:noWrap/>
            <w:vAlign w:val="center"/>
          </w:tcPr>
          <w:p w14:paraId="53EB0725" w14:textId="77777777" w:rsidR="005E5B55" w:rsidRPr="00FD1578" w:rsidRDefault="005E5B55" w:rsidP="008349F0">
            <w:pPr>
              <w:spacing w:before="60" w:after="0"/>
              <w:ind w:firstLine="0"/>
              <w:jc w:val="left"/>
              <w:rPr>
                <w:rFonts w:eastAsia="Times New Roman" w:cs="Times New Roman"/>
                <w:color w:val="000000"/>
                <w:sz w:val="18"/>
                <w:szCs w:val="18"/>
              </w:rPr>
            </w:pPr>
            <w:bookmarkStart w:id="47" w:name="_Hlk173746415"/>
            <w:proofErr w:type="spellStart"/>
            <w:r w:rsidRPr="00FD1578">
              <w:rPr>
                <w:rFonts w:eastAsia="Times New Roman" w:cs="Times New Roman"/>
                <w:color w:val="000000"/>
                <w:sz w:val="18"/>
                <w:szCs w:val="18"/>
              </w:rPr>
              <w:t>one-off</w:t>
            </w:r>
            <w:proofErr w:type="spellEnd"/>
            <w:r w:rsidRPr="00FD1578">
              <w:rPr>
                <w:rFonts w:eastAsia="Times New Roman" w:cs="Times New Roman"/>
                <w:color w:val="000000"/>
                <w:sz w:val="18"/>
                <w:szCs w:val="18"/>
              </w:rPr>
              <w:t xml:space="preserve"> un citi īslaicīgie pasākumi</w:t>
            </w:r>
            <w:bookmarkEnd w:id="47"/>
            <w:r w:rsidRPr="00FD1578">
              <w:rPr>
                <w:rFonts w:eastAsia="Times New Roman" w:cs="Times New Roman"/>
                <w:color w:val="000000"/>
                <w:sz w:val="18"/>
                <w:szCs w:val="18"/>
              </w:rPr>
              <w:t>, % no IKP, tai skaitā</w:t>
            </w:r>
          </w:p>
        </w:tc>
        <w:tc>
          <w:tcPr>
            <w:tcW w:w="1276" w:type="dxa"/>
            <w:shd w:val="clear" w:color="auto" w:fill="auto"/>
            <w:noWrap/>
            <w:vAlign w:val="center"/>
            <w:hideMark/>
          </w:tcPr>
          <w:p w14:paraId="7A7DEE1B"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(6)=(7)+(8)+(9)</w:t>
            </w:r>
          </w:p>
          <w:p w14:paraId="4C246F94"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+(10)+(11)</w:t>
            </w:r>
          </w:p>
        </w:tc>
        <w:tc>
          <w:tcPr>
            <w:tcW w:w="1098" w:type="dxa"/>
            <w:shd w:val="clear" w:color="auto" w:fill="auto"/>
            <w:noWrap/>
            <w:vAlign w:val="center"/>
          </w:tcPr>
          <w:p w14:paraId="2CD95EA7" w14:textId="5DA3A445"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-1,7</w:t>
            </w:r>
          </w:p>
        </w:tc>
        <w:tc>
          <w:tcPr>
            <w:tcW w:w="737" w:type="dxa"/>
            <w:shd w:val="clear" w:color="auto" w:fill="E7E6E6" w:themeFill="background2"/>
            <w:noWrap/>
            <w:vAlign w:val="center"/>
            <w:hideMark/>
          </w:tcPr>
          <w:p w14:paraId="2A10F700"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67E075AB"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290F0394"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4009122B"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6426772E" w14:textId="77777777" w:rsidTr="00101E84">
        <w:trPr>
          <w:trHeight w:val="20"/>
          <w:jc w:val="center"/>
        </w:trPr>
        <w:tc>
          <w:tcPr>
            <w:tcW w:w="3397" w:type="dxa"/>
            <w:shd w:val="clear" w:color="auto" w:fill="auto"/>
            <w:noWrap/>
            <w:vAlign w:val="center"/>
          </w:tcPr>
          <w:p w14:paraId="339259B9" w14:textId="73CEF2FA"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C</w:t>
            </w:r>
            <w:r w:rsidR="0049382D">
              <w:rPr>
                <w:rFonts w:eastAsia="Times New Roman" w:cs="Times New Roman"/>
                <w:color w:val="000000"/>
                <w:sz w:val="18"/>
                <w:szCs w:val="18"/>
              </w:rPr>
              <w:t>ovid</w:t>
            </w:r>
            <w:r w:rsidRPr="00FD1578">
              <w:rPr>
                <w:rFonts w:eastAsia="Times New Roman" w:cs="Times New Roman"/>
                <w:color w:val="000000"/>
                <w:sz w:val="18"/>
                <w:szCs w:val="18"/>
              </w:rPr>
              <w:t xml:space="preserve"> -19 pandēmijas mazināšanas pasākumi</w:t>
            </w:r>
          </w:p>
        </w:tc>
        <w:tc>
          <w:tcPr>
            <w:tcW w:w="1276" w:type="dxa"/>
            <w:shd w:val="clear" w:color="auto" w:fill="auto"/>
            <w:noWrap/>
            <w:vAlign w:val="center"/>
            <w:hideMark/>
          </w:tcPr>
          <w:p w14:paraId="1088EAF9"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(7)</w:t>
            </w:r>
          </w:p>
        </w:tc>
        <w:tc>
          <w:tcPr>
            <w:tcW w:w="1098" w:type="dxa"/>
            <w:shd w:val="clear" w:color="auto" w:fill="auto"/>
            <w:noWrap/>
            <w:vAlign w:val="center"/>
          </w:tcPr>
          <w:p w14:paraId="6FAB00FC" w14:textId="3EBD37DE"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0,0</w:t>
            </w:r>
          </w:p>
        </w:tc>
        <w:tc>
          <w:tcPr>
            <w:tcW w:w="737" w:type="dxa"/>
            <w:shd w:val="clear" w:color="auto" w:fill="E7E6E6" w:themeFill="background2"/>
            <w:noWrap/>
            <w:vAlign w:val="center"/>
            <w:hideMark/>
          </w:tcPr>
          <w:p w14:paraId="0E51BC09"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70A75BBD"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5F7763E2"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023FC99F"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70BBA103" w14:textId="77777777" w:rsidTr="00101E84">
        <w:trPr>
          <w:trHeight w:val="20"/>
          <w:jc w:val="center"/>
        </w:trPr>
        <w:tc>
          <w:tcPr>
            <w:tcW w:w="3397" w:type="dxa"/>
            <w:shd w:val="clear" w:color="auto" w:fill="auto"/>
            <w:noWrap/>
            <w:vAlign w:val="center"/>
          </w:tcPr>
          <w:p w14:paraId="32B7162D" w14:textId="77777777"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enerģijas cenas pieauguma mazināšanas pasākumi</w:t>
            </w:r>
          </w:p>
        </w:tc>
        <w:tc>
          <w:tcPr>
            <w:tcW w:w="1276" w:type="dxa"/>
            <w:shd w:val="clear" w:color="auto" w:fill="auto"/>
            <w:noWrap/>
            <w:vAlign w:val="center"/>
            <w:hideMark/>
          </w:tcPr>
          <w:p w14:paraId="34DA8D7F"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(8)</w:t>
            </w:r>
          </w:p>
        </w:tc>
        <w:tc>
          <w:tcPr>
            <w:tcW w:w="1098" w:type="dxa"/>
            <w:shd w:val="clear" w:color="auto" w:fill="auto"/>
            <w:noWrap/>
            <w:vAlign w:val="center"/>
          </w:tcPr>
          <w:p w14:paraId="3F73101D" w14:textId="66CBA643"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0,0</w:t>
            </w:r>
          </w:p>
        </w:tc>
        <w:tc>
          <w:tcPr>
            <w:tcW w:w="737" w:type="dxa"/>
            <w:shd w:val="clear" w:color="auto" w:fill="E7E6E6" w:themeFill="background2"/>
            <w:noWrap/>
            <w:vAlign w:val="center"/>
            <w:hideMark/>
          </w:tcPr>
          <w:p w14:paraId="3C3DED3F"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2EC35305"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1654A516"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hideMark/>
          </w:tcPr>
          <w:p w14:paraId="484DEE4B"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1A35D57C" w14:textId="77777777" w:rsidTr="00101E84">
        <w:trPr>
          <w:trHeight w:val="20"/>
          <w:jc w:val="center"/>
        </w:trPr>
        <w:tc>
          <w:tcPr>
            <w:tcW w:w="3397" w:type="dxa"/>
            <w:shd w:val="clear" w:color="auto" w:fill="auto"/>
            <w:noWrap/>
            <w:vAlign w:val="center"/>
          </w:tcPr>
          <w:p w14:paraId="691CF443" w14:textId="77777777"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aizsardzības un iekšējās drošības finansējums</w:t>
            </w:r>
          </w:p>
        </w:tc>
        <w:tc>
          <w:tcPr>
            <w:tcW w:w="1276" w:type="dxa"/>
            <w:shd w:val="clear" w:color="auto" w:fill="auto"/>
            <w:noWrap/>
            <w:vAlign w:val="center"/>
          </w:tcPr>
          <w:p w14:paraId="16D39811"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(9)</w:t>
            </w:r>
          </w:p>
        </w:tc>
        <w:tc>
          <w:tcPr>
            <w:tcW w:w="1098" w:type="dxa"/>
            <w:shd w:val="clear" w:color="auto" w:fill="auto"/>
            <w:noWrap/>
            <w:vAlign w:val="center"/>
          </w:tcPr>
          <w:p w14:paraId="4E7D82F7" w14:textId="7DFD449F"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-0,8</w:t>
            </w:r>
          </w:p>
        </w:tc>
        <w:tc>
          <w:tcPr>
            <w:tcW w:w="737" w:type="dxa"/>
            <w:shd w:val="clear" w:color="auto" w:fill="E7E6E6" w:themeFill="background2"/>
            <w:noWrap/>
            <w:vAlign w:val="center"/>
          </w:tcPr>
          <w:p w14:paraId="40161FD0"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tcPr>
          <w:p w14:paraId="2BCF3F7D"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48C3587B"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tcPr>
          <w:p w14:paraId="092637C2"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78E8F27B" w14:textId="77777777" w:rsidTr="00101E84">
        <w:trPr>
          <w:trHeight w:val="20"/>
          <w:jc w:val="center"/>
        </w:trPr>
        <w:tc>
          <w:tcPr>
            <w:tcW w:w="3397" w:type="dxa"/>
            <w:shd w:val="clear" w:color="auto" w:fill="auto"/>
            <w:noWrap/>
            <w:vAlign w:val="center"/>
          </w:tcPr>
          <w:p w14:paraId="1E4BBEE1" w14:textId="77777777"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atbalsts bēgļiem no Ukrainas</w:t>
            </w:r>
          </w:p>
        </w:tc>
        <w:tc>
          <w:tcPr>
            <w:tcW w:w="1276" w:type="dxa"/>
            <w:shd w:val="clear" w:color="auto" w:fill="auto"/>
            <w:noWrap/>
            <w:vAlign w:val="center"/>
          </w:tcPr>
          <w:p w14:paraId="5AE6867E"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w:t>
            </w:r>
          </w:p>
        </w:tc>
        <w:tc>
          <w:tcPr>
            <w:tcW w:w="1098" w:type="dxa"/>
            <w:shd w:val="clear" w:color="auto" w:fill="auto"/>
            <w:noWrap/>
            <w:vAlign w:val="center"/>
          </w:tcPr>
          <w:p w14:paraId="58C277EC" w14:textId="1684F9C2"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-0,2</w:t>
            </w:r>
          </w:p>
        </w:tc>
        <w:tc>
          <w:tcPr>
            <w:tcW w:w="737" w:type="dxa"/>
            <w:shd w:val="clear" w:color="auto" w:fill="E7E6E6" w:themeFill="background2"/>
            <w:noWrap/>
            <w:vAlign w:val="center"/>
          </w:tcPr>
          <w:p w14:paraId="377F8502"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tcPr>
          <w:p w14:paraId="321E6343"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52D2CA65"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tcPr>
          <w:p w14:paraId="7BAB6259"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79B26667" w14:textId="77777777" w:rsidTr="00101E84">
        <w:trPr>
          <w:trHeight w:val="20"/>
          <w:jc w:val="center"/>
        </w:trPr>
        <w:tc>
          <w:tcPr>
            <w:tcW w:w="3397" w:type="dxa"/>
            <w:shd w:val="clear" w:color="auto" w:fill="auto"/>
            <w:noWrap/>
            <w:vAlign w:val="center"/>
          </w:tcPr>
          <w:p w14:paraId="1BAB4628" w14:textId="77777777" w:rsidR="005E5B55" w:rsidRPr="00FD1578" w:rsidRDefault="005E5B55"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citi/vienreizējie izdevumi valsts aizsardzībai un iekšējai drošībai</w:t>
            </w:r>
          </w:p>
        </w:tc>
        <w:tc>
          <w:tcPr>
            <w:tcW w:w="1276" w:type="dxa"/>
            <w:shd w:val="clear" w:color="auto" w:fill="auto"/>
            <w:noWrap/>
            <w:vAlign w:val="center"/>
          </w:tcPr>
          <w:p w14:paraId="14AF2E8C" w14:textId="77777777" w:rsidR="005E5B55" w:rsidRPr="00FD1578" w:rsidRDefault="005E5B55"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(11)</w:t>
            </w:r>
          </w:p>
        </w:tc>
        <w:tc>
          <w:tcPr>
            <w:tcW w:w="1098" w:type="dxa"/>
            <w:shd w:val="clear" w:color="auto" w:fill="auto"/>
            <w:noWrap/>
            <w:vAlign w:val="center"/>
          </w:tcPr>
          <w:p w14:paraId="1F996550" w14:textId="2982874D" w:rsidR="005E5B55" w:rsidRPr="006F1997" w:rsidRDefault="005E5B55" w:rsidP="008349F0">
            <w:pPr>
              <w:spacing w:before="60" w:after="0"/>
              <w:ind w:firstLine="0"/>
              <w:jc w:val="center"/>
              <w:rPr>
                <w:rFonts w:eastAsia="Times New Roman" w:cs="Times New Roman"/>
                <w:color w:val="000000"/>
                <w:sz w:val="18"/>
                <w:szCs w:val="18"/>
              </w:rPr>
            </w:pPr>
            <w:r w:rsidRPr="006F1997">
              <w:rPr>
                <w:rFonts w:eastAsia="Times New Roman" w:cs="Times New Roman"/>
                <w:color w:val="000000"/>
                <w:sz w:val="18"/>
                <w:szCs w:val="18"/>
              </w:rPr>
              <w:t>-0,7</w:t>
            </w:r>
          </w:p>
        </w:tc>
        <w:tc>
          <w:tcPr>
            <w:tcW w:w="737" w:type="dxa"/>
            <w:shd w:val="clear" w:color="auto" w:fill="E7E6E6" w:themeFill="background2"/>
            <w:noWrap/>
            <w:vAlign w:val="center"/>
          </w:tcPr>
          <w:p w14:paraId="5AD0673B"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tcPr>
          <w:p w14:paraId="081532FB"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vAlign w:val="center"/>
          </w:tcPr>
          <w:p w14:paraId="305173EB" w14:textId="77777777" w:rsidR="005E5B55" w:rsidRPr="00FD1578" w:rsidRDefault="005E5B55" w:rsidP="008349F0">
            <w:pPr>
              <w:spacing w:before="60" w:after="0"/>
              <w:ind w:firstLine="0"/>
              <w:jc w:val="center"/>
              <w:rPr>
                <w:rFonts w:eastAsia="Times New Roman" w:cs="Times New Roman"/>
                <w:color w:val="000000"/>
                <w:sz w:val="18"/>
                <w:szCs w:val="18"/>
              </w:rPr>
            </w:pPr>
          </w:p>
        </w:tc>
        <w:tc>
          <w:tcPr>
            <w:tcW w:w="737" w:type="dxa"/>
            <w:shd w:val="clear" w:color="auto" w:fill="E7E6E6" w:themeFill="background2"/>
            <w:noWrap/>
            <w:vAlign w:val="center"/>
          </w:tcPr>
          <w:p w14:paraId="3FD8C2B5" w14:textId="77777777" w:rsidR="005E5B55" w:rsidRPr="00FD1578" w:rsidRDefault="005E5B55" w:rsidP="008349F0">
            <w:pPr>
              <w:spacing w:before="60" w:after="0"/>
              <w:ind w:firstLine="0"/>
              <w:jc w:val="center"/>
              <w:rPr>
                <w:rFonts w:eastAsia="Times New Roman" w:cs="Times New Roman"/>
                <w:color w:val="000000"/>
                <w:sz w:val="18"/>
                <w:szCs w:val="18"/>
              </w:rPr>
            </w:pPr>
          </w:p>
        </w:tc>
      </w:tr>
      <w:tr w:rsidR="005E5B55" w:rsidRPr="00FD1578" w14:paraId="56F41AC7" w14:textId="77777777" w:rsidTr="00101E84">
        <w:trPr>
          <w:trHeight w:val="20"/>
          <w:jc w:val="center"/>
        </w:trPr>
        <w:tc>
          <w:tcPr>
            <w:tcW w:w="3397" w:type="dxa"/>
            <w:shd w:val="clear" w:color="auto" w:fill="BDD6EE" w:themeFill="accent1" w:themeFillTint="66"/>
            <w:noWrap/>
            <w:vAlign w:val="center"/>
            <w:hideMark/>
          </w:tcPr>
          <w:p w14:paraId="4C0F76A7" w14:textId="77777777" w:rsidR="005E5B55" w:rsidRPr="00FD1578" w:rsidRDefault="005E5B55" w:rsidP="008349F0">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Vispārējās valdības strukturālās bilances prognoze un mērķi, % no IKP</w:t>
            </w:r>
          </w:p>
        </w:tc>
        <w:tc>
          <w:tcPr>
            <w:tcW w:w="1276" w:type="dxa"/>
            <w:shd w:val="clear" w:color="auto" w:fill="BDD6EE" w:themeFill="accent1" w:themeFillTint="66"/>
            <w:noWrap/>
            <w:vAlign w:val="center"/>
            <w:hideMark/>
          </w:tcPr>
          <w:p w14:paraId="0847BA9D" w14:textId="77777777" w:rsidR="005E5B55" w:rsidRPr="00FD1578" w:rsidRDefault="005E5B55"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(12)=(3)-(5)-(6)</w:t>
            </w:r>
          </w:p>
        </w:tc>
        <w:tc>
          <w:tcPr>
            <w:tcW w:w="1098" w:type="dxa"/>
            <w:shd w:val="clear" w:color="auto" w:fill="BDD6EE" w:themeFill="accent1" w:themeFillTint="66"/>
            <w:noWrap/>
            <w:vAlign w:val="center"/>
          </w:tcPr>
          <w:p w14:paraId="42CED9A0" w14:textId="4323282B" w:rsidR="005E5B55" w:rsidRPr="006F1997" w:rsidRDefault="005E5B55" w:rsidP="008349F0">
            <w:pPr>
              <w:spacing w:before="60" w:after="0"/>
              <w:ind w:firstLine="0"/>
              <w:jc w:val="center"/>
              <w:rPr>
                <w:rFonts w:eastAsia="Times New Roman" w:cs="Times New Roman"/>
                <w:b/>
                <w:bCs/>
                <w:color w:val="000000"/>
                <w:sz w:val="18"/>
                <w:szCs w:val="18"/>
              </w:rPr>
            </w:pPr>
            <w:r w:rsidRPr="006F1997">
              <w:rPr>
                <w:rFonts w:eastAsia="Times New Roman" w:cs="Times New Roman"/>
                <w:b/>
                <w:bCs/>
                <w:color w:val="000000"/>
                <w:sz w:val="18"/>
                <w:szCs w:val="18"/>
              </w:rPr>
              <w:t>-0,2</w:t>
            </w:r>
          </w:p>
        </w:tc>
        <w:tc>
          <w:tcPr>
            <w:tcW w:w="737" w:type="dxa"/>
            <w:shd w:val="clear" w:color="auto" w:fill="BDD6EE" w:themeFill="accent1" w:themeFillTint="66"/>
            <w:noWrap/>
            <w:vAlign w:val="center"/>
          </w:tcPr>
          <w:p w14:paraId="147F98A2" w14:textId="77777777" w:rsidR="005E5B55" w:rsidRPr="00FD1578" w:rsidRDefault="005E5B55"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c>
          <w:tcPr>
            <w:tcW w:w="737" w:type="dxa"/>
            <w:shd w:val="clear" w:color="auto" w:fill="BDD6EE" w:themeFill="accent1" w:themeFillTint="66"/>
            <w:noWrap/>
            <w:vAlign w:val="center"/>
          </w:tcPr>
          <w:p w14:paraId="7E0F3998" w14:textId="77777777" w:rsidR="005E5B55" w:rsidRPr="00FD1578" w:rsidRDefault="005E5B55"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c>
          <w:tcPr>
            <w:tcW w:w="737" w:type="dxa"/>
            <w:shd w:val="clear" w:color="auto" w:fill="BDD6EE" w:themeFill="accent1" w:themeFillTint="66"/>
            <w:vAlign w:val="center"/>
          </w:tcPr>
          <w:p w14:paraId="292165A5" w14:textId="77777777" w:rsidR="005E5B55" w:rsidRPr="00FD1578" w:rsidRDefault="005E5B55"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c>
          <w:tcPr>
            <w:tcW w:w="737" w:type="dxa"/>
            <w:shd w:val="clear" w:color="auto" w:fill="BDD6EE" w:themeFill="accent1" w:themeFillTint="66"/>
            <w:noWrap/>
            <w:vAlign w:val="center"/>
          </w:tcPr>
          <w:p w14:paraId="0145344D" w14:textId="77777777" w:rsidR="005E5B55" w:rsidRPr="00FD1578" w:rsidRDefault="005E5B55"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r>
    </w:tbl>
    <w:p w14:paraId="4D1F1A0C" w14:textId="77777777" w:rsidR="00CB177C" w:rsidRPr="00FD1578" w:rsidRDefault="00CB177C" w:rsidP="008349F0">
      <w:pPr>
        <w:widowControl w:val="0"/>
        <w:spacing w:before="240"/>
        <w:rPr>
          <w:rFonts w:eastAsia="Times New Roman" w:cs="Times New Roman"/>
          <w:b/>
        </w:rPr>
      </w:pPr>
      <w:r w:rsidRPr="00FD1578">
        <w:rPr>
          <w:rFonts w:eastAsia="Times New Roman" w:cs="Times New Roman"/>
          <w:b/>
          <w:szCs w:val="24"/>
        </w:rPr>
        <w:t>ES strukturālās primārās bilances nosacījums (2)</w:t>
      </w:r>
    </w:p>
    <w:p w14:paraId="3D372B61" w14:textId="2588CADE" w:rsidR="00CB177C" w:rsidRPr="00FD1578" w:rsidRDefault="00CB177C" w:rsidP="008349F0">
      <w:pPr>
        <w:widowControl w:val="0"/>
        <w:rPr>
          <w:rFonts w:eastAsia="Times New Roman" w:cs="Times New Roman"/>
          <w:b/>
        </w:rPr>
      </w:pPr>
      <w:r w:rsidRPr="00FD1578">
        <w:rPr>
          <w:rFonts w:eastAsia="Times New Roman" w:cs="Times New Roman"/>
          <w:szCs w:val="24"/>
        </w:rPr>
        <w:t>Regula nosaka, ka valst</w:t>
      </w:r>
      <w:r w:rsidR="00CC71D7" w:rsidRPr="00FD1578">
        <w:rPr>
          <w:rFonts w:eastAsia="Times New Roman" w:cs="Times New Roman"/>
          <w:szCs w:val="24"/>
        </w:rPr>
        <w:t>s</w:t>
      </w:r>
      <w:r w:rsidRPr="00FD1578">
        <w:rPr>
          <w:rFonts w:eastAsia="Times New Roman" w:cs="Times New Roman"/>
          <w:szCs w:val="24"/>
        </w:rPr>
        <w:t xml:space="preserve"> specifiska</w:t>
      </w:r>
      <w:r w:rsidR="00CC71D7" w:rsidRPr="00FD1578">
        <w:rPr>
          <w:rFonts w:eastAsia="Times New Roman" w:cs="Times New Roman"/>
          <w:szCs w:val="24"/>
        </w:rPr>
        <w:t>ja</w:t>
      </w:r>
      <w:r w:rsidRPr="00FD1578">
        <w:rPr>
          <w:rFonts w:eastAsia="Times New Roman" w:cs="Times New Roman"/>
          <w:szCs w:val="24"/>
        </w:rPr>
        <w:t>i fiskālajai trajektorijai – valsts finansētiem neto primāriem izdevumiem strukturālās primārās bilances izteiksmē – jā</w:t>
      </w:r>
      <w:r w:rsidRPr="00FD1578">
        <w:rPr>
          <w:rFonts w:cs="Times New Roman"/>
          <w:szCs w:val="24"/>
        </w:rPr>
        <w:t>atbilst prasībām</w:t>
      </w:r>
      <w:r w:rsidRPr="00FD1578">
        <w:rPr>
          <w:rFonts w:eastAsia="Times New Roman" w:cs="Times New Roman"/>
          <w:szCs w:val="24"/>
        </w:rPr>
        <w:t>, ka korekcijas periodā (</w:t>
      </w:r>
      <w:bookmarkStart w:id="48" w:name="_Hlk174011477"/>
      <w:r w:rsidRPr="00FD1578">
        <w:rPr>
          <w:rFonts w:eastAsia="Times New Roman" w:cs="Times New Roman"/>
          <w:szCs w:val="24"/>
        </w:rPr>
        <w:t xml:space="preserve">2025. – 2028. </w:t>
      </w:r>
      <w:bookmarkEnd w:id="48"/>
      <w:r w:rsidRPr="00FD1578">
        <w:rPr>
          <w:rFonts w:eastAsia="Times New Roman" w:cs="Times New Roman"/>
          <w:szCs w:val="24"/>
        </w:rPr>
        <w:t xml:space="preserve">gadā) un 10 gadus pēc tā vispārējās valdības parāds ticami samazinās vai tiek saglabāts piesardzīgā līmenī, kas ir zemāks par 60% no IKP, un valdības budžeta deficīts tiek samazināts un saglabāts zem 3% no IKP. </w:t>
      </w:r>
    </w:p>
    <w:p w14:paraId="08880D18" w14:textId="77777777" w:rsidR="00CB177C" w:rsidRPr="00FD1578" w:rsidRDefault="00CB177C" w:rsidP="008349F0">
      <w:pPr>
        <w:widowControl w:val="0"/>
        <w:rPr>
          <w:rFonts w:eastAsia="Times New Roman" w:cs="Times New Roman"/>
          <w:bCs/>
          <w:strike/>
        </w:rPr>
      </w:pPr>
      <w:r w:rsidRPr="00FD1578">
        <w:rPr>
          <w:rFonts w:eastAsia="Times New Roman" w:cs="Times New Roman"/>
          <w:bCs/>
        </w:rPr>
        <w:t xml:space="preserve">Šis nosacījums tiek aprēķināts saskaņā ar vienoto ES metodoloģiju un ES izmantotajiem pieņēmumiem. Par pamatu tiek ņemta strukturālā primārā bilance 2024. gadam. Nominālo bilanci iegūst, pie strukturālās primārās bilances pieskaitot procentu izdevumus (% no IKP), </w:t>
      </w:r>
      <w:proofErr w:type="spellStart"/>
      <w:r w:rsidRPr="00FD1578">
        <w:rPr>
          <w:rFonts w:eastAsia="Times New Roman" w:cs="Times New Roman"/>
          <w:bCs/>
          <w:i/>
          <w:iCs/>
        </w:rPr>
        <w:t>one-off</w:t>
      </w:r>
      <w:proofErr w:type="spellEnd"/>
      <w:r w:rsidRPr="00FD1578">
        <w:rPr>
          <w:rFonts w:eastAsia="Times New Roman" w:cs="Times New Roman"/>
          <w:bCs/>
        </w:rPr>
        <w:t xml:space="preserve"> un citu īslaicīgo pasākumu izdevumus (% no IKP) un bilances ciklisko komponenti (% no IKP). </w:t>
      </w:r>
    </w:p>
    <w:p w14:paraId="666B17ED" w14:textId="2960308D" w:rsidR="00CB177C" w:rsidRPr="00FD1578" w:rsidRDefault="00CB177C" w:rsidP="008349F0">
      <w:pPr>
        <w:widowControl w:val="0"/>
        <w:rPr>
          <w:rFonts w:eastAsia="Times New Roman" w:cs="Times New Roman"/>
          <w:bCs/>
        </w:rPr>
      </w:pPr>
      <w:r w:rsidRPr="00FD1578">
        <w:rPr>
          <w:rFonts w:eastAsia="Times New Roman" w:cs="Times New Roman"/>
          <w:bCs/>
        </w:rPr>
        <w:t xml:space="preserve">Lai novērstu nominālā deficīta pārsniegumu visā prognozēšanas periodā (korekcijas periodā un 10 gadus pēc tā), 4 gadu laikā sākot no 2025. gada līdz 2028. gadam strukturālais </w:t>
      </w:r>
      <w:r w:rsidRPr="00FD1578">
        <w:rPr>
          <w:rFonts w:eastAsia="Times New Roman" w:cs="Times New Roman"/>
          <w:bCs/>
        </w:rPr>
        <w:lastRenderedPageBreak/>
        <w:t xml:space="preserve">primārais deficīts Latvijai jāsamazina par 0,02% no IKP ik gadu, lai 2028. gadā strukturālā primārā bilance sasniegtu </w:t>
      </w:r>
      <w:r w:rsidR="004548BC" w:rsidRPr="00FD1578">
        <w:rPr>
          <w:rFonts w:eastAsia="Times New Roman" w:cs="Times New Roman"/>
          <w:bCs/>
        </w:rPr>
        <w:t>-</w:t>
      </w:r>
      <w:r w:rsidRPr="00FD1578">
        <w:rPr>
          <w:rFonts w:eastAsia="Times New Roman" w:cs="Times New Roman"/>
          <w:bCs/>
        </w:rPr>
        <w:t xml:space="preserve">1,282% no IKP. Saskaņā ar šo fiskālo nosacījumu, pieļaujamā strukturālā primārā bilance ir norādīta </w:t>
      </w:r>
      <w:r w:rsidR="004548BC" w:rsidRPr="00FD1578">
        <w:rPr>
          <w:rFonts w:eastAsia="Times New Roman" w:cs="Times New Roman"/>
          <w:bCs/>
        </w:rPr>
        <w:t>2.3</w:t>
      </w:r>
      <w:r w:rsidRPr="00FD1578">
        <w:rPr>
          <w:rFonts w:eastAsia="Times New Roman" w:cs="Times New Roman"/>
          <w:bCs/>
        </w:rPr>
        <w:t xml:space="preserve">. tabulas 1. rindā. </w:t>
      </w:r>
    </w:p>
    <w:p w14:paraId="3581C081" w14:textId="48AD5C40" w:rsidR="00CB177C" w:rsidRPr="00FD1578" w:rsidRDefault="00CB177C" w:rsidP="008349F0">
      <w:pPr>
        <w:widowControl w:val="0"/>
        <w:rPr>
          <w:rFonts w:eastAsia="Times New Roman" w:cs="Times New Roman"/>
          <w:bCs/>
        </w:rPr>
      </w:pPr>
      <w:r w:rsidRPr="00FD1578">
        <w:rPr>
          <w:rFonts w:eastAsia="Times New Roman" w:cs="Times New Roman"/>
          <w:bCs/>
        </w:rPr>
        <w:t>2.</w:t>
      </w:r>
      <w:r w:rsidR="004548BC" w:rsidRPr="00FD1578">
        <w:rPr>
          <w:rFonts w:eastAsia="Times New Roman" w:cs="Times New Roman"/>
          <w:bCs/>
        </w:rPr>
        <w:t>3</w:t>
      </w:r>
      <w:r w:rsidRPr="00FD1578">
        <w:rPr>
          <w:rFonts w:eastAsia="Times New Roman" w:cs="Times New Roman"/>
          <w:bCs/>
        </w:rPr>
        <w:t>. tabulā ir veikts arī pārrēķins no pieļaujamās strukturālās primārās bilances uz FDL strukturālo bilanci. Saskaņā ar šo pārrēķinu, pieļaujamais FDL strukturālai</w:t>
      </w:r>
      <w:r w:rsidR="00CF48B6" w:rsidRPr="00FD1578">
        <w:rPr>
          <w:rFonts w:eastAsia="Times New Roman" w:cs="Times New Roman"/>
          <w:bCs/>
        </w:rPr>
        <w:t>s</w:t>
      </w:r>
      <w:r w:rsidRPr="00FD1578">
        <w:rPr>
          <w:rFonts w:eastAsia="Times New Roman" w:cs="Times New Roman"/>
          <w:bCs/>
        </w:rPr>
        <w:t xml:space="preserve"> deficīts 2025. gadā ir tuvu 1% no IKP, nedaudz </w:t>
      </w:r>
      <w:r w:rsidR="00292CF4" w:rsidRPr="00FD1578">
        <w:rPr>
          <w:rFonts w:eastAsia="Times New Roman" w:cs="Times New Roman"/>
          <w:bCs/>
        </w:rPr>
        <w:t>augstāks</w:t>
      </w:r>
      <w:r w:rsidRPr="00FD1578">
        <w:rPr>
          <w:rFonts w:eastAsia="Times New Roman" w:cs="Times New Roman"/>
          <w:bCs/>
        </w:rPr>
        <w:t xml:space="preserve"> 202</w:t>
      </w:r>
      <w:r w:rsidR="004548BC" w:rsidRPr="00FD1578">
        <w:rPr>
          <w:rFonts w:eastAsia="Times New Roman" w:cs="Times New Roman"/>
          <w:bCs/>
        </w:rPr>
        <w:t>6</w:t>
      </w:r>
      <w:r w:rsidRPr="00FD1578">
        <w:rPr>
          <w:rFonts w:eastAsia="Times New Roman" w:cs="Times New Roman"/>
          <w:bCs/>
        </w:rPr>
        <w:t xml:space="preserve">. gadā un tad palielinās līdz sasniedz 1,5% no IKP 2028. gadā. </w:t>
      </w:r>
    </w:p>
    <w:p w14:paraId="4DC2F3CC" w14:textId="0FE0FF5D" w:rsidR="00CB177C" w:rsidRPr="00FD1578" w:rsidRDefault="00CB177C" w:rsidP="008349F0">
      <w:pPr>
        <w:widowControl w:val="0"/>
        <w:jc w:val="right"/>
        <w:rPr>
          <w:rFonts w:eastAsia="Times New Roman" w:cs="Times New Roman"/>
          <w:b/>
          <w:i/>
          <w:iCs/>
          <w:szCs w:val="24"/>
        </w:rPr>
      </w:pPr>
      <w:r w:rsidRPr="00FD1578">
        <w:rPr>
          <w:rFonts w:eastAsia="Times New Roman" w:cs="Times New Roman"/>
          <w:b/>
          <w:i/>
          <w:iCs/>
          <w:szCs w:val="24"/>
        </w:rPr>
        <w:t>2.</w:t>
      </w:r>
      <w:r w:rsidR="004548BC" w:rsidRPr="00FD1578">
        <w:rPr>
          <w:rFonts w:eastAsia="Times New Roman" w:cs="Times New Roman"/>
          <w:b/>
          <w:i/>
          <w:iCs/>
          <w:szCs w:val="24"/>
        </w:rPr>
        <w:t>3</w:t>
      </w:r>
      <w:r w:rsidRPr="00FD1578">
        <w:rPr>
          <w:rFonts w:eastAsia="Times New Roman" w:cs="Times New Roman"/>
          <w:b/>
          <w:i/>
          <w:iCs/>
          <w:szCs w:val="24"/>
        </w:rPr>
        <w:t>. tabula. Vispārējās valdības strukturālās bilances mērķi, balstoties uz ES strukturālās primārās bilances nosacījumu</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709"/>
        <w:gridCol w:w="1048"/>
        <w:gridCol w:w="1049"/>
        <w:gridCol w:w="1049"/>
        <w:gridCol w:w="1049"/>
        <w:gridCol w:w="1049"/>
      </w:tblGrid>
      <w:tr w:rsidR="00CB177C" w:rsidRPr="00FD1578" w14:paraId="104BCDE2" w14:textId="77777777" w:rsidTr="005B33E7">
        <w:trPr>
          <w:trHeight w:val="20"/>
          <w:jc w:val="center"/>
        </w:trPr>
        <w:tc>
          <w:tcPr>
            <w:tcW w:w="2693" w:type="dxa"/>
            <w:shd w:val="clear" w:color="auto" w:fill="BDD6EE" w:themeFill="accent1" w:themeFillTint="66"/>
            <w:noWrap/>
            <w:vAlign w:val="bottom"/>
            <w:hideMark/>
          </w:tcPr>
          <w:p w14:paraId="4B0FB845"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709" w:type="dxa"/>
            <w:shd w:val="clear" w:color="auto" w:fill="BDD6EE" w:themeFill="accent1" w:themeFillTint="66"/>
          </w:tcPr>
          <w:p w14:paraId="351CFCC5"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1048" w:type="dxa"/>
            <w:shd w:val="clear" w:color="auto" w:fill="BDD6EE" w:themeFill="accent1" w:themeFillTint="66"/>
            <w:noWrap/>
            <w:vAlign w:val="center"/>
            <w:hideMark/>
          </w:tcPr>
          <w:p w14:paraId="3419D2E8"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2024</w:t>
            </w:r>
          </w:p>
        </w:tc>
        <w:tc>
          <w:tcPr>
            <w:tcW w:w="1049" w:type="dxa"/>
            <w:shd w:val="clear" w:color="auto" w:fill="BDD6EE" w:themeFill="accent1" w:themeFillTint="66"/>
            <w:noWrap/>
            <w:vAlign w:val="center"/>
            <w:hideMark/>
          </w:tcPr>
          <w:p w14:paraId="5DBCD0BE"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1049" w:type="dxa"/>
            <w:shd w:val="clear" w:color="auto" w:fill="BDD6EE" w:themeFill="accent1" w:themeFillTint="66"/>
            <w:noWrap/>
            <w:vAlign w:val="center"/>
            <w:hideMark/>
          </w:tcPr>
          <w:p w14:paraId="2FA0E749"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1049" w:type="dxa"/>
            <w:shd w:val="clear" w:color="auto" w:fill="BDD6EE" w:themeFill="accent1" w:themeFillTint="66"/>
            <w:noWrap/>
            <w:vAlign w:val="center"/>
            <w:hideMark/>
          </w:tcPr>
          <w:p w14:paraId="4AD5A254"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1049" w:type="dxa"/>
            <w:shd w:val="clear" w:color="auto" w:fill="BDD6EE" w:themeFill="accent1" w:themeFillTint="66"/>
            <w:noWrap/>
            <w:vAlign w:val="center"/>
            <w:hideMark/>
          </w:tcPr>
          <w:p w14:paraId="00C13CF2"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CB177C" w:rsidRPr="00FD1578" w14:paraId="68430B2C" w14:textId="77777777" w:rsidTr="005B33E7">
        <w:trPr>
          <w:trHeight w:val="20"/>
          <w:jc w:val="center"/>
        </w:trPr>
        <w:tc>
          <w:tcPr>
            <w:tcW w:w="2693" w:type="dxa"/>
            <w:shd w:val="clear" w:color="auto" w:fill="auto"/>
            <w:noWrap/>
            <w:vAlign w:val="center"/>
          </w:tcPr>
          <w:p w14:paraId="472612E5"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strukturālās primārās bilances mērķis, % no IKP</w:t>
            </w:r>
          </w:p>
        </w:tc>
        <w:tc>
          <w:tcPr>
            <w:tcW w:w="709" w:type="dxa"/>
            <w:vAlign w:val="center"/>
          </w:tcPr>
          <w:p w14:paraId="1AAFBE96"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p>
        </w:tc>
        <w:tc>
          <w:tcPr>
            <w:tcW w:w="1048" w:type="dxa"/>
            <w:shd w:val="clear" w:color="auto" w:fill="auto"/>
            <w:noWrap/>
            <w:vAlign w:val="center"/>
          </w:tcPr>
          <w:p w14:paraId="632F452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-1,362</w:t>
            </w:r>
          </w:p>
        </w:tc>
        <w:tc>
          <w:tcPr>
            <w:tcW w:w="1049" w:type="dxa"/>
            <w:shd w:val="clear" w:color="auto" w:fill="auto"/>
            <w:noWrap/>
            <w:vAlign w:val="center"/>
          </w:tcPr>
          <w:p w14:paraId="277BC52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-1,342</w:t>
            </w:r>
          </w:p>
        </w:tc>
        <w:tc>
          <w:tcPr>
            <w:tcW w:w="1049" w:type="dxa"/>
            <w:shd w:val="clear" w:color="auto" w:fill="FFFFFF" w:themeFill="background1"/>
            <w:noWrap/>
            <w:vAlign w:val="center"/>
            <w:hideMark/>
          </w:tcPr>
          <w:p w14:paraId="52472B8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-1,322</w:t>
            </w:r>
          </w:p>
        </w:tc>
        <w:tc>
          <w:tcPr>
            <w:tcW w:w="1049" w:type="dxa"/>
            <w:shd w:val="clear" w:color="auto" w:fill="FFFFFF" w:themeFill="background1"/>
            <w:noWrap/>
            <w:vAlign w:val="center"/>
            <w:hideMark/>
          </w:tcPr>
          <w:p w14:paraId="0F5EBDE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-1,302</w:t>
            </w:r>
          </w:p>
        </w:tc>
        <w:tc>
          <w:tcPr>
            <w:tcW w:w="1049" w:type="dxa"/>
            <w:shd w:val="clear" w:color="auto" w:fill="FFFFFF" w:themeFill="background1"/>
            <w:noWrap/>
            <w:vAlign w:val="center"/>
            <w:hideMark/>
          </w:tcPr>
          <w:p w14:paraId="40A72BA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-1,282</w:t>
            </w:r>
          </w:p>
        </w:tc>
      </w:tr>
      <w:tr w:rsidR="00CB177C" w:rsidRPr="00FD1578" w14:paraId="5A79DF0E" w14:textId="77777777" w:rsidTr="005B33E7">
        <w:trPr>
          <w:trHeight w:val="20"/>
          <w:jc w:val="center"/>
        </w:trPr>
        <w:tc>
          <w:tcPr>
            <w:tcW w:w="2693" w:type="dxa"/>
            <w:shd w:val="clear" w:color="auto" w:fill="auto"/>
            <w:noWrap/>
            <w:vAlign w:val="center"/>
          </w:tcPr>
          <w:p w14:paraId="6F107ED5"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vispārējās valdības procentu izdevumi, % no IKP</w:t>
            </w:r>
          </w:p>
        </w:tc>
        <w:tc>
          <w:tcPr>
            <w:tcW w:w="709" w:type="dxa"/>
            <w:vAlign w:val="center"/>
          </w:tcPr>
          <w:p w14:paraId="66DEA82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w:t>
            </w:r>
          </w:p>
        </w:tc>
        <w:tc>
          <w:tcPr>
            <w:tcW w:w="1048" w:type="dxa"/>
            <w:shd w:val="clear" w:color="auto" w:fill="auto"/>
            <w:noWrap/>
            <w:vAlign w:val="center"/>
          </w:tcPr>
          <w:p w14:paraId="06E5432D"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1049" w:type="dxa"/>
            <w:shd w:val="clear" w:color="auto" w:fill="auto"/>
            <w:noWrap/>
            <w:vAlign w:val="center"/>
          </w:tcPr>
          <w:p w14:paraId="244EBD8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1,2</w:t>
            </w:r>
          </w:p>
        </w:tc>
        <w:tc>
          <w:tcPr>
            <w:tcW w:w="1049" w:type="dxa"/>
            <w:shd w:val="clear" w:color="auto" w:fill="FFFFFF" w:themeFill="background1"/>
            <w:noWrap/>
            <w:vAlign w:val="center"/>
            <w:hideMark/>
          </w:tcPr>
          <w:p w14:paraId="7BC90BD9"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1,4</w:t>
            </w:r>
          </w:p>
        </w:tc>
        <w:tc>
          <w:tcPr>
            <w:tcW w:w="1049" w:type="dxa"/>
            <w:shd w:val="clear" w:color="auto" w:fill="FFFFFF" w:themeFill="background1"/>
            <w:noWrap/>
            <w:vAlign w:val="center"/>
            <w:hideMark/>
          </w:tcPr>
          <w:p w14:paraId="6AD88C0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w:t>
            </w:r>
          </w:p>
        </w:tc>
        <w:tc>
          <w:tcPr>
            <w:tcW w:w="1049" w:type="dxa"/>
            <w:shd w:val="clear" w:color="auto" w:fill="FFFFFF" w:themeFill="background1"/>
            <w:noWrap/>
            <w:vAlign w:val="center"/>
            <w:hideMark/>
          </w:tcPr>
          <w:p w14:paraId="1081B14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w:t>
            </w:r>
          </w:p>
        </w:tc>
      </w:tr>
      <w:tr w:rsidR="00CB177C" w:rsidRPr="00FD1578" w14:paraId="4BA8C6F0" w14:textId="77777777" w:rsidTr="005B33E7">
        <w:trPr>
          <w:trHeight w:val="20"/>
          <w:jc w:val="center"/>
        </w:trPr>
        <w:tc>
          <w:tcPr>
            <w:tcW w:w="2693" w:type="dxa"/>
            <w:shd w:val="clear" w:color="auto" w:fill="auto"/>
            <w:noWrap/>
            <w:vAlign w:val="center"/>
          </w:tcPr>
          <w:p w14:paraId="106F1121" w14:textId="77777777" w:rsidR="00CB177C" w:rsidRPr="00FD1578" w:rsidRDefault="00CB177C" w:rsidP="008349F0">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one-off</w:t>
            </w:r>
            <w:proofErr w:type="spellEnd"/>
            <w:r w:rsidRPr="00FD1578">
              <w:rPr>
                <w:rFonts w:eastAsia="Times New Roman" w:cs="Times New Roman"/>
                <w:color w:val="000000"/>
                <w:sz w:val="18"/>
                <w:szCs w:val="18"/>
              </w:rPr>
              <w:t xml:space="preserve"> un citi īslaicīgie pasākumi, % no IKP</w:t>
            </w:r>
          </w:p>
        </w:tc>
        <w:tc>
          <w:tcPr>
            <w:tcW w:w="709" w:type="dxa"/>
            <w:vAlign w:val="center"/>
          </w:tcPr>
          <w:p w14:paraId="0FF0C7D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w:t>
            </w:r>
          </w:p>
        </w:tc>
        <w:tc>
          <w:tcPr>
            <w:tcW w:w="1048" w:type="dxa"/>
            <w:shd w:val="clear" w:color="auto" w:fill="auto"/>
            <w:noWrap/>
            <w:vAlign w:val="center"/>
          </w:tcPr>
          <w:p w14:paraId="232EC345"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1049" w:type="dxa"/>
            <w:shd w:val="clear" w:color="auto" w:fill="auto"/>
            <w:noWrap/>
            <w:vAlign w:val="center"/>
          </w:tcPr>
          <w:p w14:paraId="5405EAD5"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-1,6</w:t>
            </w:r>
          </w:p>
        </w:tc>
        <w:tc>
          <w:tcPr>
            <w:tcW w:w="1049" w:type="dxa"/>
            <w:shd w:val="clear" w:color="auto" w:fill="FFFFFF" w:themeFill="background1"/>
            <w:noWrap/>
            <w:vAlign w:val="center"/>
            <w:hideMark/>
          </w:tcPr>
          <w:p w14:paraId="020ED32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-1,7</w:t>
            </w:r>
          </w:p>
        </w:tc>
        <w:tc>
          <w:tcPr>
            <w:tcW w:w="1049" w:type="dxa"/>
            <w:shd w:val="clear" w:color="auto" w:fill="FFFFFF" w:themeFill="background1"/>
            <w:noWrap/>
            <w:vAlign w:val="center"/>
            <w:hideMark/>
          </w:tcPr>
          <w:p w14:paraId="0DC68C75"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w:t>
            </w:r>
          </w:p>
        </w:tc>
        <w:tc>
          <w:tcPr>
            <w:tcW w:w="1049" w:type="dxa"/>
            <w:shd w:val="clear" w:color="auto" w:fill="FFFFFF" w:themeFill="background1"/>
            <w:noWrap/>
            <w:vAlign w:val="center"/>
            <w:hideMark/>
          </w:tcPr>
          <w:p w14:paraId="1507147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w:t>
            </w:r>
          </w:p>
        </w:tc>
      </w:tr>
      <w:tr w:rsidR="00CB177C" w:rsidRPr="00FD1578" w14:paraId="3888F331" w14:textId="77777777" w:rsidTr="005B33E7">
        <w:trPr>
          <w:trHeight w:val="20"/>
          <w:jc w:val="center"/>
        </w:trPr>
        <w:tc>
          <w:tcPr>
            <w:tcW w:w="2693" w:type="dxa"/>
            <w:shd w:val="clear" w:color="auto" w:fill="BDD6EE" w:themeFill="accent1" w:themeFillTint="66"/>
            <w:noWrap/>
            <w:vAlign w:val="center"/>
          </w:tcPr>
          <w:p w14:paraId="24E4B763" w14:textId="69513BA6" w:rsidR="00CB177C" w:rsidRPr="00FD1578" w:rsidRDefault="00CB177C" w:rsidP="008349F0">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Vispārējās valdības strukturālās bilances mērķi, % no IKP</w:t>
            </w:r>
          </w:p>
        </w:tc>
        <w:tc>
          <w:tcPr>
            <w:tcW w:w="709" w:type="dxa"/>
            <w:shd w:val="clear" w:color="auto" w:fill="BDD6EE" w:themeFill="accent1" w:themeFillTint="66"/>
            <w:vAlign w:val="center"/>
          </w:tcPr>
          <w:p w14:paraId="755C0E67"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(4)</w:t>
            </w:r>
          </w:p>
        </w:tc>
        <w:tc>
          <w:tcPr>
            <w:tcW w:w="1048" w:type="dxa"/>
            <w:shd w:val="clear" w:color="auto" w:fill="BDD6EE" w:themeFill="accent1" w:themeFillTint="66"/>
            <w:noWrap/>
            <w:vAlign w:val="center"/>
          </w:tcPr>
          <w:p w14:paraId="67A18385" w14:textId="77777777" w:rsidR="00CB177C" w:rsidRPr="00FD1578" w:rsidRDefault="00CB177C" w:rsidP="008349F0">
            <w:pPr>
              <w:spacing w:before="60" w:after="0"/>
              <w:ind w:firstLine="0"/>
              <w:jc w:val="center"/>
              <w:rPr>
                <w:rFonts w:eastAsia="Times New Roman" w:cs="Times New Roman"/>
                <w:b/>
                <w:bCs/>
                <w:color w:val="000000"/>
                <w:sz w:val="18"/>
                <w:szCs w:val="18"/>
              </w:rPr>
            </w:pPr>
          </w:p>
        </w:tc>
        <w:tc>
          <w:tcPr>
            <w:tcW w:w="1049" w:type="dxa"/>
            <w:shd w:val="clear" w:color="auto" w:fill="BDD6EE" w:themeFill="accent1" w:themeFillTint="66"/>
            <w:noWrap/>
            <w:vAlign w:val="center"/>
          </w:tcPr>
          <w:p w14:paraId="3A3F7A21"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-0,970</w:t>
            </w:r>
          </w:p>
        </w:tc>
        <w:tc>
          <w:tcPr>
            <w:tcW w:w="1049" w:type="dxa"/>
            <w:shd w:val="clear" w:color="auto" w:fill="BDD6EE" w:themeFill="accent1" w:themeFillTint="66"/>
            <w:noWrap/>
            <w:vAlign w:val="center"/>
            <w:hideMark/>
          </w:tcPr>
          <w:p w14:paraId="303D24A6"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-1,044</w:t>
            </w:r>
          </w:p>
        </w:tc>
        <w:tc>
          <w:tcPr>
            <w:tcW w:w="1049" w:type="dxa"/>
            <w:shd w:val="clear" w:color="auto" w:fill="BDD6EE" w:themeFill="accent1" w:themeFillTint="66"/>
            <w:noWrap/>
            <w:vAlign w:val="center"/>
            <w:hideMark/>
          </w:tcPr>
          <w:p w14:paraId="34B3B3EB"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-1,268</w:t>
            </w:r>
          </w:p>
        </w:tc>
        <w:tc>
          <w:tcPr>
            <w:tcW w:w="1049" w:type="dxa"/>
            <w:shd w:val="clear" w:color="auto" w:fill="BDD6EE" w:themeFill="accent1" w:themeFillTint="66"/>
            <w:noWrap/>
            <w:vAlign w:val="center"/>
            <w:hideMark/>
          </w:tcPr>
          <w:p w14:paraId="6D0A2060"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-1,445</w:t>
            </w:r>
          </w:p>
        </w:tc>
      </w:tr>
    </w:tbl>
    <w:p w14:paraId="726D7002" w14:textId="77777777" w:rsidR="004548BC" w:rsidRPr="00FD1578" w:rsidRDefault="004548BC" w:rsidP="008349F0">
      <w:pPr>
        <w:widowControl w:val="0"/>
        <w:spacing w:after="0"/>
        <w:ind w:firstLine="0"/>
        <w:rPr>
          <w:rFonts w:eastAsia="Times New Roman" w:cs="Times New Roman"/>
          <w:b/>
        </w:rPr>
      </w:pPr>
    </w:p>
    <w:p w14:paraId="78E6836D" w14:textId="06A13B52" w:rsidR="00CB177C" w:rsidRPr="00FD1578" w:rsidRDefault="00CB177C" w:rsidP="008349F0">
      <w:pPr>
        <w:widowControl w:val="0"/>
        <w:ind w:left="720" w:firstLine="0"/>
        <w:rPr>
          <w:rFonts w:eastAsia="Times New Roman" w:cs="Times New Roman"/>
          <w:b/>
        </w:rPr>
      </w:pPr>
      <w:r w:rsidRPr="00FD1578">
        <w:rPr>
          <w:rFonts w:eastAsia="Times New Roman" w:cs="Times New Roman"/>
          <w:b/>
        </w:rPr>
        <w:t>ES valsts finansēto neto primāro izdevumu nosacījums (3)</w:t>
      </w:r>
    </w:p>
    <w:p w14:paraId="3E4CEAA1" w14:textId="77777777" w:rsidR="00CB177C" w:rsidRPr="00FD1578" w:rsidRDefault="00CB177C" w:rsidP="008349F0">
      <w:pPr>
        <w:widowControl w:val="0"/>
        <w:rPr>
          <w:rFonts w:eastAsia="Times New Roman" w:cs="Times New Roman"/>
          <w:bCs/>
          <w:strike/>
        </w:rPr>
      </w:pPr>
      <w:r w:rsidRPr="00FD1578">
        <w:rPr>
          <w:rFonts w:eastAsia="Times New Roman" w:cs="Times New Roman"/>
          <w:bCs/>
        </w:rPr>
        <w:t xml:space="preserve">Vispārējās valdības primāro izdevumu pieaugums tiek aprēķināts ar pieņēmumu, ka nemainīgas primārās bilances gadījumā izdevumi aug saskaņā ar potenciālā IKP un IKP </w:t>
      </w:r>
      <w:proofErr w:type="spellStart"/>
      <w:r w:rsidRPr="00FD1578">
        <w:rPr>
          <w:rFonts w:eastAsia="Times New Roman" w:cs="Times New Roman"/>
          <w:bCs/>
        </w:rPr>
        <w:t>deflatora</w:t>
      </w:r>
      <w:proofErr w:type="spellEnd"/>
      <w:r w:rsidRPr="00FD1578">
        <w:rPr>
          <w:rFonts w:eastAsia="Times New Roman" w:cs="Times New Roman"/>
          <w:bCs/>
        </w:rPr>
        <w:t xml:space="preserve"> pieaugumu, un pieaugums vienīgi tiek koriģēts ar nepieciešamo uzlabojumu strukturālajā primārajā bilancē.</w:t>
      </w:r>
      <w:r w:rsidRPr="00FD1578">
        <w:rPr>
          <w:rFonts w:eastAsia="Times New Roman" w:cs="Times New Roman"/>
          <w:bCs/>
          <w:strike/>
        </w:rPr>
        <w:t xml:space="preserve"> </w:t>
      </w:r>
    </w:p>
    <w:p w14:paraId="27D1EA0C" w14:textId="69A18160" w:rsidR="00CB177C" w:rsidRPr="00FD1578" w:rsidRDefault="00CB177C" w:rsidP="008349F0">
      <w:pPr>
        <w:widowControl w:val="0"/>
        <w:rPr>
          <w:rFonts w:eastAsia="Times New Roman" w:cs="Times New Roman"/>
          <w:bCs/>
          <w:u w:val="single"/>
        </w:rPr>
      </w:pPr>
      <w:r w:rsidRPr="00FD1578">
        <w:rPr>
          <w:rFonts w:eastAsia="Times New Roman" w:cs="Times New Roman"/>
          <w:bCs/>
        </w:rPr>
        <w:t>Lai nodrošinātu 2.</w:t>
      </w:r>
      <w:r w:rsidR="004548BC" w:rsidRPr="00FD1578">
        <w:rPr>
          <w:rFonts w:eastAsia="Times New Roman" w:cs="Times New Roman"/>
          <w:bCs/>
        </w:rPr>
        <w:t>3</w:t>
      </w:r>
      <w:r w:rsidRPr="00FD1578">
        <w:rPr>
          <w:rFonts w:eastAsia="Times New Roman" w:cs="Times New Roman"/>
          <w:bCs/>
        </w:rPr>
        <w:t>. tabulā norādītās strukturālās primārās bilances uzlabojumu, saskaņā ar ES metodoloģiju aprēķinātais primāro izdevumu pieaugums vidēji 2025. – 2028. gados ir vidēji 3,7% (2025. gadā 4,5%, pakāpeniski samazinoties 2028. gadā līdz 3,4%, skat. 2.</w:t>
      </w:r>
      <w:r w:rsidR="004548BC" w:rsidRPr="00FD1578">
        <w:rPr>
          <w:rFonts w:eastAsia="Times New Roman" w:cs="Times New Roman"/>
          <w:bCs/>
        </w:rPr>
        <w:t>4</w:t>
      </w:r>
      <w:r w:rsidRPr="00FD1578">
        <w:rPr>
          <w:rFonts w:eastAsia="Times New Roman" w:cs="Times New Roman"/>
          <w:bCs/>
        </w:rPr>
        <w:t xml:space="preserve">. tabulas 1. rindu). Koriģējot izdevumu pieaugumu ar </w:t>
      </w:r>
      <w:r w:rsidR="004548BC" w:rsidRPr="00FD1578">
        <w:rPr>
          <w:rFonts w:eastAsia="Times New Roman" w:cs="Times New Roman"/>
          <w:bCs/>
        </w:rPr>
        <w:t>līdz 2024. gada 20. augustam pie</w:t>
      </w:r>
      <w:r w:rsidR="00F05A77" w:rsidRPr="00FD1578">
        <w:rPr>
          <w:rFonts w:eastAsia="Times New Roman" w:cs="Times New Roman"/>
          <w:bCs/>
        </w:rPr>
        <w:t>ņ</w:t>
      </w:r>
      <w:r w:rsidR="004548BC" w:rsidRPr="00FD1578">
        <w:rPr>
          <w:rFonts w:eastAsia="Times New Roman" w:cs="Times New Roman"/>
          <w:bCs/>
        </w:rPr>
        <w:t xml:space="preserve">emtajiem </w:t>
      </w:r>
      <w:proofErr w:type="spellStart"/>
      <w:r w:rsidRPr="00FD1578">
        <w:rPr>
          <w:rFonts w:eastAsia="Times New Roman" w:cs="Times New Roman"/>
          <w:bCs/>
        </w:rPr>
        <w:t>diskrecionārajiem</w:t>
      </w:r>
      <w:proofErr w:type="spellEnd"/>
      <w:r w:rsidRPr="00FD1578">
        <w:rPr>
          <w:rFonts w:eastAsia="Times New Roman" w:cs="Times New Roman"/>
          <w:bCs/>
        </w:rPr>
        <w:t xml:space="preserve"> ieņēmumu pasākumiem (DRM), kas samazina ieņēmumus 2025. gadā par 238 milj. </w:t>
      </w:r>
      <w:proofErr w:type="spellStart"/>
      <w:r w:rsidRPr="00FD1578">
        <w:rPr>
          <w:rFonts w:eastAsia="Times New Roman" w:cs="Times New Roman"/>
          <w:bCs/>
          <w:i/>
          <w:iCs/>
        </w:rPr>
        <w:t>euro</w:t>
      </w:r>
      <w:proofErr w:type="spellEnd"/>
      <w:r w:rsidRPr="00FD1578">
        <w:rPr>
          <w:rFonts w:eastAsia="Times New Roman" w:cs="Times New Roman"/>
          <w:bCs/>
        </w:rPr>
        <w:t>, pieļaujamais primāro izdevumu pieaugums 2025. gadā būtu 3,2% apmērā, 2,8% 2026. gadā, 3,9% 2027. gadā un 3,4% 2028. gadā. Pārrēķinot šo pieļaujamo izdevumu pieaugumu FDL strukturālajā bilancē, iegūst lielāku FDL strukturālā deficīta līmeni kā ar ES strukturālās primārās bilances nosacījumu. Tomēr, sekojot ES valsts finansēto neto primāro izdevumu nosacījumam, nominālais deficīts pārsniegtu 3% no IKP robežu 2025. gadā.</w:t>
      </w:r>
      <w:r w:rsidR="005735FB">
        <w:rPr>
          <w:rFonts w:eastAsia="Times New Roman" w:cs="Times New Roman"/>
          <w:bCs/>
        </w:rPr>
        <w:t xml:space="preserve">  </w:t>
      </w:r>
    </w:p>
    <w:p w14:paraId="6C8CC181" w14:textId="0BFC4DA3" w:rsidR="00CB177C" w:rsidRPr="00FD1578" w:rsidRDefault="00D50DB0" w:rsidP="008349F0">
      <w:pPr>
        <w:widowControl w:val="0"/>
        <w:spacing w:before="240"/>
        <w:jc w:val="right"/>
        <w:rPr>
          <w:rFonts w:eastAsia="Times New Roman" w:cs="Times New Roman"/>
          <w:b/>
          <w:i/>
          <w:iCs/>
          <w:szCs w:val="24"/>
        </w:rPr>
      </w:pPr>
      <w:r w:rsidRPr="00FD1578">
        <w:rPr>
          <w:rFonts w:eastAsia="Times New Roman" w:cs="Times New Roman"/>
          <w:b/>
          <w:i/>
          <w:iCs/>
          <w:szCs w:val="24"/>
        </w:rPr>
        <w:t>2.</w:t>
      </w:r>
      <w:r w:rsidR="005C63FF" w:rsidRPr="00FD1578">
        <w:rPr>
          <w:rFonts w:eastAsia="Times New Roman" w:cs="Times New Roman"/>
          <w:b/>
          <w:i/>
          <w:iCs/>
          <w:szCs w:val="24"/>
        </w:rPr>
        <w:t>4</w:t>
      </w:r>
      <w:r w:rsidRPr="00FD1578">
        <w:rPr>
          <w:rFonts w:eastAsia="Times New Roman" w:cs="Times New Roman"/>
          <w:b/>
          <w:i/>
          <w:iCs/>
          <w:szCs w:val="24"/>
        </w:rPr>
        <w:t xml:space="preserve">. </w:t>
      </w:r>
      <w:r w:rsidR="00CB177C" w:rsidRPr="00FD1578">
        <w:rPr>
          <w:rFonts w:eastAsia="Times New Roman" w:cs="Times New Roman"/>
          <w:b/>
          <w:i/>
          <w:iCs/>
          <w:szCs w:val="24"/>
        </w:rPr>
        <w:t xml:space="preserve">tabula. </w:t>
      </w:r>
      <w:bookmarkStart w:id="49" w:name="_Hlk178762967"/>
      <w:r w:rsidR="00CB177C" w:rsidRPr="00FD1578">
        <w:rPr>
          <w:rFonts w:eastAsia="Times New Roman" w:cs="Times New Roman"/>
          <w:b/>
          <w:i/>
          <w:iCs/>
          <w:szCs w:val="24"/>
        </w:rPr>
        <w:t>Vispārējās valdības strukturālās</w:t>
      </w:r>
      <w:r w:rsidR="00841639" w:rsidRPr="00FD1578">
        <w:rPr>
          <w:rFonts w:eastAsia="Times New Roman" w:cs="Times New Roman"/>
          <w:b/>
          <w:i/>
          <w:iCs/>
          <w:szCs w:val="24"/>
        </w:rPr>
        <w:t xml:space="preserve"> </w:t>
      </w:r>
      <w:r w:rsidR="00CB177C" w:rsidRPr="00FD1578">
        <w:rPr>
          <w:rFonts w:eastAsia="Times New Roman" w:cs="Times New Roman"/>
          <w:b/>
          <w:i/>
          <w:iCs/>
          <w:szCs w:val="24"/>
        </w:rPr>
        <w:t>bilances mērķi,</w:t>
      </w:r>
      <w:r w:rsidR="00841639" w:rsidRPr="00FD1578">
        <w:rPr>
          <w:rFonts w:eastAsia="Times New Roman" w:cs="Times New Roman"/>
          <w:b/>
          <w:i/>
          <w:iCs/>
          <w:szCs w:val="24"/>
        </w:rPr>
        <w:t xml:space="preserve"> </w:t>
      </w:r>
      <w:r w:rsidR="00CB177C" w:rsidRPr="00FD1578">
        <w:rPr>
          <w:rFonts w:eastAsia="Times New Roman" w:cs="Times New Roman"/>
          <w:b/>
          <w:i/>
          <w:iCs/>
          <w:szCs w:val="24"/>
        </w:rPr>
        <w:t>balstoties uz ES izdevumu pieauguma nosacījumu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34"/>
        <w:gridCol w:w="963"/>
        <w:gridCol w:w="964"/>
        <w:gridCol w:w="964"/>
        <w:gridCol w:w="964"/>
        <w:gridCol w:w="964"/>
      </w:tblGrid>
      <w:tr w:rsidR="00CB177C" w:rsidRPr="00FD1578" w14:paraId="4D9CF2B2" w14:textId="77777777" w:rsidTr="00F0097E">
        <w:trPr>
          <w:trHeight w:val="20"/>
          <w:tblHeader/>
          <w:jc w:val="center"/>
        </w:trPr>
        <w:tc>
          <w:tcPr>
            <w:tcW w:w="3114" w:type="dxa"/>
            <w:shd w:val="clear" w:color="auto" w:fill="BDD6EE" w:themeFill="accent1" w:themeFillTint="66"/>
            <w:noWrap/>
            <w:vAlign w:val="bottom"/>
            <w:hideMark/>
          </w:tcPr>
          <w:p w14:paraId="6EE857C3"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134" w:type="dxa"/>
            <w:shd w:val="clear" w:color="auto" w:fill="BDD6EE" w:themeFill="accent1" w:themeFillTint="66"/>
          </w:tcPr>
          <w:p w14:paraId="627BD53D" w14:textId="77777777" w:rsidR="00CB177C" w:rsidRPr="00FD1578" w:rsidRDefault="00CB177C" w:rsidP="008349F0">
            <w:pPr>
              <w:spacing w:before="60" w:after="0"/>
              <w:ind w:firstLine="0"/>
              <w:jc w:val="center"/>
              <w:rPr>
                <w:rFonts w:eastAsia="Times New Roman" w:cs="Times New Roman"/>
                <w:b/>
                <w:bCs/>
                <w:color w:val="000000"/>
                <w:sz w:val="18"/>
                <w:szCs w:val="18"/>
              </w:rPr>
            </w:pPr>
          </w:p>
        </w:tc>
        <w:tc>
          <w:tcPr>
            <w:tcW w:w="963" w:type="dxa"/>
            <w:shd w:val="clear" w:color="auto" w:fill="BDD6EE" w:themeFill="accent1" w:themeFillTint="66"/>
            <w:noWrap/>
            <w:vAlign w:val="center"/>
            <w:hideMark/>
          </w:tcPr>
          <w:p w14:paraId="43B079AC"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2024</w:t>
            </w:r>
          </w:p>
        </w:tc>
        <w:tc>
          <w:tcPr>
            <w:tcW w:w="964" w:type="dxa"/>
            <w:shd w:val="clear" w:color="auto" w:fill="BDD6EE" w:themeFill="accent1" w:themeFillTint="66"/>
            <w:noWrap/>
            <w:vAlign w:val="center"/>
            <w:hideMark/>
          </w:tcPr>
          <w:p w14:paraId="6438A6A1"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964" w:type="dxa"/>
            <w:shd w:val="clear" w:color="auto" w:fill="BDD6EE" w:themeFill="accent1" w:themeFillTint="66"/>
            <w:noWrap/>
            <w:vAlign w:val="center"/>
            <w:hideMark/>
          </w:tcPr>
          <w:p w14:paraId="6C5D64F3"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964" w:type="dxa"/>
            <w:shd w:val="clear" w:color="auto" w:fill="BDD6EE" w:themeFill="accent1" w:themeFillTint="66"/>
            <w:noWrap/>
            <w:vAlign w:val="center"/>
            <w:hideMark/>
          </w:tcPr>
          <w:p w14:paraId="55F69EC9"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964" w:type="dxa"/>
            <w:shd w:val="clear" w:color="auto" w:fill="BDD6EE" w:themeFill="accent1" w:themeFillTint="66"/>
            <w:noWrap/>
            <w:vAlign w:val="center"/>
            <w:hideMark/>
          </w:tcPr>
          <w:p w14:paraId="71365D0F"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CB177C" w:rsidRPr="00FD1578" w14:paraId="2BF58B8A" w14:textId="77777777" w:rsidTr="005B33E7">
        <w:trPr>
          <w:trHeight w:val="20"/>
          <w:jc w:val="center"/>
        </w:trPr>
        <w:tc>
          <w:tcPr>
            <w:tcW w:w="3114" w:type="dxa"/>
            <w:shd w:val="clear" w:color="auto" w:fill="auto"/>
            <w:noWrap/>
            <w:vAlign w:val="center"/>
          </w:tcPr>
          <w:p w14:paraId="19178663"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Valsts finansēto neto primāro izdevumu (NNFPI) pieauguma likme, % </w:t>
            </w:r>
          </w:p>
        </w:tc>
        <w:tc>
          <w:tcPr>
            <w:tcW w:w="1134" w:type="dxa"/>
            <w:vAlign w:val="center"/>
          </w:tcPr>
          <w:p w14:paraId="368B30C6"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p>
        </w:tc>
        <w:tc>
          <w:tcPr>
            <w:tcW w:w="963" w:type="dxa"/>
            <w:shd w:val="clear" w:color="auto" w:fill="auto"/>
            <w:noWrap/>
            <w:vAlign w:val="center"/>
          </w:tcPr>
          <w:p w14:paraId="14DAE73C"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2CE5B15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4,543</w:t>
            </w:r>
          </w:p>
        </w:tc>
        <w:tc>
          <w:tcPr>
            <w:tcW w:w="964" w:type="dxa"/>
            <w:shd w:val="clear" w:color="auto" w:fill="FFFFFF" w:themeFill="background1"/>
            <w:noWrap/>
            <w:vAlign w:val="center"/>
          </w:tcPr>
          <w:p w14:paraId="02D0B6C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3,645</w:t>
            </w:r>
          </w:p>
        </w:tc>
        <w:tc>
          <w:tcPr>
            <w:tcW w:w="964" w:type="dxa"/>
            <w:shd w:val="clear" w:color="auto" w:fill="FFFFFF" w:themeFill="background1"/>
            <w:noWrap/>
            <w:vAlign w:val="center"/>
          </w:tcPr>
          <w:p w14:paraId="1C00291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3,363</w:t>
            </w:r>
          </w:p>
        </w:tc>
        <w:tc>
          <w:tcPr>
            <w:tcW w:w="964" w:type="dxa"/>
            <w:shd w:val="clear" w:color="auto" w:fill="FFFFFF" w:themeFill="background1"/>
            <w:noWrap/>
            <w:vAlign w:val="center"/>
          </w:tcPr>
          <w:p w14:paraId="4D3601F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3,386</w:t>
            </w:r>
          </w:p>
        </w:tc>
      </w:tr>
      <w:tr w:rsidR="00CB177C" w:rsidRPr="00FD1578" w14:paraId="1061E285" w14:textId="77777777" w:rsidTr="005B33E7">
        <w:trPr>
          <w:trHeight w:val="20"/>
          <w:jc w:val="center"/>
        </w:trPr>
        <w:tc>
          <w:tcPr>
            <w:tcW w:w="3114" w:type="dxa"/>
            <w:shd w:val="clear" w:color="auto" w:fill="auto"/>
            <w:noWrap/>
            <w:vAlign w:val="center"/>
          </w:tcPr>
          <w:p w14:paraId="05F6F2D2"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NNFPI līmenis,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6DCE12EA"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w:t>
            </w:r>
          </w:p>
        </w:tc>
        <w:tc>
          <w:tcPr>
            <w:tcW w:w="963" w:type="dxa"/>
            <w:shd w:val="clear" w:color="auto" w:fill="auto"/>
            <w:noWrap/>
            <w:vAlign w:val="bottom"/>
          </w:tcPr>
          <w:p w14:paraId="15B896C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17 263</w:t>
            </w:r>
          </w:p>
        </w:tc>
        <w:tc>
          <w:tcPr>
            <w:tcW w:w="964" w:type="dxa"/>
            <w:shd w:val="clear" w:color="auto" w:fill="auto"/>
            <w:noWrap/>
            <w:vAlign w:val="center"/>
          </w:tcPr>
          <w:p w14:paraId="657D9FE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18 047</w:t>
            </w:r>
          </w:p>
        </w:tc>
        <w:tc>
          <w:tcPr>
            <w:tcW w:w="964" w:type="dxa"/>
            <w:shd w:val="clear" w:color="auto" w:fill="FFFFFF" w:themeFill="background1"/>
            <w:noWrap/>
            <w:vAlign w:val="center"/>
          </w:tcPr>
          <w:p w14:paraId="1F6CE0BA"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18 458</w:t>
            </w:r>
          </w:p>
        </w:tc>
        <w:tc>
          <w:tcPr>
            <w:tcW w:w="964" w:type="dxa"/>
            <w:shd w:val="clear" w:color="auto" w:fill="FFFFFF" w:themeFill="background1"/>
            <w:noWrap/>
            <w:vAlign w:val="center"/>
          </w:tcPr>
          <w:p w14:paraId="2EF5F7B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19 174</w:t>
            </w:r>
          </w:p>
        </w:tc>
        <w:tc>
          <w:tcPr>
            <w:tcW w:w="964" w:type="dxa"/>
            <w:shd w:val="clear" w:color="auto" w:fill="FFFFFF" w:themeFill="background1"/>
            <w:noWrap/>
            <w:vAlign w:val="center"/>
          </w:tcPr>
          <w:p w14:paraId="2D2C1D0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19 823</w:t>
            </w:r>
          </w:p>
        </w:tc>
      </w:tr>
      <w:tr w:rsidR="00CB177C" w:rsidRPr="00FD1578" w14:paraId="76C7ED23" w14:textId="77777777" w:rsidTr="005B33E7">
        <w:trPr>
          <w:trHeight w:val="20"/>
          <w:jc w:val="center"/>
        </w:trPr>
        <w:tc>
          <w:tcPr>
            <w:tcW w:w="3114" w:type="dxa"/>
            <w:shd w:val="clear" w:color="auto" w:fill="auto"/>
            <w:noWrap/>
            <w:vAlign w:val="center"/>
          </w:tcPr>
          <w:p w14:paraId="163BC769" w14:textId="77777777" w:rsidR="00CB177C" w:rsidRPr="00FD1578" w:rsidRDefault="00CB177C" w:rsidP="008349F0">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Diskrecionārie</w:t>
            </w:r>
            <w:proofErr w:type="spellEnd"/>
            <w:r w:rsidRPr="00FD1578">
              <w:rPr>
                <w:rFonts w:eastAsia="Times New Roman" w:cs="Times New Roman"/>
                <w:color w:val="000000"/>
                <w:sz w:val="18"/>
                <w:szCs w:val="18"/>
              </w:rPr>
              <w:t xml:space="preserve"> ieņēmumu pasākumi (DRM)</w:t>
            </w:r>
          </w:p>
        </w:tc>
        <w:tc>
          <w:tcPr>
            <w:tcW w:w="1134" w:type="dxa"/>
            <w:vAlign w:val="center"/>
          </w:tcPr>
          <w:p w14:paraId="0E5DB86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w:t>
            </w:r>
          </w:p>
        </w:tc>
        <w:tc>
          <w:tcPr>
            <w:tcW w:w="963" w:type="dxa"/>
            <w:shd w:val="clear" w:color="auto" w:fill="auto"/>
            <w:noWrap/>
            <w:vAlign w:val="center"/>
          </w:tcPr>
          <w:p w14:paraId="3C76FB5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354,30</w:t>
            </w:r>
          </w:p>
        </w:tc>
        <w:tc>
          <w:tcPr>
            <w:tcW w:w="964" w:type="dxa"/>
            <w:shd w:val="clear" w:color="auto" w:fill="auto"/>
            <w:noWrap/>
            <w:vAlign w:val="center"/>
          </w:tcPr>
          <w:p w14:paraId="3B940DFF"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-238,15</w:t>
            </w:r>
          </w:p>
        </w:tc>
        <w:tc>
          <w:tcPr>
            <w:tcW w:w="964" w:type="dxa"/>
            <w:shd w:val="clear" w:color="auto" w:fill="FFFFFF" w:themeFill="background1"/>
            <w:noWrap/>
            <w:vAlign w:val="center"/>
          </w:tcPr>
          <w:p w14:paraId="39E9B2A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91,89</w:t>
            </w:r>
          </w:p>
        </w:tc>
        <w:tc>
          <w:tcPr>
            <w:tcW w:w="964" w:type="dxa"/>
            <w:shd w:val="clear" w:color="auto" w:fill="FFFFFF" w:themeFill="background1"/>
            <w:noWrap/>
            <w:vAlign w:val="center"/>
          </w:tcPr>
          <w:p w14:paraId="5576667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-0,36</w:t>
            </w:r>
          </w:p>
        </w:tc>
        <w:tc>
          <w:tcPr>
            <w:tcW w:w="964" w:type="dxa"/>
            <w:shd w:val="clear" w:color="auto" w:fill="FFFFFF" w:themeFill="background1"/>
            <w:noWrap/>
            <w:vAlign w:val="center"/>
          </w:tcPr>
          <w:p w14:paraId="3A44A70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0,00</w:t>
            </w:r>
          </w:p>
        </w:tc>
      </w:tr>
      <w:tr w:rsidR="00CB177C" w:rsidRPr="00FD1578" w14:paraId="57516B52" w14:textId="77777777" w:rsidTr="005B33E7">
        <w:trPr>
          <w:trHeight w:val="20"/>
          <w:jc w:val="center"/>
        </w:trPr>
        <w:tc>
          <w:tcPr>
            <w:tcW w:w="3114" w:type="dxa"/>
            <w:shd w:val="clear" w:color="auto" w:fill="auto"/>
            <w:noWrap/>
            <w:vAlign w:val="center"/>
          </w:tcPr>
          <w:p w14:paraId="6EE149C1"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NNFPI līmenis (ar DRM),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53D75CA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(4)=(2)+(3)</w:t>
            </w:r>
          </w:p>
        </w:tc>
        <w:tc>
          <w:tcPr>
            <w:tcW w:w="963" w:type="dxa"/>
            <w:shd w:val="clear" w:color="auto" w:fill="auto"/>
            <w:noWrap/>
            <w:vAlign w:val="center"/>
          </w:tcPr>
          <w:p w14:paraId="0809A5DF"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752D088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17 809</w:t>
            </w:r>
          </w:p>
        </w:tc>
        <w:tc>
          <w:tcPr>
            <w:tcW w:w="964" w:type="dxa"/>
            <w:shd w:val="clear" w:color="auto" w:fill="FFFFFF" w:themeFill="background1"/>
            <w:noWrap/>
            <w:vAlign w:val="center"/>
          </w:tcPr>
          <w:p w14:paraId="5BACAC1C"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18 550</w:t>
            </w:r>
          </w:p>
        </w:tc>
        <w:tc>
          <w:tcPr>
            <w:tcW w:w="964" w:type="dxa"/>
            <w:shd w:val="clear" w:color="auto" w:fill="FFFFFF" w:themeFill="background1"/>
            <w:noWrap/>
            <w:vAlign w:val="center"/>
          </w:tcPr>
          <w:p w14:paraId="0A53874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19 174</w:t>
            </w:r>
          </w:p>
        </w:tc>
        <w:tc>
          <w:tcPr>
            <w:tcW w:w="964" w:type="dxa"/>
            <w:shd w:val="clear" w:color="auto" w:fill="FFFFFF" w:themeFill="background1"/>
            <w:noWrap/>
            <w:vAlign w:val="center"/>
          </w:tcPr>
          <w:p w14:paraId="4178EE0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19 823</w:t>
            </w:r>
          </w:p>
        </w:tc>
      </w:tr>
      <w:tr w:rsidR="00CB177C" w:rsidRPr="00FD1578" w14:paraId="41C77301" w14:textId="77777777" w:rsidTr="005B33E7">
        <w:trPr>
          <w:trHeight w:val="20"/>
          <w:jc w:val="center"/>
        </w:trPr>
        <w:tc>
          <w:tcPr>
            <w:tcW w:w="3114" w:type="dxa"/>
            <w:shd w:val="clear" w:color="auto" w:fill="auto"/>
            <w:noWrap/>
            <w:vAlign w:val="center"/>
          </w:tcPr>
          <w:p w14:paraId="698F19A1"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NNFPI pieauguma likme (ar DRM), %</w:t>
            </w:r>
          </w:p>
        </w:tc>
        <w:tc>
          <w:tcPr>
            <w:tcW w:w="1134" w:type="dxa"/>
            <w:vAlign w:val="center"/>
          </w:tcPr>
          <w:p w14:paraId="31D72475"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(5)</w:t>
            </w:r>
          </w:p>
        </w:tc>
        <w:tc>
          <w:tcPr>
            <w:tcW w:w="963" w:type="dxa"/>
            <w:shd w:val="clear" w:color="auto" w:fill="auto"/>
            <w:noWrap/>
            <w:vAlign w:val="center"/>
          </w:tcPr>
          <w:p w14:paraId="259E76B8"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4B3D3EF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3,2</w:t>
            </w:r>
          </w:p>
        </w:tc>
        <w:tc>
          <w:tcPr>
            <w:tcW w:w="964" w:type="dxa"/>
            <w:shd w:val="clear" w:color="auto" w:fill="FFFFFF" w:themeFill="background1"/>
            <w:noWrap/>
            <w:vAlign w:val="center"/>
          </w:tcPr>
          <w:p w14:paraId="07A6816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2,8</w:t>
            </w:r>
          </w:p>
        </w:tc>
        <w:tc>
          <w:tcPr>
            <w:tcW w:w="964" w:type="dxa"/>
            <w:shd w:val="clear" w:color="auto" w:fill="FFFFFF" w:themeFill="background1"/>
            <w:noWrap/>
            <w:vAlign w:val="center"/>
          </w:tcPr>
          <w:p w14:paraId="19BFDC56"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3,9</w:t>
            </w:r>
          </w:p>
        </w:tc>
        <w:tc>
          <w:tcPr>
            <w:tcW w:w="964" w:type="dxa"/>
            <w:shd w:val="clear" w:color="auto" w:fill="FFFFFF" w:themeFill="background1"/>
            <w:noWrap/>
            <w:vAlign w:val="center"/>
          </w:tcPr>
          <w:p w14:paraId="7074896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3,4</w:t>
            </w:r>
          </w:p>
        </w:tc>
      </w:tr>
      <w:tr w:rsidR="00CB177C" w:rsidRPr="00FD1578" w14:paraId="72F867A6" w14:textId="77777777" w:rsidTr="005B33E7">
        <w:trPr>
          <w:trHeight w:val="20"/>
          <w:jc w:val="center"/>
        </w:trPr>
        <w:tc>
          <w:tcPr>
            <w:tcW w:w="3114" w:type="dxa"/>
            <w:shd w:val="clear" w:color="auto" w:fill="auto"/>
            <w:noWrap/>
            <w:vAlign w:val="center"/>
          </w:tcPr>
          <w:p w14:paraId="1B93D7B0"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procentu izdevumi, </w:t>
            </w:r>
          </w:p>
          <w:p w14:paraId="11C64B1D"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milj. </w:t>
            </w:r>
            <w:proofErr w:type="spellStart"/>
            <w:r w:rsidRPr="00FD1578">
              <w:rPr>
                <w:rFonts w:eastAsia="Times New Roman" w:cs="Times New Roman"/>
                <w:i/>
                <w:iCs/>
                <w:color w:val="000000"/>
                <w:sz w:val="18"/>
                <w:szCs w:val="18"/>
              </w:rPr>
              <w:t>euro</w:t>
            </w:r>
            <w:proofErr w:type="spellEnd"/>
            <w:r w:rsidRPr="00FD1578">
              <w:rPr>
                <w:rFonts w:eastAsia="Times New Roman" w:cs="Times New Roman"/>
                <w:i/>
                <w:iCs/>
                <w:color w:val="000000"/>
                <w:sz w:val="18"/>
                <w:szCs w:val="18"/>
              </w:rPr>
              <w:t xml:space="preserve"> </w:t>
            </w:r>
          </w:p>
        </w:tc>
        <w:tc>
          <w:tcPr>
            <w:tcW w:w="1134" w:type="dxa"/>
            <w:vAlign w:val="center"/>
          </w:tcPr>
          <w:p w14:paraId="7F3C58A5" w14:textId="77777777" w:rsidR="00CB177C" w:rsidRPr="00FD1578" w:rsidRDefault="00CB177C" w:rsidP="008349F0">
            <w:pPr>
              <w:spacing w:before="60"/>
              <w:ind w:firstLine="0"/>
              <w:jc w:val="center"/>
              <w:rPr>
                <w:rFonts w:eastAsia="Times New Roman" w:cs="Times New Roman"/>
                <w:color w:val="000000"/>
                <w:sz w:val="18"/>
                <w:szCs w:val="18"/>
              </w:rPr>
            </w:pPr>
            <w:r w:rsidRPr="00FD1578">
              <w:rPr>
                <w:rFonts w:eastAsia="Times New Roman" w:cs="Times New Roman"/>
                <w:color w:val="000000"/>
                <w:sz w:val="18"/>
                <w:szCs w:val="18"/>
              </w:rPr>
              <w:t>(6)</w:t>
            </w:r>
          </w:p>
        </w:tc>
        <w:tc>
          <w:tcPr>
            <w:tcW w:w="963" w:type="dxa"/>
            <w:shd w:val="clear" w:color="auto" w:fill="auto"/>
            <w:noWrap/>
            <w:vAlign w:val="center"/>
          </w:tcPr>
          <w:p w14:paraId="4921AC39" w14:textId="77777777" w:rsidR="00CB177C" w:rsidRPr="00FD1578" w:rsidRDefault="00CB177C" w:rsidP="008349F0">
            <w:pPr>
              <w:spacing w:before="60"/>
              <w:ind w:firstLine="0"/>
              <w:jc w:val="center"/>
              <w:rPr>
                <w:rFonts w:eastAsia="Times New Roman" w:cs="Times New Roman"/>
                <w:color w:val="000000"/>
                <w:sz w:val="18"/>
                <w:szCs w:val="18"/>
              </w:rPr>
            </w:pPr>
          </w:p>
        </w:tc>
        <w:tc>
          <w:tcPr>
            <w:tcW w:w="964" w:type="dxa"/>
            <w:shd w:val="clear" w:color="auto" w:fill="auto"/>
            <w:noWrap/>
            <w:vAlign w:val="center"/>
          </w:tcPr>
          <w:p w14:paraId="2BD8F155" w14:textId="77777777" w:rsidR="00CB177C" w:rsidRPr="00FD1578" w:rsidRDefault="00CB177C" w:rsidP="008349F0">
            <w:pPr>
              <w:spacing w:before="60"/>
              <w:ind w:firstLine="0"/>
              <w:jc w:val="center"/>
              <w:rPr>
                <w:rFonts w:eastAsia="Times New Roman" w:cs="Times New Roman"/>
                <w:color w:val="000000"/>
                <w:sz w:val="18"/>
                <w:szCs w:val="18"/>
              </w:rPr>
            </w:pPr>
            <w:r w:rsidRPr="00FD1578">
              <w:rPr>
                <w:rFonts w:eastAsia="Times New Roman" w:cs="Times New Roman"/>
                <w:color w:val="000000"/>
                <w:sz w:val="18"/>
                <w:szCs w:val="18"/>
              </w:rPr>
              <w:t>541</w:t>
            </w:r>
          </w:p>
        </w:tc>
        <w:tc>
          <w:tcPr>
            <w:tcW w:w="964" w:type="dxa"/>
            <w:shd w:val="clear" w:color="auto" w:fill="FFFFFF" w:themeFill="background1"/>
            <w:noWrap/>
            <w:vAlign w:val="center"/>
          </w:tcPr>
          <w:p w14:paraId="3CAF0F90" w14:textId="77777777" w:rsidR="00CB177C" w:rsidRPr="00FD1578" w:rsidRDefault="00CB177C" w:rsidP="008349F0">
            <w:pPr>
              <w:spacing w:before="60"/>
              <w:ind w:firstLine="0"/>
              <w:jc w:val="center"/>
              <w:rPr>
                <w:rFonts w:eastAsia="Times New Roman" w:cs="Times New Roman"/>
                <w:color w:val="000000"/>
                <w:sz w:val="18"/>
                <w:szCs w:val="18"/>
              </w:rPr>
            </w:pPr>
            <w:r w:rsidRPr="00FD1578">
              <w:rPr>
                <w:rFonts w:eastAsia="Times New Roman" w:cs="Times New Roman"/>
                <w:color w:val="000000"/>
                <w:sz w:val="18"/>
                <w:szCs w:val="18"/>
              </w:rPr>
              <w:t>645</w:t>
            </w:r>
          </w:p>
        </w:tc>
        <w:tc>
          <w:tcPr>
            <w:tcW w:w="964" w:type="dxa"/>
            <w:shd w:val="clear" w:color="auto" w:fill="FFFFFF" w:themeFill="background1"/>
            <w:noWrap/>
            <w:vAlign w:val="center"/>
          </w:tcPr>
          <w:p w14:paraId="22F4DE4E" w14:textId="77777777" w:rsidR="00CB177C" w:rsidRPr="00FD1578" w:rsidRDefault="00CB177C" w:rsidP="008349F0">
            <w:pPr>
              <w:spacing w:before="60"/>
              <w:ind w:firstLine="0"/>
              <w:jc w:val="center"/>
              <w:rPr>
                <w:rFonts w:eastAsia="Times New Roman" w:cs="Times New Roman"/>
                <w:color w:val="000000"/>
                <w:sz w:val="18"/>
                <w:szCs w:val="18"/>
              </w:rPr>
            </w:pPr>
            <w:r w:rsidRPr="00FD1578">
              <w:rPr>
                <w:rFonts w:eastAsia="Times New Roman" w:cs="Times New Roman"/>
                <w:color w:val="000000"/>
                <w:sz w:val="18"/>
                <w:szCs w:val="18"/>
              </w:rPr>
              <w:t>721</w:t>
            </w:r>
          </w:p>
        </w:tc>
        <w:tc>
          <w:tcPr>
            <w:tcW w:w="964" w:type="dxa"/>
            <w:shd w:val="clear" w:color="auto" w:fill="FFFFFF" w:themeFill="background1"/>
            <w:noWrap/>
            <w:vAlign w:val="center"/>
          </w:tcPr>
          <w:p w14:paraId="27012BC2" w14:textId="77777777" w:rsidR="00CB177C" w:rsidRPr="00FD1578" w:rsidRDefault="00CB177C" w:rsidP="008349F0">
            <w:pPr>
              <w:spacing w:before="60"/>
              <w:ind w:firstLine="0"/>
              <w:jc w:val="center"/>
              <w:rPr>
                <w:rFonts w:eastAsia="Times New Roman" w:cs="Times New Roman"/>
                <w:color w:val="000000"/>
                <w:sz w:val="18"/>
                <w:szCs w:val="18"/>
              </w:rPr>
            </w:pPr>
            <w:r w:rsidRPr="00FD1578">
              <w:rPr>
                <w:rFonts w:eastAsia="Times New Roman" w:cs="Times New Roman"/>
                <w:color w:val="000000"/>
                <w:sz w:val="18"/>
                <w:szCs w:val="18"/>
              </w:rPr>
              <w:t>772</w:t>
            </w:r>
          </w:p>
        </w:tc>
      </w:tr>
      <w:tr w:rsidR="00CB177C" w:rsidRPr="00FD1578" w14:paraId="5980D2DA" w14:textId="77777777" w:rsidTr="005B33E7">
        <w:trPr>
          <w:trHeight w:val="20"/>
          <w:jc w:val="center"/>
        </w:trPr>
        <w:tc>
          <w:tcPr>
            <w:tcW w:w="3114" w:type="dxa"/>
            <w:shd w:val="clear" w:color="auto" w:fill="auto"/>
            <w:noWrap/>
            <w:vAlign w:val="center"/>
          </w:tcPr>
          <w:p w14:paraId="3EAD31A8"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bezdarbnieka pabalstu izdevumu cikliskos elementi,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1556D8A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(7)</w:t>
            </w:r>
          </w:p>
        </w:tc>
        <w:tc>
          <w:tcPr>
            <w:tcW w:w="963" w:type="dxa"/>
            <w:shd w:val="clear" w:color="auto" w:fill="auto"/>
            <w:noWrap/>
            <w:vAlign w:val="center"/>
          </w:tcPr>
          <w:p w14:paraId="3FC2DB68"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316802F8"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9</w:t>
            </w:r>
          </w:p>
        </w:tc>
        <w:tc>
          <w:tcPr>
            <w:tcW w:w="964" w:type="dxa"/>
            <w:shd w:val="clear" w:color="auto" w:fill="FFFFFF" w:themeFill="background1"/>
            <w:noWrap/>
            <w:vAlign w:val="center"/>
          </w:tcPr>
          <w:p w14:paraId="7E46A3E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6</w:t>
            </w:r>
          </w:p>
        </w:tc>
        <w:tc>
          <w:tcPr>
            <w:tcW w:w="964" w:type="dxa"/>
            <w:shd w:val="clear" w:color="auto" w:fill="FFFFFF" w:themeFill="background1"/>
            <w:noWrap/>
            <w:vAlign w:val="center"/>
          </w:tcPr>
          <w:p w14:paraId="770BD85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-6</w:t>
            </w:r>
          </w:p>
        </w:tc>
        <w:tc>
          <w:tcPr>
            <w:tcW w:w="964" w:type="dxa"/>
            <w:shd w:val="clear" w:color="auto" w:fill="FFFFFF" w:themeFill="background1"/>
            <w:noWrap/>
            <w:vAlign w:val="center"/>
          </w:tcPr>
          <w:p w14:paraId="1C78988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-25</w:t>
            </w:r>
          </w:p>
        </w:tc>
      </w:tr>
      <w:tr w:rsidR="00CB177C" w:rsidRPr="00FD1578" w14:paraId="3A00CD13" w14:textId="77777777" w:rsidTr="005B33E7">
        <w:trPr>
          <w:trHeight w:val="20"/>
          <w:jc w:val="center"/>
        </w:trPr>
        <w:tc>
          <w:tcPr>
            <w:tcW w:w="3114" w:type="dxa"/>
            <w:shd w:val="clear" w:color="auto" w:fill="auto"/>
            <w:noWrap/>
            <w:vAlign w:val="center"/>
          </w:tcPr>
          <w:p w14:paraId="3E25E48A"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lastRenderedPageBreak/>
              <w:t xml:space="preserve">izdevumi par ES programmām, kas pilnībā atbilst ES fondu ieņēmumiem,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4EBD58D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(8)</w:t>
            </w:r>
          </w:p>
        </w:tc>
        <w:tc>
          <w:tcPr>
            <w:tcW w:w="963" w:type="dxa"/>
            <w:shd w:val="clear" w:color="auto" w:fill="auto"/>
            <w:noWrap/>
            <w:vAlign w:val="center"/>
          </w:tcPr>
          <w:p w14:paraId="5105768F"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59A238F8"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967</w:t>
            </w:r>
          </w:p>
        </w:tc>
        <w:tc>
          <w:tcPr>
            <w:tcW w:w="964" w:type="dxa"/>
            <w:shd w:val="clear" w:color="auto" w:fill="FFFFFF" w:themeFill="background1"/>
            <w:noWrap/>
            <w:vAlign w:val="center"/>
          </w:tcPr>
          <w:p w14:paraId="3F7066F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884</w:t>
            </w:r>
          </w:p>
        </w:tc>
        <w:tc>
          <w:tcPr>
            <w:tcW w:w="964" w:type="dxa"/>
            <w:shd w:val="clear" w:color="auto" w:fill="FFFFFF" w:themeFill="background1"/>
            <w:noWrap/>
            <w:vAlign w:val="center"/>
          </w:tcPr>
          <w:p w14:paraId="562A3E7C"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623</w:t>
            </w:r>
          </w:p>
        </w:tc>
        <w:tc>
          <w:tcPr>
            <w:tcW w:w="964" w:type="dxa"/>
            <w:shd w:val="clear" w:color="auto" w:fill="FFFFFF" w:themeFill="background1"/>
            <w:noWrap/>
            <w:vAlign w:val="center"/>
          </w:tcPr>
          <w:p w14:paraId="2DABFC75"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494</w:t>
            </w:r>
          </w:p>
        </w:tc>
      </w:tr>
      <w:tr w:rsidR="00CB177C" w:rsidRPr="00FD1578" w14:paraId="75345B87" w14:textId="77777777" w:rsidTr="005B33E7">
        <w:trPr>
          <w:trHeight w:val="20"/>
          <w:jc w:val="center"/>
        </w:trPr>
        <w:tc>
          <w:tcPr>
            <w:tcW w:w="3114" w:type="dxa"/>
            <w:shd w:val="clear" w:color="auto" w:fill="auto"/>
            <w:noWrap/>
            <w:vAlign w:val="center"/>
          </w:tcPr>
          <w:p w14:paraId="4BC83110"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valsts izdevumi par ES finansēto programmu līdzfinansēšanu,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5A0F008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(9)</w:t>
            </w:r>
          </w:p>
        </w:tc>
        <w:tc>
          <w:tcPr>
            <w:tcW w:w="963" w:type="dxa"/>
            <w:shd w:val="clear" w:color="auto" w:fill="auto"/>
            <w:noWrap/>
            <w:vAlign w:val="center"/>
          </w:tcPr>
          <w:p w14:paraId="0C93894B"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1306C4B6"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193</w:t>
            </w:r>
          </w:p>
        </w:tc>
        <w:tc>
          <w:tcPr>
            <w:tcW w:w="964" w:type="dxa"/>
            <w:shd w:val="clear" w:color="auto" w:fill="FFFFFF" w:themeFill="background1"/>
            <w:noWrap/>
            <w:vAlign w:val="center"/>
          </w:tcPr>
          <w:p w14:paraId="05B53205"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156</w:t>
            </w:r>
          </w:p>
        </w:tc>
        <w:tc>
          <w:tcPr>
            <w:tcW w:w="964" w:type="dxa"/>
            <w:shd w:val="clear" w:color="auto" w:fill="FFFFFF" w:themeFill="background1"/>
            <w:noWrap/>
            <w:vAlign w:val="center"/>
          </w:tcPr>
          <w:p w14:paraId="134C8A4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132</w:t>
            </w:r>
          </w:p>
        </w:tc>
        <w:tc>
          <w:tcPr>
            <w:tcW w:w="964" w:type="dxa"/>
            <w:shd w:val="clear" w:color="auto" w:fill="FFFFFF" w:themeFill="background1"/>
            <w:noWrap/>
            <w:vAlign w:val="center"/>
          </w:tcPr>
          <w:p w14:paraId="7A60F8C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108</w:t>
            </w:r>
          </w:p>
        </w:tc>
      </w:tr>
      <w:tr w:rsidR="00CB177C" w:rsidRPr="00FD1578" w14:paraId="321F3764" w14:textId="77777777" w:rsidTr="005B33E7">
        <w:trPr>
          <w:trHeight w:val="20"/>
          <w:jc w:val="center"/>
        </w:trPr>
        <w:tc>
          <w:tcPr>
            <w:tcW w:w="3114" w:type="dxa"/>
            <w:shd w:val="clear" w:color="auto" w:fill="auto"/>
            <w:noWrap/>
            <w:vAlign w:val="center"/>
          </w:tcPr>
          <w:p w14:paraId="74A852A2"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kopējie izdevumi,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78771625"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(10)=(4)+(6)+(7)+(8)+(9)</w:t>
            </w:r>
          </w:p>
        </w:tc>
        <w:tc>
          <w:tcPr>
            <w:tcW w:w="963" w:type="dxa"/>
            <w:shd w:val="clear" w:color="auto" w:fill="auto"/>
            <w:noWrap/>
            <w:vAlign w:val="center"/>
          </w:tcPr>
          <w:p w14:paraId="0B998F0B"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1D11476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19 519</w:t>
            </w:r>
          </w:p>
        </w:tc>
        <w:tc>
          <w:tcPr>
            <w:tcW w:w="964" w:type="dxa"/>
            <w:shd w:val="clear" w:color="auto" w:fill="FFFFFF" w:themeFill="background1"/>
            <w:noWrap/>
            <w:vAlign w:val="center"/>
          </w:tcPr>
          <w:p w14:paraId="3AEC186C"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20 241</w:t>
            </w:r>
          </w:p>
        </w:tc>
        <w:tc>
          <w:tcPr>
            <w:tcW w:w="964" w:type="dxa"/>
            <w:shd w:val="clear" w:color="auto" w:fill="FFFFFF" w:themeFill="background1"/>
            <w:noWrap/>
            <w:vAlign w:val="center"/>
          </w:tcPr>
          <w:p w14:paraId="0E71CC5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20 644</w:t>
            </w:r>
          </w:p>
        </w:tc>
        <w:tc>
          <w:tcPr>
            <w:tcW w:w="964" w:type="dxa"/>
            <w:shd w:val="clear" w:color="auto" w:fill="FFFFFF" w:themeFill="background1"/>
            <w:noWrap/>
            <w:vAlign w:val="center"/>
          </w:tcPr>
          <w:p w14:paraId="3EB7F42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21 172</w:t>
            </w:r>
          </w:p>
        </w:tc>
      </w:tr>
      <w:tr w:rsidR="00CB177C" w:rsidRPr="00FD1578" w14:paraId="3C54EE75" w14:textId="77777777" w:rsidTr="005B33E7">
        <w:trPr>
          <w:trHeight w:val="20"/>
          <w:jc w:val="center"/>
        </w:trPr>
        <w:tc>
          <w:tcPr>
            <w:tcW w:w="3114" w:type="dxa"/>
            <w:shd w:val="clear" w:color="auto" w:fill="auto"/>
            <w:noWrap/>
            <w:vAlign w:val="center"/>
          </w:tcPr>
          <w:p w14:paraId="729CD762"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kopējie ieņēmumi,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05FFC59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(11)</w:t>
            </w:r>
          </w:p>
        </w:tc>
        <w:tc>
          <w:tcPr>
            <w:tcW w:w="963" w:type="dxa"/>
            <w:shd w:val="clear" w:color="auto" w:fill="auto"/>
            <w:noWrap/>
            <w:vAlign w:val="center"/>
          </w:tcPr>
          <w:p w14:paraId="404ADBA3"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12D8CA25"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18 129</w:t>
            </w:r>
          </w:p>
        </w:tc>
        <w:tc>
          <w:tcPr>
            <w:tcW w:w="964" w:type="dxa"/>
            <w:shd w:val="clear" w:color="auto" w:fill="FFFFFF" w:themeFill="background1"/>
            <w:noWrap/>
            <w:vAlign w:val="center"/>
          </w:tcPr>
          <w:p w14:paraId="21CF9D5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18 855</w:t>
            </w:r>
          </w:p>
        </w:tc>
        <w:tc>
          <w:tcPr>
            <w:tcW w:w="964" w:type="dxa"/>
            <w:shd w:val="clear" w:color="auto" w:fill="FFFFFF" w:themeFill="background1"/>
            <w:noWrap/>
            <w:vAlign w:val="center"/>
          </w:tcPr>
          <w:p w14:paraId="34D32F4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19 280</w:t>
            </w:r>
          </w:p>
        </w:tc>
        <w:tc>
          <w:tcPr>
            <w:tcW w:w="964" w:type="dxa"/>
            <w:shd w:val="clear" w:color="auto" w:fill="FFFFFF" w:themeFill="background1"/>
            <w:noWrap/>
            <w:vAlign w:val="center"/>
          </w:tcPr>
          <w:p w14:paraId="24C889A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19 883</w:t>
            </w:r>
          </w:p>
        </w:tc>
      </w:tr>
      <w:tr w:rsidR="00CB177C" w:rsidRPr="00FD1578" w14:paraId="6D3A9716" w14:textId="77777777" w:rsidTr="005B33E7">
        <w:trPr>
          <w:trHeight w:val="20"/>
          <w:jc w:val="center"/>
        </w:trPr>
        <w:tc>
          <w:tcPr>
            <w:tcW w:w="3114" w:type="dxa"/>
            <w:shd w:val="clear" w:color="auto" w:fill="auto"/>
            <w:noWrap/>
            <w:vAlign w:val="center"/>
          </w:tcPr>
          <w:p w14:paraId="214CD9D8"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budžeta bilance,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1C4DF70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(12)=(11)-(10)</w:t>
            </w:r>
          </w:p>
        </w:tc>
        <w:tc>
          <w:tcPr>
            <w:tcW w:w="963" w:type="dxa"/>
            <w:shd w:val="clear" w:color="auto" w:fill="auto"/>
            <w:noWrap/>
            <w:vAlign w:val="center"/>
          </w:tcPr>
          <w:p w14:paraId="760BA7C7"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3830796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-1 389,8</w:t>
            </w:r>
          </w:p>
        </w:tc>
        <w:tc>
          <w:tcPr>
            <w:tcW w:w="964" w:type="dxa"/>
            <w:shd w:val="clear" w:color="auto" w:fill="FFFFFF" w:themeFill="background1"/>
            <w:noWrap/>
            <w:vAlign w:val="center"/>
          </w:tcPr>
          <w:p w14:paraId="36AD29EC"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-1 386,2</w:t>
            </w:r>
          </w:p>
        </w:tc>
        <w:tc>
          <w:tcPr>
            <w:tcW w:w="964" w:type="dxa"/>
            <w:shd w:val="clear" w:color="auto" w:fill="FFFFFF" w:themeFill="background1"/>
            <w:noWrap/>
            <w:vAlign w:val="center"/>
          </w:tcPr>
          <w:p w14:paraId="2C2E189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-1 363,0</w:t>
            </w:r>
          </w:p>
        </w:tc>
        <w:tc>
          <w:tcPr>
            <w:tcW w:w="964" w:type="dxa"/>
            <w:shd w:val="clear" w:color="auto" w:fill="FFFFFF" w:themeFill="background1"/>
            <w:noWrap/>
            <w:vAlign w:val="center"/>
          </w:tcPr>
          <w:p w14:paraId="7F72ABE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-1 289,2</w:t>
            </w:r>
          </w:p>
        </w:tc>
      </w:tr>
      <w:tr w:rsidR="00CB177C" w:rsidRPr="00FD1578" w14:paraId="72CE21DD" w14:textId="77777777" w:rsidTr="005B33E7">
        <w:trPr>
          <w:trHeight w:val="20"/>
          <w:jc w:val="center"/>
        </w:trPr>
        <w:tc>
          <w:tcPr>
            <w:tcW w:w="3114" w:type="dxa"/>
            <w:shd w:val="clear" w:color="auto" w:fill="auto"/>
            <w:noWrap/>
            <w:vAlign w:val="center"/>
          </w:tcPr>
          <w:p w14:paraId="7BC307B9"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IKP prognoze,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040C313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w:t>
            </w:r>
          </w:p>
        </w:tc>
        <w:tc>
          <w:tcPr>
            <w:tcW w:w="963" w:type="dxa"/>
            <w:shd w:val="clear" w:color="auto" w:fill="auto"/>
            <w:noWrap/>
            <w:vAlign w:val="center"/>
          </w:tcPr>
          <w:p w14:paraId="62C962FF"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62E7C42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44 379</w:t>
            </w:r>
          </w:p>
        </w:tc>
        <w:tc>
          <w:tcPr>
            <w:tcW w:w="964" w:type="dxa"/>
            <w:shd w:val="clear" w:color="auto" w:fill="FFFFFF" w:themeFill="background1"/>
            <w:noWrap/>
            <w:vAlign w:val="center"/>
          </w:tcPr>
          <w:p w14:paraId="705DCFA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46 836</w:t>
            </w:r>
          </w:p>
        </w:tc>
        <w:tc>
          <w:tcPr>
            <w:tcW w:w="964" w:type="dxa"/>
            <w:shd w:val="clear" w:color="auto" w:fill="FFFFFF" w:themeFill="background1"/>
            <w:noWrap/>
            <w:vAlign w:val="center"/>
          </w:tcPr>
          <w:p w14:paraId="59F35929"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49 349</w:t>
            </w:r>
          </w:p>
        </w:tc>
        <w:tc>
          <w:tcPr>
            <w:tcW w:w="964" w:type="dxa"/>
            <w:shd w:val="clear" w:color="auto" w:fill="FFFFFF" w:themeFill="background1"/>
            <w:noWrap/>
            <w:vAlign w:val="center"/>
          </w:tcPr>
          <w:p w14:paraId="67B05588"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51 851</w:t>
            </w:r>
          </w:p>
        </w:tc>
      </w:tr>
      <w:tr w:rsidR="00CB177C" w:rsidRPr="00FD1578" w14:paraId="1AB5A2E9" w14:textId="77777777" w:rsidTr="005B33E7">
        <w:trPr>
          <w:trHeight w:val="20"/>
          <w:jc w:val="center"/>
        </w:trPr>
        <w:tc>
          <w:tcPr>
            <w:tcW w:w="3114" w:type="dxa"/>
            <w:shd w:val="clear" w:color="auto" w:fill="auto"/>
            <w:noWrap/>
            <w:vAlign w:val="center"/>
          </w:tcPr>
          <w:p w14:paraId="68F604DB"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vispārējās valdības budžeta bilance, % no IKP</w:t>
            </w:r>
          </w:p>
        </w:tc>
        <w:tc>
          <w:tcPr>
            <w:tcW w:w="1134" w:type="dxa"/>
            <w:vAlign w:val="center"/>
          </w:tcPr>
          <w:p w14:paraId="4125433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(14)=(12)/(13)*100</w:t>
            </w:r>
          </w:p>
        </w:tc>
        <w:tc>
          <w:tcPr>
            <w:tcW w:w="963" w:type="dxa"/>
            <w:shd w:val="clear" w:color="auto" w:fill="auto"/>
            <w:noWrap/>
            <w:vAlign w:val="center"/>
          </w:tcPr>
          <w:p w14:paraId="4D905FE9"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36BC39B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-3,132</w:t>
            </w:r>
          </w:p>
        </w:tc>
        <w:tc>
          <w:tcPr>
            <w:tcW w:w="964" w:type="dxa"/>
            <w:shd w:val="clear" w:color="auto" w:fill="FFFFFF" w:themeFill="background1"/>
            <w:noWrap/>
            <w:vAlign w:val="center"/>
          </w:tcPr>
          <w:p w14:paraId="6DFE498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-2,960</w:t>
            </w:r>
          </w:p>
        </w:tc>
        <w:tc>
          <w:tcPr>
            <w:tcW w:w="964" w:type="dxa"/>
            <w:shd w:val="clear" w:color="auto" w:fill="FFFFFF" w:themeFill="background1"/>
            <w:noWrap/>
            <w:vAlign w:val="center"/>
          </w:tcPr>
          <w:p w14:paraId="4F571D5A"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-2,762</w:t>
            </w:r>
          </w:p>
        </w:tc>
        <w:tc>
          <w:tcPr>
            <w:tcW w:w="964" w:type="dxa"/>
            <w:shd w:val="clear" w:color="auto" w:fill="FFFFFF" w:themeFill="background1"/>
            <w:noWrap/>
            <w:vAlign w:val="center"/>
          </w:tcPr>
          <w:p w14:paraId="5C0DDBC9"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-2,486</w:t>
            </w:r>
          </w:p>
        </w:tc>
      </w:tr>
      <w:tr w:rsidR="00CB177C" w:rsidRPr="00FD1578" w14:paraId="25F3BA2C" w14:textId="77777777" w:rsidTr="005B33E7">
        <w:trPr>
          <w:trHeight w:val="20"/>
          <w:jc w:val="center"/>
        </w:trPr>
        <w:tc>
          <w:tcPr>
            <w:tcW w:w="3114" w:type="dxa"/>
            <w:shd w:val="clear" w:color="auto" w:fill="auto"/>
            <w:noWrap/>
            <w:vAlign w:val="center"/>
          </w:tcPr>
          <w:p w14:paraId="453785E8"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bilances cikliskā komponente, % no IKP</w:t>
            </w:r>
          </w:p>
        </w:tc>
        <w:tc>
          <w:tcPr>
            <w:tcW w:w="1134" w:type="dxa"/>
            <w:vAlign w:val="center"/>
          </w:tcPr>
          <w:p w14:paraId="7E18F72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w:t>
            </w:r>
          </w:p>
        </w:tc>
        <w:tc>
          <w:tcPr>
            <w:tcW w:w="963" w:type="dxa"/>
            <w:shd w:val="clear" w:color="auto" w:fill="auto"/>
            <w:noWrap/>
            <w:vAlign w:val="center"/>
          </w:tcPr>
          <w:p w14:paraId="1ECDDC19"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5A81719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-0,43</w:t>
            </w:r>
          </w:p>
        </w:tc>
        <w:tc>
          <w:tcPr>
            <w:tcW w:w="964" w:type="dxa"/>
            <w:shd w:val="clear" w:color="auto" w:fill="FFFFFF" w:themeFill="background1"/>
            <w:noWrap/>
            <w:vAlign w:val="center"/>
          </w:tcPr>
          <w:p w14:paraId="32EF84C6"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-0,22</w:t>
            </w:r>
          </w:p>
        </w:tc>
        <w:tc>
          <w:tcPr>
            <w:tcW w:w="964" w:type="dxa"/>
            <w:shd w:val="clear" w:color="auto" w:fill="FFFFFF" w:themeFill="background1"/>
            <w:noWrap/>
            <w:vAlign w:val="center"/>
          </w:tcPr>
          <w:p w14:paraId="29C56E6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-0,08</w:t>
            </w:r>
          </w:p>
        </w:tc>
        <w:tc>
          <w:tcPr>
            <w:tcW w:w="964" w:type="dxa"/>
            <w:shd w:val="clear" w:color="auto" w:fill="FFFFFF" w:themeFill="background1"/>
            <w:noWrap/>
            <w:vAlign w:val="center"/>
          </w:tcPr>
          <w:p w14:paraId="16285FE6"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0,00</w:t>
            </w:r>
          </w:p>
        </w:tc>
      </w:tr>
      <w:tr w:rsidR="00CB177C" w:rsidRPr="00FD1578" w14:paraId="4AB362B4" w14:textId="77777777" w:rsidTr="005B33E7">
        <w:trPr>
          <w:trHeight w:val="20"/>
          <w:jc w:val="center"/>
        </w:trPr>
        <w:tc>
          <w:tcPr>
            <w:tcW w:w="3114" w:type="dxa"/>
            <w:shd w:val="clear" w:color="auto" w:fill="auto"/>
            <w:noWrap/>
            <w:vAlign w:val="center"/>
          </w:tcPr>
          <w:p w14:paraId="1239E5A1" w14:textId="77777777" w:rsidR="00CB177C" w:rsidRPr="00FD1578" w:rsidRDefault="00CB177C" w:rsidP="008349F0">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one-off</w:t>
            </w:r>
            <w:proofErr w:type="spellEnd"/>
            <w:r w:rsidRPr="00FD1578">
              <w:rPr>
                <w:rFonts w:eastAsia="Times New Roman" w:cs="Times New Roman"/>
                <w:color w:val="000000"/>
                <w:sz w:val="18"/>
                <w:szCs w:val="18"/>
              </w:rPr>
              <w:t xml:space="preserve"> un citi īslaicīgie pasākumi, % no IKP</w:t>
            </w:r>
          </w:p>
        </w:tc>
        <w:tc>
          <w:tcPr>
            <w:tcW w:w="1134" w:type="dxa"/>
            <w:vAlign w:val="center"/>
          </w:tcPr>
          <w:p w14:paraId="522B1B7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(16)</w:t>
            </w:r>
          </w:p>
        </w:tc>
        <w:tc>
          <w:tcPr>
            <w:tcW w:w="963" w:type="dxa"/>
            <w:shd w:val="clear" w:color="auto" w:fill="auto"/>
            <w:noWrap/>
            <w:vAlign w:val="center"/>
          </w:tcPr>
          <w:p w14:paraId="5AC8A29A" w14:textId="77777777" w:rsidR="00CB177C" w:rsidRPr="00FD1578" w:rsidRDefault="00CB177C"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5E12E50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-1,6</w:t>
            </w:r>
          </w:p>
        </w:tc>
        <w:tc>
          <w:tcPr>
            <w:tcW w:w="964" w:type="dxa"/>
            <w:shd w:val="clear" w:color="auto" w:fill="FFFFFF" w:themeFill="background1"/>
            <w:noWrap/>
            <w:vAlign w:val="center"/>
          </w:tcPr>
          <w:p w14:paraId="15E8494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-1,7</w:t>
            </w:r>
          </w:p>
        </w:tc>
        <w:tc>
          <w:tcPr>
            <w:tcW w:w="964" w:type="dxa"/>
            <w:shd w:val="clear" w:color="auto" w:fill="FFFFFF" w:themeFill="background1"/>
            <w:noWrap/>
            <w:vAlign w:val="center"/>
          </w:tcPr>
          <w:p w14:paraId="0B4F200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w:t>
            </w:r>
          </w:p>
        </w:tc>
        <w:tc>
          <w:tcPr>
            <w:tcW w:w="964" w:type="dxa"/>
            <w:shd w:val="clear" w:color="auto" w:fill="FFFFFF" w:themeFill="background1"/>
            <w:noWrap/>
            <w:vAlign w:val="center"/>
          </w:tcPr>
          <w:p w14:paraId="758D599A"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w:t>
            </w:r>
          </w:p>
        </w:tc>
      </w:tr>
      <w:tr w:rsidR="00CB177C" w:rsidRPr="00FD1578" w14:paraId="0DA86FA3" w14:textId="77777777" w:rsidTr="005B33E7">
        <w:trPr>
          <w:trHeight w:val="20"/>
          <w:jc w:val="center"/>
        </w:trPr>
        <w:tc>
          <w:tcPr>
            <w:tcW w:w="3114" w:type="dxa"/>
            <w:shd w:val="clear" w:color="auto" w:fill="BDD6EE" w:themeFill="accent1" w:themeFillTint="66"/>
            <w:noWrap/>
            <w:vAlign w:val="center"/>
          </w:tcPr>
          <w:p w14:paraId="5EDE73AC" w14:textId="77777777" w:rsidR="00CB177C" w:rsidRPr="00FD1578" w:rsidRDefault="00CB177C" w:rsidP="008349F0">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Vispārējās valdības strukturālās bilances mērķi, % no IKP</w:t>
            </w:r>
          </w:p>
        </w:tc>
        <w:tc>
          <w:tcPr>
            <w:tcW w:w="1134" w:type="dxa"/>
            <w:shd w:val="clear" w:color="auto" w:fill="BDD6EE" w:themeFill="accent1" w:themeFillTint="66"/>
            <w:vAlign w:val="center"/>
          </w:tcPr>
          <w:p w14:paraId="170876FC"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(17)=(14)-(15)-(16)</w:t>
            </w:r>
          </w:p>
        </w:tc>
        <w:tc>
          <w:tcPr>
            <w:tcW w:w="963" w:type="dxa"/>
            <w:shd w:val="clear" w:color="auto" w:fill="BDD6EE" w:themeFill="accent1" w:themeFillTint="66"/>
            <w:noWrap/>
            <w:vAlign w:val="center"/>
          </w:tcPr>
          <w:p w14:paraId="3AC971CC" w14:textId="77777777" w:rsidR="00CB177C" w:rsidRPr="00FD1578" w:rsidRDefault="00CB177C" w:rsidP="008349F0">
            <w:pPr>
              <w:spacing w:before="60" w:after="0"/>
              <w:ind w:firstLine="0"/>
              <w:jc w:val="center"/>
              <w:rPr>
                <w:rFonts w:eastAsia="Times New Roman" w:cs="Times New Roman"/>
                <w:b/>
                <w:bCs/>
                <w:color w:val="000000"/>
                <w:sz w:val="18"/>
                <w:szCs w:val="18"/>
              </w:rPr>
            </w:pPr>
          </w:p>
        </w:tc>
        <w:tc>
          <w:tcPr>
            <w:tcW w:w="964" w:type="dxa"/>
            <w:shd w:val="clear" w:color="auto" w:fill="BDD6EE" w:themeFill="accent1" w:themeFillTint="66"/>
            <w:noWrap/>
            <w:vAlign w:val="center"/>
          </w:tcPr>
          <w:p w14:paraId="5D1F6730"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-1,111</w:t>
            </w:r>
          </w:p>
        </w:tc>
        <w:tc>
          <w:tcPr>
            <w:tcW w:w="964" w:type="dxa"/>
            <w:shd w:val="clear" w:color="auto" w:fill="BDD6EE" w:themeFill="accent1" w:themeFillTint="66"/>
            <w:noWrap/>
            <w:vAlign w:val="center"/>
          </w:tcPr>
          <w:p w14:paraId="18C6929A"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-1,081</w:t>
            </w:r>
          </w:p>
        </w:tc>
        <w:tc>
          <w:tcPr>
            <w:tcW w:w="964" w:type="dxa"/>
            <w:shd w:val="clear" w:color="auto" w:fill="BDD6EE" w:themeFill="accent1" w:themeFillTint="66"/>
            <w:noWrap/>
            <w:vAlign w:val="center"/>
          </w:tcPr>
          <w:p w14:paraId="14F2E295"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-1,189</w:t>
            </w:r>
          </w:p>
        </w:tc>
        <w:tc>
          <w:tcPr>
            <w:tcW w:w="964" w:type="dxa"/>
            <w:shd w:val="clear" w:color="auto" w:fill="BDD6EE" w:themeFill="accent1" w:themeFillTint="66"/>
            <w:noWrap/>
            <w:vAlign w:val="center"/>
          </w:tcPr>
          <w:p w14:paraId="44EB304A"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-1,155</w:t>
            </w:r>
          </w:p>
        </w:tc>
      </w:tr>
      <w:bookmarkEnd w:id="49"/>
    </w:tbl>
    <w:p w14:paraId="56946834" w14:textId="77777777" w:rsidR="00CB177C" w:rsidRPr="00FD1578" w:rsidRDefault="00CB177C" w:rsidP="008349F0">
      <w:pPr>
        <w:spacing w:after="0"/>
        <w:ind w:firstLine="0"/>
        <w:rPr>
          <w:rFonts w:cs="Times New Roman"/>
          <w:b/>
          <w:bCs/>
          <w:szCs w:val="24"/>
        </w:rPr>
      </w:pPr>
    </w:p>
    <w:p w14:paraId="7197ECCD" w14:textId="1EF141BD" w:rsidR="004522B7" w:rsidRPr="00FD1578" w:rsidRDefault="00CB177C" w:rsidP="008349F0">
      <w:pPr>
        <w:rPr>
          <w:rFonts w:cs="Times New Roman"/>
          <w:b/>
          <w:bCs/>
          <w:szCs w:val="24"/>
        </w:rPr>
      </w:pPr>
      <w:r w:rsidRPr="00FD1578">
        <w:rPr>
          <w:rFonts w:cs="Times New Roman"/>
          <w:b/>
          <w:bCs/>
          <w:szCs w:val="24"/>
        </w:rPr>
        <w:t>Strukturālās bilances mērķi</w:t>
      </w:r>
      <w:bookmarkStart w:id="50" w:name="_Hlk174011522"/>
    </w:p>
    <w:p w14:paraId="630B378B" w14:textId="231DCCA9" w:rsidR="004522B7" w:rsidRPr="00FD1578" w:rsidRDefault="004522B7" w:rsidP="008349F0">
      <w:pPr>
        <w:rPr>
          <w:rFonts w:cs="Times New Roman"/>
          <w:szCs w:val="24"/>
        </w:rPr>
      </w:pPr>
      <w:r w:rsidRPr="00FD1578">
        <w:rPr>
          <w:rFonts w:cs="Times New Roman"/>
          <w:szCs w:val="24"/>
        </w:rPr>
        <w:t>Strukturālās bilances mērķi ti</w:t>
      </w:r>
      <w:r w:rsidR="00F1067B">
        <w:rPr>
          <w:rFonts w:cs="Times New Roman"/>
          <w:szCs w:val="24"/>
        </w:rPr>
        <w:t>ka</w:t>
      </w:r>
      <w:r w:rsidRPr="00FD1578">
        <w:rPr>
          <w:rFonts w:cs="Times New Roman"/>
          <w:szCs w:val="24"/>
        </w:rPr>
        <w:t xml:space="preserve"> noteikti tā, lai vienlaicīgi tiktu izpildīti visi trīs fisk</w:t>
      </w:r>
      <w:r w:rsidR="00A8243B">
        <w:rPr>
          <w:rFonts w:cs="Times New Roman"/>
          <w:szCs w:val="24"/>
        </w:rPr>
        <w:t>ā</w:t>
      </w:r>
      <w:r w:rsidRPr="00FD1578">
        <w:rPr>
          <w:rFonts w:cs="Times New Roman"/>
          <w:szCs w:val="24"/>
        </w:rPr>
        <w:t>lie nosacījumi</w:t>
      </w:r>
      <w:r w:rsidR="00933714">
        <w:rPr>
          <w:rFonts w:cs="Times New Roman"/>
          <w:szCs w:val="24"/>
        </w:rPr>
        <w:t xml:space="preserve"> (skat. 2.5. tabulu)</w:t>
      </w:r>
      <w:r w:rsidRPr="00FD1578">
        <w:rPr>
          <w:rFonts w:cs="Times New Roman"/>
          <w:szCs w:val="24"/>
        </w:rPr>
        <w:t>.</w:t>
      </w:r>
    </w:p>
    <w:p w14:paraId="18FA44D6" w14:textId="36FEFB0C" w:rsidR="00D96F93" w:rsidRPr="00FD1578" w:rsidRDefault="005C63FF" w:rsidP="008349F0">
      <w:pPr>
        <w:ind w:left="3685" w:firstLine="0"/>
        <w:jc w:val="right"/>
        <w:rPr>
          <w:rFonts w:cs="Times New Roman"/>
          <w:b/>
          <w:bCs/>
          <w:i/>
          <w:iCs/>
          <w:szCs w:val="24"/>
        </w:rPr>
      </w:pPr>
      <w:r w:rsidRPr="00FD1578">
        <w:rPr>
          <w:rFonts w:cs="Times New Roman"/>
          <w:b/>
          <w:bCs/>
          <w:i/>
          <w:iCs/>
          <w:szCs w:val="24"/>
        </w:rPr>
        <w:t>2.5.</w:t>
      </w:r>
      <w:r w:rsidR="00D50DB0" w:rsidRPr="00FD1578">
        <w:rPr>
          <w:rFonts w:cs="Times New Roman"/>
          <w:b/>
          <w:bCs/>
          <w:i/>
          <w:iCs/>
          <w:szCs w:val="24"/>
        </w:rPr>
        <w:t xml:space="preserve"> </w:t>
      </w:r>
      <w:r w:rsidR="00D96F93" w:rsidRPr="00FD1578">
        <w:rPr>
          <w:rFonts w:cs="Times New Roman"/>
          <w:b/>
          <w:bCs/>
          <w:i/>
          <w:iCs/>
          <w:szCs w:val="24"/>
        </w:rPr>
        <w:t>tabula. Dominējošais fiskālais nosacījums</w:t>
      </w:r>
    </w:p>
    <w:tbl>
      <w:tblPr>
        <w:tblW w:w="7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6"/>
        <w:gridCol w:w="1109"/>
        <w:gridCol w:w="1275"/>
        <w:gridCol w:w="961"/>
        <w:gridCol w:w="927"/>
      </w:tblGrid>
      <w:tr w:rsidR="002B14F6" w:rsidRPr="00FD1578" w14:paraId="7F9F8860" w14:textId="77777777" w:rsidTr="002B14F6">
        <w:trPr>
          <w:trHeight w:val="20"/>
          <w:tblHeader/>
          <w:jc w:val="center"/>
        </w:trPr>
        <w:tc>
          <w:tcPr>
            <w:tcW w:w="3346" w:type="dxa"/>
            <w:shd w:val="clear" w:color="auto" w:fill="BDD6EE" w:themeFill="accent1" w:themeFillTint="66"/>
            <w:vAlign w:val="bottom"/>
            <w:hideMark/>
          </w:tcPr>
          <w:p w14:paraId="75F817F9" w14:textId="77777777" w:rsidR="002B14F6" w:rsidRPr="00FD1578" w:rsidRDefault="002B14F6"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109" w:type="dxa"/>
            <w:shd w:val="clear" w:color="auto" w:fill="BDD6EE" w:themeFill="accent1" w:themeFillTint="66"/>
            <w:noWrap/>
            <w:vAlign w:val="center"/>
            <w:hideMark/>
          </w:tcPr>
          <w:p w14:paraId="65490D31" w14:textId="77777777" w:rsidR="002B14F6" w:rsidRPr="00FD1578" w:rsidRDefault="002B14F6"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1275" w:type="dxa"/>
            <w:shd w:val="clear" w:color="auto" w:fill="BDD6EE" w:themeFill="accent1" w:themeFillTint="66"/>
            <w:noWrap/>
            <w:vAlign w:val="center"/>
            <w:hideMark/>
          </w:tcPr>
          <w:p w14:paraId="3E8C0517" w14:textId="77777777" w:rsidR="002B14F6" w:rsidRPr="00FD1578" w:rsidRDefault="002B14F6"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961" w:type="dxa"/>
            <w:shd w:val="clear" w:color="auto" w:fill="BDD6EE" w:themeFill="accent1" w:themeFillTint="66"/>
            <w:vAlign w:val="center"/>
          </w:tcPr>
          <w:p w14:paraId="1CAC199A" w14:textId="77777777" w:rsidR="002B14F6" w:rsidRPr="00FD1578" w:rsidRDefault="002B14F6"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927" w:type="dxa"/>
            <w:shd w:val="clear" w:color="auto" w:fill="BDD6EE" w:themeFill="accent1" w:themeFillTint="66"/>
            <w:vAlign w:val="center"/>
          </w:tcPr>
          <w:p w14:paraId="115EDF0C" w14:textId="77777777" w:rsidR="002B14F6" w:rsidRPr="00FD1578" w:rsidRDefault="002B14F6"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2B14F6" w:rsidRPr="00FD1578" w14:paraId="75868FAC" w14:textId="77777777" w:rsidTr="002B14F6">
        <w:trPr>
          <w:trHeight w:val="20"/>
          <w:jc w:val="center"/>
        </w:trPr>
        <w:tc>
          <w:tcPr>
            <w:tcW w:w="3346" w:type="dxa"/>
            <w:shd w:val="clear" w:color="auto" w:fill="auto"/>
            <w:vAlign w:val="bottom"/>
          </w:tcPr>
          <w:p w14:paraId="263FD3D9" w14:textId="475EDE3C" w:rsidR="002B14F6" w:rsidRPr="00FD1578" w:rsidRDefault="002B14F6" w:rsidP="008349F0">
            <w:pPr>
              <w:spacing w:before="60" w:after="0"/>
              <w:ind w:firstLine="0"/>
              <w:jc w:val="left"/>
              <w:rPr>
                <w:rFonts w:eastAsia="Times New Roman" w:cs="Times New Roman"/>
                <w:color w:val="000000"/>
                <w:sz w:val="18"/>
                <w:szCs w:val="18"/>
              </w:rPr>
            </w:pPr>
            <w:r w:rsidRPr="00FD1578">
              <w:rPr>
                <w:rFonts w:cs="Times New Roman"/>
                <w:sz w:val="18"/>
                <w:szCs w:val="18"/>
              </w:rPr>
              <w:t>FDL strukturālās bilances nosacījums</w:t>
            </w:r>
          </w:p>
        </w:tc>
        <w:tc>
          <w:tcPr>
            <w:tcW w:w="1109" w:type="dxa"/>
            <w:shd w:val="clear" w:color="auto" w:fill="auto"/>
            <w:noWrap/>
            <w:vAlign w:val="center"/>
          </w:tcPr>
          <w:p w14:paraId="44F328C9" w14:textId="4E951946" w:rsidR="002B14F6" w:rsidRPr="00FD1578" w:rsidRDefault="002B14F6" w:rsidP="008349F0">
            <w:pPr>
              <w:spacing w:before="60" w:after="0"/>
              <w:ind w:firstLine="0"/>
              <w:jc w:val="center"/>
              <w:rPr>
                <w:rFonts w:eastAsia="Times New Roman" w:cs="Times New Roman"/>
                <w:b/>
                <w:bCs/>
                <w:color w:val="000000"/>
                <w:sz w:val="18"/>
                <w:szCs w:val="18"/>
              </w:rPr>
            </w:pPr>
          </w:p>
        </w:tc>
        <w:tc>
          <w:tcPr>
            <w:tcW w:w="1275" w:type="dxa"/>
            <w:shd w:val="clear" w:color="auto" w:fill="auto"/>
            <w:noWrap/>
            <w:vAlign w:val="center"/>
          </w:tcPr>
          <w:p w14:paraId="3F707ADD" w14:textId="0B2CB92B" w:rsidR="002B14F6" w:rsidRPr="00FD1578" w:rsidRDefault="002B14F6" w:rsidP="008349F0">
            <w:pPr>
              <w:spacing w:before="60" w:after="0"/>
              <w:ind w:firstLine="0"/>
              <w:jc w:val="center"/>
              <w:rPr>
                <w:rFonts w:eastAsia="Times New Roman" w:cs="Times New Roman"/>
                <w:b/>
                <w:bCs/>
                <w:color w:val="000000"/>
                <w:sz w:val="18"/>
                <w:szCs w:val="18"/>
              </w:rPr>
            </w:pPr>
            <w:r w:rsidRPr="00FD1578">
              <w:rPr>
                <w:rFonts w:cs="Times New Roman"/>
                <w:b/>
                <w:bCs/>
                <w:sz w:val="18"/>
                <w:szCs w:val="18"/>
              </w:rPr>
              <w:t>X</w:t>
            </w:r>
          </w:p>
        </w:tc>
        <w:tc>
          <w:tcPr>
            <w:tcW w:w="961" w:type="dxa"/>
            <w:vAlign w:val="center"/>
          </w:tcPr>
          <w:p w14:paraId="592653F0" w14:textId="1D0C8209" w:rsidR="002B14F6" w:rsidRPr="00FD1578" w:rsidRDefault="002B14F6" w:rsidP="008349F0">
            <w:pPr>
              <w:spacing w:before="60" w:after="0"/>
              <w:ind w:firstLine="0"/>
              <w:jc w:val="center"/>
              <w:rPr>
                <w:rFonts w:eastAsia="Times New Roman" w:cs="Times New Roman"/>
                <w:b/>
                <w:bCs/>
                <w:color w:val="000000"/>
                <w:sz w:val="18"/>
                <w:szCs w:val="18"/>
              </w:rPr>
            </w:pPr>
            <w:r w:rsidRPr="00FD1578">
              <w:rPr>
                <w:rFonts w:cs="Times New Roman"/>
                <w:b/>
                <w:bCs/>
                <w:sz w:val="18"/>
                <w:szCs w:val="18"/>
              </w:rPr>
              <w:t>X</w:t>
            </w:r>
          </w:p>
        </w:tc>
        <w:tc>
          <w:tcPr>
            <w:tcW w:w="927" w:type="dxa"/>
            <w:vAlign w:val="center"/>
          </w:tcPr>
          <w:p w14:paraId="2E6F0E5B" w14:textId="30460103" w:rsidR="002B14F6" w:rsidRPr="00FD1578" w:rsidRDefault="002B14F6"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X</w:t>
            </w:r>
          </w:p>
        </w:tc>
      </w:tr>
      <w:tr w:rsidR="002B14F6" w:rsidRPr="00FD1578" w14:paraId="7B136B7C" w14:textId="77777777" w:rsidTr="002B14F6">
        <w:trPr>
          <w:trHeight w:val="20"/>
          <w:jc w:val="center"/>
        </w:trPr>
        <w:tc>
          <w:tcPr>
            <w:tcW w:w="3346" w:type="dxa"/>
            <w:shd w:val="clear" w:color="auto" w:fill="auto"/>
            <w:vAlign w:val="bottom"/>
          </w:tcPr>
          <w:p w14:paraId="4642B8CA" w14:textId="146D7387" w:rsidR="002B14F6" w:rsidRPr="00FD1578" w:rsidRDefault="002B14F6" w:rsidP="008349F0">
            <w:pPr>
              <w:spacing w:before="60" w:after="0"/>
              <w:ind w:firstLine="0"/>
              <w:jc w:val="left"/>
              <w:rPr>
                <w:rFonts w:eastAsia="Times New Roman" w:cs="Times New Roman"/>
                <w:color w:val="000000"/>
                <w:sz w:val="18"/>
                <w:szCs w:val="18"/>
              </w:rPr>
            </w:pPr>
            <w:r w:rsidRPr="00FD1578">
              <w:rPr>
                <w:rFonts w:cs="Times New Roman"/>
                <w:sz w:val="18"/>
                <w:szCs w:val="18"/>
              </w:rPr>
              <w:t>ES strukturālās</w:t>
            </w:r>
            <w:r w:rsidR="00CF48B6" w:rsidRPr="00FD1578">
              <w:rPr>
                <w:rFonts w:cs="Times New Roman"/>
                <w:sz w:val="18"/>
                <w:szCs w:val="18"/>
              </w:rPr>
              <w:t xml:space="preserve"> primārās</w:t>
            </w:r>
            <w:r w:rsidRPr="00FD1578">
              <w:rPr>
                <w:rFonts w:cs="Times New Roman"/>
                <w:sz w:val="18"/>
                <w:szCs w:val="18"/>
              </w:rPr>
              <w:t xml:space="preserve"> bilances nosacījums</w:t>
            </w:r>
          </w:p>
        </w:tc>
        <w:tc>
          <w:tcPr>
            <w:tcW w:w="1109" w:type="dxa"/>
            <w:shd w:val="clear" w:color="auto" w:fill="auto"/>
            <w:noWrap/>
            <w:vAlign w:val="center"/>
          </w:tcPr>
          <w:p w14:paraId="1255313F" w14:textId="250FD97B" w:rsidR="002B14F6" w:rsidRPr="00FD1578" w:rsidRDefault="002B14F6" w:rsidP="008349F0">
            <w:pPr>
              <w:spacing w:before="60" w:after="0"/>
              <w:ind w:firstLine="0"/>
              <w:jc w:val="center"/>
              <w:rPr>
                <w:rFonts w:eastAsia="Times New Roman" w:cs="Times New Roman"/>
                <w:b/>
                <w:bCs/>
                <w:color w:val="000000"/>
                <w:sz w:val="18"/>
                <w:szCs w:val="18"/>
              </w:rPr>
            </w:pPr>
            <w:r w:rsidRPr="00FD1578">
              <w:rPr>
                <w:rFonts w:cs="Times New Roman"/>
                <w:b/>
                <w:bCs/>
                <w:sz w:val="18"/>
                <w:szCs w:val="18"/>
              </w:rPr>
              <w:t>X</w:t>
            </w:r>
          </w:p>
        </w:tc>
        <w:tc>
          <w:tcPr>
            <w:tcW w:w="1275" w:type="dxa"/>
            <w:shd w:val="clear" w:color="auto" w:fill="auto"/>
            <w:noWrap/>
            <w:vAlign w:val="center"/>
          </w:tcPr>
          <w:p w14:paraId="694F037E" w14:textId="48F76B5F" w:rsidR="002B14F6" w:rsidRPr="00FD1578" w:rsidRDefault="002B14F6" w:rsidP="008349F0">
            <w:pPr>
              <w:spacing w:before="60" w:after="0"/>
              <w:ind w:firstLine="0"/>
              <w:jc w:val="center"/>
              <w:rPr>
                <w:rFonts w:eastAsia="Times New Roman" w:cs="Times New Roman"/>
                <w:b/>
                <w:bCs/>
                <w:color w:val="000000"/>
                <w:sz w:val="18"/>
                <w:szCs w:val="18"/>
              </w:rPr>
            </w:pPr>
          </w:p>
        </w:tc>
        <w:tc>
          <w:tcPr>
            <w:tcW w:w="961" w:type="dxa"/>
            <w:vAlign w:val="center"/>
          </w:tcPr>
          <w:p w14:paraId="1745EF2A" w14:textId="56DEF1C1" w:rsidR="002B14F6" w:rsidRPr="00FD1578" w:rsidRDefault="002B14F6" w:rsidP="008349F0">
            <w:pPr>
              <w:spacing w:before="60" w:after="0"/>
              <w:ind w:firstLine="0"/>
              <w:jc w:val="center"/>
              <w:rPr>
                <w:rFonts w:eastAsia="Times New Roman" w:cs="Times New Roman"/>
                <w:b/>
                <w:bCs/>
                <w:color w:val="000000"/>
                <w:sz w:val="18"/>
                <w:szCs w:val="18"/>
              </w:rPr>
            </w:pPr>
          </w:p>
        </w:tc>
        <w:tc>
          <w:tcPr>
            <w:tcW w:w="927" w:type="dxa"/>
            <w:vAlign w:val="center"/>
          </w:tcPr>
          <w:p w14:paraId="70F4D16E" w14:textId="009AD2C9" w:rsidR="002B14F6" w:rsidRPr="00FD1578" w:rsidRDefault="002B14F6" w:rsidP="008349F0">
            <w:pPr>
              <w:spacing w:before="60" w:after="0"/>
              <w:ind w:firstLine="0"/>
              <w:jc w:val="center"/>
              <w:rPr>
                <w:rFonts w:eastAsia="Times New Roman" w:cs="Times New Roman"/>
                <w:b/>
                <w:bCs/>
                <w:color w:val="000000"/>
                <w:sz w:val="18"/>
                <w:szCs w:val="18"/>
              </w:rPr>
            </w:pPr>
          </w:p>
        </w:tc>
      </w:tr>
      <w:tr w:rsidR="002B14F6" w:rsidRPr="00FD1578" w14:paraId="1D46CE63" w14:textId="77777777" w:rsidTr="00CF5646">
        <w:trPr>
          <w:trHeight w:val="20"/>
          <w:jc w:val="center"/>
        </w:trPr>
        <w:tc>
          <w:tcPr>
            <w:tcW w:w="3346" w:type="dxa"/>
            <w:shd w:val="clear" w:color="auto" w:fill="auto"/>
            <w:vAlign w:val="bottom"/>
          </w:tcPr>
          <w:p w14:paraId="75B028D4" w14:textId="48F8C7C9" w:rsidR="002B14F6" w:rsidRPr="00FD1578" w:rsidRDefault="002B14F6" w:rsidP="008349F0">
            <w:pPr>
              <w:spacing w:before="60" w:after="0"/>
              <w:ind w:firstLine="0"/>
              <w:jc w:val="left"/>
              <w:rPr>
                <w:rFonts w:cs="Times New Roman"/>
                <w:sz w:val="18"/>
                <w:szCs w:val="18"/>
              </w:rPr>
            </w:pPr>
            <w:r w:rsidRPr="00FD1578">
              <w:rPr>
                <w:rFonts w:cs="Times New Roman"/>
                <w:sz w:val="18"/>
                <w:szCs w:val="18"/>
              </w:rPr>
              <w:t>ES izdevumu pieauguma nosacījums</w:t>
            </w:r>
          </w:p>
        </w:tc>
        <w:tc>
          <w:tcPr>
            <w:tcW w:w="1109" w:type="dxa"/>
            <w:shd w:val="clear" w:color="auto" w:fill="auto"/>
            <w:noWrap/>
            <w:vAlign w:val="bottom"/>
          </w:tcPr>
          <w:p w14:paraId="021B36D2" w14:textId="77777777" w:rsidR="002B14F6" w:rsidRPr="00FD1578" w:rsidRDefault="002B14F6" w:rsidP="008349F0">
            <w:pPr>
              <w:spacing w:before="60" w:after="0"/>
              <w:ind w:firstLine="0"/>
              <w:jc w:val="center"/>
              <w:rPr>
                <w:rFonts w:cs="Times New Roman"/>
                <w:sz w:val="18"/>
                <w:szCs w:val="18"/>
              </w:rPr>
            </w:pPr>
          </w:p>
        </w:tc>
        <w:tc>
          <w:tcPr>
            <w:tcW w:w="1275" w:type="dxa"/>
            <w:shd w:val="clear" w:color="auto" w:fill="auto"/>
            <w:noWrap/>
            <w:vAlign w:val="bottom"/>
          </w:tcPr>
          <w:p w14:paraId="6912B5AF" w14:textId="77777777" w:rsidR="002B14F6" w:rsidRPr="00FD1578" w:rsidRDefault="002B14F6" w:rsidP="008349F0">
            <w:pPr>
              <w:spacing w:before="60" w:after="0"/>
              <w:ind w:firstLine="0"/>
              <w:jc w:val="center"/>
              <w:rPr>
                <w:rFonts w:cs="Times New Roman"/>
                <w:sz w:val="18"/>
                <w:szCs w:val="18"/>
              </w:rPr>
            </w:pPr>
          </w:p>
        </w:tc>
        <w:tc>
          <w:tcPr>
            <w:tcW w:w="961" w:type="dxa"/>
            <w:vAlign w:val="bottom"/>
          </w:tcPr>
          <w:p w14:paraId="0DD0D88A" w14:textId="77777777" w:rsidR="002B14F6" w:rsidRPr="00FD1578" w:rsidRDefault="002B14F6" w:rsidP="008349F0">
            <w:pPr>
              <w:spacing w:before="60" w:after="0"/>
              <w:ind w:firstLine="0"/>
              <w:jc w:val="center"/>
              <w:rPr>
                <w:rFonts w:cs="Times New Roman"/>
                <w:sz w:val="18"/>
                <w:szCs w:val="18"/>
              </w:rPr>
            </w:pPr>
          </w:p>
        </w:tc>
        <w:tc>
          <w:tcPr>
            <w:tcW w:w="927" w:type="dxa"/>
            <w:vAlign w:val="center"/>
          </w:tcPr>
          <w:p w14:paraId="200FE812" w14:textId="77777777" w:rsidR="002B14F6" w:rsidRPr="00FD1578" w:rsidRDefault="002B14F6" w:rsidP="008349F0">
            <w:pPr>
              <w:spacing w:before="60" w:after="0"/>
              <w:ind w:firstLine="0"/>
              <w:jc w:val="center"/>
              <w:rPr>
                <w:rFonts w:eastAsia="Times New Roman" w:cs="Times New Roman"/>
                <w:color w:val="000000"/>
                <w:sz w:val="18"/>
                <w:szCs w:val="18"/>
              </w:rPr>
            </w:pPr>
          </w:p>
        </w:tc>
      </w:tr>
    </w:tbl>
    <w:p w14:paraId="64F02068" w14:textId="77777777" w:rsidR="004522B7" w:rsidRPr="00FD1578" w:rsidRDefault="004522B7" w:rsidP="008349F0">
      <w:pPr>
        <w:spacing w:after="0"/>
        <w:ind w:firstLine="0"/>
        <w:rPr>
          <w:rFonts w:cs="Times New Roman"/>
          <w:szCs w:val="24"/>
        </w:rPr>
      </w:pPr>
    </w:p>
    <w:p w14:paraId="4B8B1489" w14:textId="46344EDC" w:rsidR="002B14F6" w:rsidRPr="00FD1578" w:rsidRDefault="00CB177C" w:rsidP="008349F0">
      <w:pPr>
        <w:spacing w:after="0"/>
        <w:rPr>
          <w:rFonts w:eastAsia="Times New Roman" w:cs="Times New Roman"/>
          <w:bCs/>
        </w:rPr>
      </w:pPr>
      <w:r w:rsidRPr="00FD1578">
        <w:rPr>
          <w:rFonts w:cs="Times New Roman"/>
          <w:szCs w:val="24"/>
        </w:rPr>
        <w:t>Ņemot vērā 2.</w:t>
      </w:r>
      <w:r w:rsidR="002C13BC" w:rsidRPr="00FD1578">
        <w:rPr>
          <w:rFonts w:cs="Times New Roman"/>
          <w:szCs w:val="24"/>
        </w:rPr>
        <w:t>2</w:t>
      </w:r>
      <w:r w:rsidRPr="00FD1578">
        <w:rPr>
          <w:rFonts w:cs="Times New Roman"/>
          <w:szCs w:val="24"/>
        </w:rPr>
        <w:t>., 2.</w:t>
      </w:r>
      <w:r w:rsidR="002C13BC" w:rsidRPr="00FD1578">
        <w:rPr>
          <w:rFonts w:cs="Times New Roman"/>
          <w:szCs w:val="24"/>
        </w:rPr>
        <w:t>3</w:t>
      </w:r>
      <w:r w:rsidRPr="00FD1578">
        <w:rPr>
          <w:rFonts w:cs="Times New Roman"/>
          <w:szCs w:val="24"/>
        </w:rPr>
        <w:t>. un 2.</w:t>
      </w:r>
      <w:r w:rsidR="002C13BC" w:rsidRPr="00FD1578">
        <w:rPr>
          <w:rFonts w:cs="Times New Roman"/>
          <w:szCs w:val="24"/>
        </w:rPr>
        <w:t>4</w:t>
      </w:r>
      <w:r w:rsidRPr="00FD1578">
        <w:rPr>
          <w:rFonts w:cs="Times New Roman"/>
          <w:szCs w:val="24"/>
        </w:rPr>
        <w:t xml:space="preserve">. tabulā norādīto, </w:t>
      </w:r>
      <w:r w:rsidRPr="00FD1578">
        <w:rPr>
          <w:rFonts w:eastAsia="Times New Roman" w:cs="Times New Roman"/>
          <w:b/>
        </w:rPr>
        <w:t xml:space="preserve">vispārējās valdības budžeta </w:t>
      </w:r>
      <w:r w:rsidRPr="00FD1578">
        <w:rPr>
          <w:rFonts w:cs="Times New Roman"/>
          <w:b/>
          <w:bCs/>
          <w:szCs w:val="24"/>
        </w:rPr>
        <w:t xml:space="preserve">strukturālās bilances mērķis, kas izpilda visus trīs nosacījumus, </w:t>
      </w:r>
      <w:r w:rsidRPr="00FD1578">
        <w:rPr>
          <w:rFonts w:eastAsia="Times New Roman" w:cs="Times New Roman"/>
          <w:bCs/>
        </w:rPr>
        <w:t>2025.</w:t>
      </w:r>
      <w:r w:rsidR="006C7A9B" w:rsidRPr="00FD1578">
        <w:rPr>
          <w:rFonts w:eastAsia="Times New Roman" w:cs="Times New Roman"/>
          <w:bCs/>
        </w:rPr>
        <w:t xml:space="preserve"> – </w:t>
      </w:r>
      <w:r w:rsidRPr="00FD1578">
        <w:rPr>
          <w:rFonts w:eastAsia="Times New Roman" w:cs="Times New Roman"/>
          <w:bCs/>
        </w:rPr>
        <w:t>202</w:t>
      </w:r>
      <w:r w:rsidR="006C7A9B" w:rsidRPr="00FD1578">
        <w:rPr>
          <w:rFonts w:eastAsia="Times New Roman" w:cs="Times New Roman"/>
          <w:bCs/>
        </w:rPr>
        <w:t>8</w:t>
      </w:r>
      <w:r w:rsidRPr="00FD1578">
        <w:rPr>
          <w:rFonts w:eastAsia="Times New Roman" w:cs="Times New Roman"/>
          <w:bCs/>
        </w:rPr>
        <w:t>. gadam tik</w:t>
      </w:r>
      <w:r w:rsidR="00F1067B">
        <w:rPr>
          <w:rFonts w:eastAsia="Times New Roman" w:cs="Times New Roman"/>
          <w:bCs/>
        </w:rPr>
        <w:t>a</w:t>
      </w:r>
      <w:r w:rsidRPr="00FD1578">
        <w:rPr>
          <w:rFonts w:eastAsia="Times New Roman" w:cs="Times New Roman"/>
          <w:bCs/>
        </w:rPr>
        <w:t xml:space="preserve"> noteikts:</w:t>
      </w:r>
      <w:r w:rsidR="006C7A9B" w:rsidRPr="00FD1578">
        <w:rPr>
          <w:rFonts w:eastAsia="Times New Roman" w:cs="Times New Roman"/>
          <w:bCs/>
        </w:rPr>
        <w:t xml:space="preserve"> </w:t>
      </w:r>
      <w:r w:rsidRPr="00FD1578">
        <w:rPr>
          <w:rFonts w:eastAsia="Times New Roman" w:cs="Times New Roman"/>
          <w:bCs/>
        </w:rPr>
        <w:t>-</w:t>
      </w:r>
      <w:r w:rsidRPr="00FD1578">
        <w:rPr>
          <w:rFonts w:eastAsia="Times New Roman" w:cs="Times New Roman"/>
          <w:b/>
        </w:rPr>
        <w:t>0,97% no IKP 2025. gadam</w:t>
      </w:r>
      <w:r w:rsidRPr="00FD1578">
        <w:rPr>
          <w:rFonts w:eastAsia="Times New Roman" w:cs="Times New Roman"/>
          <w:bCs/>
        </w:rPr>
        <w:t xml:space="preserve">, </w:t>
      </w:r>
      <w:r w:rsidRPr="00FD1578">
        <w:rPr>
          <w:rFonts w:eastAsia="Times New Roman" w:cs="Times New Roman"/>
          <w:b/>
        </w:rPr>
        <w:t>-1,0% no IKP 2026. gadam</w:t>
      </w:r>
      <w:r w:rsidRPr="00FD1578">
        <w:rPr>
          <w:rFonts w:eastAsia="Times New Roman" w:cs="Times New Roman"/>
          <w:bCs/>
        </w:rPr>
        <w:t xml:space="preserve">, </w:t>
      </w:r>
      <w:r w:rsidRPr="00FD1578">
        <w:rPr>
          <w:rFonts w:eastAsia="Times New Roman" w:cs="Times New Roman"/>
          <w:b/>
        </w:rPr>
        <w:t xml:space="preserve">-1,0% no IKP 2027. gadam </w:t>
      </w:r>
      <w:r w:rsidRPr="00FD1578">
        <w:rPr>
          <w:rFonts w:eastAsia="Times New Roman" w:cs="Times New Roman"/>
          <w:bCs/>
        </w:rPr>
        <w:t>un</w:t>
      </w:r>
      <w:r w:rsidRPr="00FD1578">
        <w:rPr>
          <w:rFonts w:eastAsia="Times New Roman" w:cs="Times New Roman"/>
          <w:b/>
        </w:rPr>
        <w:t xml:space="preserve"> -1,0% no IKP 2028. gadam</w:t>
      </w:r>
      <w:bookmarkEnd w:id="50"/>
      <w:r w:rsidRPr="00FD1578">
        <w:rPr>
          <w:rFonts w:eastAsia="Times New Roman" w:cs="Times New Roman"/>
          <w:bCs/>
        </w:rPr>
        <w:t xml:space="preserve">. </w:t>
      </w:r>
    </w:p>
    <w:p w14:paraId="5852653E" w14:textId="77777777" w:rsidR="00FE7F4C" w:rsidRPr="00FD1578" w:rsidRDefault="00FE7F4C" w:rsidP="008349F0">
      <w:pPr>
        <w:spacing w:after="0"/>
        <w:rPr>
          <w:rFonts w:eastAsia="Times New Roman" w:cs="Times New Roman"/>
          <w:bCs/>
        </w:rPr>
      </w:pPr>
    </w:p>
    <w:p w14:paraId="374B8B90" w14:textId="53CBC681" w:rsidR="006C7A9B" w:rsidRPr="00FD1578" w:rsidRDefault="006C7A9B" w:rsidP="008349F0">
      <w:pPr>
        <w:widowControl w:val="0"/>
        <w:ind w:firstLine="0"/>
        <w:jc w:val="center"/>
        <w:rPr>
          <w:rFonts w:cs="Times New Roman"/>
          <w:b/>
          <w:sz w:val="28"/>
          <w:szCs w:val="28"/>
        </w:rPr>
      </w:pPr>
      <w:r w:rsidRPr="00FD1578">
        <w:rPr>
          <w:rFonts w:cs="Times New Roman"/>
          <w:b/>
          <w:sz w:val="28"/>
          <w:szCs w:val="28"/>
        </w:rPr>
        <w:t>Fiskālās telpas aprēķins</w:t>
      </w:r>
    </w:p>
    <w:p w14:paraId="29192920" w14:textId="0E1B06AD" w:rsidR="00CB177C" w:rsidRPr="00FD1578" w:rsidRDefault="00CB177C" w:rsidP="008349F0">
      <w:pPr>
        <w:rPr>
          <w:szCs w:val="20"/>
        </w:rPr>
      </w:pPr>
      <w:r w:rsidRPr="00FD1578">
        <w:rPr>
          <w:szCs w:val="20"/>
        </w:rPr>
        <w:t>Ņemot vērā iepriekš definētos fiskālos nosacījumus un iepriekš norādītos strukturālās bilances mērķus, noteikta fiskālā telpa 2025., 2026., 2027. un 2028. gadam.</w:t>
      </w:r>
    </w:p>
    <w:p w14:paraId="454B7F26" w14:textId="497C6E5A" w:rsidR="00CB177C" w:rsidRPr="00FD1578" w:rsidRDefault="006C7A9B" w:rsidP="008349F0">
      <w:pPr>
        <w:ind w:firstLine="0"/>
        <w:jc w:val="right"/>
        <w:rPr>
          <w:rFonts w:eastAsia="Calibri"/>
          <w:b/>
          <w:bCs/>
          <w:i/>
          <w:iCs/>
          <w:szCs w:val="20"/>
        </w:rPr>
      </w:pPr>
      <w:r w:rsidRPr="00FD1578">
        <w:rPr>
          <w:rFonts w:eastAsia="Calibri"/>
          <w:b/>
          <w:bCs/>
          <w:i/>
          <w:iCs/>
          <w:szCs w:val="20"/>
        </w:rPr>
        <w:t>2.</w:t>
      </w:r>
      <w:r w:rsidR="005C63FF" w:rsidRPr="00FD1578">
        <w:rPr>
          <w:rFonts w:eastAsia="Calibri"/>
          <w:b/>
          <w:bCs/>
          <w:i/>
          <w:iCs/>
          <w:szCs w:val="20"/>
        </w:rPr>
        <w:t>6</w:t>
      </w:r>
      <w:r w:rsidR="00CB177C" w:rsidRPr="00FD1578">
        <w:rPr>
          <w:rFonts w:eastAsia="Calibri"/>
          <w:b/>
          <w:bCs/>
          <w:i/>
          <w:iCs/>
          <w:szCs w:val="20"/>
        </w:rPr>
        <w:t>. tabula. Fiskālā telpa</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6"/>
        <w:gridCol w:w="1443"/>
        <w:gridCol w:w="1109"/>
        <w:gridCol w:w="1275"/>
        <w:gridCol w:w="961"/>
        <w:gridCol w:w="927"/>
      </w:tblGrid>
      <w:tr w:rsidR="00CB177C" w:rsidRPr="00FD1578" w14:paraId="46ECC573" w14:textId="77777777" w:rsidTr="005B33E7">
        <w:trPr>
          <w:trHeight w:val="20"/>
          <w:tblHeader/>
          <w:jc w:val="center"/>
        </w:trPr>
        <w:tc>
          <w:tcPr>
            <w:tcW w:w="3346" w:type="dxa"/>
            <w:shd w:val="clear" w:color="auto" w:fill="BDD6EE" w:themeFill="accent1" w:themeFillTint="66"/>
            <w:vAlign w:val="bottom"/>
            <w:hideMark/>
          </w:tcPr>
          <w:p w14:paraId="7C59BC6D"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443" w:type="dxa"/>
            <w:shd w:val="clear" w:color="auto" w:fill="BDD6EE" w:themeFill="accent1" w:themeFillTint="66"/>
            <w:noWrap/>
            <w:vAlign w:val="bottom"/>
            <w:hideMark/>
          </w:tcPr>
          <w:p w14:paraId="199EA9D2"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109" w:type="dxa"/>
            <w:shd w:val="clear" w:color="auto" w:fill="BDD6EE" w:themeFill="accent1" w:themeFillTint="66"/>
            <w:noWrap/>
            <w:vAlign w:val="center"/>
            <w:hideMark/>
          </w:tcPr>
          <w:p w14:paraId="76E59974"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1275" w:type="dxa"/>
            <w:shd w:val="clear" w:color="auto" w:fill="BDD6EE" w:themeFill="accent1" w:themeFillTint="66"/>
            <w:noWrap/>
            <w:vAlign w:val="center"/>
            <w:hideMark/>
          </w:tcPr>
          <w:p w14:paraId="613CF1DF"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961" w:type="dxa"/>
            <w:shd w:val="clear" w:color="auto" w:fill="BDD6EE" w:themeFill="accent1" w:themeFillTint="66"/>
            <w:vAlign w:val="center"/>
          </w:tcPr>
          <w:p w14:paraId="7A17E63A"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927" w:type="dxa"/>
            <w:shd w:val="clear" w:color="auto" w:fill="BDD6EE" w:themeFill="accent1" w:themeFillTint="66"/>
            <w:vAlign w:val="center"/>
          </w:tcPr>
          <w:p w14:paraId="01E846B2"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CB177C" w:rsidRPr="00FD1578" w14:paraId="6482138E" w14:textId="77777777" w:rsidTr="005B33E7">
        <w:trPr>
          <w:trHeight w:val="20"/>
          <w:jc w:val="center"/>
        </w:trPr>
        <w:tc>
          <w:tcPr>
            <w:tcW w:w="3346" w:type="dxa"/>
            <w:shd w:val="clear" w:color="auto" w:fill="auto"/>
            <w:vAlign w:val="center"/>
          </w:tcPr>
          <w:p w14:paraId="045F9BC2"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Vispārējās valdības budžeta nominālās bilances prognoze pie nemainīgas politikas, % no IKP</w:t>
            </w:r>
          </w:p>
        </w:tc>
        <w:tc>
          <w:tcPr>
            <w:tcW w:w="1443" w:type="dxa"/>
            <w:shd w:val="clear" w:color="auto" w:fill="auto"/>
            <w:noWrap/>
            <w:vAlign w:val="center"/>
            <w:hideMark/>
          </w:tcPr>
          <w:p w14:paraId="62E716D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p>
        </w:tc>
        <w:tc>
          <w:tcPr>
            <w:tcW w:w="1109" w:type="dxa"/>
            <w:shd w:val="clear" w:color="auto" w:fill="auto"/>
            <w:noWrap/>
            <w:vAlign w:val="center"/>
          </w:tcPr>
          <w:p w14:paraId="5663831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-2,9</w:t>
            </w:r>
          </w:p>
        </w:tc>
        <w:tc>
          <w:tcPr>
            <w:tcW w:w="1275" w:type="dxa"/>
            <w:shd w:val="clear" w:color="auto" w:fill="auto"/>
            <w:noWrap/>
            <w:vAlign w:val="center"/>
          </w:tcPr>
          <w:p w14:paraId="42A87BB8"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-2,7</w:t>
            </w:r>
          </w:p>
        </w:tc>
        <w:tc>
          <w:tcPr>
            <w:tcW w:w="961" w:type="dxa"/>
            <w:vAlign w:val="center"/>
          </w:tcPr>
          <w:p w14:paraId="549F196F"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-2,4</w:t>
            </w:r>
          </w:p>
        </w:tc>
        <w:tc>
          <w:tcPr>
            <w:tcW w:w="927" w:type="dxa"/>
            <w:vAlign w:val="center"/>
          </w:tcPr>
          <w:p w14:paraId="769F9E1F"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-2,2</w:t>
            </w:r>
          </w:p>
        </w:tc>
      </w:tr>
      <w:tr w:rsidR="00CB177C" w:rsidRPr="00FD1578" w14:paraId="379839C2" w14:textId="77777777" w:rsidTr="005B33E7">
        <w:trPr>
          <w:trHeight w:val="20"/>
          <w:jc w:val="center"/>
        </w:trPr>
        <w:tc>
          <w:tcPr>
            <w:tcW w:w="3346" w:type="dxa"/>
            <w:shd w:val="clear" w:color="auto" w:fill="auto"/>
            <w:vAlign w:val="center"/>
          </w:tcPr>
          <w:p w14:paraId="6D351802"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Izlaižu starpība, % no potenciālā IKP</w:t>
            </w:r>
          </w:p>
        </w:tc>
        <w:tc>
          <w:tcPr>
            <w:tcW w:w="1443" w:type="dxa"/>
            <w:shd w:val="clear" w:color="auto" w:fill="auto"/>
            <w:noWrap/>
            <w:vAlign w:val="center"/>
            <w:hideMark/>
          </w:tcPr>
          <w:p w14:paraId="28E6F45F"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w:t>
            </w:r>
          </w:p>
        </w:tc>
        <w:tc>
          <w:tcPr>
            <w:tcW w:w="1109" w:type="dxa"/>
            <w:shd w:val="clear" w:color="auto" w:fill="auto"/>
            <w:noWrap/>
            <w:vAlign w:val="center"/>
          </w:tcPr>
          <w:p w14:paraId="3F39ACD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-1,1</w:t>
            </w:r>
          </w:p>
        </w:tc>
        <w:tc>
          <w:tcPr>
            <w:tcW w:w="1275" w:type="dxa"/>
            <w:shd w:val="clear" w:color="auto" w:fill="auto"/>
            <w:noWrap/>
            <w:vAlign w:val="center"/>
          </w:tcPr>
          <w:p w14:paraId="22A977A6"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-0,6</w:t>
            </w:r>
          </w:p>
        </w:tc>
        <w:tc>
          <w:tcPr>
            <w:tcW w:w="961" w:type="dxa"/>
            <w:vAlign w:val="center"/>
          </w:tcPr>
          <w:p w14:paraId="5A5FDB38"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-0,2</w:t>
            </w:r>
          </w:p>
        </w:tc>
        <w:tc>
          <w:tcPr>
            <w:tcW w:w="927" w:type="dxa"/>
            <w:vAlign w:val="center"/>
          </w:tcPr>
          <w:p w14:paraId="2A69CAD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r>
      <w:tr w:rsidR="00CB177C" w:rsidRPr="00FD1578" w14:paraId="72D16310" w14:textId="77777777" w:rsidTr="005B33E7">
        <w:trPr>
          <w:trHeight w:val="20"/>
          <w:jc w:val="center"/>
        </w:trPr>
        <w:tc>
          <w:tcPr>
            <w:tcW w:w="3346" w:type="dxa"/>
            <w:shd w:val="clear" w:color="auto" w:fill="auto"/>
            <w:vAlign w:val="center"/>
          </w:tcPr>
          <w:p w14:paraId="65EC872A"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Bilances cikliskā komponente, % no IKP</w:t>
            </w:r>
          </w:p>
        </w:tc>
        <w:tc>
          <w:tcPr>
            <w:tcW w:w="1443" w:type="dxa"/>
            <w:shd w:val="clear" w:color="auto" w:fill="auto"/>
            <w:noWrap/>
            <w:vAlign w:val="center"/>
            <w:hideMark/>
          </w:tcPr>
          <w:p w14:paraId="3E0A3F3C"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(3)=0,378*(2)</w:t>
            </w:r>
          </w:p>
        </w:tc>
        <w:tc>
          <w:tcPr>
            <w:tcW w:w="1109" w:type="dxa"/>
            <w:shd w:val="clear" w:color="auto" w:fill="auto"/>
            <w:noWrap/>
            <w:vAlign w:val="center"/>
          </w:tcPr>
          <w:p w14:paraId="2A28A6A2" w14:textId="44C0A049"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w:t>
            </w:r>
            <w:r w:rsidR="004449EC">
              <w:rPr>
                <w:rFonts w:eastAsia="Times New Roman" w:cs="Times New Roman"/>
                <w:color w:val="000000"/>
                <w:sz w:val="18"/>
                <w:szCs w:val="18"/>
              </w:rPr>
              <w:t>4</w:t>
            </w:r>
          </w:p>
        </w:tc>
        <w:tc>
          <w:tcPr>
            <w:tcW w:w="1275" w:type="dxa"/>
            <w:shd w:val="clear" w:color="auto" w:fill="auto"/>
            <w:noWrap/>
            <w:vAlign w:val="center"/>
          </w:tcPr>
          <w:p w14:paraId="748D536A" w14:textId="2CD1E364" w:rsidR="00CB177C" w:rsidRPr="00FD1578" w:rsidRDefault="004449EC" w:rsidP="008349F0">
            <w:pPr>
              <w:spacing w:before="60" w:after="0"/>
              <w:ind w:firstLine="0"/>
              <w:jc w:val="center"/>
              <w:rPr>
                <w:rFonts w:eastAsia="Times New Roman" w:cs="Times New Roman"/>
                <w:color w:val="000000"/>
                <w:sz w:val="18"/>
                <w:szCs w:val="18"/>
              </w:rPr>
            </w:pPr>
            <w:r>
              <w:rPr>
                <w:rFonts w:eastAsia="Times New Roman" w:cs="Times New Roman"/>
                <w:color w:val="000000"/>
                <w:sz w:val="18"/>
                <w:szCs w:val="18"/>
              </w:rPr>
              <w:t>-0,2</w:t>
            </w:r>
          </w:p>
        </w:tc>
        <w:tc>
          <w:tcPr>
            <w:tcW w:w="961" w:type="dxa"/>
            <w:vAlign w:val="center"/>
          </w:tcPr>
          <w:p w14:paraId="6CC5FD0B" w14:textId="0B0D4920" w:rsidR="00CB177C" w:rsidRPr="00FD1578" w:rsidRDefault="004449EC" w:rsidP="008349F0">
            <w:pPr>
              <w:spacing w:before="60" w:after="0"/>
              <w:ind w:firstLine="0"/>
              <w:jc w:val="center"/>
              <w:rPr>
                <w:rFonts w:eastAsia="Times New Roman" w:cs="Times New Roman"/>
                <w:color w:val="000000"/>
                <w:sz w:val="18"/>
                <w:szCs w:val="18"/>
              </w:rPr>
            </w:pPr>
            <w:r>
              <w:rPr>
                <w:rFonts w:eastAsia="Times New Roman" w:cs="Times New Roman"/>
                <w:color w:val="000000"/>
                <w:sz w:val="18"/>
                <w:szCs w:val="18"/>
              </w:rPr>
              <w:t>-0,1</w:t>
            </w:r>
          </w:p>
        </w:tc>
        <w:tc>
          <w:tcPr>
            <w:tcW w:w="927" w:type="dxa"/>
            <w:vAlign w:val="center"/>
          </w:tcPr>
          <w:p w14:paraId="028992C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r>
      <w:tr w:rsidR="00CB177C" w:rsidRPr="00FD1578" w14:paraId="674AF4C4" w14:textId="77777777" w:rsidTr="005B33E7">
        <w:trPr>
          <w:trHeight w:val="20"/>
          <w:jc w:val="center"/>
        </w:trPr>
        <w:tc>
          <w:tcPr>
            <w:tcW w:w="3346" w:type="dxa"/>
            <w:shd w:val="clear" w:color="auto" w:fill="auto"/>
            <w:vAlign w:val="center"/>
          </w:tcPr>
          <w:p w14:paraId="65D25D8A" w14:textId="77777777" w:rsidR="00CB177C" w:rsidRPr="00FD1578" w:rsidRDefault="00CB177C" w:rsidP="008349F0">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One-off</w:t>
            </w:r>
            <w:proofErr w:type="spellEnd"/>
            <w:r w:rsidRPr="00FD1578">
              <w:rPr>
                <w:rFonts w:eastAsia="Times New Roman" w:cs="Times New Roman"/>
                <w:color w:val="000000"/>
                <w:sz w:val="18"/>
                <w:szCs w:val="18"/>
              </w:rPr>
              <w:t xml:space="preserve"> un citi īslaicīgie pasākumi, kas iekļauti nemainīgas politikas scenārijā, % no IKP, tai skaitā</w:t>
            </w:r>
          </w:p>
        </w:tc>
        <w:tc>
          <w:tcPr>
            <w:tcW w:w="1443" w:type="dxa"/>
            <w:shd w:val="clear" w:color="auto" w:fill="auto"/>
            <w:noWrap/>
            <w:vAlign w:val="center"/>
            <w:hideMark/>
          </w:tcPr>
          <w:p w14:paraId="525B6A4C"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(4)=(5)+(6)+</w:t>
            </w:r>
          </w:p>
          <w:p w14:paraId="1809C66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(7)+(9)</w:t>
            </w:r>
          </w:p>
        </w:tc>
        <w:tc>
          <w:tcPr>
            <w:tcW w:w="1109" w:type="dxa"/>
            <w:shd w:val="clear" w:color="auto" w:fill="auto"/>
            <w:noWrap/>
            <w:vAlign w:val="center"/>
          </w:tcPr>
          <w:p w14:paraId="4A0DC46C"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-1,591</w:t>
            </w:r>
          </w:p>
        </w:tc>
        <w:tc>
          <w:tcPr>
            <w:tcW w:w="1275" w:type="dxa"/>
            <w:shd w:val="clear" w:color="auto" w:fill="auto"/>
            <w:noWrap/>
            <w:vAlign w:val="center"/>
          </w:tcPr>
          <w:p w14:paraId="0D353D0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-1,655</w:t>
            </w:r>
          </w:p>
        </w:tc>
        <w:tc>
          <w:tcPr>
            <w:tcW w:w="961" w:type="dxa"/>
            <w:vAlign w:val="center"/>
          </w:tcPr>
          <w:p w14:paraId="4E71F3B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-1,496</w:t>
            </w:r>
          </w:p>
        </w:tc>
        <w:tc>
          <w:tcPr>
            <w:tcW w:w="927" w:type="dxa"/>
            <w:vAlign w:val="center"/>
          </w:tcPr>
          <w:p w14:paraId="049F1DE8"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-1,327</w:t>
            </w:r>
          </w:p>
        </w:tc>
      </w:tr>
      <w:tr w:rsidR="00CB177C" w:rsidRPr="00FD1578" w14:paraId="018707A1" w14:textId="77777777" w:rsidTr="005B33E7">
        <w:trPr>
          <w:trHeight w:val="20"/>
          <w:jc w:val="center"/>
        </w:trPr>
        <w:tc>
          <w:tcPr>
            <w:tcW w:w="3346" w:type="dxa"/>
            <w:shd w:val="clear" w:color="auto" w:fill="auto"/>
            <w:vAlign w:val="bottom"/>
          </w:tcPr>
          <w:p w14:paraId="419CF8D7" w14:textId="54061E25"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lastRenderedPageBreak/>
              <w:t>C</w:t>
            </w:r>
            <w:r w:rsidR="0049382D">
              <w:rPr>
                <w:rFonts w:eastAsia="Times New Roman" w:cs="Times New Roman"/>
                <w:color w:val="000000"/>
                <w:sz w:val="18"/>
                <w:szCs w:val="18"/>
              </w:rPr>
              <w:t>ovid</w:t>
            </w:r>
            <w:r w:rsidRPr="00FD1578">
              <w:rPr>
                <w:rFonts w:eastAsia="Times New Roman" w:cs="Times New Roman"/>
                <w:color w:val="000000"/>
                <w:sz w:val="18"/>
                <w:szCs w:val="18"/>
              </w:rPr>
              <w:t xml:space="preserve"> -19 pandēmijas mazināšanas pasākumi</w:t>
            </w:r>
          </w:p>
        </w:tc>
        <w:tc>
          <w:tcPr>
            <w:tcW w:w="1443" w:type="dxa"/>
            <w:shd w:val="clear" w:color="auto" w:fill="auto"/>
            <w:noWrap/>
            <w:vAlign w:val="center"/>
            <w:hideMark/>
          </w:tcPr>
          <w:p w14:paraId="3E0330B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(5)</w:t>
            </w:r>
          </w:p>
        </w:tc>
        <w:tc>
          <w:tcPr>
            <w:tcW w:w="1109" w:type="dxa"/>
            <w:shd w:val="clear" w:color="auto" w:fill="auto"/>
            <w:noWrap/>
            <w:vAlign w:val="center"/>
          </w:tcPr>
          <w:p w14:paraId="1B6FAEF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-0,01</w:t>
            </w:r>
          </w:p>
        </w:tc>
        <w:tc>
          <w:tcPr>
            <w:tcW w:w="1275" w:type="dxa"/>
            <w:shd w:val="clear" w:color="auto" w:fill="auto"/>
            <w:noWrap/>
            <w:vAlign w:val="center"/>
          </w:tcPr>
          <w:p w14:paraId="2697600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-0,01</w:t>
            </w:r>
          </w:p>
        </w:tc>
        <w:tc>
          <w:tcPr>
            <w:tcW w:w="961" w:type="dxa"/>
            <w:vAlign w:val="center"/>
          </w:tcPr>
          <w:p w14:paraId="184C4F9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-0,01</w:t>
            </w:r>
          </w:p>
        </w:tc>
        <w:tc>
          <w:tcPr>
            <w:tcW w:w="927" w:type="dxa"/>
            <w:vAlign w:val="center"/>
          </w:tcPr>
          <w:p w14:paraId="4295A27A"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-0,01</w:t>
            </w:r>
          </w:p>
        </w:tc>
      </w:tr>
      <w:tr w:rsidR="00CB177C" w:rsidRPr="00FD1578" w14:paraId="1D230026" w14:textId="77777777" w:rsidTr="005B33E7">
        <w:trPr>
          <w:trHeight w:val="20"/>
          <w:jc w:val="center"/>
        </w:trPr>
        <w:tc>
          <w:tcPr>
            <w:tcW w:w="3346" w:type="dxa"/>
            <w:shd w:val="clear" w:color="auto" w:fill="auto"/>
            <w:vAlign w:val="bottom"/>
          </w:tcPr>
          <w:p w14:paraId="343C4EC8"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enerģijas cenas pieauguma mazināšanas pasākumi</w:t>
            </w:r>
          </w:p>
        </w:tc>
        <w:tc>
          <w:tcPr>
            <w:tcW w:w="1443" w:type="dxa"/>
            <w:shd w:val="clear" w:color="auto" w:fill="auto"/>
            <w:noWrap/>
            <w:vAlign w:val="center"/>
            <w:hideMark/>
          </w:tcPr>
          <w:p w14:paraId="08A7175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(6)</w:t>
            </w:r>
          </w:p>
        </w:tc>
        <w:tc>
          <w:tcPr>
            <w:tcW w:w="1109" w:type="dxa"/>
            <w:shd w:val="clear" w:color="auto" w:fill="auto"/>
            <w:noWrap/>
            <w:vAlign w:val="center"/>
          </w:tcPr>
          <w:p w14:paraId="0D372AE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c>
          <w:tcPr>
            <w:tcW w:w="1275" w:type="dxa"/>
            <w:shd w:val="clear" w:color="auto" w:fill="auto"/>
            <w:noWrap/>
            <w:vAlign w:val="center"/>
          </w:tcPr>
          <w:p w14:paraId="18769EC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c>
          <w:tcPr>
            <w:tcW w:w="961" w:type="dxa"/>
            <w:vAlign w:val="center"/>
          </w:tcPr>
          <w:p w14:paraId="19B5FDD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c>
          <w:tcPr>
            <w:tcW w:w="927" w:type="dxa"/>
            <w:vAlign w:val="center"/>
          </w:tcPr>
          <w:p w14:paraId="75D8E70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r>
      <w:tr w:rsidR="00CB177C" w:rsidRPr="00FD1578" w14:paraId="3B2BC4B1" w14:textId="77777777" w:rsidTr="005B33E7">
        <w:trPr>
          <w:trHeight w:val="20"/>
          <w:jc w:val="center"/>
        </w:trPr>
        <w:tc>
          <w:tcPr>
            <w:tcW w:w="3346" w:type="dxa"/>
            <w:shd w:val="clear" w:color="auto" w:fill="auto"/>
            <w:vAlign w:val="bottom"/>
          </w:tcPr>
          <w:p w14:paraId="62C96787"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aizsardzības un iekšējās drošības finansējums</w:t>
            </w:r>
          </w:p>
        </w:tc>
        <w:tc>
          <w:tcPr>
            <w:tcW w:w="1443" w:type="dxa"/>
            <w:shd w:val="clear" w:color="auto" w:fill="auto"/>
            <w:noWrap/>
            <w:vAlign w:val="center"/>
            <w:hideMark/>
          </w:tcPr>
          <w:p w14:paraId="639588F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(7)</w:t>
            </w:r>
          </w:p>
        </w:tc>
        <w:tc>
          <w:tcPr>
            <w:tcW w:w="1109" w:type="dxa"/>
            <w:shd w:val="clear" w:color="auto" w:fill="auto"/>
            <w:noWrap/>
            <w:vAlign w:val="center"/>
          </w:tcPr>
          <w:p w14:paraId="7AB3A31F"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-0,9</w:t>
            </w:r>
          </w:p>
        </w:tc>
        <w:tc>
          <w:tcPr>
            <w:tcW w:w="1275" w:type="dxa"/>
            <w:shd w:val="clear" w:color="auto" w:fill="auto"/>
            <w:noWrap/>
            <w:vAlign w:val="center"/>
          </w:tcPr>
          <w:p w14:paraId="5885DC1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-1,1</w:t>
            </w:r>
          </w:p>
        </w:tc>
        <w:tc>
          <w:tcPr>
            <w:tcW w:w="961" w:type="dxa"/>
            <w:vAlign w:val="center"/>
          </w:tcPr>
          <w:p w14:paraId="225933B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-0,9</w:t>
            </w:r>
          </w:p>
        </w:tc>
        <w:tc>
          <w:tcPr>
            <w:tcW w:w="927" w:type="dxa"/>
            <w:vAlign w:val="center"/>
          </w:tcPr>
          <w:p w14:paraId="53212F98"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-0,7</w:t>
            </w:r>
          </w:p>
        </w:tc>
      </w:tr>
      <w:tr w:rsidR="00CB177C" w:rsidRPr="00FD1578" w14:paraId="372E8891" w14:textId="77777777" w:rsidTr="005B33E7">
        <w:trPr>
          <w:trHeight w:val="20"/>
          <w:jc w:val="center"/>
        </w:trPr>
        <w:tc>
          <w:tcPr>
            <w:tcW w:w="3346" w:type="dxa"/>
            <w:shd w:val="clear" w:color="auto" w:fill="auto"/>
            <w:vAlign w:val="bottom"/>
          </w:tcPr>
          <w:p w14:paraId="1925986A"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atbalsts bēgļiem no Ukrainas</w:t>
            </w:r>
          </w:p>
        </w:tc>
        <w:tc>
          <w:tcPr>
            <w:tcW w:w="1443" w:type="dxa"/>
            <w:shd w:val="clear" w:color="auto" w:fill="auto"/>
            <w:noWrap/>
            <w:vAlign w:val="center"/>
            <w:hideMark/>
          </w:tcPr>
          <w:p w14:paraId="5254D36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(8)</w:t>
            </w:r>
          </w:p>
        </w:tc>
        <w:tc>
          <w:tcPr>
            <w:tcW w:w="1109" w:type="dxa"/>
            <w:shd w:val="clear" w:color="auto" w:fill="auto"/>
            <w:noWrap/>
            <w:vAlign w:val="center"/>
          </w:tcPr>
          <w:p w14:paraId="1B3E04E9"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c>
          <w:tcPr>
            <w:tcW w:w="1275" w:type="dxa"/>
            <w:shd w:val="clear" w:color="auto" w:fill="auto"/>
            <w:noWrap/>
            <w:vAlign w:val="center"/>
          </w:tcPr>
          <w:p w14:paraId="354F1BD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c>
          <w:tcPr>
            <w:tcW w:w="961" w:type="dxa"/>
            <w:vAlign w:val="center"/>
          </w:tcPr>
          <w:p w14:paraId="36ECB01F"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c>
          <w:tcPr>
            <w:tcW w:w="927" w:type="dxa"/>
            <w:vAlign w:val="center"/>
          </w:tcPr>
          <w:p w14:paraId="312D7000"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0,0</w:t>
            </w:r>
          </w:p>
        </w:tc>
      </w:tr>
      <w:tr w:rsidR="00CB177C" w:rsidRPr="00FD1578" w14:paraId="1BC0595A" w14:textId="77777777" w:rsidTr="005B33E7">
        <w:trPr>
          <w:trHeight w:val="20"/>
          <w:jc w:val="center"/>
        </w:trPr>
        <w:tc>
          <w:tcPr>
            <w:tcW w:w="3346" w:type="dxa"/>
            <w:shd w:val="clear" w:color="auto" w:fill="auto"/>
            <w:vAlign w:val="center"/>
          </w:tcPr>
          <w:p w14:paraId="0F39F0FB"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vienreizējie izdevumi valsts aizsardzībai un iekšējai drošībai</w:t>
            </w:r>
          </w:p>
        </w:tc>
        <w:tc>
          <w:tcPr>
            <w:tcW w:w="1443" w:type="dxa"/>
            <w:shd w:val="clear" w:color="auto" w:fill="auto"/>
            <w:noWrap/>
            <w:vAlign w:val="center"/>
          </w:tcPr>
          <w:p w14:paraId="3CDE798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(9)</w:t>
            </w:r>
          </w:p>
        </w:tc>
        <w:tc>
          <w:tcPr>
            <w:tcW w:w="1109" w:type="dxa"/>
            <w:shd w:val="clear" w:color="auto" w:fill="auto"/>
            <w:noWrap/>
            <w:vAlign w:val="center"/>
          </w:tcPr>
          <w:p w14:paraId="3DE9915A"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-0,7</w:t>
            </w:r>
          </w:p>
        </w:tc>
        <w:tc>
          <w:tcPr>
            <w:tcW w:w="1275" w:type="dxa"/>
            <w:shd w:val="clear" w:color="auto" w:fill="auto"/>
            <w:noWrap/>
            <w:vAlign w:val="center"/>
          </w:tcPr>
          <w:p w14:paraId="447A0AF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-0,6</w:t>
            </w:r>
          </w:p>
        </w:tc>
        <w:tc>
          <w:tcPr>
            <w:tcW w:w="961" w:type="dxa"/>
            <w:vAlign w:val="center"/>
          </w:tcPr>
          <w:p w14:paraId="190303A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-0,6</w:t>
            </w:r>
          </w:p>
        </w:tc>
        <w:tc>
          <w:tcPr>
            <w:tcW w:w="927" w:type="dxa"/>
            <w:vAlign w:val="center"/>
          </w:tcPr>
          <w:p w14:paraId="23AF6B9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-0,6</w:t>
            </w:r>
          </w:p>
        </w:tc>
      </w:tr>
      <w:tr w:rsidR="00CB177C" w:rsidRPr="00FD1578" w14:paraId="753D34A2" w14:textId="77777777" w:rsidTr="005B33E7">
        <w:trPr>
          <w:trHeight w:val="20"/>
          <w:jc w:val="center"/>
        </w:trPr>
        <w:tc>
          <w:tcPr>
            <w:tcW w:w="3346" w:type="dxa"/>
            <w:shd w:val="clear" w:color="auto" w:fill="auto"/>
            <w:vAlign w:val="center"/>
          </w:tcPr>
          <w:p w14:paraId="3D309A14"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Vispārējās valdības budžeta strukturālās bilances prognozes nemainīgas politikas scenārijā, % no IKP</w:t>
            </w:r>
          </w:p>
        </w:tc>
        <w:tc>
          <w:tcPr>
            <w:tcW w:w="1443" w:type="dxa"/>
            <w:shd w:val="clear" w:color="auto" w:fill="auto"/>
            <w:noWrap/>
            <w:vAlign w:val="center"/>
            <w:hideMark/>
          </w:tcPr>
          <w:p w14:paraId="0C93B69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(10)=(1)-(3)-(4)</w:t>
            </w:r>
          </w:p>
        </w:tc>
        <w:tc>
          <w:tcPr>
            <w:tcW w:w="1109" w:type="dxa"/>
            <w:shd w:val="clear" w:color="auto" w:fill="auto"/>
            <w:noWrap/>
            <w:vAlign w:val="center"/>
          </w:tcPr>
          <w:p w14:paraId="19CFFFE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-0,899</w:t>
            </w:r>
          </w:p>
        </w:tc>
        <w:tc>
          <w:tcPr>
            <w:tcW w:w="1275" w:type="dxa"/>
            <w:shd w:val="clear" w:color="auto" w:fill="auto"/>
            <w:noWrap/>
            <w:vAlign w:val="center"/>
          </w:tcPr>
          <w:p w14:paraId="5B999E08"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-0,831</w:t>
            </w:r>
          </w:p>
        </w:tc>
        <w:tc>
          <w:tcPr>
            <w:tcW w:w="961" w:type="dxa"/>
            <w:vAlign w:val="center"/>
          </w:tcPr>
          <w:p w14:paraId="2F50739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-0,812</w:t>
            </w:r>
          </w:p>
        </w:tc>
        <w:tc>
          <w:tcPr>
            <w:tcW w:w="927" w:type="dxa"/>
            <w:vAlign w:val="center"/>
          </w:tcPr>
          <w:p w14:paraId="3C6E79A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-0,897</w:t>
            </w:r>
          </w:p>
        </w:tc>
      </w:tr>
      <w:tr w:rsidR="00CB177C" w:rsidRPr="00FD1578" w14:paraId="63D4D012" w14:textId="77777777" w:rsidTr="005B33E7">
        <w:trPr>
          <w:trHeight w:val="20"/>
          <w:jc w:val="center"/>
        </w:trPr>
        <w:tc>
          <w:tcPr>
            <w:tcW w:w="3346" w:type="dxa"/>
            <w:shd w:val="clear" w:color="auto" w:fill="auto"/>
            <w:vAlign w:val="center"/>
          </w:tcPr>
          <w:p w14:paraId="48192390"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Vispārējās valdības budžeta strukturālās bilances mērķis saskaņā ar visiem fiskālajiem nosacījumiem, % no IKP</w:t>
            </w:r>
          </w:p>
        </w:tc>
        <w:tc>
          <w:tcPr>
            <w:tcW w:w="1443" w:type="dxa"/>
            <w:shd w:val="clear" w:color="auto" w:fill="auto"/>
            <w:noWrap/>
            <w:vAlign w:val="center"/>
            <w:hideMark/>
          </w:tcPr>
          <w:p w14:paraId="077616C5"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(11)</w:t>
            </w:r>
          </w:p>
        </w:tc>
        <w:tc>
          <w:tcPr>
            <w:tcW w:w="1109" w:type="dxa"/>
            <w:shd w:val="clear" w:color="auto" w:fill="auto"/>
            <w:noWrap/>
            <w:vAlign w:val="center"/>
          </w:tcPr>
          <w:p w14:paraId="585433AB"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-0,970</w:t>
            </w:r>
          </w:p>
        </w:tc>
        <w:tc>
          <w:tcPr>
            <w:tcW w:w="1275" w:type="dxa"/>
            <w:shd w:val="clear" w:color="auto" w:fill="auto"/>
            <w:noWrap/>
            <w:vAlign w:val="center"/>
          </w:tcPr>
          <w:p w14:paraId="314F187D"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-1,000</w:t>
            </w:r>
          </w:p>
        </w:tc>
        <w:tc>
          <w:tcPr>
            <w:tcW w:w="961" w:type="dxa"/>
            <w:vAlign w:val="center"/>
          </w:tcPr>
          <w:p w14:paraId="426B466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-1,000</w:t>
            </w:r>
          </w:p>
        </w:tc>
        <w:tc>
          <w:tcPr>
            <w:tcW w:w="927" w:type="dxa"/>
            <w:vAlign w:val="center"/>
          </w:tcPr>
          <w:p w14:paraId="2879CDB1"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-1,000</w:t>
            </w:r>
          </w:p>
        </w:tc>
      </w:tr>
      <w:tr w:rsidR="00CB177C" w:rsidRPr="00FD1578" w14:paraId="184BADDE" w14:textId="77777777" w:rsidTr="005B33E7">
        <w:trPr>
          <w:trHeight w:val="20"/>
          <w:jc w:val="center"/>
        </w:trPr>
        <w:tc>
          <w:tcPr>
            <w:tcW w:w="3346" w:type="dxa"/>
            <w:shd w:val="clear" w:color="auto" w:fill="auto"/>
            <w:vAlign w:val="center"/>
          </w:tcPr>
          <w:p w14:paraId="763F3B65"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Fiskālā nodrošinājuma rezerve, % no IKP</w:t>
            </w:r>
          </w:p>
        </w:tc>
        <w:tc>
          <w:tcPr>
            <w:tcW w:w="1443" w:type="dxa"/>
            <w:shd w:val="clear" w:color="auto" w:fill="auto"/>
            <w:noWrap/>
            <w:vAlign w:val="center"/>
            <w:hideMark/>
          </w:tcPr>
          <w:p w14:paraId="72D6915E"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(12)</w:t>
            </w:r>
          </w:p>
        </w:tc>
        <w:tc>
          <w:tcPr>
            <w:tcW w:w="1109" w:type="dxa"/>
            <w:shd w:val="clear" w:color="auto" w:fill="auto"/>
            <w:noWrap/>
            <w:vAlign w:val="center"/>
          </w:tcPr>
          <w:p w14:paraId="2C93B0C5"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0,1</w:t>
            </w:r>
          </w:p>
        </w:tc>
        <w:tc>
          <w:tcPr>
            <w:tcW w:w="1275" w:type="dxa"/>
            <w:shd w:val="clear" w:color="auto" w:fill="auto"/>
            <w:noWrap/>
            <w:vAlign w:val="center"/>
          </w:tcPr>
          <w:p w14:paraId="38F1458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0,1</w:t>
            </w:r>
          </w:p>
        </w:tc>
        <w:tc>
          <w:tcPr>
            <w:tcW w:w="961" w:type="dxa"/>
            <w:vAlign w:val="center"/>
          </w:tcPr>
          <w:p w14:paraId="1B04AB8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0,1</w:t>
            </w:r>
          </w:p>
        </w:tc>
        <w:tc>
          <w:tcPr>
            <w:tcW w:w="927" w:type="dxa"/>
          </w:tcPr>
          <w:p w14:paraId="1D3513F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0,1</w:t>
            </w:r>
          </w:p>
        </w:tc>
      </w:tr>
      <w:tr w:rsidR="00CB177C" w:rsidRPr="00FD1578" w14:paraId="0D42AFD6" w14:textId="77777777" w:rsidTr="005B33E7">
        <w:trPr>
          <w:trHeight w:val="20"/>
          <w:jc w:val="center"/>
        </w:trPr>
        <w:tc>
          <w:tcPr>
            <w:tcW w:w="3346" w:type="dxa"/>
            <w:shd w:val="clear" w:color="auto" w:fill="auto"/>
            <w:vAlign w:val="center"/>
          </w:tcPr>
          <w:p w14:paraId="2A59EDE6" w14:textId="77777777" w:rsidR="00CB177C" w:rsidRPr="00FD1578" w:rsidRDefault="00CB177C"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IKP prognoze, milj. </w:t>
            </w:r>
            <w:proofErr w:type="spellStart"/>
            <w:r w:rsidRPr="00FD1578">
              <w:rPr>
                <w:rFonts w:eastAsia="Times New Roman" w:cs="Times New Roman"/>
                <w:i/>
                <w:iCs/>
                <w:color w:val="000000"/>
                <w:sz w:val="18"/>
                <w:szCs w:val="18"/>
              </w:rPr>
              <w:t>euro</w:t>
            </w:r>
            <w:proofErr w:type="spellEnd"/>
          </w:p>
        </w:tc>
        <w:tc>
          <w:tcPr>
            <w:tcW w:w="1443" w:type="dxa"/>
            <w:shd w:val="clear" w:color="auto" w:fill="auto"/>
            <w:noWrap/>
            <w:vAlign w:val="center"/>
          </w:tcPr>
          <w:p w14:paraId="570858A2"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w:t>
            </w:r>
          </w:p>
        </w:tc>
        <w:tc>
          <w:tcPr>
            <w:tcW w:w="1109" w:type="dxa"/>
            <w:shd w:val="clear" w:color="auto" w:fill="auto"/>
            <w:noWrap/>
            <w:vAlign w:val="center"/>
          </w:tcPr>
          <w:p w14:paraId="763D350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44 379</w:t>
            </w:r>
          </w:p>
        </w:tc>
        <w:tc>
          <w:tcPr>
            <w:tcW w:w="1275" w:type="dxa"/>
            <w:shd w:val="clear" w:color="auto" w:fill="auto"/>
            <w:noWrap/>
            <w:vAlign w:val="center"/>
          </w:tcPr>
          <w:p w14:paraId="25279F17"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46 836</w:t>
            </w:r>
          </w:p>
        </w:tc>
        <w:tc>
          <w:tcPr>
            <w:tcW w:w="961" w:type="dxa"/>
            <w:vAlign w:val="center"/>
          </w:tcPr>
          <w:p w14:paraId="7C0EF784"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49 349</w:t>
            </w:r>
          </w:p>
        </w:tc>
        <w:tc>
          <w:tcPr>
            <w:tcW w:w="927" w:type="dxa"/>
          </w:tcPr>
          <w:p w14:paraId="653A6BB3" w14:textId="77777777" w:rsidR="00CB177C" w:rsidRPr="00FD1578" w:rsidRDefault="00CB177C"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51 851</w:t>
            </w:r>
          </w:p>
        </w:tc>
      </w:tr>
      <w:tr w:rsidR="00CB177C" w:rsidRPr="00FD1578" w14:paraId="4472ABA4" w14:textId="77777777" w:rsidTr="005B33E7">
        <w:trPr>
          <w:trHeight w:val="20"/>
          <w:jc w:val="center"/>
        </w:trPr>
        <w:tc>
          <w:tcPr>
            <w:tcW w:w="3346" w:type="dxa"/>
            <w:shd w:val="clear" w:color="auto" w:fill="BDD6EE" w:themeFill="accent1" w:themeFillTint="66"/>
            <w:vAlign w:val="center"/>
          </w:tcPr>
          <w:p w14:paraId="5260573E" w14:textId="77777777" w:rsidR="00CB177C" w:rsidRPr="00FD1578" w:rsidRDefault="00CB177C" w:rsidP="008349F0">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Fiskālā telpa, % no IKP</w:t>
            </w:r>
          </w:p>
        </w:tc>
        <w:tc>
          <w:tcPr>
            <w:tcW w:w="1443" w:type="dxa"/>
            <w:shd w:val="clear" w:color="auto" w:fill="BDD6EE" w:themeFill="accent1" w:themeFillTint="66"/>
            <w:noWrap/>
            <w:vAlign w:val="center"/>
          </w:tcPr>
          <w:p w14:paraId="54FFCFB2"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(14)=(10)-(11)-(12)</w:t>
            </w:r>
          </w:p>
        </w:tc>
        <w:tc>
          <w:tcPr>
            <w:tcW w:w="1109" w:type="dxa"/>
            <w:shd w:val="clear" w:color="auto" w:fill="BDD6EE" w:themeFill="accent1" w:themeFillTint="66"/>
            <w:noWrap/>
            <w:vAlign w:val="center"/>
          </w:tcPr>
          <w:p w14:paraId="74CFC843"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-0,029</w:t>
            </w:r>
          </w:p>
        </w:tc>
        <w:tc>
          <w:tcPr>
            <w:tcW w:w="1275" w:type="dxa"/>
            <w:shd w:val="clear" w:color="auto" w:fill="BDD6EE" w:themeFill="accent1" w:themeFillTint="66"/>
            <w:noWrap/>
            <w:vAlign w:val="center"/>
          </w:tcPr>
          <w:p w14:paraId="6242A20E"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0,069</w:t>
            </w:r>
          </w:p>
        </w:tc>
        <w:tc>
          <w:tcPr>
            <w:tcW w:w="961" w:type="dxa"/>
            <w:shd w:val="clear" w:color="auto" w:fill="BDD6EE" w:themeFill="accent1" w:themeFillTint="66"/>
            <w:vAlign w:val="center"/>
          </w:tcPr>
          <w:p w14:paraId="314FECB2"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0,088</w:t>
            </w:r>
          </w:p>
        </w:tc>
        <w:tc>
          <w:tcPr>
            <w:tcW w:w="927" w:type="dxa"/>
            <w:shd w:val="clear" w:color="auto" w:fill="BDD6EE" w:themeFill="accent1" w:themeFillTint="66"/>
            <w:vAlign w:val="center"/>
          </w:tcPr>
          <w:p w14:paraId="62383AEF" w14:textId="77777777" w:rsidR="00CB177C" w:rsidRPr="00FD1578" w:rsidRDefault="00CB177C" w:rsidP="008349F0">
            <w:pPr>
              <w:spacing w:before="60" w:after="0"/>
              <w:ind w:firstLine="0"/>
              <w:jc w:val="center"/>
              <w:rPr>
                <w:rFonts w:eastAsia="Times New Roman" w:cs="Times New Roman"/>
                <w:b/>
                <w:bCs/>
                <w:color w:val="000000"/>
                <w:sz w:val="18"/>
                <w:szCs w:val="18"/>
              </w:rPr>
            </w:pPr>
          </w:p>
          <w:p w14:paraId="2239CD99"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0,003</w:t>
            </w:r>
          </w:p>
          <w:p w14:paraId="1E913A34" w14:textId="77777777" w:rsidR="00CB177C" w:rsidRPr="00FD1578" w:rsidRDefault="00CB177C" w:rsidP="008349F0">
            <w:pPr>
              <w:spacing w:before="60" w:after="0"/>
              <w:ind w:firstLine="0"/>
              <w:jc w:val="center"/>
              <w:rPr>
                <w:rFonts w:eastAsia="Times New Roman" w:cs="Times New Roman"/>
                <w:b/>
                <w:bCs/>
                <w:color w:val="000000"/>
                <w:sz w:val="18"/>
                <w:szCs w:val="18"/>
              </w:rPr>
            </w:pPr>
          </w:p>
        </w:tc>
      </w:tr>
      <w:tr w:rsidR="00CB177C" w:rsidRPr="00FD1578" w14:paraId="37E307C5" w14:textId="77777777" w:rsidTr="005B33E7">
        <w:trPr>
          <w:trHeight w:val="20"/>
          <w:jc w:val="center"/>
        </w:trPr>
        <w:tc>
          <w:tcPr>
            <w:tcW w:w="3346" w:type="dxa"/>
            <w:shd w:val="clear" w:color="auto" w:fill="BDD6EE" w:themeFill="accent1" w:themeFillTint="66"/>
            <w:vAlign w:val="center"/>
          </w:tcPr>
          <w:p w14:paraId="7E2F88BE" w14:textId="77777777" w:rsidR="00CB177C" w:rsidRPr="00FD1578" w:rsidRDefault="00CB177C" w:rsidP="008349F0">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 xml:space="preserve">Fiskālā telpa, milj. </w:t>
            </w:r>
            <w:proofErr w:type="spellStart"/>
            <w:r w:rsidRPr="00FD1578">
              <w:rPr>
                <w:rFonts w:eastAsia="Times New Roman" w:cs="Times New Roman"/>
                <w:b/>
                <w:bCs/>
                <w:i/>
                <w:iCs/>
                <w:color w:val="000000"/>
                <w:sz w:val="18"/>
                <w:szCs w:val="18"/>
              </w:rPr>
              <w:t>euro</w:t>
            </w:r>
            <w:proofErr w:type="spellEnd"/>
          </w:p>
        </w:tc>
        <w:tc>
          <w:tcPr>
            <w:tcW w:w="1443" w:type="dxa"/>
            <w:shd w:val="clear" w:color="auto" w:fill="BDD6EE" w:themeFill="accent1" w:themeFillTint="66"/>
            <w:noWrap/>
            <w:vAlign w:val="center"/>
          </w:tcPr>
          <w:p w14:paraId="009DDCE2"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(15)=(14)*(13)</w:t>
            </w:r>
          </w:p>
        </w:tc>
        <w:tc>
          <w:tcPr>
            <w:tcW w:w="1109" w:type="dxa"/>
            <w:shd w:val="clear" w:color="auto" w:fill="BDD6EE" w:themeFill="accent1" w:themeFillTint="66"/>
            <w:noWrap/>
            <w:vAlign w:val="center"/>
          </w:tcPr>
          <w:p w14:paraId="432F8751"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-13,0</w:t>
            </w:r>
          </w:p>
        </w:tc>
        <w:tc>
          <w:tcPr>
            <w:tcW w:w="1275" w:type="dxa"/>
            <w:shd w:val="clear" w:color="auto" w:fill="BDD6EE" w:themeFill="accent1" w:themeFillTint="66"/>
            <w:noWrap/>
            <w:vAlign w:val="center"/>
          </w:tcPr>
          <w:p w14:paraId="116717A1"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32,2</w:t>
            </w:r>
          </w:p>
        </w:tc>
        <w:tc>
          <w:tcPr>
            <w:tcW w:w="961" w:type="dxa"/>
            <w:shd w:val="clear" w:color="auto" w:fill="BDD6EE" w:themeFill="accent1" w:themeFillTint="66"/>
            <w:vAlign w:val="center"/>
          </w:tcPr>
          <w:p w14:paraId="3B023B54"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43,5</w:t>
            </w:r>
          </w:p>
        </w:tc>
        <w:tc>
          <w:tcPr>
            <w:tcW w:w="927" w:type="dxa"/>
            <w:shd w:val="clear" w:color="auto" w:fill="BDD6EE" w:themeFill="accent1" w:themeFillTint="66"/>
          </w:tcPr>
          <w:p w14:paraId="5FAAD610" w14:textId="77777777" w:rsidR="00CB177C" w:rsidRPr="00FD1578" w:rsidRDefault="00CB177C"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1,4</w:t>
            </w:r>
          </w:p>
        </w:tc>
      </w:tr>
    </w:tbl>
    <w:p w14:paraId="7EA61BC5" w14:textId="77777777" w:rsidR="006C7A9B" w:rsidRPr="00FD1578" w:rsidRDefault="006C7A9B" w:rsidP="008349F0">
      <w:pPr>
        <w:spacing w:after="0"/>
        <w:rPr>
          <w:szCs w:val="20"/>
        </w:rPr>
      </w:pPr>
    </w:p>
    <w:p w14:paraId="1BADCFE2" w14:textId="25DDF3FC" w:rsidR="00CB177C" w:rsidRPr="00FD1578" w:rsidRDefault="00CB177C" w:rsidP="008349F0">
      <w:pPr>
        <w:rPr>
          <w:szCs w:val="20"/>
        </w:rPr>
      </w:pPr>
      <w:r w:rsidRPr="00FD1578">
        <w:rPr>
          <w:szCs w:val="20"/>
        </w:rPr>
        <w:t xml:space="preserve">2025. gadā fiskālās telpas apjoms ir negatīvs 13,0 milj. </w:t>
      </w:r>
      <w:proofErr w:type="spellStart"/>
      <w:r w:rsidRPr="00FD1578">
        <w:rPr>
          <w:i/>
          <w:iCs/>
          <w:szCs w:val="20"/>
        </w:rPr>
        <w:t>euro</w:t>
      </w:r>
      <w:proofErr w:type="spellEnd"/>
      <w:r w:rsidRPr="00FD1578">
        <w:rPr>
          <w:szCs w:val="20"/>
        </w:rPr>
        <w:t xml:space="preserve">, pozitīvs 2026. gadā 32,2 milj. </w:t>
      </w:r>
      <w:proofErr w:type="spellStart"/>
      <w:r w:rsidRPr="00FD1578">
        <w:rPr>
          <w:i/>
          <w:iCs/>
          <w:szCs w:val="20"/>
        </w:rPr>
        <w:t>euro</w:t>
      </w:r>
      <w:proofErr w:type="spellEnd"/>
      <w:r w:rsidRPr="00FD1578">
        <w:rPr>
          <w:szCs w:val="20"/>
        </w:rPr>
        <w:t xml:space="preserve">, 2027. gadā 43,5 milj. </w:t>
      </w:r>
      <w:proofErr w:type="spellStart"/>
      <w:r w:rsidRPr="00FD1578">
        <w:rPr>
          <w:i/>
          <w:iCs/>
          <w:szCs w:val="20"/>
        </w:rPr>
        <w:t>euro</w:t>
      </w:r>
      <w:proofErr w:type="spellEnd"/>
      <w:r w:rsidRPr="00FD1578">
        <w:rPr>
          <w:szCs w:val="20"/>
        </w:rPr>
        <w:t xml:space="preserve"> un 2028. gadā 1,4 milj. </w:t>
      </w:r>
      <w:proofErr w:type="spellStart"/>
      <w:r w:rsidRPr="00FD1578">
        <w:rPr>
          <w:i/>
          <w:iCs/>
          <w:szCs w:val="20"/>
        </w:rPr>
        <w:t>euro</w:t>
      </w:r>
      <w:proofErr w:type="spellEnd"/>
      <w:r w:rsidRPr="00FD1578">
        <w:rPr>
          <w:i/>
          <w:iCs/>
          <w:szCs w:val="20"/>
        </w:rPr>
        <w:t xml:space="preserve"> </w:t>
      </w:r>
      <w:r w:rsidRPr="00FD1578">
        <w:rPr>
          <w:szCs w:val="20"/>
        </w:rPr>
        <w:t xml:space="preserve">(skat. </w:t>
      </w:r>
      <w:r w:rsidR="006C7A9B" w:rsidRPr="00FD1578">
        <w:rPr>
          <w:szCs w:val="20"/>
        </w:rPr>
        <w:t>2.</w:t>
      </w:r>
      <w:r w:rsidR="00933714">
        <w:rPr>
          <w:szCs w:val="20"/>
        </w:rPr>
        <w:t>6</w:t>
      </w:r>
      <w:r w:rsidRPr="00FD1578">
        <w:rPr>
          <w:szCs w:val="20"/>
        </w:rPr>
        <w:t xml:space="preserve">. tabulu). </w:t>
      </w:r>
    </w:p>
    <w:p w14:paraId="768D48B6" w14:textId="77777777" w:rsidR="006C7A9B" w:rsidRPr="00FD1578" w:rsidRDefault="006C7A9B" w:rsidP="008349F0">
      <w:pPr>
        <w:rPr>
          <w:szCs w:val="20"/>
        </w:rPr>
      </w:pPr>
    </w:p>
    <w:p w14:paraId="6BEA429C" w14:textId="29135CA6" w:rsidR="004522B7" w:rsidRPr="00FD1578" w:rsidRDefault="00D96F93" w:rsidP="008349F0">
      <w:pPr>
        <w:rPr>
          <w:rFonts w:eastAsia="Calibri" w:cs="Times New Roman"/>
          <w:b/>
          <w:bCs/>
          <w:color w:val="000000" w:themeColor="text1"/>
          <w:sz w:val="28"/>
          <w:szCs w:val="28"/>
        </w:rPr>
      </w:pPr>
      <w:r w:rsidRPr="00FD1578">
        <w:rPr>
          <w:rFonts w:eastAsia="Calibri" w:cs="Times New Roman"/>
          <w:b/>
          <w:bCs/>
          <w:color w:val="000000" w:themeColor="text1"/>
          <w:sz w:val="28"/>
          <w:szCs w:val="28"/>
        </w:rPr>
        <w:t>Jauno politikas pasākumu ietekme uz fiskālajiem nosacījumiem</w:t>
      </w:r>
    </w:p>
    <w:p w14:paraId="571E5B72" w14:textId="410521C0" w:rsidR="005C45C7" w:rsidRPr="00FD1578" w:rsidRDefault="005C28D7" w:rsidP="008349F0">
      <w:pPr>
        <w:rPr>
          <w:szCs w:val="20"/>
        </w:rPr>
      </w:pPr>
      <w:r w:rsidRPr="00FD1578">
        <w:rPr>
          <w:bCs/>
          <w:szCs w:val="20"/>
        </w:rPr>
        <w:t>Likumprojekta “Par valsts budžetu 2025. gadam un budžeta ietvaru 2025., 2026. un 2027. gadam</w:t>
      </w:r>
      <w:r w:rsidR="00C218BD">
        <w:rPr>
          <w:bCs/>
          <w:szCs w:val="20"/>
        </w:rPr>
        <w:t>”</w:t>
      </w:r>
      <w:r w:rsidRPr="00FD1578">
        <w:rPr>
          <w:bCs/>
          <w:szCs w:val="20"/>
        </w:rPr>
        <w:t xml:space="preserve"> </w:t>
      </w:r>
      <w:r w:rsidR="005C45C7" w:rsidRPr="00FD1578">
        <w:rPr>
          <w:szCs w:val="20"/>
        </w:rPr>
        <w:t>sagatavošanas procesā f</w:t>
      </w:r>
      <w:r w:rsidR="00D96F93" w:rsidRPr="00FD1578">
        <w:rPr>
          <w:szCs w:val="20"/>
        </w:rPr>
        <w:t>iskālās telpas paplašināšan</w:t>
      </w:r>
      <w:r w:rsidR="005C45C7" w:rsidRPr="00FD1578">
        <w:rPr>
          <w:szCs w:val="20"/>
        </w:rPr>
        <w:t>a</w:t>
      </w:r>
      <w:r w:rsidR="00D96F93" w:rsidRPr="00FD1578">
        <w:rPr>
          <w:szCs w:val="20"/>
        </w:rPr>
        <w:t xml:space="preserve"> un aizp</w:t>
      </w:r>
      <w:r w:rsidR="0014609F" w:rsidRPr="00FD1578">
        <w:rPr>
          <w:szCs w:val="20"/>
        </w:rPr>
        <w:t>i</w:t>
      </w:r>
      <w:r w:rsidR="00D96F93" w:rsidRPr="00FD1578">
        <w:rPr>
          <w:szCs w:val="20"/>
        </w:rPr>
        <w:t>ldīšan</w:t>
      </w:r>
      <w:r w:rsidR="005C45C7" w:rsidRPr="00FD1578">
        <w:rPr>
          <w:szCs w:val="20"/>
        </w:rPr>
        <w:t>a notiek ar jauniem politikas pasākumiem, kā arī tiek pieņemti lēmum</w:t>
      </w:r>
      <w:r w:rsidR="00F12B31" w:rsidRPr="00FD1578">
        <w:rPr>
          <w:szCs w:val="20"/>
        </w:rPr>
        <w:t>i</w:t>
      </w:r>
      <w:r w:rsidR="005C45C7" w:rsidRPr="00FD1578">
        <w:rPr>
          <w:szCs w:val="20"/>
        </w:rPr>
        <w:t xml:space="preserve"> par jauniem fiskāli neitrāliem pasākumiem. Visus šos pasākumus var iedalīt </w:t>
      </w:r>
      <w:r w:rsidR="00281F7D" w:rsidRPr="00FD1578">
        <w:rPr>
          <w:szCs w:val="20"/>
        </w:rPr>
        <w:t>6</w:t>
      </w:r>
      <w:r w:rsidR="005C45C7" w:rsidRPr="00FD1578">
        <w:rPr>
          <w:szCs w:val="20"/>
        </w:rPr>
        <w:t xml:space="preserve"> kategorijās:</w:t>
      </w:r>
    </w:p>
    <w:p w14:paraId="05248468" w14:textId="2E7EE91F" w:rsidR="005C45C7" w:rsidRPr="00FD1578" w:rsidRDefault="00DA725D" w:rsidP="00F87D38">
      <w:pPr>
        <w:pStyle w:val="ListParagraph"/>
        <w:numPr>
          <w:ilvl w:val="0"/>
          <w:numId w:val="14"/>
        </w:numPr>
        <w:rPr>
          <w:szCs w:val="20"/>
        </w:rPr>
      </w:pPr>
      <w:r w:rsidRPr="00FD1578">
        <w:rPr>
          <w:szCs w:val="20"/>
        </w:rPr>
        <w:t>i</w:t>
      </w:r>
      <w:r w:rsidR="005C45C7" w:rsidRPr="00FD1578">
        <w:rPr>
          <w:szCs w:val="20"/>
        </w:rPr>
        <w:t>zdevumus palielinoši pasākumi;</w:t>
      </w:r>
    </w:p>
    <w:p w14:paraId="7C203E9F" w14:textId="63106830" w:rsidR="005C45C7" w:rsidRPr="00FD1578" w:rsidRDefault="00DA725D" w:rsidP="00F87D38">
      <w:pPr>
        <w:pStyle w:val="ListParagraph"/>
        <w:numPr>
          <w:ilvl w:val="0"/>
          <w:numId w:val="14"/>
        </w:numPr>
        <w:rPr>
          <w:szCs w:val="20"/>
        </w:rPr>
      </w:pPr>
      <w:proofErr w:type="spellStart"/>
      <w:r w:rsidRPr="00FD1578">
        <w:rPr>
          <w:szCs w:val="20"/>
        </w:rPr>
        <w:t>d</w:t>
      </w:r>
      <w:r w:rsidR="005C45C7" w:rsidRPr="00FD1578">
        <w:rPr>
          <w:szCs w:val="20"/>
        </w:rPr>
        <w:t>iskrecionāri</w:t>
      </w:r>
      <w:proofErr w:type="spellEnd"/>
      <w:r w:rsidR="005C45C7" w:rsidRPr="00FD1578">
        <w:rPr>
          <w:szCs w:val="20"/>
        </w:rPr>
        <w:t xml:space="preserve"> ieņēmumu pasākumi;</w:t>
      </w:r>
    </w:p>
    <w:p w14:paraId="7F03F80F" w14:textId="4928812A" w:rsidR="005C45C7" w:rsidRPr="00FD1578" w:rsidRDefault="00DA725D" w:rsidP="00F87D38">
      <w:pPr>
        <w:pStyle w:val="ListParagraph"/>
        <w:numPr>
          <w:ilvl w:val="0"/>
          <w:numId w:val="14"/>
        </w:numPr>
        <w:rPr>
          <w:szCs w:val="20"/>
        </w:rPr>
      </w:pPr>
      <w:proofErr w:type="spellStart"/>
      <w:r w:rsidRPr="00FD1578">
        <w:rPr>
          <w:szCs w:val="20"/>
        </w:rPr>
        <w:t>n</w:t>
      </w:r>
      <w:r w:rsidR="005C45C7" w:rsidRPr="00FD1578">
        <w:rPr>
          <w:szCs w:val="20"/>
        </w:rPr>
        <w:t>ediskrecionāri</w:t>
      </w:r>
      <w:proofErr w:type="spellEnd"/>
      <w:r w:rsidR="005C45C7" w:rsidRPr="00FD1578">
        <w:rPr>
          <w:szCs w:val="20"/>
        </w:rPr>
        <w:t xml:space="preserve"> ieņēmumu pasākumi;</w:t>
      </w:r>
    </w:p>
    <w:p w14:paraId="2ECBD4F1" w14:textId="247455E5" w:rsidR="005C45C7" w:rsidRPr="00FD1578" w:rsidRDefault="00DA725D" w:rsidP="00F87D38">
      <w:pPr>
        <w:pStyle w:val="ListParagraph"/>
        <w:numPr>
          <w:ilvl w:val="0"/>
          <w:numId w:val="14"/>
        </w:numPr>
        <w:rPr>
          <w:szCs w:val="20"/>
        </w:rPr>
      </w:pPr>
      <w:r w:rsidRPr="00FD1578">
        <w:rPr>
          <w:szCs w:val="20"/>
        </w:rPr>
        <w:t>f</w:t>
      </w:r>
      <w:r w:rsidR="005C45C7" w:rsidRPr="00FD1578">
        <w:rPr>
          <w:szCs w:val="20"/>
        </w:rPr>
        <w:t xml:space="preserve">iskāli neitrāli pasākumi, kas apvieno izdevumu palielinošus pasākumus ar </w:t>
      </w:r>
      <w:proofErr w:type="spellStart"/>
      <w:r w:rsidR="005C45C7" w:rsidRPr="00FD1578">
        <w:rPr>
          <w:szCs w:val="20"/>
        </w:rPr>
        <w:t>diskrecionāriem</w:t>
      </w:r>
      <w:proofErr w:type="spellEnd"/>
      <w:r w:rsidR="005C45C7" w:rsidRPr="00FD1578">
        <w:rPr>
          <w:szCs w:val="20"/>
        </w:rPr>
        <w:t xml:space="preserve"> ieņēmumus palielinošiem pasākumiem;</w:t>
      </w:r>
    </w:p>
    <w:p w14:paraId="2B160972" w14:textId="3F3755A4" w:rsidR="00D96F93" w:rsidRPr="00FD1578" w:rsidRDefault="00DA725D" w:rsidP="00F87D38">
      <w:pPr>
        <w:pStyle w:val="ListParagraph"/>
        <w:numPr>
          <w:ilvl w:val="0"/>
          <w:numId w:val="14"/>
        </w:numPr>
        <w:rPr>
          <w:szCs w:val="20"/>
        </w:rPr>
      </w:pPr>
      <w:r w:rsidRPr="00FD1578">
        <w:rPr>
          <w:szCs w:val="20"/>
        </w:rPr>
        <w:t>f</w:t>
      </w:r>
      <w:r w:rsidR="005C45C7" w:rsidRPr="00FD1578">
        <w:rPr>
          <w:szCs w:val="20"/>
        </w:rPr>
        <w:t xml:space="preserve">iskāli neitrāli pasākumi, kas apvieno izdevumu palielinošus pasākumus ar </w:t>
      </w:r>
      <w:proofErr w:type="spellStart"/>
      <w:r w:rsidR="005C45C7" w:rsidRPr="00FD1578">
        <w:rPr>
          <w:szCs w:val="20"/>
        </w:rPr>
        <w:t>nediskrecionāriem</w:t>
      </w:r>
      <w:proofErr w:type="spellEnd"/>
      <w:r w:rsidR="005C45C7" w:rsidRPr="00FD1578">
        <w:rPr>
          <w:szCs w:val="20"/>
        </w:rPr>
        <w:t xml:space="preserve"> ieņēmumus palielinošiem pasākumiem;</w:t>
      </w:r>
      <w:r w:rsidR="00D96F93" w:rsidRPr="00FD1578">
        <w:rPr>
          <w:szCs w:val="20"/>
        </w:rPr>
        <w:t xml:space="preserve"> </w:t>
      </w:r>
    </w:p>
    <w:p w14:paraId="632D7A6B" w14:textId="1E3A07C5" w:rsidR="00281F7D" w:rsidRPr="00FD1578" w:rsidRDefault="00DA725D" w:rsidP="00F87D38">
      <w:pPr>
        <w:pStyle w:val="ListParagraph"/>
        <w:numPr>
          <w:ilvl w:val="0"/>
          <w:numId w:val="14"/>
        </w:numPr>
        <w:rPr>
          <w:szCs w:val="20"/>
        </w:rPr>
      </w:pPr>
      <w:r w:rsidRPr="00FD1578">
        <w:rPr>
          <w:szCs w:val="20"/>
        </w:rPr>
        <w:t>f</w:t>
      </w:r>
      <w:r w:rsidR="00281F7D" w:rsidRPr="00FD1578">
        <w:rPr>
          <w:szCs w:val="20"/>
        </w:rPr>
        <w:t>iskāli neitrāli pasākumi, kas apvieno izdevumus palielinošu pasākum</w:t>
      </w:r>
      <w:r w:rsidR="00C218BD">
        <w:rPr>
          <w:szCs w:val="20"/>
        </w:rPr>
        <w:t>u</w:t>
      </w:r>
      <w:r w:rsidR="00281F7D" w:rsidRPr="00FD1578">
        <w:rPr>
          <w:szCs w:val="20"/>
        </w:rPr>
        <w:t xml:space="preserve"> ar citu izdevumus samazinošu pasākumu.</w:t>
      </w:r>
    </w:p>
    <w:p w14:paraId="79AA70B4" w14:textId="3DC81365" w:rsidR="005244B9" w:rsidRPr="00FD1578" w:rsidRDefault="00281F7D" w:rsidP="008349F0">
      <w:pPr>
        <w:rPr>
          <w:szCs w:val="20"/>
        </w:rPr>
      </w:pPr>
      <w:r w:rsidRPr="00FD1578">
        <w:rPr>
          <w:szCs w:val="20"/>
        </w:rPr>
        <w:t>Ja 1.</w:t>
      </w:r>
      <w:r w:rsidR="00DA725D" w:rsidRPr="00FD1578">
        <w:rPr>
          <w:szCs w:val="20"/>
        </w:rPr>
        <w:t xml:space="preserve">, </w:t>
      </w:r>
      <w:r w:rsidRPr="00FD1578">
        <w:rPr>
          <w:szCs w:val="20"/>
        </w:rPr>
        <w:t>2</w:t>
      </w:r>
      <w:r w:rsidR="00DA725D" w:rsidRPr="00FD1578">
        <w:rPr>
          <w:szCs w:val="20"/>
        </w:rPr>
        <w:t xml:space="preserve">., </w:t>
      </w:r>
      <w:r w:rsidRPr="00FD1578">
        <w:rPr>
          <w:szCs w:val="20"/>
        </w:rPr>
        <w:t xml:space="preserve">4. un 6. pasākums vienādā mērā ietekmē visus 3 fiskālos nosacījumus, t. i. – tos pieņemot, fiskālā telpa tiek palielināta </w:t>
      </w:r>
      <w:r w:rsidR="00DA725D" w:rsidRPr="00FD1578">
        <w:rPr>
          <w:szCs w:val="20"/>
        </w:rPr>
        <w:t xml:space="preserve">un </w:t>
      </w:r>
      <w:r w:rsidRPr="00FD1578">
        <w:rPr>
          <w:szCs w:val="20"/>
        </w:rPr>
        <w:t xml:space="preserve">samazināta par attiecīgā pasākuma fiskālo vērtību (ieņēmumi, izdevumi pēc </w:t>
      </w:r>
      <w:r w:rsidR="003F3631">
        <w:rPr>
          <w:szCs w:val="20"/>
        </w:rPr>
        <w:t>EKS</w:t>
      </w:r>
      <w:r w:rsidRPr="00FD1578">
        <w:rPr>
          <w:szCs w:val="20"/>
        </w:rPr>
        <w:t xml:space="preserve"> </w:t>
      </w:r>
      <w:r w:rsidR="00FD1578" w:rsidRPr="00FD1578">
        <w:rPr>
          <w:szCs w:val="20"/>
        </w:rPr>
        <w:t>metodoloģijas</w:t>
      </w:r>
      <w:r w:rsidRPr="00FD1578">
        <w:rPr>
          <w:szCs w:val="20"/>
        </w:rPr>
        <w:t xml:space="preserve">), 3. un 5. pasākums atšķirīgi ietekmē bilances nosacījumus un </w:t>
      </w:r>
      <w:r w:rsidR="004B105E" w:rsidRPr="00FD1578">
        <w:rPr>
          <w:szCs w:val="20"/>
        </w:rPr>
        <w:t xml:space="preserve">ES </w:t>
      </w:r>
      <w:r w:rsidRPr="00FD1578">
        <w:rPr>
          <w:szCs w:val="20"/>
        </w:rPr>
        <w:t xml:space="preserve">izdevumu pieauguma nosacījumu. Ja tiek pieņemts lēmums par </w:t>
      </w:r>
      <w:proofErr w:type="spellStart"/>
      <w:r w:rsidR="00C10618">
        <w:rPr>
          <w:szCs w:val="20"/>
        </w:rPr>
        <w:t>ne</w:t>
      </w:r>
      <w:r w:rsidRPr="00FD1578">
        <w:rPr>
          <w:szCs w:val="20"/>
        </w:rPr>
        <w:t>diskrecionāru</w:t>
      </w:r>
      <w:proofErr w:type="spellEnd"/>
      <w:r w:rsidRPr="00FD1578">
        <w:rPr>
          <w:szCs w:val="20"/>
        </w:rPr>
        <w:t xml:space="preserve"> ieņēmumu pasākumu, tas palielina </w:t>
      </w:r>
      <w:r w:rsidR="00FD1578" w:rsidRPr="00FD1578">
        <w:rPr>
          <w:szCs w:val="20"/>
        </w:rPr>
        <w:t>ieņēmumus</w:t>
      </w:r>
      <w:r w:rsidRPr="00FD1578">
        <w:rPr>
          <w:szCs w:val="20"/>
        </w:rPr>
        <w:t xml:space="preserve"> un </w:t>
      </w:r>
      <w:r w:rsidR="00841639" w:rsidRPr="00FD1578">
        <w:rPr>
          <w:szCs w:val="20"/>
        </w:rPr>
        <w:t xml:space="preserve">ietekmē </w:t>
      </w:r>
      <w:r w:rsidRPr="00FD1578">
        <w:rPr>
          <w:szCs w:val="20"/>
        </w:rPr>
        <w:t xml:space="preserve">bilanci, tomēr tas </w:t>
      </w:r>
      <w:r w:rsidR="00841639" w:rsidRPr="00FD1578">
        <w:rPr>
          <w:szCs w:val="20"/>
        </w:rPr>
        <w:t xml:space="preserve">neietekmē </w:t>
      </w:r>
      <w:r w:rsidRPr="00FD1578">
        <w:rPr>
          <w:szCs w:val="20"/>
        </w:rPr>
        <w:t xml:space="preserve">izdevumu pieauguma nosacījumu, jo izdevumus var kāpināt tikai tad, ja kāpums tiek finansēts ar </w:t>
      </w:r>
      <w:proofErr w:type="spellStart"/>
      <w:r w:rsidRPr="00FD1578">
        <w:rPr>
          <w:szCs w:val="20"/>
        </w:rPr>
        <w:t>diskrecionāru</w:t>
      </w:r>
      <w:proofErr w:type="spellEnd"/>
      <w:r w:rsidRPr="00FD1578">
        <w:rPr>
          <w:szCs w:val="20"/>
        </w:rPr>
        <w:t xml:space="preserve"> ieņēmumu pasākumu. Šāda pasākuma rezultātā var mainīties </w:t>
      </w:r>
      <w:r w:rsidR="00EE46B6" w:rsidRPr="00FD1578">
        <w:rPr>
          <w:szCs w:val="20"/>
        </w:rPr>
        <w:t xml:space="preserve">dominējošais fiskālais nosacījums – bilance uzlabojas un fiskālo telpu var sākt ierobežot izdevumu pieauguma nosacījums, kas paliek nemainīgs. Tas nozīmē, ka vairs nav spēkā pieņēmums, ka ja tiek atbalstīts jauns </w:t>
      </w:r>
      <w:proofErr w:type="spellStart"/>
      <w:r w:rsidR="00EE46B6" w:rsidRPr="00FD1578">
        <w:rPr>
          <w:szCs w:val="20"/>
        </w:rPr>
        <w:t>nediskrecionārs</w:t>
      </w:r>
      <w:proofErr w:type="spellEnd"/>
      <w:r w:rsidR="00EE46B6" w:rsidRPr="00FD1578">
        <w:rPr>
          <w:szCs w:val="20"/>
        </w:rPr>
        <w:t xml:space="preserve"> ieņēmumus palielinoš</w:t>
      </w:r>
      <w:r w:rsidR="009B09D8">
        <w:rPr>
          <w:szCs w:val="20"/>
        </w:rPr>
        <w:t>s</w:t>
      </w:r>
      <w:r w:rsidR="00EE46B6" w:rsidRPr="00FD1578">
        <w:rPr>
          <w:szCs w:val="20"/>
        </w:rPr>
        <w:t xml:space="preserve"> pasākums, piemēram, par 50 </w:t>
      </w:r>
      <w:r w:rsidR="004B105E" w:rsidRPr="00FD1578">
        <w:rPr>
          <w:szCs w:val="20"/>
        </w:rPr>
        <w:t xml:space="preserve">milj. </w:t>
      </w:r>
      <w:proofErr w:type="spellStart"/>
      <w:r w:rsidR="004B105E" w:rsidRPr="00FD1578">
        <w:rPr>
          <w:i/>
          <w:iCs/>
          <w:szCs w:val="20"/>
        </w:rPr>
        <w:t>euro</w:t>
      </w:r>
      <w:proofErr w:type="spellEnd"/>
      <w:r w:rsidR="00EE46B6" w:rsidRPr="00FD1578">
        <w:rPr>
          <w:szCs w:val="20"/>
        </w:rPr>
        <w:t>, tad fiskālā telpa arī palielin</w:t>
      </w:r>
      <w:r w:rsidR="009B09D8">
        <w:rPr>
          <w:szCs w:val="20"/>
        </w:rPr>
        <w:t>ā</w:t>
      </w:r>
      <w:r w:rsidR="00EE46B6" w:rsidRPr="00FD1578">
        <w:rPr>
          <w:szCs w:val="20"/>
        </w:rPr>
        <w:t xml:space="preserve">s par 50 </w:t>
      </w:r>
      <w:r w:rsidR="004B105E" w:rsidRPr="00FD1578">
        <w:rPr>
          <w:szCs w:val="20"/>
        </w:rPr>
        <w:t xml:space="preserve">milj. </w:t>
      </w:r>
      <w:proofErr w:type="spellStart"/>
      <w:r w:rsidR="004B105E" w:rsidRPr="00FD1578">
        <w:rPr>
          <w:i/>
          <w:iCs/>
          <w:szCs w:val="20"/>
        </w:rPr>
        <w:t>euro</w:t>
      </w:r>
      <w:proofErr w:type="spellEnd"/>
      <w:r w:rsidR="00EE46B6" w:rsidRPr="00FD1578">
        <w:rPr>
          <w:szCs w:val="20"/>
        </w:rPr>
        <w:t xml:space="preserve"> – un to attiecīgi </w:t>
      </w:r>
      <w:r w:rsidR="00EE46B6" w:rsidRPr="00FD1578">
        <w:rPr>
          <w:szCs w:val="20"/>
        </w:rPr>
        <w:lastRenderedPageBreak/>
        <w:t>var izmantot kāda cita jauna pasākuma finansēšanai. Patiesībā var gadīties tā, ka daļa no šī pasākuma palielina fiskālo telpu (līdz apmēram, kad mainās dominējošais fiskālais nosacījums)</w:t>
      </w:r>
      <w:r w:rsidR="009B09D8">
        <w:rPr>
          <w:szCs w:val="20"/>
        </w:rPr>
        <w:t>,</w:t>
      </w:r>
      <w:r w:rsidR="00EE46B6" w:rsidRPr="00FD1578">
        <w:rPr>
          <w:szCs w:val="20"/>
        </w:rPr>
        <w:t xml:space="preserve"> bet pārējā daļa fiskālo telpu nepalielina. Piemēram, </w:t>
      </w:r>
      <w:proofErr w:type="spellStart"/>
      <w:r w:rsidR="00EE46B6" w:rsidRPr="00FD1578">
        <w:rPr>
          <w:szCs w:val="20"/>
        </w:rPr>
        <w:t>nediskrecionāra</w:t>
      </w:r>
      <w:proofErr w:type="spellEnd"/>
      <w:r w:rsidR="00EE46B6" w:rsidRPr="00FD1578">
        <w:rPr>
          <w:szCs w:val="20"/>
        </w:rPr>
        <w:t xml:space="preserve"> 50 </w:t>
      </w:r>
      <w:r w:rsidR="004B105E" w:rsidRPr="00FD1578">
        <w:rPr>
          <w:szCs w:val="20"/>
        </w:rPr>
        <w:t xml:space="preserve">milj. </w:t>
      </w:r>
      <w:proofErr w:type="spellStart"/>
      <w:r w:rsidR="004B105E" w:rsidRPr="00FD1578">
        <w:rPr>
          <w:i/>
          <w:iCs/>
          <w:szCs w:val="20"/>
        </w:rPr>
        <w:t>euro</w:t>
      </w:r>
      <w:proofErr w:type="spellEnd"/>
      <w:r w:rsidR="00FD1578">
        <w:rPr>
          <w:i/>
          <w:iCs/>
          <w:szCs w:val="20"/>
        </w:rPr>
        <w:t xml:space="preserve"> </w:t>
      </w:r>
      <w:r w:rsidR="00EE46B6" w:rsidRPr="00FD1578">
        <w:rPr>
          <w:szCs w:val="20"/>
        </w:rPr>
        <w:t>ieņēmumus palielin</w:t>
      </w:r>
      <w:r w:rsidR="005244B9" w:rsidRPr="00FD1578">
        <w:rPr>
          <w:szCs w:val="20"/>
        </w:rPr>
        <w:t>o</w:t>
      </w:r>
      <w:r w:rsidR="00EE46B6" w:rsidRPr="00FD1578">
        <w:rPr>
          <w:szCs w:val="20"/>
        </w:rPr>
        <w:t>ša pasākuma ietekme uz fiskālo</w:t>
      </w:r>
      <w:r w:rsidR="005244B9" w:rsidRPr="00FD1578">
        <w:rPr>
          <w:szCs w:val="20"/>
        </w:rPr>
        <w:t xml:space="preserve"> telpu ir 40 </w:t>
      </w:r>
      <w:r w:rsidR="004B105E" w:rsidRPr="00FD1578">
        <w:rPr>
          <w:szCs w:val="20"/>
        </w:rPr>
        <w:t xml:space="preserve">milj. </w:t>
      </w:r>
      <w:proofErr w:type="spellStart"/>
      <w:r w:rsidR="004B105E" w:rsidRPr="00FD1578">
        <w:rPr>
          <w:i/>
          <w:iCs/>
          <w:szCs w:val="20"/>
        </w:rPr>
        <w:t>euro</w:t>
      </w:r>
      <w:proofErr w:type="spellEnd"/>
      <w:r w:rsidR="005244B9" w:rsidRPr="00FD1578">
        <w:rPr>
          <w:szCs w:val="20"/>
        </w:rPr>
        <w:t xml:space="preserve">. Augstāk minētais attiecas arī uz 5. kategorijas pasākumu, kas var nebūt fiskāli neitrāls un </w:t>
      </w:r>
      <w:r w:rsidR="004B105E" w:rsidRPr="00FD1578">
        <w:rPr>
          <w:szCs w:val="20"/>
        </w:rPr>
        <w:t xml:space="preserve">negatīvi </w:t>
      </w:r>
      <w:r w:rsidR="005244B9" w:rsidRPr="00FD1578">
        <w:rPr>
          <w:szCs w:val="20"/>
        </w:rPr>
        <w:t>ietekmēt fiskālo telpu va</w:t>
      </w:r>
      <w:r w:rsidR="004B105E" w:rsidRPr="00FD1578">
        <w:rPr>
          <w:szCs w:val="20"/>
        </w:rPr>
        <w:t>i</w:t>
      </w:r>
      <w:r w:rsidR="005244B9" w:rsidRPr="00FD1578">
        <w:rPr>
          <w:szCs w:val="20"/>
        </w:rPr>
        <w:t xml:space="preserve"> nu </w:t>
      </w:r>
      <w:r w:rsidR="004B105E" w:rsidRPr="00FD1578">
        <w:rPr>
          <w:szCs w:val="20"/>
        </w:rPr>
        <w:t xml:space="preserve">pasākuma </w:t>
      </w:r>
      <w:r w:rsidR="005244B9" w:rsidRPr="00FD1578">
        <w:rPr>
          <w:szCs w:val="20"/>
        </w:rPr>
        <w:t>pilnā fiskālajā vērtībā, vai samazināt</w:t>
      </w:r>
      <w:r w:rsidR="004B105E" w:rsidRPr="00FD1578">
        <w:rPr>
          <w:szCs w:val="20"/>
        </w:rPr>
        <w:t>ā</w:t>
      </w:r>
      <w:r w:rsidR="005244B9" w:rsidRPr="00FD1578">
        <w:rPr>
          <w:szCs w:val="20"/>
        </w:rPr>
        <w:t xml:space="preserve"> vērtībā.</w:t>
      </w:r>
    </w:p>
    <w:p w14:paraId="614D4719" w14:textId="4BE1E72F" w:rsidR="005244B9" w:rsidRPr="00FD1578" w:rsidRDefault="005244B9" w:rsidP="008349F0">
      <w:pPr>
        <w:rPr>
          <w:szCs w:val="20"/>
        </w:rPr>
      </w:pPr>
      <w:r w:rsidRPr="00FD1578">
        <w:rPr>
          <w:szCs w:val="20"/>
        </w:rPr>
        <w:t>Līdz ar to jaunais ES fiskālais regulējums rada samērā kompleksu jauno p</w:t>
      </w:r>
      <w:r w:rsidR="004B105E" w:rsidRPr="00FD1578">
        <w:rPr>
          <w:szCs w:val="20"/>
        </w:rPr>
        <w:t>o</w:t>
      </w:r>
      <w:r w:rsidRPr="00FD1578">
        <w:rPr>
          <w:szCs w:val="20"/>
        </w:rPr>
        <w:t>litikas pasākumu efektu uz fiskālajiem nosacījumiem un fiskālo telpu.</w:t>
      </w:r>
    </w:p>
    <w:p w14:paraId="74CA4A0F" w14:textId="7C798C89" w:rsidR="005244B9" w:rsidRPr="00FD1578" w:rsidRDefault="005244B9" w:rsidP="008349F0">
      <w:pPr>
        <w:rPr>
          <w:szCs w:val="20"/>
        </w:rPr>
      </w:pPr>
      <w:r w:rsidRPr="00FD1578">
        <w:rPr>
          <w:szCs w:val="20"/>
        </w:rPr>
        <w:t>Ņemot vērā visus MK apstiprinātos jaunos pasākumus, fiskālie nosacījumi nosaka atšķirīgu strukt</w:t>
      </w:r>
      <w:r w:rsidR="00FD1578" w:rsidRPr="00FD1578">
        <w:rPr>
          <w:szCs w:val="20"/>
        </w:rPr>
        <w:t>u</w:t>
      </w:r>
      <w:r w:rsidRPr="00FD1578">
        <w:rPr>
          <w:szCs w:val="20"/>
        </w:rPr>
        <w:t>rālo bilanci</w:t>
      </w:r>
      <w:r w:rsidR="002B6BF3">
        <w:rPr>
          <w:szCs w:val="20"/>
        </w:rPr>
        <w:t xml:space="preserve"> ES strukturālās primārās bilances un</w:t>
      </w:r>
      <w:r w:rsidR="005F203B" w:rsidRPr="00FD1578">
        <w:rPr>
          <w:szCs w:val="20"/>
        </w:rPr>
        <w:t xml:space="preserve"> </w:t>
      </w:r>
      <w:r w:rsidR="002B6BF3" w:rsidRPr="00FD1578">
        <w:rPr>
          <w:szCs w:val="20"/>
        </w:rPr>
        <w:t xml:space="preserve">ES </w:t>
      </w:r>
      <w:r w:rsidR="005F203B" w:rsidRPr="00FD1578">
        <w:rPr>
          <w:szCs w:val="20"/>
        </w:rPr>
        <w:t>izdevumu pieauguma nosacījumam</w:t>
      </w:r>
      <w:r w:rsidR="002B6BF3">
        <w:rPr>
          <w:szCs w:val="20"/>
        </w:rPr>
        <w:t>.</w:t>
      </w:r>
    </w:p>
    <w:p w14:paraId="3C135B8C" w14:textId="77777777" w:rsidR="005F203B" w:rsidRPr="00FD1578" w:rsidRDefault="005F203B" w:rsidP="008349F0">
      <w:pPr>
        <w:spacing w:after="0"/>
        <w:rPr>
          <w:color w:val="000000" w:themeColor="text1"/>
          <w:szCs w:val="24"/>
          <w:highlight w:val="lightGray"/>
        </w:rPr>
      </w:pPr>
    </w:p>
    <w:p w14:paraId="4DABEA71" w14:textId="606D718D" w:rsidR="005F203B" w:rsidRPr="00FD1578" w:rsidRDefault="00CF48B6" w:rsidP="008349F0">
      <w:pPr>
        <w:pStyle w:val="ListParagraph"/>
        <w:widowControl w:val="0"/>
        <w:ind w:left="0"/>
        <w:contextualSpacing w:val="0"/>
        <w:jc w:val="right"/>
        <w:rPr>
          <w:rFonts w:eastAsia="Times New Roman" w:cs="Times New Roman"/>
          <w:bCs/>
          <w:i/>
          <w:iCs/>
          <w:szCs w:val="28"/>
          <w:highlight w:val="lightGray"/>
          <w:lang w:eastAsia="en-US"/>
        </w:rPr>
      </w:pPr>
      <w:r w:rsidRPr="00FD1578">
        <w:rPr>
          <w:rFonts w:eastAsia="Times New Roman" w:cs="Times New Roman"/>
          <w:b/>
          <w:i/>
          <w:iCs/>
          <w:szCs w:val="24"/>
          <w:lang w:eastAsia="en-US"/>
        </w:rPr>
        <w:t>2.</w:t>
      </w:r>
      <w:r w:rsidR="005C63FF" w:rsidRPr="00FD1578">
        <w:rPr>
          <w:rFonts w:eastAsia="Times New Roman" w:cs="Times New Roman"/>
          <w:b/>
          <w:i/>
          <w:iCs/>
          <w:szCs w:val="24"/>
          <w:lang w:eastAsia="en-US"/>
        </w:rPr>
        <w:t>7</w:t>
      </w:r>
      <w:r w:rsidRPr="00FD1578">
        <w:rPr>
          <w:rFonts w:eastAsia="Times New Roman" w:cs="Times New Roman"/>
          <w:b/>
          <w:i/>
          <w:iCs/>
          <w:szCs w:val="24"/>
          <w:lang w:eastAsia="en-US"/>
        </w:rPr>
        <w:t>.</w:t>
      </w:r>
      <w:r w:rsidR="005F203B" w:rsidRPr="00FD1578">
        <w:rPr>
          <w:rFonts w:eastAsia="Times New Roman" w:cs="Times New Roman"/>
          <w:b/>
          <w:i/>
          <w:iCs/>
          <w:szCs w:val="24"/>
          <w:lang w:eastAsia="en-US"/>
        </w:rPr>
        <w:t xml:space="preserve"> tabula </w:t>
      </w:r>
      <w:r w:rsidR="005F203B" w:rsidRPr="00FD1578">
        <w:rPr>
          <w:rFonts w:eastAsia="Times New Roman" w:cs="Times New Roman"/>
          <w:b/>
          <w:i/>
          <w:iCs/>
        </w:rPr>
        <w:t>V</w:t>
      </w:r>
      <w:r w:rsidR="005F203B" w:rsidRPr="00FD1578">
        <w:rPr>
          <w:rFonts w:eastAsia="Times New Roman" w:cs="Times New Roman"/>
          <w:b/>
          <w:i/>
          <w:iCs/>
          <w:szCs w:val="24"/>
        </w:rPr>
        <w:t>ispārējās valdības strukturālās bilances mērķi,</w:t>
      </w:r>
      <w:r w:rsidR="005F203B" w:rsidRPr="00FD1578">
        <w:rPr>
          <w:rFonts w:eastAsia="Times New Roman" w:cs="Times New Roman"/>
          <w:b/>
          <w:i/>
          <w:iCs/>
        </w:rPr>
        <w:t xml:space="preserve"> </w:t>
      </w:r>
      <w:r w:rsidR="005F203B" w:rsidRPr="00FD1578">
        <w:rPr>
          <w:rFonts w:eastAsia="Times New Roman" w:cs="Times New Roman"/>
          <w:b/>
          <w:i/>
          <w:iCs/>
          <w:szCs w:val="24"/>
        </w:rPr>
        <w:t xml:space="preserve">balstoties uz FDL </w:t>
      </w:r>
      <w:r w:rsidR="005F203B" w:rsidRPr="00FD1578">
        <w:rPr>
          <w:rFonts w:eastAsia="Times New Roman" w:cs="Times New Roman"/>
          <w:b/>
          <w:i/>
          <w:iCs/>
        </w:rPr>
        <w:t>strukturālās bilances nosacījumu</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737"/>
        <w:gridCol w:w="737"/>
        <w:gridCol w:w="737"/>
        <w:gridCol w:w="737"/>
      </w:tblGrid>
      <w:tr w:rsidR="005F203B" w:rsidRPr="00FD1578" w14:paraId="3627C9CE" w14:textId="77777777" w:rsidTr="005F203B">
        <w:trPr>
          <w:trHeight w:val="20"/>
          <w:tblHeader/>
          <w:jc w:val="center"/>
        </w:trPr>
        <w:tc>
          <w:tcPr>
            <w:tcW w:w="3397" w:type="dxa"/>
            <w:shd w:val="clear" w:color="auto" w:fill="BDD6EE" w:themeFill="accent1" w:themeFillTint="66"/>
            <w:noWrap/>
            <w:vAlign w:val="bottom"/>
            <w:hideMark/>
          </w:tcPr>
          <w:p w14:paraId="574DD00F"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737" w:type="dxa"/>
            <w:shd w:val="clear" w:color="auto" w:fill="BDD6EE" w:themeFill="accent1" w:themeFillTint="66"/>
            <w:noWrap/>
            <w:vAlign w:val="center"/>
            <w:hideMark/>
          </w:tcPr>
          <w:p w14:paraId="1EB1F00C"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737" w:type="dxa"/>
            <w:shd w:val="clear" w:color="auto" w:fill="BDD6EE" w:themeFill="accent1" w:themeFillTint="66"/>
            <w:noWrap/>
            <w:vAlign w:val="center"/>
            <w:hideMark/>
          </w:tcPr>
          <w:p w14:paraId="2B52BB4D"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737" w:type="dxa"/>
            <w:shd w:val="clear" w:color="auto" w:fill="BDD6EE" w:themeFill="accent1" w:themeFillTint="66"/>
            <w:vAlign w:val="center"/>
          </w:tcPr>
          <w:p w14:paraId="1FE842A1"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737" w:type="dxa"/>
            <w:shd w:val="clear" w:color="auto" w:fill="BDD6EE" w:themeFill="accent1" w:themeFillTint="66"/>
            <w:noWrap/>
            <w:vAlign w:val="center"/>
            <w:hideMark/>
          </w:tcPr>
          <w:p w14:paraId="2C50E32C"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5F203B" w:rsidRPr="00FD1578" w14:paraId="13721957" w14:textId="77777777" w:rsidTr="005F203B">
        <w:trPr>
          <w:trHeight w:val="20"/>
          <w:jc w:val="center"/>
        </w:trPr>
        <w:tc>
          <w:tcPr>
            <w:tcW w:w="3397" w:type="dxa"/>
            <w:shd w:val="clear" w:color="auto" w:fill="BDD6EE" w:themeFill="accent1" w:themeFillTint="66"/>
            <w:noWrap/>
            <w:vAlign w:val="center"/>
            <w:hideMark/>
          </w:tcPr>
          <w:p w14:paraId="4B753F38" w14:textId="77777777" w:rsidR="005F203B" w:rsidRPr="00FD1578" w:rsidRDefault="005F203B" w:rsidP="008349F0">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Vispārējās valdības strukturālās bilances prognoze un mērķi, % no IKP</w:t>
            </w:r>
          </w:p>
        </w:tc>
        <w:tc>
          <w:tcPr>
            <w:tcW w:w="737" w:type="dxa"/>
            <w:shd w:val="clear" w:color="auto" w:fill="BDD6EE" w:themeFill="accent1" w:themeFillTint="66"/>
            <w:noWrap/>
            <w:vAlign w:val="center"/>
          </w:tcPr>
          <w:p w14:paraId="0032B44F"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c>
          <w:tcPr>
            <w:tcW w:w="737" w:type="dxa"/>
            <w:shd w:val="clear" w:color="auto" w:fill="BDD6EE" w:themeFill="accent1" w:themeFillTint="66"/>
            <w:noWrap/>
            <w:vAlign w:val="center"/>
          </w:tcPr>
          <w:p w14:paraId="343BEB1B"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c>
          <w:tcPr>
            <w:tcW w:w="737" w:type="dxa"/>
            <w:shd w:val="clear" w:color="auto" w:fill="BDD6EE" w:themeFill="accent1" w:themeFillTint="66"/>
            <w:vAlign w:val="center"/>
          </w:tcPr>
          <w:p w14:paraId="79B72B52"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c>
          <w:tcPr>
            <w:tcW w:w="737" w:type="dxa"/>
            <w:shd w:val="clear" w:color="auto" w:fill="BDD6EE" w:themeFill="accent1" w:themeFillTint="66"/>
            <w:noWrap/>
            <w:vAlign w:val="center"/>
          </w:tcPr>
          <w:p w14:paraId="0305E014"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r>
    </w:tbl>
    <w:p w14:paraId="72830C61" w14:textId="77777777" w:rsidR="005244B9" w:rsidRPr="00FD1578" w:rsidRDefault="005244B9" w:rsidP="008349F0">
      <w:pPr>
        <w:rPr>
          <w:szCs w:val="20"/>
        </w:rPr>
      </w:pPr>
    </w:p>
    <w:p w14:paraId="3D672F34" w14:textId="7894D41E" w:rsidR="005F203B" w:rsidRPr="00FD1578" w:rsidRDefault="00CF48B6" w:rsidP="008349F0">
      <w:pPr>
        <w:widowControl w:val="0"/>
        <w:jc w:val="right"/>
        <w:rPr>
          <w:rFonts w:eastAsia="Times New Roman" w:cs="Times New Roman"/>
          <w:b/>
          <w:i/>
          <w:iCs/>
          <w:szCs w:val="24"/>
        </w:rPr>
      </w:pPr>
      <w:r w:rsidRPr="00FD1578">
        <w:rPr>
          <w:b/>
          <w:bCs/>
          <w:i/>
          <w:iCs/>
          <w:szCs w:val="20"/>
        </w:rPr>
        <w:t>2.</w:t>
      </w:r>
      <w:r w:rsidR="005C63FF" w:rsidRPr="00FD1578">
        <w:rPr>
          <w:b/>
          <w:bCs/>
          <w:i/>
          <w:iCs/>
          <w:szCs w:val="20"/>
        </w:rPr>
        <w:t>8</w:t>
      </w:r>
      <w:r w:rsidRPr="00FD1578">
        <w:rPr>
          <w:b/>
          <w:bCs/>
          <w:i/>
          <w:iCs/>
          <w:szCs w:val="20"/>
        </w:rPr>
        <w:t>.</w:t>
      </w:r>
      <w:r w:rsidR="00B53441" w:rsidRPr="00FD1578">
        <w:rPr>
          <w:b/>
          <w:bCs/>
          <w:i/>
          <w:iCs/>
          <w:szCs w:val="20"/>
        </w:rPr>
        <w:t xml:space="preserve"> tabula</w:t>
      </w:r>
      <w:r w:rsidR="00EE46B6" w:rsidRPr="00FD1578">
        <w:rPr>
          <w:b/>
          <w:bCs/>
          <w:i/>
          <w:iCs/>
          <w:szCs w:val="20"/>
        </w:rPr>
        <w:t xml:space="preserve"> </w:t>
      </w:r>
      <w:r w:rsidR="005F203B" w:rsidRPr="00FD1578">
        <w:rPr>
          <w:rFonts w:eastAsia="Times New Roman" w:cs="Times New Roman"/>
          <w:b/>
          <w:i/>
          <w:iCs/>
          <w:szCs w:val="24"/>
        </w:rPr>
        <w:t>Vispārējās valdības strukturālās bilances mērķi, balstoties uz ES strukturālās primārās bilances nosacījumu</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709"/>
        <w:gridCol w:w="1048"/>
        <w:gridCol w:w="1049"/>
        <w:gridCol w:w="1049"/>
        <w:gridCol w:w="1049"/>
        <w:gridCol w:w="1049"/>
      </w:tblGrid>
      <w:tr w:rsidR="005F203B" w:rsidRPr="00FD1578" w14:paraId="43049944" w14:textId="77777777" w:rsidTr="00A81E9A">
        <w:trPr>
          <w:trHeight w:val="20"/>
          <w:jc w:val="center"/>
        </w:trPr>
        <w:tc>
          <w:tcPr>
            <w:tcW w:w="2693" w:type="dxa"/>
            <w:shd w:val="clear" w:color="auto" w:fill="BDD6EE" w:themeFill="accent1" w:themeFillTint="66"/>
            <w:noWrap/>
            <w:vAlign w:val="bottom"/>
            <w:hideMark/>
          </w:tcPr>
          <w:p w14:paraId="3A8AB136"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709" w:type="dxa"/>
            <w:shd w:val="clear" w:color="auto" w:fill="BDD6EE" w:themeFill="accent1" w:themeFillTint="66"/>
          </w:tcPr>
          <w:p w14:paraId="75BD3DDB" w14:textId="77777777" w:rsidR="005F203B" w:rsidRPr="00FD1578" w:rsidRDefault="005F203B" w:rsidP="008349F0">
            <w:pPr>
              <w:spacing w:before="60" w:after="0"/>
              <w:ind w:firstLine="0"/>
              <w:jc w:val="center"/>
              <w:rPr>
                <w:rFonts w:eastAsia="Times New Roman" w:cs="Times New Roman"/>
                <w:color w:val="000000"/>
                <w:sz w:val="18"/>
                <w:szCs w:val="18"/>
              </w:rPr>
            </w:pPr>
          </w:p>
        </w:tc>
        <w:tc>
          <w:tcPr>
            <w:tcW w:w="1048" w:type="dxa"/>
            <w:shd w:val="clear" w:color="auto" w:fill="BDD6EE" w:themeFill="accent1" w:themeFillTint="66"/>
            <w:noWrap/>
            <w:vAlign w:val="center"/>
            <w:hideMark/>
          </w:tcPr>
          <w:p w14:paraId="77FAE135"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2024</w:t>
            </w:r>
          </w:p>
        </w:tc>
        <w:tc>
          <w:tcPr>
            <w:tcW w:w="1049" w:type="dxa"/>
            <w:shd w:val="clear" w:color="auto" w:fill="BDD6EE" w:themeFill="accent1" w:themeFillTint="66"/>
            <w:noWrap/>
            <w:vAlign w:val="center"/>
            <w:hideMark/>
          </w:tcPr>
          <w:p w14:paraId="6E9EA8C2"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1049" w:type="dxa"/>
            <w:shd w:val="clear" w:color="auto" w:fill="BDD6EE" w:themeFill="accent1" w:themeFillTint="66"/>
            <w:noWrap/>
            <w:vAlign w:val="center"/>
            <w:hideMark/>
          </w:tcPr>
          <w:p w14:paraId="57BD1A14"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1049" w:type="dxa"/>
            <w:shd w:val="clear" w:color="auto" w:fill="BDD6EE" w:themeFill="accent1" w:themeFillTint="66"/>
            <w:noWrap/>
            <w:vAlign w:val="center"/>
            <w:hideMark/>
          </w:tcPr>
          <w:p w14:paraId="0C9E57FF"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1049" w:type="dxa"/>
            <w:shd w:val="clear" w:color="auto" w:fill="BDD6EE" w:themeFill="accent1" w:themeFillTint="66"/>
            <w:noWrap/>
            <w:vAlign w:val="center"/>
            <w:hideMark/>
          </w:tcPr>
          <w:p w14:paraId="31A2863D"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5F203B" w:rsidRPr="00FD1578" w14:paraId="066286F9" w14:textId="77777777" w:rsidTr="00A81E9A">
        <w:trPr>
          <w:trHeight w:val="20"/>
          <w:jc w:val="center"/>
        </w:trPr>
        <w:tc>
          <w:tcPr>
            <w:tcW w:w="2693" w:type="dxa"/>
            <w:shd w:val="clear" w:color="auto" w:fill="auto"/>
            <w:noWrap/>
            <w:vAlign w:val="center"/>
          </w:tcPr>
          <w:p w14:paraId="2278AE01"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strukturālās primārās bilances mērķis, % no IKP</w:t>
            </w:r>
          </w:p>
        </w:tc>
        <w:tc>
          <w:tcPr>
            <w:tcW w:w="709" w:type="dxa"/>
            <w:vAlign w:val="center"/>
          </w:tcPr>
          <w:p w14:paraId="0AB83036"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p>
        </w:tc>
        <w:tc>
          <w:tcPr>
            <w:tcW w:w="1048" w:type="dxa"/>
            <w:shd w:val="clear" w:color="auto" w:fill="auto"/>
            <w:noWrap/>
            <w:vAlign w:val="center"/>
          </w:tcPr>
          <w:p w14:paraId="571E44E8"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-1,362</w:t>
            </w:r>
          </w:p>
        </w:tc>
        <w:tc>
          <w:tcPr>
            <w:tcW w:w="1049" w:type="dxa"/>
            <w:shd w:val="clear" w:color="auto" w:fill="auto"/>
            <w:noWrap/>
            <w:vAlign w:val="center"/>
          </w:tcPr>
          <w:p w14:paraId="3F466873"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-1,342</w:t>
            </w:r>
          </w:p>
        </w:tc>
        <w:tc>
          <w:tcPr>
            <w:tcW w:w="1049" w:type="dxa"/>
            <w:shd w:val="clear" w:color="auto" w:fill="FFFFFF" w:themeFill="background1"/>
            <w:noWrap/>
            <w:vAlign w:val="center"/>
            <w:hideMark/>
          </w:tcPr>
          <w:p w14:paraId="0B21DA66"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-1,322</w:t>
            </w:r>
          </w:p>
        </w:tc>
        <w:tc>
          <w:tcPr>
            <w:tcW w:w="1049" w:type="dxa"/>
            <w:shd w:val="clear" w:color="auto" w:fill="FFFFFF" w:themeFill="background1"/>
            <w:noWrap/>
            <w:vAlign w:val="center"/>
            <w:hideMark/>
          </w:tcPr>
          <w:p w14:paraId="2CC42DA2"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-1,302</w:t>
            </w:r>
          </w:p>
        </w:tc>
        <w:tc>
          <w:tcPr>
            <w:tcW w:w="1049" w:type="dxa"/>
            <w:shd w:val="clear" w:color="auto" w:fill="FFFFFF" w:themeFill="background1"/>
            <w:noWrap/>
            <w:vAlign w:val="center"/>
            <w:hideMark/>
          </w:tcPr>
          <w:p w14:paraId="7D176AA0"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-1,282</w:t>
            </w:r>
          </w:p>
        </w:tc>
      </w:tr>
      <w:tr w:rsidR="005F203B" w:rsidRPr="00FD1578" w14:paraId="3EACF978" w14:textId="77777777" w:rsidTr="00A81E9A">
        <w:trPr>
          <w:trHeight w:val="20"/>
          <w:jc w:val="center"/>
        </w:trPr>
        <w:tc>
          <w:tcPr>
            <w:tcW w:w="2693" w:type="dxa"/>
            <w:shd w:val="clear" w:color="auto" w:fill="auto"/>
            <w:noWrap/>
            <w:vAlign w:val="center"/>
          </w:tcPr>
          <w:p w14:paraId="0CE0A1E7"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vispārējās valdības procentu izdevumi, % no IKP</w:t>
            </w:r>
          </w:p>
        </w:tc>
        <w:tc>
          <w:tcPr>
            <w:tcW w:w="709" w:type="dxa"/>
            <w:vAlign w:val="center"/>
          </w:tcPr>
          <w:p w14:paraId="20AFCB2D"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w:t>
            </w:r>
          </w:p>
        </w:tc>
        <w:tc>
          <w:tcPr>
            <w:tcW w:w="1048" w:type="dxa"/>
            <w:shd w:val="clear" w:color="auto" w:fill="auto"/>
            <w:noWrap/>
            <w:vAlign w:val="center"/>
          </w:tcPr>
          <w:p w14:paraId="13122FED" w14:textId="77777777" w:rsidR="005F203B" w:rsidRPr="00FD1578" w:rsidRDefault="005F203B" w:rsidP="008349F0">
            <w:pPr>
              <w:spacing w:before="60" w:after="0"/>
              <w:ind w:firstLine="0"/>
              <w:jc w:val="center"/>
              <w:rPr>
                <w:rFonts w:eastAsia="Times New Roman" w:cs="Times New Roman"/>
                <w:color w:val="000000"/>
                <w:sz w:val="18"/>
                <w:szCs w:val="18"/>
              </w:rPr>
            </w:pPr>
          </w:p>
        </w:tc>
        <w:tc>
          <w:tcPr>
            <w:tcW w:w="1049" w:type="dxa"/>
            <w:shd w:val="clear" w:color="auto" w:fill="auto"/>
            <w:noWrap/>
            <w:vAlign w:val="center"/>
          </w:tcPr>
          <w:p w14:paraId="3BC561E0"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1,2</w:t>
            </w:r>
          </w:p>
        </w:tc>
        <w:tc>
          <w:tcPr>
            <w:tcW w:w="1049" w:type="dxa"/>
            <w:shd w:val="clear" w:color="auto" w:fill="FFFFFF" w:themeFill="background1"/>
            <w:noWrap/>
            <w:vAlign w:val="center"/>
            <w:hideMark/>
          </w:tcPr>
          <w:p w14:paraId="1E48B2DB"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1,4</w:t>
            </w:r>
          </w:p>
        </w:tc>
        <w:tc>
          <w:tcPr>
            <w:tcW w:w="1049" w:type="dxa"/>
            <w:shd w:val="clear" w:color="auto" w:fill="FFFFFF" w:themeFill="background1"/>
            <w:noWrap/>
            <w:vAlign w:val="center"/>
            <w:hideMark/>
          </w:tcPr>
          <w:p w14:paraId="66024549"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w:t>
            </w:r>
          </w:p>
        </w:tc>
        <w:tc>
          <w:tcPr>
            <w:tcW w:w="1049" w:type="dxa"/>
            <w:shd w:val="clear" w:color="auto" w:fill="FFFFFF" w:themeFill="background1"/>
            <w:noWrap/>
            <w:vAlign w:val="center"/>
            <w:hideMark/>
          </w:tcPr>
          <w:p w14:paraId="0028F789"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w:t>
            </w:r>
          </w:p>
        </w:tc>
      </w:tr>
      <w:tr w:rsidR="005F203B" w:rsidRPr="00FD1578" w14:paraId="6CA88101" w14:textId="77777777" w:rsidTr="00A81E9A">
        <w:trPr>
          <w:trHeight w:val="20"/>
          <w:jc w:val="center"/>
        </w:trPr>
        <w:tc>
          <w:tcPr>
            <w:tcW w:w="2693" w:type="dxa"/>
            <w:shd w:val="clear" w:color="auto" w:fill="auto"/>
            <w:noWrap/>
            <w:vAlign w:val="center"/>
          </w:tcPr>
          <w:p w14:paraId="0CEB3B01" w14:textId="77777777" w:rsidR="005F203B" w:rsidRPr="00FD1578" w:rsidRDefault="005F203B" w:rsidP="008349F0">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one-off</w:t>
            </w:r>
            <w:proofErr w:type="spellEnd"/>
            <w:r w:rsidRPr="00FD1578">
              <w:rPr>
                <w:rFonts w:eastAsia="Times New Roman" w:cs="Times New Roman"/>
                <w:color w:val="000000"/>
                <w:sz w:val="18"/>
                <w:szCs w:val="18"/>
              </w:rPr>
              <w:t xml:space="preserve"> un citi īslaicīgie pasākumi, % no IKP</w:t>
            </w:r>
          </w:p>
        </w:tc>
        <w:tc>
          <w:tcPr>
            <w:tcW w:w="709" w:type="dxa"/>
            <w:vAlign w:val="center"/>
          </w:tcPr>
          <w:p w14:paraId="37433F06"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w:t>
            </w:r>
          </w:p>
        </w:tc>
        <w:tc>
          <w:tcPr>
            <w:tcW w:w="1048" w:type="dxa"/>
            <w:shd w:val="clear" w:color="auto" w:fill="auto"/>
            <w:noWrap/>
            <w:vAlign w:val="center"/>
          </w:tcPr>
          <w:p w14:paraId="29D5A2B8" w14:textId="77777777" w:rsidR="005F203B" w:rsidRPr="00FD1578" w:rsidRDefault="005F203B" w:rsidP="008349F0">
            <w:pPr>
              <w:spacing w:before="60" w:after="0"/>
              <w:ind w:firstLine="0"/>
              <w:jc w:val="center"/>
              <w:rPr>
                <w:rFonts w:eastAsia="Times New Roman" w:cs="Times New Roman"/>
                <w:color w:val="000000"/>
                <w:sz w:val="18"/>
                <w:szCs w:val="18"/>
              </w:rPr>
            </w:pPr>
          </w:p>
        </w:tc>
        <w:tc>
          <w:tcPr>
            <w:tcW w:w="1049" w:type="dxa"/>
            <w:shd w:val="clear" w:color="auto" w:fill="auto"/>
            <w:noWrap/>
            <w:vAlign w:val="center"/>
          </w:tcPr>
          <w:p w14:paraId="03D04902" w14:textId="5E116A7D"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r w:rsidR="002B6BF3">
              <w:rPr>
                <w:rFonts w:eastAsia="Times New Roman" w:cs="Times New Roman"/>
                <w:color w:val="000000"/>
                <w:sz w:val="18"/>
                <w:szCs w:val="18"/>
              </w:rPr>
              <w:t>7</w:t>
            </w:r>
          </w:p>
        </w:tc>
        <w:tc>
          <w:tcPr>
            <w:tcW w:w="1049" w:type="dxa"/>
            <w:shd w:val="clear" w:color="auto" w:fill="FFFFFF" w:themeFill="background1"/>
            <w:noWrap/>
            <w:vAlign w:val="center"/>
            <w:hideMark/>
          </w:tcPr>
          <w:p w14:paraId="688D953C" w14:textId="5D2F2E0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r w:rsidR="002B6BF3">
              <w:rPr>
                <w:rFonts w:eastAsia="Times New Roman" w:cs="Times New Roman"/>
                <w:color w:val="000000"/>
                <w:sz w:val="18"/>
                <w:szCs w:val="18"/>
              </w:rPr>
              <w:t>8</w:t>
            </w:r>
          </w:p>
        </w:tc>
        <w:tc>
          <w:tcPr>
            <w:tcW w:w="1049" w:type="dxa"/>
            <w:shd w:val="clear" w:color="auto" w:fill="FFFFFF" w:themeFill="background1"/>
            <w:noWrap/>
            <w:vAlign w:val="center"/>
            <w:hideMark/>
          </w:tcPr>
          <w:p w14:paraId="1AA311E4" w14:textId="76059C9B"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r w:rsidR="002B6BF3">
              <w:rPr>
                <w:rFonts w:eastAsia="Times New Roman" w:cs="Times New Roman"/>
                <w:color w:val="000000"/>
                <w:sz w:val="18"/>
                <w:szCs w:val="18"/>
              </w:rPr>
              <w:t>7</w:t>
            </w:r>
          </w:p>
        </w:tc>
        <w:tc>
          <w:tcPr>
            <w:tcW w:w="1049" w:type="dxa"/>
            <w:shd w:val="clear" w:color="auto" w:fill="FFFFFF" w:themeFill="background1"/>
            <w:noWrap/>
            <w:vAlign w:val="center"/>
            <w:hideMark/>
          </w:tcPr>
          <w:p w14:paraId="7CF20B4D" w14:textId="5055CCE2"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r w:rsidR="002B6BF3">
              <w:rPr>
                <w:rFonts w:eastAsia="Times New Roman" w:cs="Times New Roman"/>
                <w:color w:val="000000"/>
                <w:sz w:val="18"/>
                <w:szCs w:val="18"/>
              </w:rPr>
              <w:t>3</w:t>
            </w:r>
          </w:p>
        </w:tc>
      </w:tr>
      <w:tr w:rsidR="005F203B" w:rsidRPr="00FD1578" w14:paraId="4D1243C3" w14:textId="77777777" w:rsidTr="00A81E9A">
        <w:trPr>
          <w:trHeight w:val="20"/>
          <w:jc w:val="center"/>
        </w:trPr>
        <w:tc>
          <w:tcPr>
            <w:tcW w:w="2693" w:type="dxa"/>
            <w:shd w:val="clear" w:color="auto" w:fill="BDD6EE" w:themeFill="accent1" w:themeFillTint="66"/>
            <w:noWrap/>
            <w:vAlign w:val="center"/>
          </w:tcPr>
          <w:p w14:paraId="176A0345" w14:textId="5C093C0A" w:rsidR="005F203B" w:rsidRPr="00FD1578" w:rsidRDefault="005F203B" w:rsidP="008349F0">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Vispārējās valdības strukturālās bilances mērķi, % no IKP</w:t>
            </w:r>
          </w:p>
        </w:tc>
        <w:tc>
          <w:tcPr>
            <w:tcW w:w="709" w:type="dxa"/>
            <w:shd w:val="clear" w:color="auto" w:fill="BDD6EE" w:themeFill="accent1" w:themeFillTint="66"/>
            <w:vAlign w:val="center"/>
          </w:tcPr>
          <w:p w14:paraId="590C23F0"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(4)</w:t>
            </w:r>
          </w:p>
        </w:tc>
        <w:tc>
          <w:tcPr>
            <w:tcW w:w="1048" w:type="dxa"/>
            <w:shd w:val="clear" w:color="auto" w:fill="BDD6EE" w:themeFill="accent1" w:themeFillTint="66"/>
            <w:noWrap/>
            <w:vAlign w:val="center"/>
          </w:tcPr>
          <w:p w14:paraId="41CB9F08" w14:textId="77777777" w:rsidR="005F203B" w:rsidRPr="00FD1578" w:rsidRDefault="005F203B" w:rsidP="008349F0">
            <w:pPr>
              <w:spacing w:before="60" w:after="0"/>
              <w:ind w:firstLine="0"/>
              <w:jc w:val="center"/>
              <w:rPr>
                <w:rFonts w:eastAsia="Times New Roman" w:cs="Times New Roman"/>
                <w:b/>
                <w:bCs/>
                <w:color w:val="000000"/>
                <w:sz w:val="18"/>
                <w:szCs w:val="18"/>
              </w:rPr>
            </w:pPr>
          </w:p>
        </w:tc>
        <w:tc>
          <w:tcPr>
            <w:tcW w:w="1049" w:type="dxa"/>
            <w:shd w:val="clear" w:color="auto" w:fill="BDD6EE" w:themeFill="accent1" w:themeFillTint="66"/>
            <w:noWrap/>
            <w:vAlign w:val="center"/>
          </w:tcPr>
          <w:p w14:paraId="3BA0BE83" w14:textId="06A1ED92"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-0,</w:t>
            </w:r>
            <w:r w:rsidR="002B6BF3">
              <w:rPr>
                <w:rFonts w:eastAsia="Times New Roman" w:cs="Times New Roman"/>
                <w:b/>
                <w:bCs/>
                <w:color w:val="000000"/>
                <w:sz w:val="18"/>
                <w:szCs w:val="18"/>
              </w:rPr>
              <w:t>817</w:t>
            </w:r>
          </w:p>
        </w:tc>
        <w:tc>
          <w:tcPr>
            <w:tcW w:w="1049" w:type="dxa"/>
            <w:shd w:val="clear" w:color="auto" w:fill="BDD6EE" w:themeFill="accent1" w:themeFillTint="66"/>
            <w:noWrap/>
            <w:vAlign w:val="center"/>
            <w:hideMark/>
          </w:tcPr>
          <w:p w14:paraId="20B981CE" w14:textId="0D23A9FF"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w:t>
            </w:r>
            <w:r w:rsidR="002B6BF3">
              <w:rPr>
                <w:rFonts w:eastAsia="Times New Roman" w:cs="Times New Roman"/>
                <w:b/>
                <w:bCs/>
                <w:color w:val="000000"/>
                <w:sz w:val="18"/>
                <w:szCs w:val="18"/>
              </w:rPr>
              <w:t>0,923</w:t>
            </w:r>
          </w:p>
        </w:tc>
        <w:tc>
          <w:tcPr>
            <w:tcW w:w="1049" w:type="dxa"/>
            <w:shd w:val="clear" w:color="auto" w:fill="BDD6EE" w:themeFill="accent1" w:themeFillTint="66"/>
            <w:noWrap/>
            <w:vAlign w:val="center"/>
            <w:hideMark/>
          </w:tcPr>
          <w:p w14:paraId="07B589FD" w14:textId="2C3D58B4" w:rsidR="005F203B" w:rsidRPr="00FD1578" w:rsidRDefault="002B6BF3" w:rsidP="008349F0">
            <w:pPr>
              <w:spacing w:before="60" w:after="0"/>
              <w:ind w:firstLine="0"/>
              <w:jc w:val="center"/>
              <w:rPr>
                <w:rFonts w:eastAsia="Times New Roman" w:cs="Times New Roman"/>
                <w:b/>
                <w:bCs/>
                <w:color w:val="000000"/>
                <w:sz w:val="18"/>
                <w:szCs w:val="18"/>
              </w:rPr>
            </w:pPr>
            <w:r>
              <w:rPr>
                <w:rFonts w:eastAsia="Times New Roman" w:cs="Times New Roman"/>
                <w:b/>
                <w:bCs/>
                <w:color w:val="000000"/>
                <w:sz w:val="18"/>
                <w:szCs w:val="18"/>
              </w:rPr>
              <w:t>-1,101</w:t>
            </w:r>
          </w:p>
        </w:tc>
        <w:tc>
          <w:tcPr>
            <w:tcW w:w="1049" w:type="dxa"/>
            <w:shd w:val="clear" w:color="auto" w:fill="BDD6EE" w:themeFill="accent1" w:themeFillTint="66"/>
            <w:noWrap/>
            <w:vAlign w:val="center"/>
            <w:hideMark/>
          </w:tcPr>
          <w:p w14:paraId="5A7B73B1" w14:textId="4880CCA7" w:rsidR="005F203B" w:rsidRPr="00FD1578" w:rsidRDefault="002B6BF3" w:rsidP="008349F0">
            <w:pPr>
              <w:spacing w:before="60" w:after="0"/>
              <w:ind w:firstLine="0"/>
              <w:jc w:val="center"/>
              <w:rPr>
                <w:rFonts w:eastAsia="Times New Roman" w:cs="Times New Roman"/>
                <w:b/>
                <w:bCs/>
                <w:color w:val="000000"/>
                <w:sz w:val="18"/>
                <w:szCs w:val="18"/>
              </w:rPr>
            </w:pPr>
            <w:r>
              <w:rPr>
                <w:rFonts w:eastAsia="Times New Roman" w:cs="Times New Roman"/>
                <w:b/>
                <w:bCs/>
                <w:color w:val="000000"/>
                <w:sz w:val="18"/>
                <w:szCs w:val="18"/>
              </w:rPr>
              <w:t>-1,481</w:t>
            </w:r>
          </w:p>
        </w:tc>
      </w:tr>
    </w:tbl>
    <w:p w14:paraId="633702FA" w14:textId="50BE7059" w:rsidR="00EE46B6" w:rsidRPr="00FD1578" w:rsidRDefault="00EE46B6" w:rsidP="008349F0">
      <w:pPr>
        <w:spacing w:after="0"/>
        <w:rPr>
          <w:szCs w:val="20"/>
        </w:rPr>
      </w:pPr>
      <w:r w:rsidRPr="00FD1578">
        <w:rPr>
          <w:szCs w:val="20"/>
        </w:rPr>
        <w:t xml:space="preserve"> </w:t>
      </w:r>
    </w:p>
    <w:p w14:paraId="20255776" w14:textId="0F0CB1BE" w:rsidR="005F203B" w:rsidRPr="00FD1578" w:rsidRDefault="00CF48B6" w:rsidP="008349F0">
      <w:pPr>
        <w:widowControl w:val="0"/>
        <w:spacing w:before="240"/>
        <w:ind w:left="3685" w:firstLine="0"/>
        <w:jc w:val="right"/>
        <w:rPr>
          <w:rFonts w:eastAsia="Times New Roman" w:cs="Times New Roman"/>
          <w:b/>
          <w:i/>
          <w:iCs/>
          <w:szCs w:val="24"/>
        </w:rPr>
      </w:pPr>
      <w:r w:rsidRPr="00FD1578">
        <w:rPr>
          <w:rFonts w:eastAsia="Times New Roman" w:cs="Times New Roman"/>
          <w:b/>
          <w:i/>
          <w:iCs/>
          <w:szCs w:val="24"/>
        </w:rPr>
        <w:t>2.</w:t>
      </w:r>
      <w:r w:rsidR="005C63FF" w:rsidRPr="00FD1578">
        <w:rPr>
          <w:rFonts w:eastAsia="Times New Roman" w:cs="Times New Roman"/>
          <w:b/>
          <w:i/>
          <w:iCs/>
          <w:szCs w:val="24"/>
        </w:rPr>
        <w:t>9</w:t>
      </w:r>
      <w:r w:rsidRPr="00FD1578">
        <w:rPr>
          <w:rFonts w:eastAsia="Times New Roman" w:cs="Times New Roman"/>
          <w:b/>
          <w:i/>
          <w:iCs/>
          <w:szCs w:val="24"/>
        </w:rPr>
        <w:t xml:space="preserve">. </w:t>
      </w:r>
      <w:r w:rsidR="00B53441" w:rsidRPr="00FD1578">
        <w:rPr>
          <w:rFonts w:eastAsia="Times New Roman" w:cs="Times New Roman"/>
          <w:b/>
          <w:i/>
          <w:iCs/>
          <w:szCs w:val="24"/>
        </w:rPr>
        <w:t xml:space="preserve">tabula. </w:t>
      </w:r>
      <w:r w:rsidR="005F203B" w:rsidRPr="00FD1578">
        <w:rPr>
          <w:rFonts w:eastAsia="Times New Roman" w:cs="Times New Roman"/>
          <w:b/>
          <w:i/>
          <w:iCs/>
          <w:szCs w:val="24"/>
        </w:rPr>
        <w:t>Vispārējās valdības strukturālās bilances mērķi, balstoties uz ES izdevumu pieauguma nosacījumu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34"/>
        <w:gridCol w:w="963"/>
        <w:gridCol w:w="964"/>
        <w:gridCol w:w="964"/>
        <w:gridCol w:w="964"/>
        <w:gridCol w:w="964"/>
      </w:tblGrid>
      <w:tr w:rsidR="005F203B" w:rsidRPr="00FD1578" w14:paraId="799DDC6F" w14:textId="77777777" w:rsidTr="00085786">
        <w:trPr>
          <w:trHeight w:val="20"/>
          <w:tblHeader/>
          <w:jc w:val="center"/>
        </w:trPr>
        <w:tc>
          <w:tcPr>
            <w:tcW w:w="3114" w:type="dxa"/>
            <w:shd w:val="clear" w:color="auto" w:fill="BDD6EE" w:themeFill="accent1" w:themeFillTint="66"/>
            <w:noWrap/>
            <w:vAlign w:val="bottom"/>
            <w:hideMark/>
          </w:tcPr>
          <w:p w14:paraId="5398FA7F"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134" w:type="dxa"/>
            <w:shd w:val="clear" w:color="auto" w:fill="BDD6EE" w:themeFill="accent1" w:themeFillTint="66"/>
          </w:tcPr>
          <w:p w14:paraId="2ECEAF8E" w14:textId="77777777" w:rsidR="005F203B" w:rsidRPr="00FD1578" w:rsidRDefault="005F203B" w:rsidP="008349F0">
            <w:pPr>
              <w:spacing w:before="60" w:after="0"/>
              <w:ind w:firstLine="0"/>
              <w:jc w:val="center"/>
              <w:rPr>
                <w:rFonts w:eastAsia="Times New Roman" w:cs="Times New Roman"/>
                <w:b/>
                <w:bCs/>
                <w:color w:val="000000"/>
                <w:sz w:val="18"/>
                <w:szCs w:val="18"/>
              </w:rPr>
            </w:pPr>
          </w:p>
        </w:tc>
        <w:tc>
          <w:tcPr>
            <w:tcW w:w="963" w:type="dxa"/>
            <w:shd w:val="clear" w:color="auto" w:fill="BDD6EE" w:themeFill="accent1" w:themeFillTint="66"/>
            <w:noWrap/>
            <w:vAlign w:val="center"/>
            <w:hideMark/>
          </w:tcPr>
          <w:p w14:paraId="4A31B71F"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2024</w:t>
            </w:r>
          </w:p>
        </w:tc>
        <w:tc>
          <w:tcPr>
            <w:tcW w:w="964" w:type="dxa"/>
            <w:shd w:val="clear" w:color="auto" w:fill="BDD6EE" w:themeFill="accent1" w:themeFillTint="66"/>
            <w:noWrap/>
            <w:vAlign w:val="center"/>
            <w:hideMark/>
          </w:tcPr>
          <w:p w14:paraId="704B069C"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964" w:type="dxa"/>
            <w:shd w:val="clear" w:color="auto" w:fill="BDD6EE" w:themeFill="accent1" w:themeFillTint="66"/>
            <w:noWrap/>
            <w:vAlign w:val="center"/>
            <w:hideMark/>
          </w:tcPr>
          <w:p w14:paraId="09499386"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964" w:type="dxa"/>
            <w:shd w:val="clear" w:color="auto" w:fill="BDD6EE" w:themeFill="accent1" w:themeFillTint="66"/>
            <w:noWrap/>
            <w:vAlign w:val="center"/>
            <w:hideMark/>
          </w:tcPr>
          <w:p w14:paraId="66AD311A"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964" w:type="dxa"/>
            <w:shd w:val="clear" w:color="auto" w:fill="BDD6EE" w:themeFill="accent1" w:themeFillTint="66"/>
            <w:noWrap/>
            <w:vAlign w:val="center"/>
            <w:hideMark/>
          </w:tcPr>
          <w:p w14:paraId="1D419FD8" w14:textId="77777777" w:rsidR="005F203B" w:rsidRPr="00FD1578" w:rsidRDefault="005F203B"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F1067B" w:rsidRPr="00FD1578" w14:paraId="668F24B6" w14:textId="77777777" w:rsidTr="00D94F31">
        <w:trPr>
          <w:trHeight w:val="20"/>
          <w:jc w:val="center"/>
        </w:trPr>
        <w:tc>
          <w:tcPr>
            <w:tcW w:w="3114" w:type="dxa"/>
            <w:shd w:val="clear" w:color="auto" w:fill="auto"/>
            <w:noWrap/>
            <w:vAlign w:val="center"/>
          </w:tcPr>
          <w:p w14:paraId="381E8CA7" w14:textId="77777777" w:rsidR="00F1067B" w:rsidRPr="00FD1578" w:rsidRDefault="00F1067B" w:rsidP="00F1067B">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Valsts finansēto neto primāro izdevumu (NNFPI) pieauguma likme, % </w:t>
            </w:r>
          </w:p>
        </w:tc>
        <w:tc>
          <w:tcPr>
            <w:tcW w:w="1134" w:type="dxa"/>
            <w:vAlign w:val="center"/>
          </w:tcPr>
          <w:p w14:paraId="0706C61A" w14:textId="77777777" w:rsidR="00F1067B" w:rsidRPr="00FD1578" w:rsidRDefault="00F1067B" w:rsidP="00F1067B">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p>
        </w:tc>
        <w:tc>
          <w:tcPr>
            <w:tcW w:w="963" w:type="dxa"/>
            <w:shd w:val="clear" w:color="auto" w:fill="auto"/>
            <w:noWrap/>
            <w:vAlign w:val="center"/>
          </w:tcPr>
          <w:p w14:paraId="29EA8859" w14:textId="77777777" w:rsidR="00F1067B" w:rsidRPr="00FD1578" w:rsidRDefault="00F1067B" w:rsidP="00F1067B">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257D7AF3" w14:textId="2E5EC3BB" w:rsidR="00F1067B" w:rsidRPr="00FD1578" w:rsidRDefault="00F1067B" w:rsidP="00F1067B">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4,543</w:t>
            </w:r>
          </w:p>
        </w:tc>
        <w:tc>
          <w:tcPr>
            <w:tcW w:w="964" w:type="dxa"/>
            <w:shd w:val="clear" w:color="auto" w:fill="FFFFFF" w:themeFill="background1"/>
            <w:noWrap/>
            <w:vAlign w:val="center"/>
          </w:tcPr>
          <w:p w14:paraId="59E29418" w14:textId="62793E42" w:rsidR="00F1067B" w:rsidRPr="00FD1578" w:rsidRDefault="00F1067B" w:rsidP="00F1067B">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3,645</w:t>
            </w:r>
          </w:p>
        </w:tc>
        <w:tc>
          <w:tcPr>
            <w:tcW w:w="964" w:type="dxa"/>
            <w:shd w:val="clear" w:color="auto" w:fill="FFFFFF" w:themeFill="background1"/>
            <w:noWrap/>
            <w:vAlign w:val="center"/>
          </w:tcPr>
          <w:p w14:paraId="6458320F" w14:textId="6CEC8720" w:rsidR="00F1067B" w:rsidRPr="00FD1578" w:rsidRDefault="00F1067B" w:rsidP="00F1067B">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3,363</w:t>
            </w:r>
          </w:p>
        </w:tc>
        <w:tc>
          <w:tcPr>
            <w:tcW w:w="964" w:type="dxa"/>
            <w:shd w:val="clear" w:color="auto" w:fill="FFFFFF" w:themeFill="background1"/>
            <w:noWrap/>
            <w:vAlign w:val="center"/>
          </w:tcPr>
          <w:p w14:paraId="26856562" w14:textId="6EBF8775" w:rsidR="00F1067B" w:rsidRPr="00FD1578" w:rsidRDefault="00F1067B" w:rsidP="00F1067B">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3,386</w:t>
            </w:r>
          </w:p>
        </w:tc>
      </w:tr>
      <w:tr w:rsidR="005F203B" w:rsidRPr="00FD1578" w14:paraId="3F088B10" w14:textId="77777777" w:rsidTr="00A81E9A">
        <w:trPr>
          <w:trHeight w:val="20"/>
          <w:jc w:val="center"/>
        </w:trPr>
        <w:tc>
          <w:tcPr>
            <w:tcW w:w="3114" w:type="dxa"/>
            <w:shd w:val="clear" w:color="auto" w:fill="auto"/>
            <w:noWrap/>
            <w:vAlign w:val="center"/>
          </w:tcPr>
          <w:p w14:paraId="1C80383B"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NNFPI līmenis,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7DF9E84D"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w:t>
            </w:r>
          </w:p>
        </w:tc>
        <w:tc>
          <w:tcPr>
            <w:tcW w:w="963" w:type="dxa"/>
            <w:shd w:val="clear" w:color="auto" w:fill="auto"/>
            <w:noWrap/>
            <w:vAlign w:val="bottom"/>
          </w:tcPr>
          <w:p w14:paraId="7751CD00"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17 263</w:t>
            </w:r>
          </w:p>
        </w:tc>
        <w:tc>
          <w:tcPr>
            <w:tcW w:w="964" w:type="dxa"/>
            <w:shd w:val="clear" w:color="auto" w:fill="auto"/>
            <w:noWrap/>
            <w:vAlign w:val="center"/>
          </w:tcPr>
          <w:p w14:paraId="18328318"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18 047</w:t>
            </w:r>
          </w:p>
        </w:tc>
        <w:tc>
          <w:tcPr>
            <w:tcW w:w="964" w:type="dxa"/>
            <w:shd w:val="clear" w:color="auto" w:fill="FFFFFF" w:themeFill="background1"/>
            <w:noWrap/>
            <w:vAlign w:val="center"/>
          </w:tcPr>
          <w:p w14:paraId="64DC0091" w14:textId="103805A7" w:rsidR="005F203B" w:rsidRPr="00F62287" w:rsidRDefault="005A2C8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 xml:space="preserve">18 </w:t>
            </w:r>
            <w:r w:rsidR="00074953">
              <w:rPr>
                <w:rFonts w:eastAsia="Times New Roman" w:cs="Times New Roman"/>
                <w:color w:val="000000"/>
                <w:sz w:val="18"/>
                <w:szCs w:val="18"/>
              </w:rPr>
              <w:t>700</w:t>
            </w:r>
          </w:p>
        </w:tc>
        <w:tc>
          <w:tcPr>
            <w:tcW w:w="964" w:type="dxa"/>
            <w:shd w:val="clear" w:color="auto" w:fill="FFFFFF" w:themeFill="background1"/>
            <w:noWrap/>
            <w:vAlign w:val="center"/>
          </w:tcPr>
          <w:p w14:paraId="670E9423" w14:textId="503D891F" w:rsidR="005F203B" w:rsidRPr="00F62287" w:rsidRDefault="005A2C8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 xml:space="preserve">19 </w:t>
            </w:r>
            <w:r w:rsidR="00074953">
              <w:rPr>
                <w:rFonts w:eastAsia="Times New Roman" w:cs="Times New Roman"/>
                <w:color w:val="000000"/>
                <w:sz w:val="18"/>
                <w:szCs w:val="18"/>
              </w:rPr>
              <w:t>274</w:t>
            </w:r>
          </w:p>
        </w:tc>
        <w:tc>
          <w:tcPr>
            <w:tcW w:w="964" w:type="dxa"/>
            <w:shd w:val="clear" w:color="auto" w:fill="FFFFFF" w:themeFill="background1"/>
            <w:noWrap/>
            <w:vAlign w:val="center"/>
          </w:tcPr>
          <w:p w14:paraId="3555FE46" w14:textId="63C23F9A" w:rsidR="005F203B" w:rsidRPr="00F62287" w:rsidRDefault="005A2C8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 xml:space="preserve">19 </w:t>
            </w:r>
            <w:r w:rsidR="00074953">
              <w:rPr>
                <w:rFonts w:eastAsia="Times New Roman" w:cs="Times New Roman"/>
                <w:color w:val="000000"/>
                <w:sz w:val="18"/>
                <w:szCs w:val="18"/>
              </w:rPr>
              <w:t>882</w:t>
            </w:r>
          </w:p>
        </w:tc>
      </w:tr>
      <w:tr w:rsidR="005F203B" w:rsidRPr="00FD1578" w14:paraId="3EF6C3F2" w14:textId="77777777" w:rsidTr="00A81E9A">
        <w:trPr>
          <w:trHeight w:val="20"/>
          <w:jc w:val="center"/>
        </w:trPr>
        <w:tc>
          <w:tcPr>
            <w:tcW w:w="3114" w:type="dxa"/>
            <w:shd w:val="clear" w:color="auto" w:fill="auto"/>
            <w:noWrap/>
            <w:vAlign w:val="center"/>
          </w:tcPr>
          <w:p w14:paraId="45CBB12A" w14:textId="77777777" w:rsidR="005F203B" w:rsidRPr="00FD1578" w:rsidRDefault="005F203B" w:rsidP="008349F0">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Diskrecionārie</w:t>
            </w:r>
            <w:proofErr w:type="spellEnd"/>
            <w:r w:rsidRPr="00FD1578">
              <w:rPr>
                <w:rFonts w:eastAsia="Times New Roman" w:cs="Times New Roman"/>
                <w:color w:val="000000"/>
                <w:sz w:val="18"/>
                <w:szCs w:val="18"/>
              </w:rPr>
              <w:t xml:space="preserve"> ieņēmumu pasākumi (DRM)</w:t>
            </w:r>
          </w:p>
        </w:tc>
        <w:tc>
          <w:tcPr>
            <w:tcW w:w="1134" w:type="dxa"/>
            <w:vAlign w:val="center"/>
          </w:tcPr>
          <w:p w14:paraId="3258759F"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w:t>
            </w:r>
          </w:p>
        </w:tc>
        <w:tc>
          <w:tcPr>
            <w:tcW w:w="963" w:type="dxa"/>
            <w:shd w:val="clear" w:color="auto" w:fill="auto"/>
            <w:noWrap/>
            <w:vAlign w:val="center"/>
          </w:tcPr>
          <w:p w14:paraId="06A514AE"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354,30</w:t>
            </w:r>
          </w:p>
        </w:tc>
        <w:tc>
          <w:tcPr>
            <w:tcW w:w="964" w:type="dxa"/>
            <w:shd w:val="clear" w:color="auto" w:fill="auto"/>
            <w:noWrap/>
            <w:vAlign w:val="center"/>
          </w:tcPr>
          <w:p w14:paraId="0617085E" w14:textId="2E0EF2E1" w:rsidR="005F203B" w:rsidRPr="00F62287" w:rsidRDefault="005A2C8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-16,5</w:t>
            </w:r>
          </w:p>
        </w:tc>
        <w:tc>
          <w:tcPr>
            <w:tcW w:w="964" w:type="dxa"/>
            <w:shd w:val="clear" w:color="auto" w:fill="FFFFFF" w:themeFill="background1"/>
            <w:noWrap/>
            <w:vAlign w:val="center"/>
          </w:tcPr>
          <w:p w14:paraId="3CA8B79E" w14:textId="0E8865DA" w:rsidR="005F203B" w:rsidRPr="00F62287" w:rsidRDefault="005A2C8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-53,6</w:t>
            </w:r>
          </w:p>
        </w:tc>
        <w:tc>
          <w:tcPr>
            <w:tcW w:w="964" w:type="dxa"/>
            <w:shd w:val="clear" w:color="auto" w:fill="FFFFFF" w:themeFill="background1"/>
            <w:noWrap/>
            <w:vAlign w:val="center"/>
          </w:tcPr>
          <w:p w14:paraId="2F990E74" w14:textId="21B813F2" w:rsidR="005F203B" w:rsidRPr="00F62287" w:rsidRDefault="005A2C8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-43,0</w:t>
            </w:r>
          </w:p>
        </w:tc>
        <w:tc>
          <w:tcPr>
            <w:tcW w:w="964" w:type="dxa"/>
            <w:shd w:val="clear" w:color="auto" w:fill="FFFFFF" w:themeFill="background1"/>
            <w:noWrap/>
            <w:vAlign w:val="center"/>
          </w:tcPr>
          <w:p w14:paraId="1DCC3AC1" w14:textId="2DE1E3C9" w:rsidR="005F203B" w:rsidRPr="00F62287" w:rsidRDefault="005A2C8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-95,6</w:t>
            </w:r>
          </w:p>
        </w:tc>
      </w:tr>
      <w:tr w:rsidR="005F203B" w:rsidRPr="00FD1578" w14:paraId="046EC8DC" w14:textId="77777777" w:rsidTr="00F62287">
        <w:trPr>
          <w:trHeight w:val="20"/>
          <w:jc w:val="center"/>
        </w:trPr>
        <w:tc>
          <w:tcPr>
            <w:tcW w:w="3114" w:type="dxa"/>
            <w:shd w:val="clear" w:color="auto" w:fill="auto"/>
            <w:noWrap/>
            <w:vAlign w:val="center"/>
          </w:tcPr>
          <w:p w14:paraId="1BC7FFD8"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NNFPI līmenis (ar DRM),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62AECEA5"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(4)=(2)+(3)</w:t>
            </w:r>
          </w:p>
        </w:tc>
        <w:tc>
          <w:tcPr>
            <w:tcW w:w="963" w:type="dxa"/>
            <w:shd w:val="clear" w:color="auto" w:fill="auto"/>
            <w:noWrap/>
            <w:vAlign w:val="center"/>
          </w:tcPr>
          <w:p w14:paraId="673A6D3A" w14:textId="77777777" w:rsidR="005F203B" w:rsidRPr="00FD1578" w:rsidRDefault="005F203B"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477D2961" w14:textId="4DEC6AB0" w:rsidR="005F203B" w:rsidRPr="00F62287" w:rsidRDefault="0007495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18 031</w:t>
            </w:r>
          </w:p>
        </w:tc>
        <w:tc>
          <w:tcPr>
            <w:tcW w:w="964" w:type="dxa"/>
            <w:shd w:val="clear" w:color="auto" w:fill="auto"/>
            <w:noWrap/>
            <w:vAlign w:val="center"/>
          </w:tcPr>
          <w:p w14:paraId="27A949E1" w14:textId="1B374228" w:rsidR="00074953" w:rsidRPr="00F62287" w:rsidRDefault="005F203B" w:rsidP="00074953">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18</w:t>
            </w:r>
            <w:r w:rsidR="00074953" w:rsidRPr="00F62287">
              <w:rPr>
                <w:rFonts w:eastAsia="Times New Roman" w:cs="Times New Roman"/>
                <w:color w:val="000000"/>
                <w:sz w:val="18"/>
                <w:szCs w:val="18"/>
              </w:rPr>
              <w:t> 647</w:t>
            </w:r>
          </w:p>
        </w:tc>
        <w:tc>
          <w:tcPr>
            <w:tcW w:w="964" w:type="dxa"/>
            <w:shd w:val="clear" w:color="auto" w:fill="auto"/>
            <w:noWrap/>
            <w:vAlign w:val="center"/>
          </w:tcPr>
          <w:p w14:paraId="2483F5D6" w14:textId="31F1ACE9" w:rsidR="005F203B" w:rsidRPr="00F62287" w:rsidRDefault="0007495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19 231</w:t>
            </w:r>
          </w:p>
        </w:tc>
        <w:tc>
          <w:tcPr>
            <w:tcW w:w="964" w:type="dxa"/>
            <w:shd w:val="clear" w:color="auto" w:fill="auto"/>
            <w:noWrap/>
            <w:vAlign w:val="center"/>
          </w:tcPr>
          <w:p w14:paraId="757AD5F3" w14:textId="1F832FDA"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 xml:space="preserve">19 </w:t>
            </w:r>
            <w:r w:rsidR="00074953" w:rsidRPr="00F62287">
              <w:rPr>
                <w:rFonts w:eastAsia="Times New Roman" w:cs="Times New Roman"/>
                <w:color w:val="000000"/>
                <w:sz w:val="18"/>
                <w:szCs w:val="18"/>
              </w:rPr>
              <w:t>786</w:t>
            </w:r>
          </w:p>
        </w:tc>
      </w:tr>
      <w:tr w:rsidR="005F203B" w:rsidRPr="00FD1578" w14:paraId="3FEBF629" w14:textId="77777777" w:rsidTr="00A81E9A">
        <w:trPr>
          <w:trHeight w:val="20"/>
          <w:jc w:val="center"/>
        </w:trPr>
        <w:tc>
          <w:tcPr>
            <w:tcW w:w="3114" w:type="dxa"/>
            <w:shd w:val="clear" w:color="auto" w:fill="auto"/>
            <w:noWrap/>
            <w:vAlign w:val="center"/>
          </w:tcPr>
          <w:p w14:paraId="291C63E2"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NNFPI pieauguma likme (ar DRM), %</w:t>
            </w:r>
          </w:p>
        </w:tc>
        <w:tc>
          <w:tcPr>
            <w:tcW w:w="1134" w:type="dxa"/>
            <w:vAlign w:val="center"/>
          </w:tcPr>
          <w:p w14:paraId="4130A546"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(5)</w:t>
            </w:r>
          </w:p>
        </w:tc>
        <w:tc>
          <w:tcPr>
            <w:tcW w:w="963" w:type="dxa"/>
            <w:shd w:val="clear" w:color="auto" w:fill="auto"/>
            <w:noWrap/>
            <w:vAlign w:val="center"/>
          </w:tcPr>
          <w:p w14:paraId="024155E9" w14:textId="77777777" w:rsidR="005F203B" w:rsidRPr="00FD1578" w:rsidRDefault="005F203B"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1F897934" w14:textId="06CF836F" w:rsidR="005F203B" w:rsidRPr="00F62287" w:rsidRDefault="0007495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4,4</w:t>
            </w:r>
          </w:p>
        </w:tc>
        <w:tc>
          <w:tcPr>
            <w:tcW w:w="964" w:type="dxa"/>
            <w:shd w:val="clear" w:color="auto" w:fill="FFFFFF" w:themeFill="background1"/>
            <w:noWrap/>
            <w:vAlign w:val="center"/>
          </w:tcPr>
          <w:p w14:paraId="77FB8426" w14:textId="61F1E681" w:rsidR="005F203B" w:rsidRPr="00F62287" w:rsidRDefault="0007495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3,3</w:t>
            </w:r>
          </w:p>
        </w:tc>
        <w:tc>
          <w:tcPr>
            <w:tcW w:w="964" w:type="dxa"/>
            <w:shd w:val="clear" w:color="auto" w:fill="FFFFFF" w:themeFill="background1"/>
            <w:noWrap/>
            <w:vAlign w:val="center"/>
          </w:tcPr>
          <w:p w14:paraId="0709A8DC" w14:textId="1824D103" w:rsidR="005F203B" w:rsidRPr="00F62287" w:rsidRDefault="0007495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2,8</w:t>
            </w:r>
          </w:p>
        </w:tc>
        <w:tc>
          <w:tcPr>
            <w:tcW w:w="964" w:type="dxa"/>
            <w:shd w:val="clear" w:color="auto" w:fill="FFFFFF" w:themeFill="background1"/>
            <w:noWrap/>
            <w:vAlign w:val="center"/>
          </w:tcPr>
          <w:p w14:paraId="189FA790" w14:textId="57731404" w:rsidR="005F203B" w:rsidRPr="00F62287" w:rsidRDefault="00074953"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2,7</w:t>
            </w:r>
          </w:p>
        </w:tc>
      </w:tr>
      <w:tr w:rsidR="005F203B" w:rsidRPr="00FD1578" w14:paraId="4A4CC2B4" w14:textId="77777777" w:rsidTr="00A81E9A">
        <w:trPr>
          <w:trHeight w:val="20"/>
          <w:jc w:val="center"/>
        </w:trPr>
        <w:tc>
          <w:tcPr>
            <w:tcW w:w="3114" w:type="dxa"/>
            <w:shd w:val="clear" w:color="auto" w:fill="auto"/>
            <w:noWrap/>
            <w:vAlign w:val="center"/>
          </w:tcPr>
          <w:p w14:paraId="5A4F5B3C"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procentu izdevumi, </w:t>
            </w:r>
          </w:p>
          <w:p w14:paraId="316BEC8E"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milj. </w:t>
            </w:r>
            <w:proofErr w:type="spellStart"/>
            <w:r w:rsidRPr="00FD1578">
              <w:rPr>
                <w:rFonts w:eastAsia="Times New Roman" w:cs="Times New Roman"/>
                <w:i/>
                <w:iCs/>
                <w:color w:val="000000"/>
                <w:sz w:val="18"/>
                <w:szCs w:val="18"/>
              </w:rPr>
              <w:t>euro</w:t>
            </w:r>
            <w:proofErr w:type="spellEnd"/>
            <w:r w:rsidRPr="00FD1578">
              <w:rPr>
                <w:rFonts w:eastAsia="Times New Roman" w:cs="Times New Roman"/>
                <w:i/>
                <w:iCs/>
                <w:color w:val="000000"/>
                <w:sz w:val="18"/>
                <w:szCs w:val="18"/>
              </w:rPr>
              <w:t xml:space="preserve"> </w:t>
            </w:r>
          </w:p>
        </w:tc>
        <w:tc>
          <w:tcPr>
            <w:tcW w:w="1134" w:type="dxa"/>
            <w:vAlign w:val="center"/>
          </w:tcPr>
          <w:p w14:paraId="145EE2AC" w14:textId="77777777" w:rsidR="005F203B" w:rsidRPr="00FD1578" w:rsidRDefault="005F203B" w:rsidP="008349F0">
            <w:pPr>
              <w:spacing w:before="60"/>
              <w:ind w:firstLine="0"/>
              <w:jc w:val="center"/>
              <w:rPr>
                <w:rFonts w:eastAsia="Times New Roman" w:cs="Times New Roman"/>
                <w:color w:val="000000"/>
                <w:sz w:val="18"/>
                <w:szCs w:val="18"/>
              </w:rPr>
            </w:pPr>
            <w:r w:rsidRPr="00FD1578">
              <w:rPr>
                <w:rFonts w:eastAsia="Times New Roman" w:cs="Times New Roman"/>
                <w:color w:val="000000"/>
                <w:sz w:val="18"/>
                <w:szCs w:val="18"/>
              </w:rPr>
              <w:t>(6)</w:t>
            </w:r>
          </w:p>
        </w:tc>
        <w:tc>
          <w:tcPr>
            <w:tcW w:w="963" w:type="dxa"/>
            <w:shd w:val="clear" w:color="auto" w:fill="auto"/>
            <w:noWrap/>
            <w:vAlign w:val="center"/>
          </w:tcPr>
          <w:p w14:paraId="172AA738" w14:textId="77777777" w:rsidR="005F203B" w:rsidRPr="00FD1578" w:rsidRDefault="005F203B" w:rsidP="008349F0">
            <w:pPr>
              <w:spacing w:before="6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5A5DD4CD" w14:textId="77777777" w:rsidR="005F203B" w:rsidRPr="00F62287" w:rsidRDefault="005F203B" w:rsidP="008349F0">
            <w:pPr>
              <w:spacing w:before="60"/>
              <w:ind w:firstLine="0"/>
              <w:jc w:val="center"/>
              <w:rPr>
                <w:rFonts w:eastAsia="Times New Roman" w:cs="Times New Roman"/>
                <w:color w:val="000000"/>
                <w:sz w:val="18"/>
                <w:szCs w:val="18"/>
              </w:rPr>
            </w:pPr>
            <w:r w:rsidRPr="00F62287">
              <w:rPr>
                <w:rFonts w:eastAsia="Times New Roman" w:cs="Times New Roman"/>
                <w:color w:val="000000"/>
                <w:sz w:val="18"/>
                <w:szCs w:val="18"/>
              </w:rPr>
              <w:t>541</w:t>
            </w:r>
          </w:p>
        </w:tc>
        <w:tc>
          <w:tcPr>
            <w:tcW w:w="964" w:type="dxa"/>
            <w:shd w:val="clear" w:color="auto" w:fill="FFFFFF" w:themeFill="background1"/>
            <w:noWrap/>
            <w:vAlign w:val="center"/>
          </w:tcPr>
          <w:p w14:paraId="5CB9A4EC" w14:textId="77777777" w:rsidR="005F203B" w:rsidRPr="00F62287" w:rsidRDefault="005F203B" w:rsidP="008349F0">
            <w:pPr>
              <w:spacing w:before="60"/>
              <w:ind w:firstLine="0"/>
              <w:jc w:val="center"/>
              <w:rPr>
                <w:rFonts w:eastAsia="Times New Roman" w:cs="Times New Roman"/>
                <w:color w:val="000000"/>
                <w:sz w:val="18"/>
                <w:szCs w:val="18"/>
              </w:rPr>
            </w:pPr>
            <w:r w:rsidRPr="00F62287">
              <w:rPr>
                <w:rFonts w:eastAsia="Times New Roman" w:cs="Times New Roman"/>
                <w:color w:val="000000"/>
                <w:sz w:val="18"/>
                <w:szCs w:val="18"/>
              </w:rPr>
              <w:t>645</w:t>
            </w:r>
          </w:p>
        </w:tc>
        <w:tc>
          <w:tcPr>
            <w:tcW w:w="964" w:type="dxa"/>
            <w:shd w:val="clear" w:color="auto" w:fill="FFFFFF" w:themeFill="background1"/>
            <w:noWrap/>
            <w:vAlign w:val="center"/>
          </w:tcPr>
          <w:p w14:paraId="58F8D384" w14:textId="77777777" w:rsidR="005F203B" w:rsidRPr="00F62287" w:rsidRDefault="005F203B" w:rsidP="008349F0">
            <w:pPr>
              <w:spacing w:before="60"/>
              <w:ind w:firstLine="0"/>
              <w:jc w:val="center"/>
              <w:rPr>
                <w:rFonts w:eastAsia="Times New Roman" w:cs="Times New Roman"/>
                <w:color w:val="000000"/>
                <w:sz w:val="18"/>
                <w:szCs w:val="18"/>
              </w:rPr>
            </w:pPr>
            <w:r w:rsidRPr="00F62287">
              <w:rPr>
                <w:rFonts w:eastAsia="Times New Roman" w:cs="Times New Roman"/>
                <w:color w:val="000000"/>
                <w:sz w:val="18"/>
                <w:szCs w:val="18"/>
              </w:rPr>
              <w:t>721</w:t>
            </w:r>
          </w:p>
        </w:tc>
        <w:tc>
          <w:tcPr>
            <w:tcW w:w="964" w:type="dxa"/>
            <w:shd w:val="clear" w:color="auto" w:fill="FFFFFF" w:themeFill="background1"/>
            <w:noWrap/>
            <w:vAlign w:val="center"/>
          </w:tcPr>
          <w:p w14:paraId="5CD74A5D" w14:textId="77777777" w:rsidR="005F203B" w:rsidRPr="00F62287" w:rsidRDefault="005F203B" w:rsidP="008349F0">
            <w:pPr>
              <w:spacing w:before="60"/>
              <w:ind w:firstLine="0"/>
              <w:jc w:val="center"/>
              <w:rPr>
                <w:rFonts w:eastAsia="Times New Roman" w:cs="Times New Roman"/>
                <w:color w:val="000000"/>
                <w:sz w:val="18"/>
                <w:szCs w:val="18"/>
              </w:rPr>
            </w:pPr>
            <w:r w:rsidRPr="00F62287">
              <w:rPr>
                <w:rFonts w:eastAsia="Times New Roman" w:cs="Times New Roman"/>
                <w:color w:val="000000"/>
                <w:sz w:val="18"/>
                <w:szCs w:val="18"/>
              </w:rPr>
              <w:t>772</w:t>
            </w:r>
          </w:p>
        </w:tc>
      </w:tr>
      <w:tr w:rsidR="005F203B" w:rsidRPr="00FD1578" w14:paraId="7BDC70C2" w14:textId="77777777" w:rsidTr="00A81E9A">
        <w:trPr>
          <w:trHeight w:val="20"/>
          <w:jc w:val="center"/>
        </w:trPr>
        <w:tc>
          <w:tcPr>
            <w:tcW w:w="3114" w:type="dxa"/>
            <w:shd w:val="clear" w:color="auto" w:fill="auto"/>
            <w:noWrap/>
            <w:vAlign w:val="center"/>
          </w:tcPr>
          <w:p w14:paraId="7DD642F6"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bezdarbnieka pabalstu izdevumu cikliskos elementi,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1FD3D3D3"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(7)</w:t>
            </w:r>
          </w:p>
        </w:tc>
        <w:tc>
          <w:tcPr>
            <w:tcW w:w="963" w:type="dxa"/>
            <w:shd w:val="clear" w:color="auto" w:fill="auto"/>
            <w:noWrap/>
            <w:vAlign w:val="center"/>
          </w:tcPr>
          <w:p w14:paraId="1C721441" w14:textId="77777777" w:rsidR="005F203B" w:rsidRPr="00FD1578" w:rsidRDefault="005F203B"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5F7FC9D8" w14:textId="74D3B292" w:rsidR="005F203B" w:rsidRPr="00F62287" w:rsidRDefault="007C629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8</w:t>
            </w:r>
          </w:p>
        </w:tc>
        <w:tc>
          <w:tcPr>
            <w:tcW w:w="964" w:type="dxa"/>
            <w:shd w:val="clear" w:color="auto" w:fill="FFFFFF" w:themeFill="background1"/>
            <w:noWrap/>
            <w:vAlign w:val="center"/>
          </w:tcPr>
          <w:p w14:paraId="446F4134"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6</w:t>
            </w:r>
          </w:p>
        </w:tc>
        <w:tc>
          <w:tcPr>
            <w:tcW w:w="964" w:type="dxa"/>
            <w:shd w:val="clear" w:color="auto" w:fill="FFFFFF" w:themeFill="background1"/>
            <w:noWrap/>
            <w:vAlign w:val="center"/>
          </w:tcPr>
          <w:p w14:paraId="7B254AA5"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-6</w:t>
            </w:r>
          </w:p>
        </w:tc>
        <w:tc>
          <w:tcPr>
            <w:tcW w:w="964" w:type="dxa"/>
            <w:shd w:val="clear" w:color="auto" w:fill="FFFFFF" w:themeFill="background1"/>
            <w:noWrap/>
            <w:vAlign w:val="center"/>
          </w:tcPr>
          <w:p w14:paraId="60AD8537"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-25</w:t>
            </w:r>
          </w:p>
        </w:tc>
      </w:tr>
      <w:tr w:rsidR="005F203B" w:rsidRPr="00FD1578" w14:paraId="4195E6EF" w14:textId="77777777" w:rsidTr="00A81E9A">
        <w:trPr>
          <w:trHeight w:val="20"/>
          <w:jc w:val="center"/>
        </w:trPr>
        <w:tc>
          <w:tcPr>
            <w:tcW w:w="3114" w:type="dxa"/>
            <w:shd w:val="clear" w:color="auto" w:fill="auto"/>
            <w:noWrap/>
            <w:vAlign w:val="center"/>
          </w:tcPr>
          <w:p w14:paraId="52DEC440"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izdevumi par ES programmām, kas pilnībā atbilst ES fondu ieņēmumiem,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471BBC2B"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(8)</w:t>
            </w:r>
          </w:p>
        </w:tc>
        <w:tc>
          <w:tcPr>
            <w:tcW w:w="963" w:type="dxa"/>
            <w:shd w:val="clear" w:color="auto" w:fill="auto"/>
            <w:noWrap/>
            <w:vAlign w:val="center"/>
          </w:tcPr>
          <w:p w14:paraId="0E0E8D33" w14:textId="77777777" w:rsidR="005F203B" w:rsidRPr="00FD1578" w:rsidRDefault="005F203B"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5F4B8D41" w14:textId="78767210"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9</w:t>
            </w:r>
            <w:r w:rsidR="007C629E" w:rsidRPr="00F62287">
              <w:rPr>
                <w:rFonts w:eastAsia="Times New Roman" w:cs="Times New Roman"/>
                <w:color w:val="000000"/>
                <w:sz w:val="18"/>
                <w:szCs w:val="18"/>
              </w:rPr>
              <w:t>70</w:t>
            </w:r>
          </w:p>
        </w:tc>
        <w:tc>
          <w:tcPr>
            <w:tcW w:w="964" w:type="dxa"/>
            <w:shd w:val="clear" w:color="auto" w:fill="FFFFFF" w:themeFill="background1"/>
            <w:noWrap/>
            <w:vAlign w:val="center"/>
          </w:tcPr>
          <w:p w14:paraId="7076EB80"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884</w:t>
            </w:r>
          </w:p>
        </w:tc>
        <w:tc>
          <w:tcPr>
            <w:tcW w:w="964" w:type="dxa"/>
            <w:shd w:val="clear" w:color="auto" w:fill="FFFFFF" w:themeFill="background1"/>
            <w:noWrap/>
            <w:vAlign w:val="center"/>
          </w:tcPr>
          <w:p w14:paraId="1D357521"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623</w:t>
            </w:r>
          </w:p>
        </w:tc>
        <w:tc>
          <w:tcPr>
            <w:tcW w:w="964" w:type="dxa"/>
            <w:shd w:val="clear" w:color="auto" w:fill="FFFFFF" w:themeFill="background1"/>
            <w:noWrap/>
            <w:vAlign w:val="center"/>
          </w:tcPr>
          <w:p w14:paraId="26DB2E8F"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494</w:t>
            </w:r>
          </w:p>
        </w:tc>
      </w:tr>
      <w:tr w:rsidR="005F203B" w:rsidRPr="00FD1578" w14:paraId="6CAEDF7E" w14:textId="77777777" w:rsidTr="00F62287">
        <w:trPr>
          <w:trHeight w:val="20"/>
          <w:jc w:val="center"/>
        </w:trPr>
        <w:tc>
          <w:tcPr>
            <w:tcW w:w="3114" w:type="dxa"/>
            <w:shd w:val="clear" w:color="auto" w:fill="auto"/>
            <w:noWrap/>
            <w:vAlign w:val="center"/>
          </w:tcPr>
          <w:p w14:paraId="2EC94780"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lastRenderedPageBreak/>
              <w:t xml:space="preserve">valsts izdevumi par ES finansēto programmu līdzfinansēšanu,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7AC8C9D2"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(9)</w:t>
            </w:r>
          </w:p>
        </w:tc>
        <w:tc>
          <w:tcPr>
            <w:tcW w:w="963" w:type="dxa"/>
            <w:shd w:val="clear" w:color="auto" w:fill="auto"/>
            <w:noWrap/>
            <w:vAlign w:val="center"/>
          </w:tcPr>
          <w:p w14:paraId="03F372B5" w14:textId="77777777" w:rsidR="005F203B" w:rsidRPr="00FD1578" w:rsidRDefault="005F203B"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2D842F25"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193</w:t>
            </w:r>
          </w:p>
        </w:tc>
        <w:tc>
          <w:tcPr>
            <w:tcW w:w="964" w:type="dxa"/>
            <w:shd w:val="clear" w:color="auto" w:fill="FFFFFF" w:themeFill="background1"/>
            <w:noWrap/>
            <w:vAlign w:val="center"/>
          </w:tcPr>
          <w:p w14:paraId="43116A6B"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156</w:t>
            </w:r>
          </w:p>
        </w:tc>
        <w:tc>
          <w:tcPr>
            <w:tcW w:w="964" w:type="dxa"/>
            <w:shd w:val="clear" w:color="auto" w:fill="FFFFFF" w:themeFill="background1"/>
            <w:noWrap/>
            <w:vAlign w:val="center"/>
          </w:tcPr>
          <w:p w14:paraId="0E2C6BC2"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132</w:t>
            </w:r>
          </w:p>
        </w:tc>
        <w:tc>
          <w:tcPr>
            <w:tcW w:w="964" w:type="dxa"/>
            <w:shd w:val="clear" w:color="auto" w:fill="FFFFFF" w:themeFill="background1"/>
            <w:noWrap/>
            <w:vAlign w:val="center"/>
          </w:tcPr>
          <w:p w14:paraId="592E9FA2"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108</w:t>
            </w:r>
          </w:p>
        </w:tc>
      </w:tr>
      <w:tr w:rsidR="007E720C" w:rsidRPr="00FD1578" w14:paraId="1EC7391D" w14:textId="77777777" w:rsidTr="00F62287">
        <w:trPr>
          <w:trHeight w:val="20"/>
          <w:jc w:val="center"/>
        </w:trPr>
        <w:tc>
          <w:tcPr>
            <w:tcW w:w="3114" w:type="dxa"/>
            <w:shd w:val="clear" w:color="auto" w:fill="auto"/>
            <w:noWrap/>
            <w:vAlign w:val="center"/>
          </w:tcPr>
          <w:p w14:paraId="0BC0D638" w14:textId="77777777" w:rsidR="007E720C" w:rsidRPr="00FD1578" w:rsidRDefault="007E720C" w:rsidP="007E720C">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kopējie izdevumi,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7FE6D61E" w14:textId="77777777" w:rsidR="007E720C" w:rsidRPr="00FD1578" w:rsidRDefault="007E720C" w:rsidP="007E720C">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(10)=(4)+(6)+(7)+(8)+(9)</w:t>
            </w:r>
          </w:p>
        </w:tc>
        <w:tc>
          <w:tcPr>
            <w:tcW w:w="963" w:type="dxa"/>
            <w:shd w:val="clear" w:color="auto" w:fill="auto"/>
            <w:noWrap/>
            <w:vAlign w:val="center"/>
          </w:tcPr>
          <w:p w14:paraId="55B12A71" w14:textId="77777777" w:rsidR="007E720C" w:rsidRPr="00FD1578" w:rsidRDefault="007E720C" w:rsidP="007E720C">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08B62079" w14:textId="7302C6B9" w:rsidR="007E720C" w:rsidRPr="00F62287" w:rsidRDefault="007E720C" w:rsidP="007E720C">
            <w:pPr>
              <w:spacing w:before="60" w:after="0"/>
              <w:ind w:firstLine="0"/>
              <w:jc w:val="center"/>
              <w:rPr>
                <w:rFonts w:eastAsia="Times New Roman" w:cs="Times New Roman"/>
                <w:color w:val="000000"/>
                <w:sz w:val="18"/>
                <w:szCs w:val="18"/>
              </w:rPr>
            </w:pPr>
            <w:r w:rsidRPr="00F62287">
              <w:rPr>
                <w:sz w:val="18"/>
                <w:szCs w:val="18"/>
              </w:rPr>
              <w:t>19 743</w:t>
            </w:r>
          </w:p>
        </w:tc>
        <w:tc>
          <w:tcPr>
            <w:tcW w:w="964" w:type="dxa"/>
            <w:shd w:val="clear" w:color="auto" w:fill="FFFFFF" w:themeFill="background1"/>
            <w:noWrap/>
            <w:vAlign w:val="center"/>
          </w:tcPr>
          <w:p w14:paraId="4E087941" w14:textId="4C8E8B3C" w:rsidR="007E720C" w:rsidRPr="00F62287" w:rsidRDefault="007E720C" w:rsidP="007E720C">
            <w:pPr>
              <w:spacing w:before="60" w:after="0"/>
              <w:ind w:firstLine="0"/>
              <w:jc w:val="center"/>
              <w:rPr>
                <w:rFonts w:eastAsia="Times New Roman" w:cs="Times New Roman"/>
                <w:color w:val="000000"/>
                <w:sz w:val="18"/>
                <w:szCs w:val="18"/>
              </w:rPr>
            </w:pPr>
            <w:r w:rsidRPr="00F62287">
              <w:rPr>
                <w:sz w:val="18"/>
                <w:szCs w:val="18"/>
              </w:rPr>
              <w:t>20 338</w:t>
            </w:r>
          </w:p>
        </w:tc>
        <w:tc>
          <w:tcPr>
            <w:tcW w:w="964" w:type="dxa"/>
            <w:shd w:val="clear" w:color="auto" w:fill="FFFFFF" w:themeFill="background1"/>
            <w:noWrap/>
            <w:vAlign w:val="center"/>
          </w:tcPr>
          <w:p w14:paraId="36208E67" w14:textId="13806985" w:rsidR="007E720C" w:rsidRPr="00F62287" w:rsidRDefault="007E720C" w:rsidP="007E720C">
            <w:pPr>
              <w:spacing w:before="60" w:after="0"/>
              <w:ind w:firstLine="0"/>
              <w:jc w:val="center"/>
              <w:rPr>
                <w:rFonts w:eastAsia="Times New Roman" w:cs="Times New Roman"/>
                <w:color w:val="000000"/>
                <w:sz w:val="18"/>
                <w:szCs w:val="18"/>
              </w:rPr>
            </w:pPr>
            <w:r w:rsidRPr="00F62287">
              <w:rPr>
                <w:sz w:val="18"/>
                <w:szCs w:val="18"/>
              </w:rPr>
              <w:t>20 701</w:t>
            </w:r>
          </w:p>
        </w:tc>
        <w:tc>
          <w:tcPr>
            <w:tcW w:w="964" w:type="dxa"/>
            <w:shd w:val="clear" w:color="auto" w:fill="FFFFFF" w:themeFill="background1"/>
            <w:noWrap/>
            <w:vAlign w:val="center"/>
          </w:tcPr>
          <w:p w14:paraId="1A03CC74" w14:textId="405CDC4C" w:rsidR="007E720C" w:rsidRPr="00F62287" w:rsidRDefault="007E720C" w:rsidP="007E720C">
            <w:pPr>
              <w:spacing w:before="60" w:after="0"/>
              <w:ind w:firstLine="0"/>
              <w:jc w:val="center"/>
              <w:rPr>
                <w:rFonts w:eastAsia="Times New Roman" w:cs="Times New Roman"/>
                <w:color w:val="000000"/>
                <w:sz w:val="18"/>
                <w:szCs w:val="18"/>
              </w:rPr>
            </w:pPr>
            <w:r w:rsidRPr="00F62287">
              <w:rPr>
                <w:sz w:val="18"/>
                <w:szCs w:val="18"/>
              </w:rPr>
              <w:t>21 124</w:t>
            </w:r>
          </w:p>
        </w:tc>
      </w:tr>
      <w:tr w:rsidR="005F203B" w:rsidRPr="00FD1578" w14:paraId="41660C93" w14:textId="77777777" w:rsidTr="00F62287">
        <w:trPr>
          <w:trHeight w:val="20"/>
          <w:jc w:val="center"/>
        </w:trPr>
        <w:tc>
          <w:tcPr>
            <w:tcW w:w="3114" w:type="dxa"/>
            <w:shd w:val="clear" w:color="auto" w:fill="auto"/>
            <w:noWrap/>
            <w:vAlign w:val="center"/>
          </w:tcPr>
          <w:p w14:paraId="5BE6BF23"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kopējie ieņēmumi,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3E3F84FF"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(11)</w:t>
            </w:r>
          </w:p>
        </w:tc>
        <w:tc>
          <w:tcPr>
            <w:tcW w:w="963" w:type="dxa"/>
            <w:shd w:val="clear" w:color="auto" w:fill="auto"/>
            <w:noWrap/>
            <w:vAlign w:val="center"/>
          </w:tcPr>
          <w:p w14:paraId="25DDF7F7" w14:textId="77777777" w:rsidR="005F203B" w:rsidRPr="00FD1578" w:rsidRDefault="005F203B"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4F7E8397" w14:textId="457C264D"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 xml:space="preserve">18 </w:t>
            </w:r>
            <w:r w:rsidR="007C629E" w:rsidRPr="00F62287">
              <w:rPr>
                <w:rFonts w:eastAsia="Times New Roman" w:cs="Times New Roman"/>
                <w:color w:val="000000"/>
                <w:sz w:val="18"/>
                <w:szCs w:val="18"/>
              </w:rPr>
              <w:t>428</w:t>
            </w:r>
          </w:p>
        </w:tc>
        <w:tc>
          <w:tcPr>
            <w:tcW w:w="964" w:type="dxa"/>
            <w:shd w:val="clear" w:color="auto" w:fill="FFFFFF" w:themeFill="background1"/>
            <w:noWrap/>
            <w:vAlign w:val="center"/>
          </w:tcPr>
          <w:p w14:paraId="438B0EEC" w14:textId="46D637E1" w:rsidR="005F203B" w:rsidRPr="00F62287" w:rsidRDefault="007C629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19 050</w:t>
            </w:r>
          </w:p>
        </w:tc>
        <w:tc>
          <w:tcPr>
            <w:tcW w:w="964" w:type="dxa"/>
            <w:shd w:val="clear" w:color="auto" w:fill="FFFFFF" w:themeFill="background1"/>
            <w:noWrap/>
            <w:vAlign w:val="center"/>
          </w:tcPr>
          <w:p w14:paraId="48C8501F" w14:textId="232A9FC3"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 xml:space="preserve">19 </w:t>
            </w:r>
            <w:r w:rsidR="007C629E" w:rsidRPr="00F62287">
              <w:rPr>
                <w:rFonts w:eastAsia="Times New Roman" w:cs="Times New Roman"/>
                <w:color w:val="000000"/>
                <w:sz w:val="18"/>
                <w:szCs w:val="18"/>
              </w:rPr>
              <w:t>451</w:t>
            </w:r>
          </w:p>
        </w:tc>
        <w:tc>
          <w:tcPr>
            <w:tcW w:w="964" w:type="dxa"/>
            <w:shd w:val="clear" w:color="auto" w:fill="FFFFFF" w:themeFill="background1"/>
            <w:noWrap/>
            <w:vAlign w:val="center"/>
          </w:tcPr>
          <w:p w14:paraId="47B68DAD" w14:textId="353FBA55"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 xml:space="preserve">19 </w:t>
            </w:r>
            <w:r w:rsidR="007C629E" w:rsidRPr="00F62287">
              <w:rPr>
                <w:rFonts w:eastAsia="Times New Roman" w:cs="Times New Roman"/>
                <w:color w:val="000000"/>
                <w:sz w:val="18"/>
                <w:szCs w:val="18"/>
              </w:rPr>
              <w:t>969</w:t>
            </w:r>
          </w:p>
        </w:tc>
      </w:tr>
      <w:tr w:rsidR="005348E9" w:rsidRPr="00FD1578" w14:paraId="62DD99FF" w14:textId="77777777" w:rsidTr="00F62287">
        <w:trPr>
          <w:trHeight w:val="20"/>
          <w:jc w:val="center"/>
        </w:trPr>
        <w:tc>
          <w:tcPr>
            <w:tcW w:w="3114" w:type="dxa"/>
            <w:shd w:val="clear" w:color="auto" w:fill="auto"/>
            <w:noWrap/>
            <w:vAlign w:val="center"/>
          </w:tcPr>
          <w:p w14:paraId="02FD3E5F" w14:textId="77777777" w:rsidR="005348E9" w:rsidRPr="00FD1578" w:rsidRDefault="005348E9" w:rsidP="005348E9">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budžeta bilance,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484E6341" w14:textId="77777777" w:rsidR="005348E9" w:rsidRPr="00FD1578" w:rsidRDefault="005348E9" w:rsidP="005348E9">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(12)=(11)-(10)</w:t>
            </w:r>
          </w:p>
        </w:tc>
        <w:tc>
          <w:tcPr>
            <w:tcW w:w="963" w:type="dxa"/>
            <w:shd w:val="clear" w:color="auto" w:fill="auto"/>
            <w:noWrap/>
            <w:vAlign w:val="center"/>
          </w:tcPr>
          <w:p w14:paraId="02429CEB" w14:textId="77777777" w:rsidR="005348E9" w:rsidRPr="00FD1578" w:rsidRDefault="005348E9" w:rsidP="005348E9">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508AA7DB" w14:textId="68DC1516" w:rsidR="005348E9" w:rsidRPr="00F62287" w:rsidRDefault="005348E9" w:rsidP="005348E9">
            <w:pPr>
              <w:spacing w:before="60" w:after="0"/>
              <w:ind w:firstLine="0"/>
              <w:jc w:val="center"/>
              <w:rPr>
                <w:rFonts w:eastAsia="Times New Roman" w:cs="Times New Roman"/>
                <w:color w:val="000000"/>
                <w:sz w:val="18"/>
                <w:szCs w:val="18"/>
              </w:rPr>
            </w:pPr>
            <w:r w:rsidRPr="00F62287">
              <w:rPr>
                <w:sz w:val="18"/>
                <w:szCs w:val="18"/>
              </w:rPr>
              <w:t>-1</w:t>
            </w:r>
            <w:r w:rsidR="007E720C">
              <w:rPr>
                <w:sz w:val="18"/>
                <w:szCs w:val="18"/>
              </w:rPr>
              <w:t> </w:t>
            </w:r>
            <w:r w:rsidRPr="00F62287">
              <w:rPr>
                <w:sz w:val="18"/>
                <w:szCs w:val="18"/>
              </w:rPr>
              <w:t>339</w:t>
            </w:r>
            <w:r w:rsidR="007E720C">
              <w:rPr>
                <w:sz w:val="18"/>
                <w:szCs w:val="18"/>
              </w:rPr>
              <w:t>,</w:t>
            </w:r>
            <w:r w:rsidRPr="00F62287">
              <w:rPr>
                <w:sz w:val="18"/>
                <w:szCs w:val="18"/>
              </w:rPr>
              <w:t>2</w:t>
            </w:r>
          </w:p>
        </w:tc>
        <w:tc>
          <w:tcPr>
            <w:tcW w:w="964" w:type="dxa"/>
            <w:shd w:val="clear" w:color="auto" w:fill="FFFFFF" w:themeFill="background1"/>
            <w:noWrap/>
            <w:vAlign w:val="center"/>
          </w:tcPr>
          <w:p w14:paraId="72565726" w14:textId="5E21CE66" w:rsidR="005348E9" w:rsidRPr="00F62287" w:rsidRDefault="005348E9" w:rsidP="005348E9">
            <w:pPr>
              <w:spacing w:before="60" w:after="0"/>
              <w:ind w:firstLine="0"/>
              <w:jc w:val="center"/>
              <w:rPr>
                <w:rFonts w:eastAsia="Times New Roman" w:cs="Times New Roman"/>
                <w:color w:val="000000"/>
                <w:sz w:val="18"/>
                <w:szCs w:val="18"/>
              </w:rPr>
            </w:pPr>
            <w:r w:rsidRPr="00F62287">
              <w:rPr>
                <w:sz w:val="18"/>
                <w:szCs w:val="18"/>
              </w:rPr>
              <w:t>-1</w:t>
            </w:r>
            <w:r w:rsidR="007E720C">
              <w:rPr>
                <w:sz w:val="18"/>
                <w:szCs w:val="18"/>
              </w:rPr>
              <w:t> </w:t>
            </w:r>
            <w:r w:rsidRPr="00F62287">
              <w:rPr>
                <w:sz w:val="18"/>
                <w:szCs w:val="18"/>
              </w:rPr>
              <w:t>287</w:t>
            </w:r>
            <w:r w:rsidR="007E720C">
              <w:rPr>
                <w:sz w:val="18"/>
                <w:szCs w:val="18"/>
              </w:rPr>
              <w:t>,</w:t>
            </w:r>
            <w:r w:rsidRPr="00F62287">
              <w:rPr>
                <w:sz w:val="18"/>
                <w:szCs w:val="18"/>
              </w:rPr>
              <w:t>6</w:t>
            </w:r>
          </w:p>
        </w:tc>
        <w:tc>
          <w:tcPr>
            <w:tcW w:w="964" w:type="dxa"/>
            <w:shd w:val="clear" w:color="auto" w:fill="FFFFFF" w:themeFill="background1"/>
            <w:noWrap/>
            <w:vAlign w:val="center"/>
          </w:tcPr>
          <w:p w14:paraId="755A2E6F" w14:textId="51F7FDFD" w:rsidR="005348E9" w:rsidRPr="00F62287" w:rsidRDefault="005348E9" w:rsidP="005348E9">
            <w:pPr>
              <w:spacing w:before="60" w:after="0"/>
              <w:ind w:firstLine="0"/>
              <w:jc w:val="center"/>
              <w:rPr>
                <w:rFonts w:eastAsia="Times New Roman" w:cs="Times New Roman"/>
                <w:color w:val="000000"/>
                <w:sz w:val="18"/>
                <w:szCs w:val="18"/>
              </w:rPr>
            </w:pPr>
            <w:r w:rsidRPr="00F62287">
              <w:rPr>
                <w:sz w:val="18"/>
                <w:szCs w:val="18"/>
              </w:rPr>
              <w:t>-1</w:t>
            </w:r>
            <w:r w:rsidR="007E720C">
              <w:rPr>
                <w:sz w:val="18"/>
                <w:szCs w:val="18"/>
              </w:rPr>
              <w:t> </w:t>
            </w:r>
            <w:r w:rsidRPr="00F62287">
              <w:rPr>
                <w:sz w:val="18"/>
                <w:szCs w:val="18"/>
              </w:rPr>
              <w:t>249</w:t>
            </w:r>
            <w:r w:rsidR="007E720C">
              <w:rPr>
                <w:sz w:val="18"/>
                <w:szCs w:val="18"/>
              </w:rPr>
              <w:t>,</w:t>
            </w:r>
            <w:r w:rsidR="007E720C" w:rsidRPr="00F62287">
              <w:rPr>
                <w:sz w:val="18"/>
                <w:szCs w:val="18"/>
              </w:rPr>
              <w:t>5</w:t>
            </w:r>
          </w:p>
        </w:tc>
        <w:tc>
          <w:tcPr>
            <w:tcW w:w="964" w:type="dxa"/>
            <w:shd w:val="clear" w:color="auto" w:fill="FFFFFF" w:themeFill="background1"/>
            <w:noWrap/>
            <w:vAlign w:val="center"/>
          </w:tcPr>
          <w:p w14:paraId="1FB44C3E" w14:textId="31D7B212" w:rsidR="005348E9" w:rsidRPr="00F62287" w:rsidRDefault="005348E9" w:rsidP="005348E9">
            <w:pPr>
              <w:spacing w:before="60" w:after="0"/>
              <w:ind w:firstLine="0"/>
              <w:jc w:val="center"/>
              <w:rPr>
                <w:rFonts w:eastAsia="Times New Roman" w:cs="Times New Roman"/>
                <w:color w:val="000000"/>
                <w:sz w:val="18"/>
                <w:szCs w:val="18"/>
              </w:rPr>
            </w:pPr>
            <w:r w:rsidRPr="00F62287">
              <w:rPr>
                <w:sz w:val="18"/>
                <w:szCs w:val="18"/>
              </w:rPr>
              <w:t>-1</w:t>
            </w:r>
            <w:r w:rsidR="007E720C">
              <w:rPr>
                <w:sz w:val="18"/>
                <w:szCs w:val="18"/>
              </w:rPr>
              <w:t> </w:t>
            </w:r>
            <w:r w:rsidRPr="00F62287">
              <w:rPr>
                <w:sz w:val="18"/>
                <w:szCs w:val="18"/>
              </w:rPr>
              <w:t>155</w:t>
            </w:r>
            <w:r w:rsidR="007E720C">
              <w:rPr>
                <w:sz w:val="18"/>
                <w:szCs w:val="18"/>
              </w:rPr>
              <w:t>,</w:t>
            </w:r>
            <w:r w:rsidR="007E720C" w:rsidRPr="00F62287">
              <w:rPr>
                <w:sz w:val="18"/>
                <w:szCs w:val="18"/>
              </w:rPr>
              <w:t>2</w:t>
            </w:r>
          </w:p>
        </w:tc>
      </w:tr>
      <w:tr w:rsidR="005F203B" w:rsidRPr="00FD1578" w14:paraId="1F589E6D" w14:textId="77777777" w:rsidTr="00F62287">
        <w:trPr>
          <w:trHeight w:val="20"/>
          <w:jc w:val="center"/>
        </w:trPr>
        <w:tc>
          <w:tcPr>
            <w:tcW w:w="3114" w:type="dxa"/>
            <w:shd w:val="clear" w:color="auto" w:fill="auto"/>
            <w:noWrap/>
            <w:vAlign w:val="center"/>
          </w:tcPr>
          <w:p w14:paraId="6A69C3AB"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IKP prognoze,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768476DF"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w:t>
            </w:r>
          </w:p>
        </w:tc>
        <w:tc>
          <w:tcPr>
            <w:tcW w:w="963" w:type="dxa"/>
            <w:shd w:val="clear" w:color="auto" w:fill="auto"/>
            <w:noWrap/>
            <w:vAlign w:val="center"/>
          </w:tcPr>
          <w:p w14:paraId="52D13D99" w14:textId="77777777" w:rsidR="005F203B" w:rsidRPr="00FD1578" w:rsidRDefault="005F203B"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403508B3"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44 379</w:t>
            </w:r>
          </w:p>
        </w:tc>
        <w:tc>
          <w:tcPr>
            <w:tcW w:w="964" w:type="dxa"/>
            <w:shd w:val="clear" w:color="auto" w:fill="FFFFFF" w:themeFill="background1"/>
            <w:noWrap/>
            <w:vAlign w:val="center"/>
          </w:tcPr>
          <w:p w14:paraId="4D9B8701"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46 836</w:t>
            </w:r>
          </w:p>
        </w:tc>
        <w:tc>
          <w:tcPr>
            <w:tcW w:w="964" w:type="dxa"/>
            <w:shd w:val="clear" w:color="auto" w:fill="FFFFFF" w:themeFill="background1"/>
            <w:noWrap/>
            <w:vAlign w:val="center"/>
          </w:tcPr>
          <w:p w14:paraId="6297123E"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49 349</w:t>
            </w:r>
          </w:p>
        </w:tc>
        <w:tc>
          <w:tcPr>
            <w:tcW w:w="964" w:type="dxa"/>
            <w:shd w:val="clear" w:color="auto" w:fill="FFFFFF" w:themeFill="background1"/>
            <w:noWrap/>
            <w:vAlign w:val="center"/>
          </w:tcPr>
          <w:p w14:paraId="58A3CF68"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51 851</w:t>
            </w:r>
          </w:p>
        </w:tc>
      </w:tr>
      <w:tr w:rsidR="007E720C" w:rsidRPr="00FD1578" w14:paraId="5586A7D6" w14:textId="77777777" w:rsidTr="00F62287">
        <w:trPr>
          <w:trHeight w:val="20"/>
          <w:jc w:val="center"/>
        </w:trPr>
        <w:tc>
          <w:tcPr>
            <w:tcW w:w="3114" w:type="dxa"/>
            <w:shd w:val="clear" w:color="auto" w:fill="auto"/>
            <w:noWrap/>
            <w:vAlign w:val="center"/>
          </w:tcPr>
          <w:p w14:paraId="25C286AD" w14:textId="77777777" w:rsidR="007E720C" w:rsidRPr="00FD1578" w:rsidRDefault="007E720C" w:rsidP="007E720C">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vispārējās valdības budžeta bilance, % no IKP</w:t>
            </w:r>
          </w:p>
        </w:tc>
        <w:tc>
          <w:tcPr>
            <w:tcW w:w="1134" w:type="dxa"/>
            <w:vAlign w:val="center"/>
          </w:tcPr>
          <w:p w14:paraId="32B574D6" w14:textId="77777777" w:rsidR="007E720C" w:rsidRPr="00FD1578" w:rsidRDefault="007E720C" w:rsidP="007E720C">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(14)=(12)/(13)*100</w:t>
            </w:r>
          </w:p>
        </w:tc>
        <w:tc>
          <w:tcPr>
            <w:tcW w:w="963" w:type="dxa"/>
            <w:shd w:val="clear" w:color="auto" w:fill="auto"/>
            <w:noWrap/>
            <w:vAlign w:val="center"/>
          </w:tcPr>
          <w:p w14:paraId="76501559" w14:textId="77777777" w:rsidR="007E720C" w:rsidRPr="00FD1578" w:rsidRDefault="007E720C" w:rsidP="007E720C">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794FEED7" w14:textId="3AD72A3E" w:rsidR="007E720C" w:rsidRPr="00F62287" w:rsidRDefault="007E720C" w:rsidP="007E720C">
            <w:pPr>
              <w:spacing w:before="60" w:after="0"/>
              <w:ind w:firstLine="0"/>
              <w:jc w:val="center"/>
              <w:rPr>
                <w:rFonts w:eastAsia="Times New Roman" w:cs="Times New Roman"/>
                <w:color w:val="000000"/>
                <w:sz w:val="18"/>
                <w:szCs w:val="18"/>
              </w:rPr>
            </w:pPr>
            <w:r w:rsidRPr="00F62287">
              <w:rPr>
                <w:sz w:val="18"/>
                <w:szCs w:val="18"/>
              </w:rPr>
              <w:t>-2</w:t>
            </w:r>
            <w:r>
              <w:rPr>
                <w:sz w:val="18"/>
                <w:szCs w:val="18"/>
              </w:rPr>
              <w:t>,</w:t>
            </w:r>
            <w:r w:rsidRPr="00F62287">
              <w:rPr>
                <w:sz w:val="18"/>
                <w:szCs w:val="18"/>
              </w:rPr>
              <w:t>964</w:t>
            </w:r>
          </w:p>
        </w:tc>
        <w:tc>
          <w:tcPr>
            <w:tcW w:w="964" w:type="dxa"/>
            <w:shd w:val="clear" w:color="auto" w:fill="FFFFFF" w:themeFill="background1"/>
            <w:noWrap/>
            <w:vAlign w:val="center"/>
          </w:tcPr>
          <w:p w14:paraId="0A8AA386" w14:textId="6B7C4DDC" w:rsidR="007E720C" w:rsidRPr="00F62287" w:rsidRDefault="007E720C" w:rsidP="007E720C">
            <w:pPr>
              <w:spacing w:before="60" w:after="0"/>
              <w:ind w:firstLine="0"/>
              <w:jc w:val="center"/>
              <w:rPr>
                <w:rFonts w:eastAsia="Times New Roman" w:cs="Times New Roman"/>
                <w:color w:val="000000"/>
                <w:sz w:val="18"/>
                <w:szCs w:val="18"/>
              </w:rPr>
            </w:pPr>
            <w:r w:rsidRPr="00F62287">
              <w:rPr>
                <w:sz w:val="18"/>
                <w:szCs w:val="18"/>
              </w:rPr>
              <w:t>-2</w:t>
            </w:r>
            <w:r>
              <w:rPr>
                <w:sz w:val="18"/>
                <w:szCs w:val="18"/>
              </w:rPr>
              <w:t>,</w:t>
            </w:r>
            <w:r w:rsidRPr="00F62287">
              <w:rPr>
                <w:sz w:val="18"/>
                <w:szCs w:val="18"/>
              </w:rPr>
              <w:t>749</w:t>
            </w:r>
          </w:p>
        </w:tc>
        <w:tc>
          <w:tcPr>
            <w:tcW w:w="964" w:type="dxa"/>
            <w:shd w:val="clear" w:color="auto" w:fill="FFFFFF" w:themeFill="background1"/>
            <w:noWrap/>
            <w:vAlign w:val="center"/>
          </w:tcPr>
          <w:p w14:paraId="03AFF113" w14:textId="1AC3D9C0" w:rsidR="007E720C" w:rsidRPr="00F62287" w:rsidRDefault="007E720C" w:rsidP="007E720C">
            <w:pPr>
              <w:spacing w:before="60" w:after="0"/>
              <w:ind w:firstLine="0"/>
              <w:jc w:val="center"/>
              <w:rPr>
                <w:rFonts w:eastAsia="Times New Roman" w:cs="Times New Roman"/>
                <w:color w:val="000000"/>
                <w:sz w:val="18"/>
                <w:szCs w:val="18"/>
              </w:rPr>
            </w:pPr>
            <w:r w:rsidRPr="00F62287">
              <w:rPr>
                <w:sz w:val="18"/>
                <w:szCs w:val="18"/>
              </w:rPr>
              <w:t>-2</w:t>
            </w:r>
            <w:r>
              <w:rPr>
                <w:sz w:val="18"/>
                <w:szCs w:val="18"/>
              </w:rPr>
              <w:t>,</w:t>
            </w:r>
            <w:r w:rsidRPr="00F62287">
              <w:rPr>
                <w:sz w:val="18"/>
                <w:szCs w:val="18"/>
              </w:rPr>
              <w:t>532</w:t>
            </w:r>
          </w:p>
        </w:tc>
        <w:tc>
          <w:tcPr>
            <w:tcW w:w="964" w:type="dxa"/>
            <w:shd w:val="clear" w:color="auto" w:fill="FFFFFF" w:themeFill="background1"/>
            <w:noWrap/>
            <w:vAlign w:val="center"/>
          </w:tcPr>
          <w:p w14:paraId="0FC00B85" w14:textId="668552B8" w:rsidR="007E720C" w:rsidRPr="00F62287" w:rsidRDefault="007E720C" w:rsidP="007E720C">
            <w:pPr>
              <w:spacing w:before="60" w:after="0"/>
              <w:ind w:firstLine="0"/>
              <w:jc w:val="center"/>
              <w:rPr>
                <w:rFonts w:eastAsia="Times New Roman" w:cs="Times New Roman"/>
                <w:color w:val="000000"/>
                <w:sz w:val="18"/>
                <w:szCs w:val="18"/>
              </w:rPr>
            </w:pPr>
            <w:r w:rsidRPr="00F62287">
              <w:rPr>
                <w:sz w:val="18"/>
                <w:szCs w:val="18"/>
              </w:rPr>
              <w:t>-2</w:t>
            </w:r>
            <w:r>
              <w:rPr>
                <w:sz w:val="18"/>
                <w:szCs w:val="18"/>
              </w:rPr>
              <w:t>,</w:t>
            </w:r>
            <w:r w:rsidRPr="00F62287">
              <w:rPr>
                <w:sz w:val="18"/>
                <w:szCs w:val="18"/>
              </w:rPr>
              <w:t>250</w:t>
            </w:r>
          </w:p>
        </w:tc>
      </w:tr>
      <w:tr w:rsidR="005F203B" w:rsidRPr="00FD1578" w14:paraId="405CDD4B" w14:textId="77777777" w:rsidTr="00F62287">
        <w:trPr>
          <w:trHeight w:val="20"/>
          <w:jc w:val="center"/>
        </w:trPr>
        <w:tc>
          <w:tcPr>
            <w:tcW w:w="3114" w:type="dxa"/>
            <w:shd w:val="clear" w:color="auto" w:fill="auto"/>
            <w:noWrap/>
            <w:vAlign w:val="center"/>
          </w:tcPr>
          <w:p w14:paraId="29E19143" w14:textId="77777777" w:rsidR="005F203B" w:rsidRPr="00FD1578" w:rsidRDefault="005F203B"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bilances cikliskā komponente, % no IKP</w:t>
            </w:r>
          </w:p>
        </w:tc>
        <w:tc>
          <w:tcPr>
            <w:tcW w:w="1134" w:type="dxa"/>
            <w:vAlign w:val="center"/>
          </w:tcPr>
          <w:p w14:paraId="4D8E8CFB" w14:textId="77777777" w:rsidR="005F203B" w:rsidRPr="00FD1578" w:rsidRDefault="005F203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w:t>
            </w:r>
          </w:p>
        </w:tc>
        <w:tc>
          <w:tcPr>
            <w:tcW w:w="963" w:type="dxa"/>
            <w:shd w:val="clear" w:color="auto" w:fill="auto"/>
            <w:noWrap/>
            <w:vAlign w:val="center"/>
          </w:tcPr>
          <w:p w14:paraId="70C36A9F" w14:textId="77777777" w:rsidR="005F203B" w:rsidRPr="00FD1578" w:rsidRDefault="005F203B"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13DE561E"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-0,43</w:t>
            </w:r>
          </w:p>
        </w:tc>
        <w:tc>
          <w:tcPr>
            <w:tcW w:w="964" w:type="dxa"/>
            <w:shd w:val="clear" w:color="auto" w:fill="FFFFFF" w:themeFill="background1"/>
            <w:noWrap/>
            <w:vAlign w:val="center"/>
          </w:tcPr>
          <w:p w14:paraId="539A7638"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-0,22</w:t>
            </w:r>
          </w:p>
        </w:tc>
        <w:tc>
          <w:tcPr>
            <w:tcW w:w="964" w:type="dxa"/>
            <w:shd w:val="clear" w:color="auto" w:fill="FFFFFF" w:themeFill="background1"/>
            <w:noWrap/>
            <w:vAlign w:val="center"/>
          </w:tcPr>
          <w:p w14:paraId="67B61A75"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-0,08</w:t>
            </w:r>
          </w:p>
        </w:tc>
        <w:tc>
          <w:tcPr>
            <w:tcW w:w="964" w:type="dxa"/>
            <w:shd w:val="clear" w:color="auto" w:fill="FFFFFF" w:themeFill="background1"/>
            <w:noWrap/>
            <w:vAlign w:val="center"/>
          </w:tcPr>
          <w:p w14:paraId="5021EBB8" w14:textId="77777777" w:rsidR="005F203B" w:rsidRPr="00F62287" w:rsidRDefault="005F203B"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0,00</w:t>
            </w:r>
          </w:p>
        </w:tc>
      </w:tr>
      <w:tr w:rsidR="005348E9" w:rsidRPr="00FD1578" w14:paraId="19042F37" w14:textId="77777777" w:rsidTr="00F62287">
        <w:trPr>
          <w:trHeight w:val="20"/>
          <w:jc w:val="center"/>
        </w:trPr>
        <w:tc>
          <w:tcPr>
            <w:tcW w:w="3114" w:type="dxa"/>
            <w:shd w:val="clear" w:color="auto" w:fill="auto"/>
            <w:noWrap/>
            <w:vAlign w:val="center"/>
          </w:tcPr>
          <w:p w14:paraId="45A24BDB" w14:textId="77777777" w:rsidR="005348E9" w:rsidRPr="00FD1578" w:rsidRDefault="005348E9" w:rsidP="005348E9">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one-off</w:t>
            </w:r>
            <w:proofErr w:type="spellEnd"/>
            <w:r w:rsidRPr="00FD1578">
              <w:rPr>
                <w:rFonts w:eastAsia="Times New Roman" w:cs="Times New Roman"/>
                <w:color w:val="000000"/>
                <w:sz w:val="18"/>
                <w:szCs w:val="18"/>
              </w:rPr>
              <w:t xml:space="preserve"> un citi īslaicīgie pasākumi, % no IKP</w:t>
            </w:r>
          </w:p>
        </w:tc>
        <w:tc>
          <w:tcPr>
            <w:tcW w:w="1134" w:type="dxa"/>
            <w:vAlign w:val="center"/>
          </w:tcPr>
          <w:p w14:paraId="7E44E094" w14:textId="77777777" w:rsidR="005348E9" w:rsidRPr="00FD1578" w:rsidRDefault="005348E9" w:rsidP="005348E9">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(16)</w:t>
            </w:r>
          </w:p>
        </w:tc>
        <w:tc>
          <w:tcPr>
            <w:tcW w:w="963" w:type="dxa"/>
            <w:shd w:val="clear" w:color="auto" w:fill="auto"/>
            <w:noWrap/>
            <w:vAlign w:val="center"/>
          </w:tcPr>
          <w:p w14:paraId="33688DAB" w14:textId="77777777" w:rsidR="005348E9" w:rsidRPr="00FD1578" w:rsidRDefault="005348E9" w:rsidP="005348E9">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4D0FB55B" w14:textId="23C350FC" w:rsidR="005348E9" w:rsidRPr="00F62287" w:rsidRDefault="005348E9" w:rsidP="005348E9">
            <w:pPr>
              <w:spacing w:before="60" w:after="0"/>
              <w:ind w:firstLine="0"/>
              <w:jc w:val="center"/>
              <w:rPr>
                <w:rFonts w:eastAsia="Times New Roman" w:cs="Times New Roman"/>
                <w:color w:val="000000"/>
                <w:sz w:val="18"/>
                <w:szCs w:val="18"/>
              </w:rPr>
            </w:pPr>
            <w:r w:rsidRPr="00F62287">
              <w:rPr>
                <w:sz w:val="18"/>
                <w:szCs w:val="18"/>
              </w:rPr>
              <w:t>-1,7</w:t>
            </w:r>
          </w:p>
        </w:tc>
        <w:tc>
          <w:tcPr>
            <w:tcW w:w="964" w:type="dxa"/>
            <w:shd w:val="clear" w:color="auto" w:fill="FFFFFF" w:themeFill="background1"/>
            <w:noWrap/>
            <w:vAlign w:val="center"/>
          </w:tcPr>
          <w:p w14:paraId="6EAD54E6" w14:textId="17069BDB" w:rsidR="005348E9" w:rsidRPr="00F62287" w:rsidRDefault="005348E9" w:rsidP="005348E9">
            <w:pPr>
              <w:spacing w:before="60" w:after="0"/>
              <w:ind w:firstLine="0"/>
              <w:jc w:val="center"/>
              <w:rPr>
                <w:rFonts w:eastAsia="Times New Roman" w:cs="Times New Roman"/>
                <w:color w:val="000000"/>
                <w:sz w:val="18"/>
                <w:szCs w:val="18"/>
              </w:rPr>
            </w:pPr>
            <w:r w:rsidRPr="00F62287">
              <w:rPr>
                <w:sz w:val="18"/>
                <w:szCs w:val="18"/>
              </w:rPr>
              <w:t>-1,8</w:t>
            </w:r>
          </w:p>
        </w:tc>
        <w:tc>
          <w:tcPr>
            <w:tcW w:w="964" w:type="dxa"/>
            <w:shd w:val="clear" w:color="auto" w:fill="FFFFFF" w:themeFill="background1"/>
            <w:noWrap/>
            <w:vAlign w:val="center"/>
          </w:tcPr>
          <w:p w14:paraId="0A9EEA87" w14:textId="7395DEE5" w:rsidR="005348E9" w:rsidRPr="00F62287" w:rsidRDefault="005348E9" w:rsidP="005348E9">
            <w:pPr>
              <w:spacing w:before="60" w:after="0"/>
              <w:ind w:firstLine="0"/>
              <w:jc w:val="center"/>
              <w:rPr>
                <w:rFonts w:eastAsia="Times New Roman" w:cs="Times New Roman"/>
                <w:color w:val="000000"/>
                <w:sz w:val="18"/>
                <w:szCs w:val="18"/>
              </w:rPr>
            </w:pPr>
            <w:r w:rsidRPr="00F62287">
              <w:rPr>
                <w:sz w:val="18"/>
                <w:szCs w:val="18"/>
              </w:rPr>
              <w:t>-1,7</w:t>
            </w:r>
          </w:p>
        </w:tc>
        <w:tc>
          <w:tcPr>
            <w:tcW w:w="964" w:type="dxa"/>
            <w:shd w:val="clear" w:color="auto" w:fill="FFFFFF" w:themeFill="background1"/>
            <w:noWrap/>
            <w:vAlign w:val="center"/>
          </w:tcPr>
          <w:p w14:paraId="0D97F0F9" w14:textId="5794FC30" w:rsidR="005348E9" w:rsidRPr="00F62287" w:rsidRDefault="005348E9" w:rsidP="005348E9">
            <w:pPr>
              <w:spacing w:before="60" w:after="0"/>
              <w:ind w:firstLine="0"/>
              <w:jc w:val="center"/>
              <w:rPr>
                <w:rFonts w:eastAsia="Times New Roman" w:cs="Times New Roman"/>
                <w:color w:val="000000"/>
                <w:sz w:val="18"/>
                <w:szCs w:val="18"/>
              </w:rPr>
            </w:pPr>
            <w:r w:rsidRPr="00F62287">
              <w:rPr>
                <w:sz w:val="18"/>
                <w:szCs w:val="18"/>
              </w:rPr>
              <w:t>-1,3</w:t>
            </w:r>
          </w:p>
        </w:tc>
      </w:tr>
      <w:tr w:rsidR="007E720C" w:rsidRPr="00FD1578" w14:paraId="2401F25D" w14:textId="77777777" w:rsidTr="00F62287">
        <w:trPr>
          <w:trHeight w:val="20"/>
          <w:jc w:val="center"/>
        </w:trPr>
        <w:tc>
          <w:tcPr>
            <w:tcW w:w="3114" w:type="dxa"/>
            <w:shd w:val="clear" w:color="auto" w:fill="BDD6EE" w:themeFill="accent1" w:themeFillTint="66"/>
            <w:noWrap/>
            <w:vAlign w:val="center"/>
          </w:tcPr>
          <w:p w14:paraId="509411A5" w14:textId="77777777" w:rsidR="007E720C" w:rsidRPr="00FD1578" w:rsidRDefault="007E720C" w:rsidP="007E720C">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Vispārējās valdības strukturālās bilances mērķi, % no IKP</w:t>
            </w:r>
          </w:p>
        </w:tc>
        <w:tc>
          <w:tcPr>
            <w:tcW w:w="1134" w:type="dxa"/>
            <w:shd w:val="clear" w:color="auto" w:fill="BDD6EE" w:themeFill="accent1" w:themeFillTint="66"/>
            <w:vAlign w:val="center"/>
          </w:tcPr>
          <w:p w14:paraId="5B75B76A" w14:textId="77777777" w:rsidR="007E720C" w:rsidRPr="00FD1578" w:rsidRDefault="007E720C" w:rsidP="007E720C">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(17)=(14)-(15)-(16)</w:t>
            </w:r>
          </w:p>
        </w:tc>
        <w:tc>
          <w:tcPr>
            <w:tcW w:w="963" w:type="dxa"/>
            <w:shd w:val="clear" w:color="auto" w:fill="BDD6EE" w:themeFill="accent1" w:themeFillTint="66"/>
            <w:noWrap/>
            <w:vAlign w:val="center"/>
          </w:tcPr>
          <w:p w14:paraId="4E0A3A7E" w14:textId="77777777" w:rsidR="007E720C" w:rsidRPr="00FD1578" w:rsidRDefault="007E720C" w:rsidP="007E720C">
            <w:pPr>
              <w:spacing w:before="60" w:after="0"/>
              <w:ind w:firstLine="0"/>
              <w:jc w:val="center"/>
              <w:rPr>
                <w:rFonts w:eastAsia="Times New Roman" w:cs="Times New Roman"/>
                <w:b/>
                <w:bCs/>
                <w:color w:val="000000"/>
                <w:sz w:val="18"/>
                <w:szCs w:val="18"/>
                <w:highlight w:val="yellow"/>
              </w:rPr>
            </w:pPr>
          </w:p>
        </w:tc>
        <w:tc>
          <w:tcPr>
            <w:tcW w:w="964" w:type="dxa"/>
            <w:shd w:val="clear" w:color="auto" w:fill="BDD6EE" w:themeFill="accent1" w:themeFillTint="66"/>
            <w:noWrap/>
            <w:vAlign w:val="center"/>
          </w:tcPr>
          <w:p w14:paraId="7972DD92" w14:textId="099BA72A" w:rsidR="007E720C" w:rsidRPr="00F62287" w:rsidRDefault="007E720C" w:rsidP="007E720C">
            <w:pPr>
              <w:spacing w:before="60" w:after="0"/>
              <w:ind w:firstLine="0"/>
              <w:jc w:val="center"/>
              <w:rPr>
                <w:rFonts w:eastAsia="Times New Roman" w:cs="Times New Roman"/>
                <w:b/>
                <w:bCs/>
                <w:color w:val="000000"/>
                <w:sz w:val="18"/>
                <w:szCs w:val="18"/>
              </w:rPr>
            </w:pPr>
            <w:r w:rsidRPr="00F62287">
              <w:rPr>
                <w:sz w:val="18"/>
                <w:szCs w:val="18"/>
              </w:rPr>
              <w:t>-0</w:t>
            </w:r>
            <w:r>
              <w:rPr>
                <w:sz w:val="18"/>
                <w:szCs w:val="18"/>
              </w:rPr>
              <w:t>,</w:t>
            </w:r>
            <w:r w:rsidRPr="00F62287">
              <w:rPr>
                <w:sz w:val="18"/>
                <w:szCs w:val="18"/>
              </w:rPr>
              <w:t>789</w:t>
            </w:r>
          </w:p>
        </w:tc>
        <w:tc>
          <w:tcPr>
            <w:tcW w:w="964" w:type="dxa"/>
            <w:shd w:val="clear" w:color="auto" w:fill="BDD6EE" w:themeFill="accent1" w:themeFillTint="66"/>
            <w:noWrap/>
            <w:vAlign w:val="center"/>
          </w:tcPr>
          <w:p w14:paraId="46AB1629" w14:textId="3368B50C" w:rsidR="007E720C" w:rsidRPr="00F62287" w:rsidRDefault="007E720C" w:rsidP="007E720C">
            <w:pPr>
              <w:spacing w:before="60" w:after="0"/>
              <w:ind w:firstLine="0"/>
              <w:jc w:val="center"/>
              <w:rPr>
                <w:rFonts w:eastAsia="Times New Roman" w:cs="Times New Roman"/>
                <w:b/>
                <w:bCs/>
                <w:color w:val="000000"/>
                <w:sz w:val="18"/>
                <w:szCs w:val="18"/>
              </w:rPr>
            </w:pPr>
            <w:r w:rsidRPr="00F62287">
              <w:rPr>
                <w:sz w:val="18"/>
                <w:szCs w:val="18"/>
              </w:rPr>
              <w:t>-0</w:t>
            </w:r>
            <w:r>
              <w:rPr>
                <w:sz w:val="18"/>
                <w:szCs w:val="18"/>
              </w:rPr>
              <w:t>,</w:t>
            </w:r>
            <w:r w:rsidRPr="00F62287">
              <w:rPr>
                <w:sz w:val="18"/>
                <w:szCs w:val="18"/>
              </w:rPr>
              <w:t>749</w:t>
            </w:r>
          </w:p>
        </w:tc>
        <w:tc>
          <w:tcPr>
            <w:tcW w:w="964" w:type="dxa"/>
            <w:shd w:val="clear" w:color="auto" w:fill="BDD6EE" w:themeFill="accent1" w:themeFillTint="66"/>
            <w:noWrap/>
            <w:vAlign w:val="center"/>
          </w:tcPr>
          <w:p w14:paraId="2C7E00EE" w14:textId="52F66F71" w:rsidR="007E720C" w:rsidRPr="00F62287" w:rsidRDefault="007E720C" w:rsidP="007E720C">
            <w:pPr>
              <w:spacing w:before="60" w:after="0"/>
              <w:ind w:firstLine="0"/>
              <w:jc w:val="center"/>
              <w:rPr>
                <w:rFonts w:eastAsia="Times New Roman" w:cs="Times New Roman"/>
                <w:b/>
                <w:bCs/>
                <w:color w:val="000000"/>
                <w:sz w:val="18"/>
                <w:szCs w:val="18"/>
              </w:rPr>
            </w:pPr>
            <w:r w:rsidRPr="00F62287">
              <w:rPr>
                <w:sz w:val="18"/>
                <w:szCs w:val="18"/>
              </w:rPr>
              <w:t>-0</w:t>
            </w:r>
            <w:r>
              <w:rPr>
                <w:sz w:val="18"/>
                <w:szCs w:val="18"/>
              </w:rPr>
              <w:t>,</w:t>
            </w:r>
            <w:r w:rsidRPr="00F62287">
              <w:rPr>
                <w:sz w:val="18"/>
                <w:szCs w:val="18"/>
              </w:rPr>
              <w:t>792</w:t>
            </w:r>
          </w:p>
        </w:tc>
        <w:tc>
          <w:tcPr>
            <w:tcW w:w="964" w:type="dxa"/>
            <w:shd w:val="clear" w:color="auto" w:fill="BDD6EE" w:themeFill="accent1" w:themeFillTint="66"/>
            <w:noWrap/>
            <w:vAlign w:val="center"/>
          </w:tcPr>
          <w:p w14:paraId="78F682B9" w14:textId="531E12F9" w:rsidR="007E720C" w:rsidRPr="00F62287" w:rsidRDefault="007E720C" w:rsidP="007E720C">
            <w:pPr>
              <w:spacing w:before="60" w:after="0"/>
              <w:ind w:firstLine="0"/>
              <w:jc w:val="center"/>
              <w:rPr>
                <w:rFonts w:eastAsia="Times New Roman" w:cs="Times New Roman"/>
                <w:b/>
                <w:bCs/>
                <w:color w:val="000000"/>
                <w:sz w:val="18"/>
                <w:szCs w:val="18"/>
              </w:rPr>
            </w:pPr>
            <w:r w:rsidRPr="00F62287">
              <w:rPr>
                <w:sz w:val="18"/>
                <w:szCs w:val="18"/>
              </w:rPr>
              <w:t>-0</w:t>
            </w:r>
            <w:r>
              <w:rPr>
                <w:sz w:val="18"/>
                <w:szCs w:val="18"/>
              </w:rPr>
              <w:t>,</w:t>
            </w:r>
            <w:r w:rsidRPr="00F62287">
              <w:rPr>
                <w:sz w:val="18"/>
                <w:szCs w:val="18"/>
              </w:rPr>
              <w:t>954</w:t>
            </w:r>
          </w:p>
        </w:tc>
      </w:tr>
    </w:tbl>
    <w:p w14:paraId="11706B2B" w14:textId="77777777" w:rsidR="005F203B" w:rsidRPr="00FD1578" w:rsidRDefault="005F203B" w:rsidP="008349F0">
      <w:pPr>
        <w:rPr>
          <w:szCs w:val="20"/>
        </w:rPr>
      </w:pPr>
    </w:p>
    <w:p w14:paraId="05655D02" w14:textId="2C461722" w:rsidR="005F203B" w:rsidRPr="00FD1578" w:rsidRDefault="005F203B" w:rsidP="008349F0">
      <w:pPr>
        <w:rPr>
          <w:rFonts w:cs="Times New Roman"/>
          <w:szCs w:val="24"/>
        </w:rPr>
      </w:pPr>
      <w:r w:rsidRPr="00FD1578">
        <w:rPr>
          <w:rFonts w:cs="Times New Roman"/>
          <w:szCs w:val="24"/>
        </w:rPr>
        <w:t>Līdz ar to pēc politikas pasākumu pieņemšanas domin</w:t>
      </w:r>
      <w:r w:rsidR="00841639" w:rsidRPr="00FD1578">
        <w:rPr>
          <w:rFonts w:cs="Times New Roman"/>
          <w:szCs w:val="24"/>
        </w:rPr>
        <w:t>ē</w:t>
      </w:r>
      <w:r w:rsidRPr="00FD1578">
        <w:rPr>
          <w:rFonts w:cs="Times New Roman"/>
          <w:szCs w:val="24"/>
        </w:rPr>
        <w:t>j</w:t>
      </w:r>
      <w:r w:rsidR="004B105E" w:rsidRPr="00FD1578">
        <w:rPr>
          <w:rFonts w:cs="Times New Roman"/>
          <w:szCs w:val="24"/>
        </w:rPr>
        <w:t>o</w:t>
      </w:r>
      <w:r w:rsidRPr="00FD1578">
        <w:rPr>
          <w:rFonts w:cs="Times New Roman"/>
          <w:szCs w:val="24"/>
        </w:rPr>
        <w:t>šais fiskālais nosacījums visos gad</w:t>
      </w:r>
      <w:r w:rsidR="004B105E" w:rsidRPr="00FD1578">
        <w:rPr>
          <w:rFonts w:cs="Times New Roman"/>
          <w:szCs w:val="24"/>
        </w:rPr>
        <w:t>o</w:t>
      </w:r>
      <w:r w:rsidRPr="00FD1578">
        <w:rPr>
          <w:rFonts w:cs="Times New Roman"/>
          <w:szCs w:val="24"/>
        </w:rPr>
        <w:t xml:space="preserve">s ir </w:t>
      </w:r>
      <w:r w:rsidR="004B105E" w:rsidRPr="00FD1578">
        <w:rPr>
          <w:rFonts w:cs="Times New Roman"/>
          <w:szCs w:val="24"/>
        </w:rPr>
        <w:t xml:space="preserve">ES </w:t>
      </w:r>
      <w:r w:rsidRPr="00FD1578">
        <w:rPr>
          <w:rFonts w:cs="Times New Roman"/>
          <w:szCs w:val="24"/>
        </w:rPr>
        <w:t>izdevumu pieauguma nosacījums.</w:t>
      </w:r>
    </w:p>
    <w:p w14:paraId="1CADBFD7" w14:textId="118250AE" w:rsidR="005F203B" w:rsidRPr="00FD1578" w:rsidRDefault="00CF48B6" w:rsidP="008349F0">
      <w:pPr>
        <w:jc w:val="right"/>
        <w:rPr>
          <w:rFonts w:cs="Times New Roman"/>
          <w:b/>
          <w:bCs/>
          <w:i/>
          <w:iCs/>
          <w:szCs w:val="24"/>
        </w:rPr>
      </w:pPr>
      <w:r w:rsidRPr="00FD1578">
        <w:rPr>
          <w:rFonts w:cs="Times New Roman"/>
          <w:b/>
          <w:bCs/>
          <w:i/>
          <w:iCs/>
          <w:szCs w:val="24"/>
        </w:rPr>
        <w:t>2.</w:t>
      </w:r>
      <w:r w:rsidR="005C63FF" w:rsidRPr="00FD1578">
        <w:rPr>
          <w:rFonts w:cs="Times New Roman"/>
          <w:b/>
          <w:bCs/>
          <w:i/>
          <w:iCs/>
          <w:szCs w:val="24"/>
        </w:rPr>
        <w:t>10</w:t>
      </w:r>
      <w:r w:rsidRPr="00FD1578">
        <w:rPr>
          <w:rFonts w:cs="Times New Roman"/>
          <w:b/>
          <w:bCs/>
          <w:i/>
          <w:iCs/>
          <w:szCs w:val="24"/>
        </w:rPr>
        <w:t xml:space="preserve">. </w:t>
      </w:r>
      <w:r w:rsidR="005F203B" w:rsidRPr="00FD1578">
        <w:rPr>
          <w:rFonts w:cs="Times New Roman"/>
          <w:b/>
          <w:bCs/>
          <w:i/>
          <w:iCs/>
          <w:szCs w:val="24"/>
        </w:rPr>
        <w:t>tabula. Dominējošais fiskālais nosacījums</w:t>
      </w:r>
    </w:p>
    <w:tbl>
      <w:tblPr>
        <w:tblW w:w="7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6"/>
        <w:gridCol w:w="1109"/>
        <w:gridCol w:w="1275"/>
        <w:gridCol w:w="961"/>
        <w:gridCol w:w="927"/>
      </w:tblGrid>
      <w:tr w:rsidR="00CF48B6" w:rsidRPr="00FD1578" w14:paraId="46DA1C83" w14:textId="77777777" w:rsidTr="00710443">
        <w:trPr>
          <w:trHeight w:val="20"/>
          <w:tblHeader/>
          <w:jc w:val="center"/>
        </w:trPr>
        <w:tc>
          <w:tcPr>
            <w:tcW w:w="3346" w:type="dxa"/>
            <w:shd w:val="clear" w:color="auto" w:fill="BDD6EE" w:themeFill="accent1" w:themeFillTint="66"/>
            <w:vAlign w:val="bottom"/>
            <w:hideMark/>
          </w:tcPr>
          <w:p w14:paraId="6AE0CC2D" w14:textId="168CA06B" w:rsidR="00CF48B6" w:rsidRPr="00FD1578" w:rsidRDefault="00CF48B6" w:rsidP="008349F0">
            <w:pPr>
              <w:spacing w:before="60" w:after="0"/>
              <w:ind w:firstLine="0"/>
              <w:jc w:val="left"/>
              <w:rPr>
                <w:rFonts w:eastAsia="Times New Roman" w:cs="Times New Roman"/>
                <w:color w:val="000000"/>
                <w:sz w:val="18"/>
                <w:szCs w:val="18"/>
              </w:rPr>
            </w:pPr>
          </w:p>
        </w:tc>
        <w:tc>
          <w:tcPr>
            <w:tcW w:w="1109" w:type="dxa"/>
            <w:shd w:val="clear" w:color="auto" w:fill="BDD6EE" w:themeFill="accent1" w:themeFillTint="66"/>
            <w:noWrap/>
            <w:vAlign w:val="center"/>
            <w:hideMark/>
          </w:tcPr>
          <w:p w14:paraId="4D05DDB2" w14:textId="77777777" w:rsidR="00CF48B6" w:rsidRPr="00FD1578" w:rsidRDefault="00CF48B6"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1275" w:type="dxa"/>
            <w:shd w:val="clear" w:color="auto" w:fill="BDD6EE" w:themeFill="accent1" w:themeFillTint="66"/>
            <w:noWrap/>
            <w:vAlign w:val="center"/>
            <w:hideMark/>
          </w:tcPr>
          <w:p w14:paraId="7516DF89" w14:textId="77777777" w:rsidR="00CF48B6" w:rsidRPr="00FD1578" w:rsidRDefault="00CF48B6"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961" w:type="dxa"/>
            <w:shd w:val="clear" w:color="auto" w:fill="BDD6EE" w:themeFill="accent1" w:themeFillTint="66"/>
            <w:vAlign w:val="center"/>
          </w:tcPr>
          <w:p w14:paraId="098A7DDD" w14:textId="77777777" w:rsidR="00CF48B6" w:rsidRPr="00FD1578" w:rsidRDefault="00CF48B6"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927" w:type="dxa"/>
            <w:shd w:val="clear" w:color="auto" w:fill="BDD6EE" w:themeFill="accent1" w:themeFillTint="66"/>
            <w:vAlign w:val="center"/>
          </w:tcPr>
          <w:p w14:paraId="210B3AC3" w14:textId="77777777" w:rsidR="00CF48B6" w:rsidRPr="00FD1578" w:rsidRDefault="00CF48B6"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CF48B6" w:rsidRPr="00FD1578" w14:paraId="237E2C67" w14:textId="77777777" w:rsidTr="00710443">
        <w:trPr>
          <w:trHeight w:val="20"/>
          <w:jc w:val="center"/>
        </w:trPr>
        <w:tc>
          <w:tcPr>
            <w:tcW w:w="3346" w:type="dxa"/>
            <w:shd w:val="clear" w:color="auto" w:fill="auto"/>
            <w:vAlign w:val="bottom"/>
          </w:tcPr>
          <w:p w14:paraId="3884A6FB" w14:textId="77777777" w:rsidR="00CF48B6" w:rsidRPr="00FD1578" w:rsidRDefault="00CF48B6" w:rsidP="008349F0">
            <w:pPr>
              <w:spacing w:before="60" w:after="0"/>
              <w:ind w:firstLine="0"/>
              <w:jc w:val="left"/>
              <w:rPr>
                <w:rFonts w:eastAsia="Times New Roman" w:cs="Times New Roman"/>
                <w:color w:val="000000"/>
                <w:sz w:val="18"/>
                <w:szCs w:val="18"/>
              </w:rPr>
            </w:pPr>
            <w:r w:rsidRPr="00FD1578">
              <w:rPr>
                <w:rFonts w:cs="Times New Roman"/>
                <w:sz w:val="18"/>
                <w:szCs w:val="18"/>
              </w:rPr>
              <w:t>FDL strukturālās bilances nosacījums</w:t>
            </w:r>
          </w:p>
        </w:tc>
        <w:tc>
          <w:tcPr>
            <w:tcW w:w="1109" w:type="dxa"/>
            <w:shd w:val="clear" w:color="auto" w:fill="auto"/>
            <w:noWrap/>
            <w:vAlign w:val="center"/>
          </w:tcPr>
          <w:p w14:paraId="5406B968" w14:textId="77777777" w:rsidR="00CF48B6" w:rsidRPr="00FD1578" w:rsidRDefault="00CF48B6" w:rsidP="008349F0">
            <w:pPr>
              <w:spacing w:before="60" w:after="0"/>
              <w:ind w:firstLine="0"/>
              <w:jc w:val="center"/>
              <w:rPr>
                <w:rFonts w:eastAsia="Times New Roman" w:cs="Times New Roman"/>
                <w:b/>
                <w:bCs/>
                <w:color w:val="000000"/>
                <w:sz w:val="18"/>
                <w:szCs w:val="18"/>
              </w:rPr>
            </w:pPr>
          </w:p>
        </w:tc>
        <w:tc>
          <w:tcPr>
            <w:tcW w:w="1275" w:type="dxa"/>
            <w:shd w:val="clear" w:color="auto" w:fill="auto"/>
            <w:noWrap/>
            <w:vAlign w:val="center"/>
          </w:tcPr>
          <w:p w14:paraId="2103BCE6" w14:textId="6233E2E7" w:rsidR="00CF48B6" w:rsidRPr="00FD1578" w:rsidRDefault="00CF48B6" w:rsidP="008349F0">
            <w:pPr>
              <w:spacing w:before="60" w:after="0"/>
              <w:ind w:firstLine="0"/>
              <w:jc w:val="center"/>
              <w:rPr>
                <w:rFonts w:eastAsia="Times New Roman" w:cs="Times New Roman"/>
                <w:b/>
                <w:bCs/>
                <w:color w:val="000000"/>
                <w:sz w:val="18"/>
                <w:szCs w:val="18"/>
              </w:rPr>
            </w:pPr>
          </w:p>
        </w:tc>
        <w:tc>
          <w:tcPr>
            <w:tcW w:w="961" w:type="dxa"/>
            <w:vAlign w:val="center"/>
          </w:tcPr>
          <w:p w14:paraId="27728F89" w14:textId="6C17A578" w:rsidR="00CF48B6" w:rsidRPr="00FD1578" w:rsidRDefault="00CF48B6" w:rsidP="008349F0">
            <w:pPr>
              <w:spacing w:before="60" w:after="0"/>
              <w:ind w:firstLine="0"/>
              <w:jc w:val="center"/>
              <w:rPr>
                <w:rFonts w:eastAsia="Times New Roman" w:cs="Times New Roman"/>
                <w:b/>
                <w:bCs/>
                <w:color w:val="000000"/>
                <w:sz w:val="18"/>
                <w:szCs w:val="18"/>
              </w:rPr>
            </w:pPr>
          </w:p>
        </w:tc>
        <w:tc>
          <w:tcPr>
            <w:tcW w:w="927" w:type="dxa"/>
            <w:vAlign w:val="center"/>
          </w:tcPr>
          <w:p w14:paraId="70F93549" w14:textId="716934B3" w:rsidR="00CF48B6" w:rsidRPr="00FD1578" w:rsidRDefault="00CF48B6" w:rsidP="008349F0">
            <w:pPr>
              <w:spacing w:before="60" w:after="0"/>
              <w:ind w:firstLine="0"/>
              <w:jc w:val="center"/>
              <w:rPr>
                <w:rFonts w:eastAsia="Times New Roman" w:cs="Times New Roman"/>
                <w:b/>
                <w:bCs/>
                <w:color w:val="000000"/>
                <w:sz w:val="18"/>
                <w:szCs w:val="18"/>
              </w:rPr>
            </w:pPr>
          </w:p>
        </w:tc>
      </w:tr>
      <w:tr w:rsidR="00CF48B6" w:rsidRPr="00FD1578" w14:paraId="382E523D" w14:textId="77777777" w:rsidTr="00710443">
        <w:trPr>
          <w:trHeight w:val="20"/>
          <w:jc w:val="center"/>
        </w:trPr>
        <w:tc>
          <w:tcPr>
            <w:tcW w:w="3346" w:type="dxa"/>
            <w:shd w:val="clear" w:color="auto" w:fill="auto"/>
            <w:vAlign w:val="bottom"/>
          </w:tcPr>
          <w:p w14:paraId="3A7A4110" w14:textId="38C11091" w:rsidR="00CF48B6" w:rsidRPr="00FD1578" w:rsidRDefault="00CF48B6" w:rsidP="008349F0">
            <w:pPr>
              <w:spacing w:before="60" w:after="0"/>
              <w:ind w:firstLine="0"/>
              <w:jc w:val="left"/>
              <w:rPr>
                <w:rFonts w:eastAsia="Times New Roman" w:cs="Times New Roman"/>
                <w:color w:val="000000"/>
                <w:sz w:val="18"/>
                <w:szCs w:val="18"/>
              </w:rPr>
            </w:pPr>
            <w:r w:rsidRPr="00FD1578">
              <w:rPr>
                <w:rFonts w:cs="Times New Roman"/>
                <w:sz w:val="18"/>
                <w:szCs w:val="18"/>
              </w:rPr>
              <w:t>ES strukturālās primārās bilances nosacījums</w:t>
            </w:r>
          </w:p>
        </w:tc>
        <w:tc>
          <w:tcPr>
            <w:tcW w:w="1109" w:type="dxa"/>
            <w:shd w:val="clear" w:color="auto" w:fill="auto"/>
            <w:noWrap/>
            <w:vAlign w:val="center"/>
          </w:tcPr>
          <w:p w14:paraId="7F1ECDE3" w14:textId="7B94B0ED" w:rsidR="00CF48B6" w:rsidRPr="00FD1578" w:rsidRDefault="00CF48B6" w:rsidP="008349F0">
            <w:pPr>
              <w:spacing w:before="60" w:after="0"/>
              <w:ind w:firstLine="0"/>
              <w:jc w:val="center"/>
              <w:rPr>
                <w:rFonts w:eastAsia="Times New Roman" w:cs="Times New Roman"/>
                <w:b/>
                <w:bCs/>
                <w:color w:val="000000"/>
                <w:sz w:val="18"/>
                <w:szCs w:val="18"/>
              </w:rPr>
            </w:pPr>
          </w:p>
        </w:tc>
        <w:tc>
          <w:tcPr>
            <w:tcW w:w="1275" w:type="dxa"/>
            <w:shd w:val="clear" w:color="auto" w:fill="auto"/>
            <w:noWrap/>
            <w:vAlign w:val="center"/>
          </w:tcPr>
          <w:p w14:paraId="5BCD7DD1" w14:textId="77777777" w:rsidR="00CF48B6" w:rsidRPr="00FD1578" w:rsidRDefault="00CF48B6" w:rsidP="008349F0">
            <w:pPr>
              <w:spacing w:before="60" w:after="0"/>
              <w:ind w:firstLine="0"/>
              <w:jc w:val="center"/>
              <w:rPr>
                <w:rFonts w:eastAsia="Times New Roman" w:cs="Times New Roman"/>
                <w:b/>
                <w:bCs/>
                <w:color w:val="000000"/>
                <w:sz w:val="18"/>
                <w:szCs w:val="18"/>
              </w:rPr>
            </w:pPr>
          </w:p>
        </w:tc>
        <w:tc>
          <w:tcPr>
            <w:tcW w:w="961" w:type="dxa"/>
            <w:vAlign w:val="center"/>
          </w:tcPr>
          <w:p w14:paraId="75609A9B" w14:textId="77777777" w:rsidR="00CF48B6" w:rsidRPr="00FD1578" w:rsidRDefault="00CF48B6" w:rsidP="008349F0">
            <w:pPr>
              <w:spacing w:before="60" w:after="0"/>
              <w:ind w:firstLine="0"/>
              <w:jc w:val="center"/>
              <w:rPr>
                <w:rFonts w:eastAsia="Times New Roman" w:cs="Times New Roman"/>
                <w:b/>
                <w:bCs/>
                <w:color w:val="000000"/>
                <w:sz w:val="18"/>
                <w:szCs w:val="18"/>
              </w:rPr>
            </w:pPr>
          </w:p>
        </w:tc>
        <w:tc>
          <w:tcPr>
            <w:tcW w:w="927" w:type="dxa"/>
            <w:vAlign w:val="center"/>
          </w:tcPr>
          <w:p w14:paraId="16182ACA" w14:textId="77777777" w:rsidR="00CF48B6" w:rsidRPr="00FD1578" w:rsidRDefault="00CF48B6" w:rsidP="008349F0">
            <w:pPr>
              <w:spacing w:before="60" w:after="0"/>
              <w:ind w:firstLine="0"/>
              <w:jc w:val="center"/>
              <w:rPr>
                <w:rFonts w:eastAsia="Times New Roman" w:cs="Times New Roman"/>
                <w:b/>
                <w:bCs/>
                <w:color w:val="000000"/>
                <w:sz w:val="18"/>
                <w:szCs w:val="18"/>
              </w:rPr>
            </w:pPr>
          </w:p>
        </w:tc>
      </w:tr>
      <w:tr w:rsidR="00CF48B6" w:rsidRPr="00FD1578" w14:paraId="1DBFB7EC" w14:textId="77777777" w:rsidTr="00710443">
        <w:trPr>
          <w:trHeight w:val="20"/>
          <w:jc w:val="center"/>
        </w:trPr>
        <w:tc>
          <w:tcPr>
            <w:tcW w:w="3346" w:type="dxa"/>
            <w:shd w:val="clear" w:color="auto" w:fill="auto"/>
            <w:vAlign w:val="bottom"/>
          </w:tcPr>
          <w:p w14:paraId="6415B33E" w14:textId="77777777" w:rsidR="00CF48B6" w:rsidRPr="00FD1578" w:rsidRDefault="00CF48B6" w:rsidP="008349F0">
            <w:pPr>
              <w:spacing w:before="60" w:after="0"/>
              <w:ind w:firstLine="0"/>
              <w:jc w:val="left"/>
              <w:rPr>
                <w:rFonts w:cs="Times New Roman"/>
                <w:sz w:val="18"/>
                <w:szCs w:val="18"/>
              </w:rPr>
            </w:pPr>
            <w:r w:rsidRPr="00FD1578">
              <w:rPr>
                <w:rFonts w:cs="Times New Roman"/>
                <w:sz w:val="18"/>
                <w:szCs w:val="18"/>
              </w:rPr>
              <w:t>ES izdevumu pieauguma nosacījums</w:t>
            </w:r>
          </w:p>
        </w:tc>
        <w:tc>
          <w:tcPr>
            <w:tcW w:w="1109" w:type="dxa"/>
            <w:shd w:val="clear" w:color="auto" w:fill="auto"/>
            <w:noWrap/>
            <w:vAlign w:val="bottom"/>
          </w:tcPr>
          <w:p w14:paraId="2F8A3D7F" w14:textId="19874BBE" w:rsidR="00CF48B6" w:rsidRPr="00FD1578" w:rsidRDefault="00CF48B6" w:rsidP="008349F0">
            <w:pPr>
              <w:spacing w:before="60" w:after="0"/>
              <w:ind w:firstLine="0"/>
              <w:jc w:val="center"/>
              <w:rPr>
                <w:rFonts w:cs="Times New Roman"/>
                <w:sz w:val="18"/>
                <w:szCs w:val="18"/>
              </w:rPr>
            </w:pPr>
            <w:r w:rsidRPr="00FD1578">
              <w:rPr>
                <w:rFonts w:cs="Times New Roman"/>
                <w:sz w:val="18"/>
                <w:szCs w:val="18"/>
              </w:rPr>
              <w:t>X</w:t>
            </w:r>
          </w:p>
        </w:tc>
        <w:tc>
          <w:tcPr>
            <w:tcW w:w="1275" w:type="dxa"/>
            <w:shd w:val="clear" w:color="auto" w:fill="auto"/>
            <w:noWrap/>
            <w:vAlign w:val="bottom"/>
          </w:tcPr>
          <w:p w14:paraId="65660128" w14:textId="7677082D" w:rsidR="00CF48B6" w:rsidRPr="00FD1578" w:rsidRDefault="00CF48B6" w:rsidP="008349F0">
            <w:pPr>
              <w:spacing w:before="60" w:after="0"/>
              <w:ind w:firstLine="0"/>
              <w:jc w:val="center"/>
              <w:rPr>
                <w:rFonts w:cs="Times New Roman"/>
                <w:sz w:val="18"/>
                <w:szCs w:val="18"/>
              </w:rPr>
            </w:pPr>
            <w:r w:rsidRPr="00FD1578">
              <w:rPr>
                <w:rFonts w:cs="Times New Roman"/>
                <w:sz w:val="18"/>
                <w:szCs w:val="18"/>
              </w:rPr>
              <w:t>X</w:t>
            </w:r>
          </w:p>
        </w:tc>
        <w:tc>
          <w:tcPr>
            <w:tcW w:w="961" w:type="dxa"/>
            <w:vAlign w:val="bottom"/>
          </w:tcPr>
          <w:p w14:paraId="15475B70" w14:textId="2CC4A5E7" w:rsidR="00CF48B6" w:rsidRPr="00FD1578" w:rsidRDefault="00CF48B6" w:rsidP="008349F0">
            <w:pPr>
              <w:spacing w:before="60" w:after="0"/>
              <w:ind w:firstLine="0"/>
              <w:jc w:val="center"/>
              <w:rPr>
                <w:rFonts w:cs="Times New Roman"/>
                <w:sz w:val="18"/>
                <w:szCs w:val="18"/>
              </w:rPr>
            </w:pPr>
            <w:r w:rsidRPr="00FD1578">
              <w:rPr>
                <w:rFonts w:cs="Times New Roman"/>
                <w:sz w:val="18"/>
                <w:szCs w:val="18"/>
              </w:rPr>
              <w:t>X</w:t>
            </w:r>
          </w:p>
        </w:tc>
        <w:tc>
          <w:tcPr>
            <w:tcW w:w="927" w:type="dxa"/>
            <w:vAlign w:val="center"/>
          </w:tcPr>
          <w:p w14:paraId="6D8B8D7C" w14:textId="036F4CB3" w:rsidR="00CF48B6" w:rsidRPr="00FD1578" w:rsidRDefault="006619A0"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X</w:t>
            </w:r>
          </w:p>
        </w:tc>
      </w:tr>
    </w:tbl>
    <w:p w14:paraId="36C339D0" w14:textId="77777777" w:rsidR="005F203B" w:rsidRPr="00FD1578" w:rsidRDefault="005F203B" w:rsidP="008349F0">
      <w:pPr>
        <w:rPr>
          <w:rFonts w:cs="Times New Roman"/>
          <w:szCs w:val="24"/>
        </w:rPr>
      </w:pPr>
    </w:p>
    <w:p w14:paraId="70A1134B" w14:textId="373BAF22" w:rsidR="005C45C7" w:rsidRPr="00FD1578" w:rsidRDefault="005F203B" w:rsidP="008349F0">
      <w:pPr>
        <w:rPr>
          <w:szCs w:val="20"/>
        </w:rPr>
      </w:pPr>
      <w:r w:rsidRPr="00FD1578">
        <w:rPr>
          <w:rFonts w:cs="Times New Roman"/>
          <w:szCs w:val="24"/>
        </w:rPr>
        <w:t xml:space="preserve">Ņemot vērā </w:t>
      </w:r>
      <w:r w:rsidR="00CF48B6" w:rsidRPr="00FD1578">
        <w:rPr>
          <w:rFonts w:cs="Times New Roman"/>
          <w:szCs w:val="24"/>
        </w:rPr>
        <w:t>2.</w:t>
      </w:r>
      <w:r w:rsidR="005C63FF" w:rsidRPr="00FD1578">
        <w:rPr>
          <w:rFonts w:cs="Times New Roman"/>
          <w:szCs w:val="24"/>
        </w:rPr>
        <w:t>7</w:t>
      </w:r>
      <w:r w:rsidR="00CF48B6" w:rsidRPr="00FD1578">
        <w:rPr>
          <w:rFonts w:cs="Times New Roman"/>
          <w:szCs w:val="24"/>
        </w:rPr>
        <w:t>., 2.</w:t>
      </w:r>
      <w:r w:rsidR="005C63FF" w:rsidRPr="00FD1578">
        <w:rPr>
          <w:rFonts w:cs="Times New Roman"/>
          <w:szCs w:val="24"/>
        </w:rPr>
        <w:t>8</w:t>
      </w:r>
      <w:r w:rsidR="00CF48B6" w:rsidRPr="00FD1578">
        <w:rPr>
          <w:rFonts w:cs="Times New Roman"/>
          <w:szCs w:val="24"/>
        </w:rPr>
        <w:t>., 2</w:t>
      </w:r>
      <w:r w:rsidR="00F05A77" w:rsidRPr="00FD1578">
        <w:rPr>
          <w:rFonts w:cs="Times New Roman"/>
          <w:szCs w:val="24"/>
        </w:rPr>
        <w:t>.</w:t>
      </w:r>
      <w:r w:rsidR="005C63FF" w:rsidRPr="00FD1578">
        <w:rPr>
          <w:rFonts w:cs="Times New Roman"/>
          <w:szCs w:val="24"/>
        </w:rPr>
        <w:t>9</w:t>
      </w:r>
      <w:r w:rsidRPr="00FD1578">
        <w:rPr>
          <w:rFonts w:cs="Times New Roman"/>
          <w:szCs w:val="24"/>
        </w:rPr>
        <w:t xml:space="preserve">. tabulā norādīto, </w:t>
      </w:r>
      <w:r w:rsidRPr="00FD1578">
        <w:rPr>
          <w:rFonts w:eastAsia="Times New Roman" w:cs="Times New Roman"/>
          <w:b/>
        </w:rPr>
        <w:t xml:space="preserve">vispārējās valdības budžeta </w:t>
      </w:r>
      <w:r w:rsidRPr="00FD1578">
        <w:rPr>
          <w:rFonts w:cs="Times New Roman"/>
          <w:b/>
          <w:bCs/>
          <w:szCs w:val="24"/>
        </w:rPr>
        <w:t xml:space="preserve">strukturālās bilances mērķis, kas izpilda visus trīs nosacījumus, </w:t>
      </w:r>
      <w:r w:rsidRPr="00FD1578">
        <w:rPr>
          <w:rFonts w:eastAsia="Times New Roman" w:cs="Times New Roman"/>
          <w:bCs/>
        </w:rPr>
        <w:t>2025. – 2028. gadam tiek noteikts: -</w:t>
      </w:r>
      <w:r w:rsidRPr="00FD1578">
        <w:rPr>
          <w:rFonts w:eastAsia="Times New Roman" w:cs="Times New Roman"/>
          <w:b/>
        </w:rPr>
        <w:t>0,</w:t>
      </w:r>
      <w:r w:rsidR="007E720C">
        <w:rPr>
          <w:rFonts w:eastAsia="Times New Roman" w:cs="Times New Roman"/>
          <w:b/>
        </w:rPr>
        <w:t>789</w:t>
      </w:r>
      <w:r w:rsidRPr="00FD1578">
        <w:rPr>
          <w:rFonts w:eastAsia="Times New Roman" w:cs="Times New Roman"/>
          <w:b/>
        </w:rPr>
        <w:t>% no IKP 2025. gadam</w:t>
      </w:r>
      <w:r w:rsidRPr="00FD1578">
        <w:rPr>
          <w:rFonts w:eastAsia="Times New Roman" w:cs="Times New Roman"/>
          <w:bCs/>
        </w:rPr>
        <w:t xml:space="preserve">, </w:t>
      </w:r>
      <w:r w:rsidRPr="00FD1578">
        <w:rPr>
          <w:rFonts w:eastAsia="Times New Roman" w:cs="Times New Roman"/>
          <w:b/>
        </w:rPr>
        <w:t>-</w:t>
      </w:r>
      <w:r w:rsidR="00B53441" w:rsidRPr="00FD1578">
        <w:rPr>
          <w:rFonts w:eastAsia="Times New Roman" w:cs="Times New Roman"/>
          <w:b/>
        </w:rPr>
        <w:t>0,</w:t>
      </w:r>
      <w:r w:rsidR="007E720C">
        <w:rPr>
          <w:rFonts w:eastAsia="Times New Roman" w:cs="Times New Roman"/>
          <w:b/>
        </w:rPr>
        <w:t>749</w:t>
      </w:r>
      <w:r w:rsidRPr="00FD1578">
        <w:rPr>
          <w:rFonts w:eastAsia="Times New Roman" w:cs="Times New Roman"/>
          <w:b/>
        </w:rPr>
        <w:t>% no IKP 2026. gadam</w:t>
      </w:r>
      <w:r w:rsidRPr="00FD1578">
        <w:rPr>
          <w:rFonts w:eastAsia="Times New Roman" w:cs="Times New Roman"/>
          <w:bCs/>
        </w:rPr>
        <w:t xml:space="preserve">, </w:t>
      </w:r>
      <w:r w:rsidRPr="00FD1578">
        <w:rPr>
          <w:rFonts w:eastAsia="Times New Roman" w:cs="Times New Roman"/>
          <w:b/>
        </w:rPr>
        <w:t>-</w:t>
      </w:r>
      <w:r w:rsidR="007E720C">
        <w:rPr>
          <w:rFonts w:eastAsia="Times New Roman" w:cs="Times New Roman"/>
          <w:b/>
        </w:rPr>
        <w:t>0,792</w:t>
      </w:r>
      <w:r w:rsidRPr="00FD1578">
        <w:rPr>
          <w:rFonts w:eastAsia="Times New Roman" w:cs="Times New Roman"/>
          <w:b/>
        </w:rPr>
        <w:t xml:space="preserve">% no IKP 2027. gadam </w:t>
      </w:r>
      <w:r w:rsidRPr="00FD1578">
        <w:rPr>
          <w:rFonts w:eastAsia="Times New Roman" w:cs="Times New Roman"/>
          <w:bCs/>
        </w:rPr>
        <w:t>un</w:t>
      </w:r>
      <w:r w:rsidRPr="00FD1578">
        <w:rPr>
          <w:rFonts w:eastAsia="Times New Roman" w:cs="Times New Roman"/>
          <w:b/>
        </w:rPr>
        <w:t xml:space="preserve"> -</w:t>
      </w:r>
      <w:r w:rsidR="00B53441" w:rsidRPr="00FD1578">
        <w:rPr>
          <w:rFonts w:eastAsia="Times New Roman" w:cs="Times New Roman"/>
          <w:b/>
        </w:rPr>
        <w:t>0,</w:t>
      </w:r>
      <w:r w:rsidR="007E720C">
        <w:rPr>
          <w:rFonts w:eastAsia="Times New Roman" w:cs="Times New Roman"/>
          <w:b/>
        </w:rPr>
        <w:t>954</w:t>
      </w:r>
      <w:r w:rsidRPr="00FD1578">
        <w:rPr>
          <w:rFonts w:eastAsia="Times New Roman" w:cs="Times New Roman"/>
          <w:b/>
        </w:rPr>
        <w:t>% no IKP 2028. gadam</w:t>
      </w:r>
      <w:r w:rsidRPr="00FD1578">
        <w:rPr>
          <w:rFonts w:eastAsia="Times New Roman" w:cs="Times New Roman"/>
          <w:bCs/>
        </w:rPr>
        <w:t>.</w:t>
      </w:r>
      <w:r w:rsidR="005735FB">
        <w:rPr>
          <w:rFonts w:eastAsia="Times New Roman" w:cs="Times New Roman"/>
          <w:bCs/>
        </w:rPr>
        <w:t xml:space="preserve"> </w:t>
      </w:r>
    </w:p>
    <w:p w14:paraId="21F04894" w14:textId="77777777" w:rsidR="004B105E" w:rsidRPr="00FD1578" w:rsidRDefault="004B105E" w:rsidP="008349F0">
      <w:pPr>
        <w:spacing w:after="0"/>
        <w:rPr>
          <w:szCs w:val="20"/>
        </w:rPr>
      </w:pPr>
    </w:p>
    <w:p w14:paraId="46D4B193" w14:textId="6A61BF8A" w:rsidR="004522B7" w:rsidRPr="00FD1578" w:rsidRDefault="00B53441" w:rsidP="00D83C9B">
      <w:pPr>
        <w:ind w:firstLine="0"/>
        <w:jc w:val="center"/>
        <w:rPr>
          <w:rFonts w:eastAsia="Calibri" w:cs="Times New Roman"/>
          <w:b/>
          <w:bCs/>
          <w:color w:val="000000" w:themeColor="text1"/>
          <w:sz w:val="28"/>
          <w:szCs w:val="28"/>
        </w:rPr>
      </w:pPr>
      <w:r w:rsidRPr="00FD1578">
        <w:rPr>
          <w:rFonts w:eastAsia="Calibri" w:cs="Times New Roman"/>
          <w:b/>
          <w:bCs/>
          <w:color w:val="000000" w:themeColor="text1"/>
          <w:sz w:val="28"/>
          <w:szCs w:val="28"/>
        </w:rPr>
        <w:t>Tehniskā dialoga</w:t>
      </w:r>
      <w:r w:rsidR="00CA1C27" w:rsidRPr="00FD1578">
        <w:rPr>
          <w:rStyle w:val="FootnoteReference"/>
          <w:rFonts w:eastAsia="Calibri" w:cs="Times New Roman"/>
          <w:b/>
          <w:bCs/>
          <w:color w:val="000000" w:themeColor="text1"/>
          <w:sz w:val="28"/>
          <w:szCs w:val="28"/>
        </w:rPr>
        <w:footnoteReference w:id="22"/>
      </w:r>
      <w:r w:rsidRPr="00FD1578">
        <w:rPr>
          <w:rFonts w:eastAsia="Calibri" w:cs="Times New Roman"/>
          <w:b/>
          <w:bCs/>
          <w:color w:val="000000" w:themeColor="text1"/>
          <w:sz w:val="28"/>
          <w:szCs w:val="28"/>
        </w:rPr>
        <w:t xml:space="preserve"> ar EK ietekme uz fiskālajiem nosacījumiem</w:t>
      </w:r>
    </w:p>
    <w:p w14:paraId="1511AFD2" w14:textId="0D418AF0" w:rsidR="00FE46EB" w:rsidRPr="00FD1578" w:rsidRDefault="00B53441" w:rsidP="008349F0">
      <w:pPr>
        <w:rPr>
          <w:rFonts w:cs="Times New Roman"/>
          <w:szCs w:val="24"/>
        </w:rPr>
      </w:pPr>
      <w:r w:rsidRPr="00FD1578">
        <w:rPr>
          <w:rFonts w:cs="Times New Roman"/>
          <w:szCs w:val="24"/>
        </w:rPr>
        <w:t xml:space="preserve">ES strukturālās </w:t>
      </w:r>
      <w:r w:rsidR="006619A0" w:rsidRPr="00FD1578">
        <w:rPr>
          <w:rFonts w:cs="Times New Roman"/>
          <w:szCs w:val="24"/>
        </w:rPr>
        <w:t xml:space="preserve">primārās </w:t>
      </w:r>
      <w:r w:rsidRPr="00FD1578">
        <w:rPr>
          <w:rFonts w:cs="Times New Roman"/>
          <w:szCs w:val="24"/>
        </w:rPr>
        <w:t xml:space="preserve">bilances pieļaujamās vērtības tika noteiktas saskaņā ar </w:t>
      </w:r>
      <w:r w:rsidR="00CF48B6" w:rsidRPr="00FD1578">
        <w:rPr>
          <w:rFonts w:cs="Times New Roman"/>
          <w:szCs w:val="24"/>
        </w:rPr>
        <w:t xml:space="preserve">2024. </w:t>
      </w:r>
      <w:r w:rsidRPr="00FD1578">
        <w:rPr>
          <w:rFonts w:cs="Times New Roman"/>
          <w:szCs w:val="24"/>
        </w:rPr>
        <w:t>gada jūnijā no EK saņemt</w:t>
      </w:r>
      <w:r w:rsidR="00CF48B6" w:rsidRPr="00FD1578">
        <w:rPr>
          <w:rFonts w:cs="Times New Roman"/>
          <w:szCs w:val="24"/>
        </w:rPr>
        <w:t>o</w:t>
      </w:r>
      <w:r w:rsidRPr="00FD1578">
        <w:rPr>
          <w:rFonts w:cs="Times New Roman"/>
          <w:szCs w:val="24"/>
        </w:rPr>
        <w:t xml:space="preserve"> tehnisk</w:t>
      </w:r>
      <w:r w:rsidR="00CF48B6" w:rsidRPr="00FD1578">
        <w:rPr>
          <w:rFonts w:cs="Times New Roman"/>
          <w:szCs w:val="24"/>
        </w:rPr>
        <w:t>o</w:t>
      </w:r>
      <w:r w:rsidRPr="00FD1578">
        <w:rPr>
          <w:rFonts w:cs="Times New Roman"/>
          <w:szCs w:val="24"/>
        </w:rPr>
        <w:t xml:space="preserve"> informācij</w:t>
      </w:r>
      <w:r w:rsidR="00CF48B6" w:rsidRPr="00FD1578">
        <w:rPr>
          <w:rFonts w:cs="Times New Roman"/>
          <w:szCs w:val="24"/>
        </w:rPr>
        <w:t>u</w:t>
      </w:r>
      <w:r w:rsidRPr="00FD1578">
        <w:rPr>
          <w:rFonts w:cs="Times New Roman"/>
          <w:szCs w:val="24"/>
        </w:rPr>
        <w:t>, pielietojot ES kopējo metodoloģiju un 2024. gada EK pavasara makroekonomiskos un fiskālo</w:t>
      </w:r>
      <w:r w:rsidR="00196671" w:rsidRPr="00FD1578">
        <w:rPr>
          <w:rFonts w:cs="Times New Roman"/>
          <w:szCs w:val="24"/>
        </w:rPr>
        <w:t>s</w:t>
      </w:r>
      <w:r w:rsidRPr="00FD1578">
        <w:rPr>
          <w:rFonts w:cs="Times New Roman"/>
          <w:szCs w:val="24"/>
        </w:rPr>
        <w:t xml:space="preserve"> pieņ</w:t>
      </w:r>
      <w:r w:rsidR="00CF48B6" w:rsidRPr="00FD1578">
        <w:rPr>
          <w:rFonts w:cs="Times New Roman"/>
          <w:szCs w:val="24"/>
        </w:rPr>
        <w:t>ē</w:t>
      </w:r>
      <w:r w:rsidRPr="00FD1578">
        <w:rPr>
          <w:rFonts w:cs="Times New Roman"/>
          <w:szCs w:val="24"/>
        </w:rPr>
        <w:t>mumus.</w:t>
      </w:r>
      <w:r w:rsidR="00196671" w:rsidRPr="00FD1578">
        <w:rPr>
          <w:rFonts w:cs="Times New Roman"/>
          <w:szCs w:val="24"/>
        </w:rPr>
        <w:t xml:space="preserve"> Cita starpā</w:t>
      </w:r>
      <w:r w:rsidR="00CF48B6" w:rsidRPr="00FD1578">
        <w:rPr>
          <w:rFonts w:cs="Times New Roman"/>
          <w:szCs w:val="24"/>
        </w:rPr>
        <w:t>,</w:t>
      </w:r>
      <w:r w:rsidR="00196671" w:rsidRPr="00FD1578">
        <w:rPr>
          <w:rFonts w:cs="Times New Roman"/>
          <w:szCs w:val="24"/>
        </w:rPr>
        <w:t xml:space="preserve"> saskaņā ar šīm prognozēm Latvijas 2024. gada strukturālā </w:t>
      </w:r>
      <w:r w:rsidR="006619A0" w:rsidRPr="00FD1578">
        <w:rPr>
          <w:rFonts w:cs="Times New Roman"/>
          <w:szCs w:val="24"/>
        </w:rPr>
        <w:t xml:space="preserve">primārā </w:t>
      </w:r>
      <w:r w:rsidR="00196671" w:rsidRPr="00FD1578">
        <w:rPr>
          <w:rFonts w:cs="Times New Roman"/>
          <w:szCs w:val="24"/>
        </w:rPr>
        <w:t>bilance tika prognozēta -1,36</w:t>
      </w:r>
      <w:r w:rsidR="00873AB9" w:rsidRPr="00FD1578">
        <w:rPr>
          <w:rFonts w:cs="Times New Roman"/>
          <w:szCs w:val="24"/>
        </w:rPr>
        <w:t>2</w:t>
      </w:r>
      <w:r w:rsidR="00196671" w:rsidRPr="00FD1578">
        <w:rPr>
          <w:rFonts w:cs="Times New Roman"/>
          <w:szCs w:val="24"/>
        </w:rPr>
        <w:t xml:space="preserve">% no IKP apmērā. </w:t>
      </w:r>
      <w:r w:rsidR="00FE46EB" w:rsidRPr="00FD1578">
        <w:rPr>
          <w:rFonts w:cs="Times New Roman"/>
          <w:szCs w:val="24"/>
        </w:rPr>
        <w:t>Ņemot vērā EK tehnisk</w:t>
      </w:r>
      <w:r w:rsidR="00CF48B6" w:rsidRPr="00FD1578">
        <w:rPr>
          <w:rFonts w:cs="Times New Roman"/>
          <w:szCs w:val="24"/>
        </w:rPr>
        <w:t>aj</w:t>
      </w:r>
      <w:r w:rsidR="00FE46EB" w:rsidRPr="00FD1578">
        <w:rPr>
          <w:rFonts w:cs="Times New Roman"/>
          <w:szCs w:val="24"/>
        </w:rPr>
        <w:t>ā informācijā ietverto prasību 2028. gadā sasniegt -1,28</w:t>
      </w:r>
      <w:r w:rsidR="00873AB9" w:rsidRPr="00FD1578">
        <w:rPr>
          <w:rFonts w:cs="Times New Roman"/>
          <w:szCs w:val="24"/>
        </w:rPr>
        <w:t>2</w:t>
      </w:r>
      <w:r w:rsidR="00FE46EB" w:rsidRPr="00FD1578">
        <w:rPr>
          <w:rFonts w:cs="Times New Roman"/>
          <w:szCs w:val="24"/>
        </w:rPr>
        <w:t xml:space="preserve">% no IKP strukturālo </w:t>
      </w:r>
      <w:r w:rsidR="006619A0" w:rsidRPr="00FD1578">
        <w:rPr>
          <w:rFonts w:cs="Times New Roman"/>
          <w:szCs w:val="24"/>
        </w:rPr>
        <w:t xml:space="preserve">primāro </w:t>
      </w:r>
      <w:r w:rsidR="00FE46EB" w:rsidRPr="00FD1578">
        <w:rPr>
          <w:rFonts w:cs="Times New Roman"/>
          <w:szCs w:val="24"/>
        </w:rPr>
        <w:t xml:space="preserve">bilanci, pielietojot lineāro bilances uzlabojumu tika </w:t>
      </w:r>
      <w:r w:rsidR="00CF48B6" w:rsidRPr="00FD1578">
        <w:rPr>
          <w:rFonts w:cs="Times New Roman"/>
          <w:szCs w:val="24"/>
        </w:rPr>
        <w:t xml:space="preserve">iegūti </w:t>
      </w:r>
      <w:r w:rsidR="00FE46EB" w:rsidRPr="00FD1578">
        <w:rPr>
          <w:rFonts w:cs="Times New Roman"/>
          <w:szCs w:val="24"/>
        </w:rPr>
        <w:t>primārās strukturālās bilances mērķi katrā gadā</w:t>
      </w:r>
      <w:r w:rsidR="00E276EB">
        <w:rPr>
          <w:rFonts w:cs="Times New Roman"/>
          <w:szCs w:val="24"/>
        </w:rPr>
        <w:t>.</w:t>
      </w:r>
    </w:p>
    <w:p w14:paraId="01243C59" w14:textId="2353EED2" w:rsidR="00FE46EB" w:rsidRPr="00FD1578" w:rsidRDefault="00CF48B6" w:rsidP="008349F0">
      <w:pPr>
        <w:jc w:val="right"/>
        <w:rPr>
          <w:rFonts w:cs="Times New Roman"/>
          <w:b/>
          <w:bCs/>
          <w:i/>
          <w:iCs/>
          <w:szCs w:val="24"/>
        </w:rPr>
      </w:pPr>
      <w:r w:rsidRPr="00FD1578">
        <w:rPr>
          <w:rFonts w:cs="Times New Roman"/>
          <w:b/>
          <w:bCs/>
          <w:i/>
          <w:iCs/>
          <w:szCs w:val="24"/>
        </w:rPr>
        <w:lastRenderedPageBreak/>
        <w:t>2.1</w:t>
      </w:r>
      <w:r w:rsidR="005C63FF" w:rsidRPr="00FD1578">
        <w:rPr>
          <w:rFonts w:cs="Times New Roman"/>
          <w:b/>
          <w:bCs/>
          <w:i/>
          <w:iCs/>
          <w:szCs w:val="24"/>
        </w:rPr>
        <w:t>1</w:t>
      </w:r>
      <w:r w:rsidRPr="00FD1578">
        <w:rPr>
          <w:rFonts w:cs="Times New Roman"/>
          <w:b/>
          <w:bCs/>
          <w:i/>
          <w:iCs/>
          <w:szCs w:val="24"/>
        </w:rPr>
        <w:t xml:space="preserve">. </w:t>
      </w:r>
      <w:r w:rsidR="00FE46EB" w:rsidRPr="00FD1578">
        <w:rPr>
          <w:rFonts w:cs="Times New Roman"/>
          <w:b/>
          <w:bCs/>
          <w:i/>
          <w:iCs/>
          <w:szCs w:val="24"/>
        </w:rPr>
        <w:t xml:space="preserve">tabula. </w:t>
      </w:r>
      <w:r w:rsidRPr="00FD1578">
        <w:rPr>
          <w:rFonts w:cs="Times New Roman"/>
          <w:b/>
          <w:bCs/>
          <w:i/>
          <w:iCs/>
          <w:szCs w:val="24"/>
        </w:rPr>
        <w:t xml:space="preserve">EK tehniskās informācijas prasības strukturālās </w:t>
      </w:r>
      <w:r w:rsidR="006619A0" w:rsidRPr="00FD1578">
        <w:rPr>
          <w:rFonts w:cs="Times New Roman"/>
          <w:b/>
          <w:bCs/>
          <w:i/>
          <w:iCs/>
          <w:szCs w:val="24"/>
        </w:rPr>
        <w:t xml:space="preserve">primārās </w:t>
      </w:r>
      <w:r w:rsidRPr="00FD1578">
        <w:rPr>
          <w:rFonts w:cs="Times New Roman"/>
          <w:b/>
          <w:bCs/>
          <w:i/>
          <w:iCs/>
          <w:szCs w:val="24"/>
        </w:rPr>
        <w:t>bilances uzlabošanai</w:t>
      </w:r>
    </w:p>
    <w:tbl>
      <w:tblPr>
        <w:tblW w:w="7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1048"/>
        <w:gridCol w:w="1049"/>
        <w:gridCol w:w="1049"/>
        <w:gridCol w:w="1049"/>
        <w:gridCol w:w="1049"/>
      </w:tblGrid>
      <w:tr w:rsidR="00CA1C27" w:rsidRPr="00FD1578" w14:paraId="364E26CB" w14:textId="77777777" w:rsidTr="005C63FF">
        <w:trPr>
          <w:trHeight w:val="20"/>
          <w:jc w:val="center"/>
        </w:trPr>
        <w:tc>
          <w:tcPr>
            <w:tcW w:w="2693" w:type="dxa"/>
            <w:shd w:val="clear" w:color="auto" w:fill="BDD6EE" w:themeFill="accent1" w:themeFillTint="66"/>
            <w:noWrap/>
            <w:vAlign w:val="bottom"/>
            <w:hideMark/>
          </w:tcPr>
          <w:p w14:paraId="487A471F" w14:textId="77777777" w:rsidR="00CA1C27" w:rsidRPr="00FD1578" w:rsidRDefault="00CA1C27"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048" w:type="dxa"/>
            <w:shd w:val="clear" w:color="auto" w:fill="BDD6EE" w:themeFill="accent1" w:themeFillTint="66"/>
            <w:noWrap/>
            <w:vAlign w:val="center"/>
            <w:hideMark/>
          </w:tcPr>
          <w:p w14:paraId="30D7F770" w14:textId="77777777" w:rsidR="00CA1C27" w:rsidRPr="00FD1578" w:rsidRDefault="00CA1C2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2024</w:t>
            </w:r>
          </w:p>
        </w:tc>
        <w:tc>
          <w:tcPr>
            <w:tcW w:w="1049" w:type="dxa"/>
            <w:shd w:val="clear" w:color="auto" w:fill="BDD6EE" w:themeFill="accent1" w:themeFillTint="66"/>
            <w:noWrap/>
            <w:vAlign w:val="center"/>
            <w:hideMark/>
          </w:tcPr>
          <w:p w14:paraId="683C4DDD" w14:textId="77777777" w:rsidR="00CA1C27" w:rsidRPr="00FD1578" w:rsidRDefault="00CA1C2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1049" w:type="dxa"/>
            <w:shd w:val="clear" w:color="auto" w:fill="BDD6EE" w:themeFill="accent1" w:themeFillTint="66"/>
            <w:noWrap/>
            <w:vAlign w:val="center"/>
            <w:hideMark/>
          </w:tcPr>
          <w:p w14:paraId="6C8410BE" w14:textId="77777777" w:rsidR="00CA1C27" w:rsidRPr="00FD1578" w:rsidRDefault="00CA1C2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1049" w:type="dxa"/>
            <w:shd w:val="clear" w:color="auto" w:fill="BDD6EE" w:themeFill="accent1" w:themeFillTint="66"/>
            <w:noWrap/>
            <w:vAlign w:val="center"/>
            <w:hideMark/>
          </w:tcPr>
          <w:p w14:paraId="218333B9" w14:textId="77777777" w:rsidR="00CA1C27" w:rsidRPr="00FD1578" w:rsidRDefault="00CA1C2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1049" w:type="dxa"/>
            <w:shd w:val="clear" w:color="auto" w:fill="BDD6EE" w:themeFill="accent1" w:themeFillTint="66"/>
            <w:noWrap/>
            <w:vAlign w:val="center"/>
            <w:hideMark/>
          </w:tcPr>
          <w:p w14:paraId="41640CDC" w14:textId="77777777" w:rsidR="00CA1C27" w:rsidRPr="00FD1578" w:rsidRDefault="00CA1C2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CA1C27" w:rsidRPr="00FD1578" w14:paraId="37DD98F0" w14:textId="77777777" w:rsidTr="005C63FF">
        <w:trPr>
          <w:trHeight w:val="20"/>
          <w:jc w:val="center"/>
        </w:trPr>
        <w:tc>
          <w:tcPr>
            <w:tcW w:w="2693" w:type="dxa"/>
            <w:shd w:val="clear" w:color="auto" w:fill="auto"/>
            <w:noWrap/>
            <w:vAlign w:val="center"/>
          </w:tcPr>
          <w:p w14:paraId="6F330F89" w14:textId="18CB3789" w:rsidR="00CA1C27" w:rsidRPr="00FD1578" w:rsidRDefault="00CA1C27"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strukturālā primārā bilance, % no IKP</w:t>
            </w:r>
          </w:p>
        </w:tc>
        <w:tc>
          <w:tcPr>
            <w:tcW w:w="1048" w:type="dxa"/>
            <w:shd w:val="clear" w:color="auto" w:fill="auto"/>
            <w:noWrap/>
            <w:vAlign w:val="center"/>
          </w:tcPr>
          <w:p w14:paraId="2274558E" w14:textId="77777777" w:rsidR="00CA1C27" w:rsidRPr="00FD1578" w:rsidRDefault="00CA1C27"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-1,362</w:t>
            </w:r>
          </w:p>
        </w:tc>
        <w:tc>
          <w:tcPr>
            <w:tcW w:w="1049" w:type="dxa"/>
            <w:shd w:val="clear" w:color="auto" w:fill="auto"/>
            <w:noWrap/>
            <w:vAlign w:val="center"/>
          </w:tcPr>
          <w:p w14:paraId="6402E294" w14:textId="77777777" w:rsidR="00CA1C27" w:rsidRPr="00FD1578" w:rsidRDefault="00CA1C27"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-1,342</w:t>
            </w:r>
          </w:p>
        </w:tc>
        <w:tc>
          <w:tcPr>
            <w:tcW w:w="1049" w:type="dxa"/>
            <w:shd w:val="clear" w:color="auto" w:fill="FFFFFF" w:themeFill="background1"/>
            <w:noWrap/>
            <w:vAlign w:val="center"/>
            <w:hideMark/>
          </w:tcPr>
          <w:p w14:paraId="5DBB383B" w14:textId="77777777" w:rsidR="00CA1C27" w:rsidRPr="00FD1578" w:rsidRDefault="00CA1C27"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-1,322</w:t>
            </w:r>
          </w:p>
        </w:tc>
        <w:tc>
          <w:tcPr>
            <w:tcW w:w="1049" w:type="dxa"/>
            <w:shd w:val="clear" w:color="auto" w:fill="FFFFFF" w:themeFill="background1"/>
            <w:noWrap/>
            <w:vAlign w:val="center"/>
            <w:hideMark/>
          </w:tcPr>
          <w:p w14:paraId="726921EC" w14:textId="77777777" w:rsidR="00CA1C27" w:rsidRPr="00FD1578" w:rsidRDefault="00CA1C27"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-1,302</w:t>
            </w:r>
          </w:p>
        </w:tc>
        <w:tc>
          <w:tcPr>
            <w:tcW w:w="1049" w:type="dxa"/>
            <w:shd w:val="clear" w:color="auto" w:fill="FFFFFF" w:themeFill="background1"/>
            <w:noWrap/>
            <w:vAlign w:val="center"/>
            <w:hideMark/>
          </w:tcPr>
          <w:p w14:paraId="4647498E" w14:textId="0D56A84D" w:rsidR="00CA1C27" w:rsidRPr="00FD1578" w:rsidRDefault="00F1067B"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-1,282</w:t>
            </w:r>
          </w:p>
        </w:tc>
      </w:tr>
    </w:tbl>
    <w:p w14:paraId="3FCD27E6" w14:textId="77777777" w:rsidR="00FE46EB" w:rsidRPr="00FD1578" w:rsidRDefault="00FE46EB" w:rsidP="008349F0">
      <w:pPr>
        <w:rPr>
          <w:rFonts w:cs="Times New Roman"/>
          <w:szCs w:val="24"/>
        </w:rPr>
      </w:pPr>
    </w:p>
    <w:p w14:paraId="1A6D9A41" w14:textId="332E3179" w:rsidR="00B63563" w:rsidRPr="00FD1578" w:rsidRDefault="00FE46EB" w:rsidP="008349F0">
      <w:pPr>
        <w:rPr>
          <w:rFonts w:cs="Times New Roman"/>
          <w:szCs w:val="24"/>
        </w:rPr>
      </w:pPr>
      <w:r w:rsidRPr="00FD1578">
        <w:rPr>
          <w:rFonts w:cs="Times New Roman"/>
          <w:szCs w:val="24"/>
        </w:rPr>
        <w:t xml:space="preserve"> </w:t>
      </w:r>
      <w:r w:rsidR="00196671" w:rsidRPr="00FD1578">
        <w:rPr>
          <w:rFonts w:cs="Times New Roman"/>
          <w:szCs w:val="24"/>
        </w:rPr>
        <w:t xml:space="preserve">Saskaņā ar Latvijas prognozēm 2024. gada strukturālā </w:t>
      </w:r>
      <w:r w:rsidR="006619A0" w:rsidRPr="00FD1578">
        <w:rPr>
          <w:rFonts w:cs="Times New Roman"/>
          <w:szCs w:val="24"/>
        </w:rPr>
        <w:t xml:space="preserve">primārā </w:t>
      </w:r>
      <w:r w:rsidRPr="00FD1578">
        <w:rPr>
          <w:rFonts w:cs="Times New Roman"/>
          <w:szCs w:val="24"/>
        </w:rPr>
        <w:t>bilance ir</w:t>
      </w:r>
      <w:r w:rsidR="006619A0" w:rsidRPr="00FD1578">
        <w:rPr>
          <w:rFonts w:cs="Times New Roman"/>
          <w:szCs w:val="24"/>
        </w:rPr>
        <w:t xml:space="preserve"> </w:t>
      </w:r>
      <w:r w:rsidRPr="00FD1578">
        <w:rPr>
          <w:rFonts w:cs="Times New Roman"/>
          <w:szCs w:val="24"/>
        </w:rPr>
        <w:t xml:space="preserve">-0,789% no IKP. Ņemot vērā, ka 2025. gada </w:t>
      </w:r>
      <w:r w:rsidR="006619A0" w:rsidRPr="00FD1578">
        <w:rPr>
          <w:rFonts w:cs="Times New Roman"/>
          <w:szCs w:val="24"/>
        </w:rPr>
        <w:t xml:space="preserve">ES </w:t>
      </w:r>
      <w:r w:rsidRPr="00FD1578">
        <w:rPr>
          <w:rFonts w:cs="Times New Roman"/>
          <w:szCs w:val="24"/>
        </w:rPr>
        <w:t xml:space="preserve">strukturālās </w:t>
      </w:r>
      <w:r w:rsidR="006619A0" w:rsidRPr="00FD1578">
        <w:rPr>
          <w:rFonts w:cs="Times New Roman"/>
          <w:szCs w:val="24"/>
        </w:rPr>
        <w:t>primārā</w:t>
      </w:r>
      <w:r w:rsidR="00873AB9" w:rsidRPr="00FD1578">
        <w:rPr>
          <w:rFonts w:cs="Times New Roman"/>
          <w:szCs w:val="24"/>
        </w:rPr>
        <w:t>s</w:t>
      </w:r>
      <w:r w:rsidR="006619A0" w:rsidRPr="00FD1578">
        <w:rPr>
          <w:rFonts w:cs="Times New Roman"/>
          <w:szCs w:val="24"/>
        </w:rPr>
        <w:t xml:space="preserve"> </w:t>
      </w:r>
      <w:r w:rsidRPr="00FD1578">
        <w:rPr>
          <w:rFonts w:cs="Times New Roman"/>
          <w:szCs w:val="24"/>
        </w:rPr>
        <w:t xml:space="preserve">bilances lielums </w:t>
      </w:r>
      <w:r w:rsidR="00B63563" w:rsidRPr="00FD1578">
        <w:rPr>
          <w:rFonts w:cs="Times New Roman"/>
          <w:szCs w:val="24"/>
        </w:rPr>
        <w:t xml:space="preserve">bija dominējošais un to izmantoja fiskālās telpas aprēķinam, šajā brīdī būtu nelietderīgi un no procesu vadības aspekta neiespējami, mainīt šo </w:t>
      </w:r>
      <w:r w:rsidR="00873AB9" w:rsidRPr="00FD1578">
        <w:rPr>
          <w:rFonts w:cs="Times New Roman"/>
          <w:szCs w:val="24"/>
        </w:rPr>
        <w:t xml:space="preserve">lielumu </w:t>
      </w:r>
      <w:r w:rsidR="00B63563" w:rsidRPr="00FD1578">
        <w:rPr>
          <w:rFonts w:cs="Times New Roman"/>
          <w:szCs w:val="24"/>
        </w:rPr>
        <w:t xml:space="preserve">uz zemāku vērtību, tāpēc 2025. gada </w:t>
      </w:r>
      <w:r w:rsidR="00FD1578" w:rsidRPr="00FD1578">
        <w:rPr>
          <w:rFonts w:cs="Times New Roman"/>
          <w:szCs w:val="24"/>
        </w:rPr>
        <w:t>strukturālās</w:t>
      </w:r>
      <w:r w:rsidR="00B63563" w:rsidRPr="00FD1578">
        <w:rPr>
          <w:rFonts w:cs="Times New Roman"/>
          <w:szCs w:val="24"/>
        </w:rPr>
        <w:t xml:space="preserve"> </w:t>
      </w:r>
      <w:r w:rsidR="00873AB9" w:rsidRPr="00FD1578">
        <w:rPr>
          <w:rFonts w:cs="Times New Roman"/>
          <w:szCs w:val="24"/>
        </w:rPr>
        <w:t>primārās b</w:t>
      </w:r>
      <w:r w:rsidR="00B63563" w:rsidRPr="00FD1578">
        <w:rPr>
          <w:rFonts w:cs="Times New Roman"/>
          <w:szCs w:val="24"/>
        </w:rPr>
        <w:t>ilances nosacījums paliek -1,342</w:t>
      </w:r>
      <w:r w:rsidR="00873AB9" w:rsidRPr="00FD1578">
        <w:rPr>
          <w:rFonts w:cs="Times New Roman"/>
          <w:szCs w:val="24"/>
        </w:rPr>
        <w:t>% no IKP</w:t>
      </w:r>
      <w:r w:rsidR="00B63563" w:rsidRPr="00FD1578">
        <w:rPr>
          <w:rFonts w:cs="Times New Roman"/>
          <w:szCs w:val="24"/>
        </w:rPr>
        <w:t xml:space="preserve"> vērtībā. Tas, savukārt, nozīmē, ka 2025. gada </w:t>
      </w:r>
      <w:r w:rsidR="00873AB9" w:rsidRPr="00FD1578">
        <w:rPr>
          <w:rFonts w:cs="Times New Roman"/>
          <w:szCs w:val="24"/>
        </w:rPr>
        <w:t xml:space="preserve">ES </w:t>
      </w:r>
      <w:r w:rsidR="00B63563" w:rsidRPr="00FD1578">
        <w:rPr>
          <w:rFonts w:cs="Times New Roman"/>
          <w:szCs w:val="24"/>
        </w:rPr>
        <w:t xml:space="preserve">izdevumu pieaugums, kas iepriekš pēc ES prognozēm tika aprēķināts 4,5% vērtībā, sakarā ar augstāku strukturālās </w:t>
      </w:r>
      <w:r w:rsidR="00873AB9" w:rsidRPr="00FD1578">
        <w:rPr>
          <w:rFonts w:cs="Times New Roman"/>
          <w:szCs w:val="24"/>
        </w:rPr>
        <w:t xml:space="preserve">primārās </w:t>
      </w:r>
      <w:r w:rsidR="00B63563" w:rsidRPr="00FD1578">
        <w:rPr>
          <w:rFonts w:cs="Times New Roman"/>
          <w:szCs w:val="24"/>
        </w:rPr>
        <w:t>bilances līmeni 2024. gadā, pieaug līdz 5,9% vērtībai.</w:t>
      </w:r>
    </w:p>
    <w:p w14:paraId="53D317D3" w14:textId="4E06AF82" w:rsidR="00075B87" w:rsidRPr="001B2C6E" w:rsidRDefault="00B63563" w:rsidP="008349F0">
      <w:pPr>
        <w:rPr>
          <w:rFonts w:cs="Times New Roman"/>
          <w:szCs w:val="24"/>
        </w:rPr>
      </w:pPr>
      <w:r w:rsidRPr="00FD1578">
        <w:rPr>
          <w:rFonts w:cs="Times New Roman"/>
          <w:szCs w:val="24"/>
        </w:rPr>
        <w:t>Otrs aspekts, kas prognožu atšķirību dēļ ietekmē fiskālos nosacījumus</w:t>
      </w:r>
      <w:r w:rsidR="00873AB9" w:rsidRPr="00FD1578">
        <w:rPr>
          <w:rFonts w:cs="Times New Roman"/>
          <w:szCs w:val="24"/>
        </w:rPr>
        <w:t>,</w:t>
      </w:r>
      <w:r w:rsidRPr="00FD1578">
        <w:rPr>
          <w:rFonts w:cs="Times New Roman"/>
          <w:szCs w:val="24"/>
        </w:rPr>
        <w:t xml:space="preserve"> ir</w:t>
      </w:r>
      <w:r w:rsidR="00873AB9" w:rsidRPr="00FD1578">
        <w:rPr>
          <w:rFonts w:cs="Times New Roman"/>
          <w:szCs w:val="24"/>
        </w:rPr>
        <w:t xml:space="preserve">, ka </w:t>
      </w:r>
      <w:r w:rsidR="00CA1C27" w:rsidRPr="00FD1578">
        <w:rPr>
          <w:rFonts w:cs="Times New Roman"/>
          <w:szCs w:val="24"/>
        </w:rPr>
        <w:t xml:space="preserve">Latvijas prognozētais </w:t>
      </w:r>
      <w:r w:rsidRPr="00FD1578">
        <w:rPr>
          <w:rFonts w:cs="Times New Roman"/>
          <w:szCs w:val="24"/>
        </w:rPr>
        <w:t>2024. gada vispārējās valdības parāds</w:t>
      </w:r>
      <w:r w:rsidR="00873AB9" w:rsidRPr="00FD1578">
        <w:rPr>
          <w:rFonts w:cs="Times New Roman"/>
          <w:szCs w:val="24"/>
        </w:rPr>
        <w:t xml:space="preserve"> ir augstāks</w:t>
      </w:r>
      <w:r w:rsidRPr="00FD1578">
        <w:rPr>
          <w:rFonts w:cs="Times New Roman"/>
          <w:szCs w:val="24"/>
        </w:rPr>
        <w:t xml:space="preserve">, nekā EK </w:t>
      </w:r>
      <w:r w:rsidR="00873AB9" w:rsidRPr="00FD1578">
        <w:rPr>
          <w:rFonts w:cs="Times New Roman"/>
          <w:szCs w:val="24"/>
        </w:rPr>
        <w:t xml:space="preserve">2024. gada </w:t>
      </w:r>
      <w:r w:rsidRPr="00FD1578">
        <w:rPr>
          <w:rFonts w:cs="Times New Roman"/>
          <w:szCs w:val="24"/>
        </w:rPr>
        <w:t>pavasara prognozēs. Latvijas fiskālajās pr</w:t>
      </w:r>
      <w:r w:rsidR="00CA1C27" w:rsidRPr="00FD1578">
        <w:rPr>
          <w:rFonts w:cs="Times New Roman"/>
          <w:szCs w:val="24"/>
        </w:rPr>
        <w:t>o</w:t>
      </w:r>
      <w:r w:rsidRPr="00FD1578">
        <w:rPr>
          <w:rFonts w:cs="Times New Roman"/>
          <w:szCs w:val="24"/>
        </w:rPr>
        <w:t xml:space="preserve">gnozēs 2024. gada vispārējās valdības parāds ir 45,8% no IKP, bet EK prognozēs </w:t>
      </w:r>
      <w:r w:rsidR="00CA1C27" w:rsidRPr="00FD1578">
        <w:rPr>
          <w:rFonts w:cs="Times New Roman"/>
          <w:szCs w:val="24"/>
        </w:rPr>
        <w:t>tas ir</w:t>
      </w:r>
      <w:r w:rsidRPr="00FD1578">
        <w:rPr>
          <w:rFonts w:cs="Times New Roman"/>
          <w:szCs w:val="24"/>
        </w:rPr>
        <w:t xml:space="preserve"> 44,5% no IKP. Šī atšķirība palielina procentu izdevumu prognozes</w:t>
      </w:r>
      <w:r w:rsidR="00075B87" w:rsidRPr="00FD1578">
        <w:rPr>
          <w:rFonts w:cs="Times New Roman"/>
          <w:szCs w:val="24"/>
        </w:rPr>
        <w:t xml:space="preserve"> visai laika rindai līdz 2038. gadam. Tas, savukārt nozīmē, ka</w:t>
      </w:r>
      <w:r w:rsidR="00873AB9" w:rsidRPr="00FD1578">
        <w:rPr>
          <w:rFonts w:cs="Times New Roman"/>
          <w:szCs w:val="24"/>
        </w:rPr>
        <w:t>,</w:t>
      </w:r>
      <w:r w:rsidR="00075B87" w:rsidRPr="00FD1578">
        <w:rPr>
          <w:rFonts w:cs="Times New Roman"/>
          <w:szCs w:val="24"/>
        </w:rPr>
        <w:t xml:space="preserve"> lai visā šajā laika </w:t>
      </w:r>
      <w:r w:rsidR="007054B5" w:rsidRPr="00FD1578">
        <w:rPr>
          <w:rFonts w:cs="Times New Roman"/>
          <w:szCs w:val="24"/>
        </w:rPr>
        <w:t>periodā</w:t>
      </w:r>
      <w:r w:rsidR="00075B87" w:rsidRPr="00FD1578">
        <w:rPr>
          <w:rFonts w:cs="Times New Roman"/>
          <w:szCs w:val="24"/>
        </w:rPr>
        <w:t xml:space="preserve"> vispārējās valdības budžeta nominālais deficīts nepārsniegtu 3% no IKP, 2028. gadā </w:t>
      </w:r>
      <w:r w:rsidR="00075B87" w:rsidRPr="001B2C6E">
        <w:rPr>
          <w:rFonts w:cs="Times New Roman"/>
          <w:szCs w:val="24"/>
        </w:rPr>
        <w:t>strukturāl</w:t>
      </w:r>
      <w:r w:rsidR="00873AB9" w:rsidRPr="001B2C6E">
        <w:rPr>
          <w:rFonts w:cs="Times New Roman"/>
          <w:szCs w:val="24"/>
        </w:rPr>
        <w:t>aj</w:t>
      </w:r>
      <w:r w:rsidR="00075B87" w:rsidRPr="001B2C6E">
        <w:rPr>
          <w:rFonts w:cs="Times New Roman"/>
          <w:szCs w:val="24"/>
        </w:rPr>
        <w:t>ai</w:t>
      </w:r>
      <w:r w:rsidR="00873AB9" w:rsidRPr="001B2C6E">
        <w:rPr>
          <w:rFonts w:cs="Times New Roman"/>
          <w:szCs w:val="24"/>
        </w:rPr>
        <w:t xml:space="preserve"> primārajai</w:t>
      </w:r>
      <w:r w:rsidR="00075B87" w:rsidRPr="001B2C6E">
        <w:rPr>
          <w:rFonts w:cs="Times New Roman"/>
          <w:szCs w:val="24"/>
        </w:rPr>
        <w:t xml:space="preserve"> bilancei ir jābūt nedaudz labākai: -1</w:t>
      </w:r>
      <w:r w:rsidR="00075B87" w:rsidRPr="00586424">
        <w:rPr>
          <w:rFonts w:cs="Times New Roman"/>
          <w:szCs w:val="24"/>
        </w:rPr>
        <w:t>,282</w:t>
      </w:r>
      <w:r w:rsidR="00873AB9" w:rsidRPr="00586424">
        <w:rPr>
          <w:rFonts w:cs="Times New Roman"/>
          <w:szCs w:val="24"/>
        </w:rPr>
        <w:t>%</w:t>
      </w:r>
      <w:r w:rsidR="00075B87" w:rsidRPr="00586424">
        <w:rPr>
          <w:rFonts w:cs="Times New Roman"/>
          <w:szCs w:val="24"/>
        </w:rPr>
        <w:t xml:space="preserve"> vietā tai jābūt -1,2</w:t>
      </w:r>
      <w:r w:rsidR="00F1067B" w:rsidRPr="00F62287">
        <w:rPr>
          <w:rFonts w:cs="Times New Roman"/>
          <w:szCs w:val="24"/>
        </w:rPr>
        <w:t>57</w:t>
      </w:r>
      <w:r w:rsidR="00075B87" w:rsidRPr="00586424">
        <w:rPr>
          <w:rFonts w:cs="Times New Roman"/>
          <w:szCs w:val="24"/>
        </w:rPr>
        <w:t xml:space="preserve">% no IKP. Lai arī izmaiņas ir </w:t>
      </w:r>
      <w:r w:rsidR="00873AB9" w:rsidRPr="00586424">
        <w:rPr>
          <w:rFonts w:cs="Times New Roman"/>
          <w:szCs w:val="24"/>
        </w:rPr>
        <w:t>n</w:t>
      </w:r>
      <w:r w:rsidR="00075B87" w:rsidRPr="00586424">
        <w:rPr>
          <w:rFonts w:cs="Times New Roman"/>
          <w:szCs w:val="24"/>
        </w:rPr>
        <w:t>elielas, t</w:t>
      </w:r>
      <w:r w:rsidR="00873AB9" w:rsidRPr="00586424">
        <w:rPr>
          <w:rFonts w:cs="Times New Roman"/>
          <w:szCs w:val="24"/>
        </w:rPr>
        <w:t>ā</w:t>
      </w:r>
      <w:r w:rsidR="00075B87" w:rsidRPr="00586424">
        <w:rPr>
          <w:rFonts w:cs="Times New Roman"/>
          <w:szCs w:val="24"/>
        </w:rPr>
        <w:t>s samazina 2028. gada izdevumu pieaugumu, no</w:t>
      </w:r>
      <w:r w:rsidR="005735FB" w:rsidRPr="00586424">
        <w:rPr>
          <w:rFonts w:cs="Times New Roman"/>
          <w:szCs w:val="24"/>
        </w:rPr>
        <w:t xml:space="preserve"> </w:t>
      </w:r>
      <w:r w:rsidR="00075B87" w:rsidRPr="00586424">
        <w:rPr>
          <w:rFonts w:cs="Times New Roman"/>
          <w:szCs w:val="24"/>
        </w:rPr>
        <w:t>3,386% uz 3,3</w:t>
      </w:r>
      <w:r w:rsidR="004E6D90" w:rsidRPr="00F62287">
        <w:rPr>
          <w:rFonts w:cs="Times New Roman"/>
          <w:szCs w:val="24"/>
        </w:rPr>
        <w:t>26</w:t>
      </w:r>
      <w:r w:rsidR="00075B87" w:rsidRPr="00586424">
        <w:rPr>
          <w:rFonts w:cs="Times New Roman"/>
          <w:szCs w:val="24"/>
        </w:rPr>
        <w:t>%.</w:t>
      </w:r>
    </w:p>
    <w:p w14:paraId="3C46EC1E" w14:textId="77777777" w:rsidR="00075B87" w:rsidRPr="00FD1578" w:rsidRDefault="00075B87" w:rsidP="008349F0">
      <w:pPr>
        <w:rPr>
          <w:rFonts w:cs="Times New Roman"/>
          <w:szCs w:val="24"/>
        </w:rPr>
      </w:pPr>
      <w:r w:rsidRPr="00FD1578">
        <w:rPr>
          <w:rFonts w:cs="Times New Roman"/>
          <w:szCs w:val="24"/>
        </w:rPr>
        <w:t>Saskaņā ar šīm izmaiņām fiskālie nosacījumi ir šādi:</w:t>
      </w:r>
    </w:p>
    <w:p w14:paraId="322B9479" w14:textId="38D6479B" w:rsidR="00075B87" w:rsidRPr="00FD1578" w:rsidRDefault="00B63563" w:rsidP="008349F0">
      <w:pPr>
        <w:pStyle w:val="ListParagraph"/>
        <w:widowControl w:val="0"/>
        <w:ind w:left="0"/>
        <w:contextualSpacing w:val="0"/>
        <w:jc w:val="right"/>
        <w:rPr>
          <w:rFonts w:eastAsia="Times New Roman" w:cs="Times New Roman"/>
          <w:bCs/>
          <w:i/>
          <w:iCs/>
          <w:szCs w:val="28"/>
          <w:highlight w:val="lightGray"/>
          <w:lang w:eastAsia="en-US"/>
        </w:rPr>
      </w:pPr>
      <w:r w:rsidRPr="00FD1578">
        <w:rPr>
          <w:rFonts w:cs="Times New Roman"/>
          <w:szCs w:val="24"/>
        </w:rPr>
        <w:t xml:space="preserve"> </w:t>
      </w:r>
      <w:r w:rsidR="00873AB9" w:rsidRPr="00FD1578">
        <w:rPr>
          <w:rFonts w:cs="Times New Roman"/>
          <w:b/>
          <w:bCs/>
          <w:i/>
          <w:iCs/>
          <w:szCs w:val="24"/>
        </w:rPr>
        <w:t xml:space="preserve">2.12. </w:t>
      </w:r>
      <w:r w:rsidR="00075B87" w:rsidRPr="00FD1578">
        <w:rPr>
          <w:rFonts w:eastAsia="Times New Roman" w:cs="Times New Roman"/>
          <w:b/>
          <w:bCs/>
          <w:i/>
          <w:iCs/>
          <w:szCs w:val="24"/>
          <w:lang w:eastAsia="en-US"/>
        </w:rPr>
        <w:t>tabula</w:t>
      </w:r>
      <w:r w:rsidR="00075B87" w:rsidRPr="00FD1578">
        <w:rPr>
          <w:rFonts w:eastAsia="Times New Roman" w:cs="Times New Roman"/>
          <w:b/>
          <w:i/>
          <w:iCs/>
          <w:szCs w:val="24"/>
          <w:lang w:eastAsia="en-US"/>
        </w:rPr>
        <w:t xml:space="preserve"> </w:t>
      </w:r>
      <w:r w:rsidR="00075B87" w:rsidRPr="00FD1578">
        <w:rPr>
          <w:rFonts w:eastAsia="Times New Roman" w:cs="Times New Roman"/>
          <w:b/>
          <w:i/>
          <w:iCs/>
        </w:rPr>
        <w:t>V</w:t>
      </w:r>
      <w:r w:rsidR="00075B87" w:rsidRPr="00FD1578">
        <w:rPr>
          <w:rFonts w:eastAsia="Times New Roman" w:cs="Times New Roman"/>
          <w:b/>
          <w:i/>
          <w:iCs/>
          <w:szCs w:val="24"/>
        </w:rPr>
        <w:t>ispārējās valdības strukturālās bilances mērķi,</w:t>
      </w:r>
      <w:r w:rsidR="00075B87" w:rsidRPr="00FD1578">
        <w:rPr>
          <w:rFonts w:eastAsia="Times New Roman" w:cs="Times New Roman"/>
          <w:b/>
          <w:i/>
          <w:iCs/>
        </w:rPr>
        <w:t xml:space="preserve"> </w:t>
      </w:r>
      <w:r w:rsidR="00075B87" w:rsidRPr="00FD1578">
        <w:rPr>
          <w:rFonts w:eastAsia="Times New Roman" w:cs="Times New Roman"/>
          <w:b/>
          <w:i/>
          <w:iCs/>
          <w:szCs w:val="24"/>
        </w:rPr>
        <w:t xml:space="preserve">balstoties uz FDL </w:t>
      </w:r>
      <w:r w:rsidR="00075B87" w:rsidRPr="00FD1578">
        <w:rPr>
          <w:rFonts w:eastAsia="Times New Roman" w:cs="Times New Roman"/>
          <w:b/>
          <w:i/>
          <w:iCs/>
        </w:rPr>
        <w:t>strukturālās bilances nosacījumu</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737"/>
        <w:gridCol w:w="737"/>
        <w:gridCol w:w="737"/>
        <w:gridCol w:w="737"/>
      </w:tblGrid>
      <w:tr w:rsidR="00075B87" w:rsidRPr="00FD1578" w14:paraId="5B326F6E" w14:textId="77777777" w:rsidTr="00A81E9A">
        <w:trPr>
          <w:trHeight w:val="20"/>
          <w:tblHeader/>
          <w:jc w:val="center"/>
        </w:trPr>
        <w:tc>
          <w:tcPr>
            <w:tcW w:w="3397" w:type="dxa"/>
            <w:shd w:val="clear" w:color="auto" w:fill="BDD6EE" w:themeFill="accent1" w:themeFillTint="66"/>
            <w:noWrap/>
            <w:vAlign w:val="bottom"/>
            <w:hideMark/>
          </w:tcPr>
          <w:p w14:paraId="4CEBB4EE" w14:textId="77777777" w:rsidR="00075B87" w:rsidRPr="00FD1578" w:rsidRDefault="00075B87"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737" w:type="dxa"/>
            <w:shd w:val="clear" w:color="auto" w:fill="BDD6EE" w:themeFill="accent1" w:themeFillTint="66"/>
            <w:noWrap/>
            <w:vAlign w:val="center"/>
            <w:hideMark/>
          </w:tcPr>
          <w:p w14:paraId="0988F98A" w14:textId="77777777" w:rsidR="00075B87" w:rsidRPr="00FD1578" w:rsidRDefault="00075B8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737" w:type="dxa"/>
            <w:shd w:val="clear" w:color="auto" w:fill="BDD6EE" w:themeFill="accent1" w:themeFillTint="66"/>
            <w:noWrap/>
            <w:vAlign w:val="center"/>
            <w:hideMark/>
          </w:tcPr>
          <w:p w14:paraId="66D9C5E6" w14:textId="77777777" w:rsidR="00075B87" w:rsidRPr="00FD1578" w:rsidRDefault="00075B8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737" w:type="dxa"/>
            <w:shd w:val="clear" w:color="auto" w:fill="BDD6EE" w:themeFill="accent1" w:themeFillTint="66"/>
            <w:vAlign w:val="center"/>
          </w:tcPr>
          <w:p w14:paraId="4B89ED2F" w14:textId="77777777" w:rsidR="00075B87" w:rsidRPr="00FD1578" w:rsidRDefault="00075B8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737" w:type="dxa"/>
            <w:shd w:val="clear" w:color="auto" w:fill="BDD6EE" w:themeFill="accent1" w:themeFillTint="66"/>
            <w:noWrap/>
            <w:vAlign w:val="center"/>
            <w:hideMark/>
          </w:tcPr>
          <w:p w14:paraId="055CFBBF" w14:textId="77777777" w:rsidR="00075B87" w:rsidRPr="00FD1578" w:rsidRDefault="00075B8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075B87" w:rsidRPr="00FD1578" w14:paraId="47B2749D" w14:textId="77777777" w:rsidTr="00A81E9A">
        <w:trPr>
          <w:trHeight w:val="20"/>
          <w:jc w:val="center"/>
        </w:trPr>
        <w:tc>
          <w:tcPr>
            <w:tcW w:w="3397" w:type="dxa"/>
            <w:shd w:val="clear" w:color="auto" w:fill="BDD6EE" w:themeFill="accent1" w:themeFillTint="66"/>
            <w:noWrap/>
            <w:vAlign w:val="center"/>
            <w:hideMark/>
          </w:tcPr>
          <w:p w14:paraId="38E9ACC6" w14:textId="77777777" w:rsidR="00075B87" w:rsidRPr="00FD1578" w:rsidRDefault="00075B87" w:rsidP="008349F0">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Vispārējās valdības strukturālās bilances prognoze un mērķi, % no IKP</w:t>
            </w:r>
          </w:p>
        </w:tc>
        <w:tc>
          <w:tcPr>
            <w:tcW w:w="737" w:type="dxa"/>
            <w:shd w:val="clear" w:color="auto" w:fill="BDD6EE" w:themeFill="accent1" w:themeFillTint="66"/>
            <w:noWrap/>
            <w:vAlign w:val="center"/>
          </w:tcPr>
          <w:p w14:paraId="7795EB4A" w14:textId="77777777" w:rsidR="00075B87" w:rsidRPr="00FD1578" w:rsidRDefault="00075B8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c>
          <w:tcPr>
            <w:tcW w:w="737" w:type="dxa"/>
            <w:shd w:val="clear" w:color="auto" w:fill="BDD6EE" w:themeFill="accent1" w:themeFillTint="66"/>
            <w:noWrap/>
            <w:vAlign w:val="center"/>
          </w:tcPr>
          <w:p w14:paraId="4D705B09" w14:textId="77777777" w:rsidR="00075B87" w:rsidRPr="00FD1578" w:rsidRDefault="00075B8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c>
          <w:tcPr>
            <w:tcW w:w="737" w:type="dxa"/>
            <w:shd w:val="clear" w:color="auto" w:fill="BDD6EE" w:themeFill="accent1" w:themeFillTint="66"/>
            <w:vAlign w:val="center"/>
          </w:tcPr>
          <w:p w14:paraId="6A614A80" w14:textId="77777777" w:rsidR="00075B87" w:rsidRPr="00FD1578" w:rsidRDefault="00075B8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c>
          <w:tcPr>
            <w:tcW w:w="737" w:type="dxa"/>
            <w:shd w:val="clear" w:color="auto" w:fill="BDD6EE" w:themeFill="accent1" w:themeFillTint="66"/>
            <w:noWrap/>
            <w:vAlign w:val="center"/>
          </w:tcPr>
          <w:p w14:paraId="3173EF5C" w14:textId="77777777" w:rsidR="00075B87" w:rsidRPr="00FD1578" w:rsidRDefault="00075B8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-1,0</w:t>
            </w:r>
          </w:p>
        </w:tc>
      </w:tr>
    </w:tbl>
    <w:p w14:paraId="0692F4EB" w14:textId="24307CDC" w:rsidR="00196671" w:rsidRPr="00FD1578" w:rsidRDefault="00196671" w:rsidP="008349F0">
      <w:pPr>
        <w:rPr>
          <w:rFonts w:cs="Times New Roman"/>
          <w:szCs w:val="24"/>
        </w:rPr>
      </w:pPr>
    </w:p>
    <w:p w14:paraId="7EA6CD79" w14:textId="69FCC172" w:rsidR="00E9088E" w:rsidRPr="00FD1578" w:rsidRDefault="00873AB9" w:rsidP="008349F0">
      <w:pPr>
        <w:widowControl w:val="0"/>
        <w:jc w:val="right"/>
        <w:rPr>
          <w:rFonts w:eastAsia="Times New Roman" w:cs="Times New Roman"/>
          <w:b/>
          <w:i/>
          <w:iCs/>
          <w:szCs w:val="24"/>
        </w:rPr>
      </w:pPr>
      <w:r w:rsidRPr="00FD1578">
        <w:rPr>
          <w:b/>
          <w:bCs/>
          <w:i/>
          <w:iCs/>
          <w:szCs w:val="20"/>
        </w:rPr>
        <w:t xml:space="preserve">2.13. </w:t>
      </w:r>
      <w:r w:rsidR="00E9088E" w:rsidRPr="00FD1578">
        <w:rPr>
          <w:b/>
          <w:bCs/>
          <w:i/>
          <w:iCs/>
          <w:szCs w:val="20"/>
        </w:rPr>
        <w:t>tabula</w:t>
      </w:r>
      <w:r w:rsidR="00E9088E" w:rsidRPr="00FD1578">
        <w:rPr>
          <w:i/>
          <w:iCs/>
          <w:szCs w:val="20"/>
        </w:rPr>
        <w:t xml:space="preserve"> </w:t>
      </w:r>
      <w:r w:rsidR="00E9088E" w:rsidRPr="00FD1578">
        <w:rPr>
          <w:rFonts w:eastAsia="Times New Roman" w:cs="Times New Roman"/>
          <w:b/>
          <w:i/>
          <w:iCs/>
          <w:szCs w:val="24"/>
        </w:rPr>
        <w:t>Vispārējās valdības strukturālās bilances mērķi, balstoties uz ES strukturālās primārās bilances nosacījumu</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709"/>
        <w:gridCol w:w="1048"/>
        <w:gridCol w:w="1049"/>
        <w:gridCol w:w="1049"/>
        <w:gridCol w:w="1049"/>
        <w:gridCol w:w="1049"/>
      </w:tblGrid>
      <w:tr w:rsidR="00E9088E" w:rsidRPr="00FD1578" w14:paraId="4A777904" w14:textId="77777777" w:rsidTr="00A81E9A">
        <w:trPr>
          <w:trHeight w:val="20"/>
          <w:jc w:val="center"/>
        </w:trPr>
        <w:tc>
          <w:tcPr>
            <w:tcW w:w="2693" w:type="dxa"/>
            <w:shd w:val="clear" w:color="auto" w:fill="BDD6EE" w:themeFill="accent1" w:themeFillTint="66"/>
            <w:noWrap/>
            <w:vAlign w:val="bottom"/>
            <w:hideMark/>
          </w:tcPr>
          <w:p w14:paraId="60259936" w14:textId="77777777" w:rsidR="00E9088E" w:rsidRPr="00FD1578" w:rsidRDefault="00E9088E"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709" w:type="dxa"/>
            <w:shd w:val="clear" w:color="auto" w:fill="BDD6EE" w:themeFill="accent1" w:themeFillTint="66"/>
          </w:tcPr>
          <w:p w14:paraId="1D738902" w14:textId="77777777" w:rsidR="00E9088E" w:rsidRPr="00FD1578" w:rsidRDefault="00E9088E" w:rsidP="008349F0">
            <w:pPr>
              <w:spacing w:before="60" w:after="0"/>
              <w:ind w:firstLine="0"/>
              <w:jc w:val="center"/>
              <w:rPr>
                <w:rFonts w:eastAsia="Times New Roman" w:cs="Times New Roman"/>
                <w:color w:val="000000"/>
                <w:sz w:val="18"/>
                <w:szCs w:val="18"/>
              </w:rPr>
            </w:pPr>
          </w:p>
        </w:tc>
        <w:tc>
          <w:tcPr>
            <w:tcW w:w="1048" w:type="dxa"/>
            <w:shd w:val="clear" w:color="auto" w:fill="BDD6EE" w:themeFill="accent1" w:themeFillTint="66"/>
            <w:noWrap/>
            <w:vAlign w:val="center"/>
            <w:hideMark/>
          </w:tcPr>
          <w:p w14:paraId="745BC3C7"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2024</w:t>
            </w:r>
          </w:p>
        </w:tc>
        <w:tc>
          <w:tcPr>
            <w:tcW w:w="1049" w:type="dxa"/>
            <w:shd w:val="clear" w:color="auto" w:fill="BDD6EE" w:themeFill="accent1" w:themeFillTint="66"/>
            <w:noWrap/>
            <w:vAlign w:val="center"/>
            <w:hideMark/>
          </w:tcPr>
          <w:p w14:paraId="7F729004"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1049" w:type="dxa"/>
            <w:shd w:val="clear" w:color="auto" w:fill="BDD6EE" w:themeFill="accent1" w:themeFillTint="66"/>
            <w:noWrap/>
            <w:vAlign w:val="center"/>
            <w:hideMark/>
          </w:tcPr>
          <w:p w14:paraId="690BEADA"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1049" w:type="dxa"/>
            <w:shd w:val="clear" w:color="auto" w:fill="BDD6EE" w:themeFill="accent1" w:themeFillTint="66"/>
            <w:noWrap/>
            <w:vAlign w:val="center"/>
            <w:hideMark/>
          </w:tcPr>
          <w:p w14:paraId="093DA1B6"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1049" w:type="dxa"/>
            <w:shd w:val="clear" w:color="auto" w:fill="BDD6EE" w:themeFill="accent1" w:themeFillTint="66"/>
            <w:noWrap/>
            <w:vAlign w:val="center"/>
            <w:hideMark/>
          </w:tcPr>
          <w:p w14:paraId="1C7187E7"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E9088E" w:rsidRPr="00586424" w14:paraId="2DCFDE96" w14:textId="77777777" w:rsidTr="00A81E9A">
        <w:trPr>
          <w:trHeight w:val="20"/>
          <w:jc w:val="center"/>
        </w:trPr>
        <w:tc>
          <w:tcPr>
            <w:tcW w:w="2693" w:type="dxa"/>
            <w:shd w:val="clear" w:color="auto" w:fill="auto"/>
            <w:noWrap/>
            <w:vAlign w:val="center"/>
          </w:tcPr>
          <w:p w14:paraId="646A6EF5" w14:textId="77777777" w:rsidR="00E9088E" w:rsidRPr="00FD1578" w:rsidRDefault="00E9088E"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strukturālās primārās bilances mērķis, % no IKP</w:t>
            </w:r>
          </w:p>
        </w:tc>
        <w:tc>
          <w:tcPr>
            <w:tcW w:w="709" w:type="dxa"/>
            <w:vAlign w:val="center"/>
          </w:tcPr>
          <w:p w14:paraId="622FAB68" w14:textId="77777777" w:rsidR="00E9088E" w:rsidRPr="00FD1578" w:rsidRDefault="00E9088E"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p>
        </w:tc>
        <w:tc>
          <w:tcPr>
            <w:tcW w:w="1048" w:type="dxa"/>
            <w:shd w:val="clear" w:color="auto" w:fill="auto"/>
            <w:noWrap/>
            <w:vAlign w:val="center"/>
          </w:tcPr>
          <w:p w14:paraId="59CF9F07" w14:textId="564898D7" w:rsidR="00E9088E" w:rsidRPr="00586424" w:rsidRDefault="00E9088E" w:rsidP="008349F0">
            <w:pPr>
              <w:spacing w:before="60" w:after="0"/>
              <w:ind w:firstLine="0"/>
              <w:jc w:val="center"/>
              <w:rPr>
                <w:rFonts w:eastAsia="Times New Roman" w:cs="Times New Roman"/>
                <w:color w:val="000000"/>
                <w:sz w:val="18"/>
                <w:szCs w:val="18"/>
              </w:rPr>
            </w:pPr>
            <w:r w:rsidRPr="00586424">
              <w:rPr>
                <w:rFonts w:eastAsia="Times New Roman" w:cs="Times New Roman"/>
                <w:color w:val="000000"/>
                <w:sz w:val="18"/>
                <w:szCs w:val="18"/>
              </w:rPr>
              <w:t>-0,789</w:t>
            </w:r>
          </w:p>
        </w:tc>
        <w:tc>
          <w:tcPr>
            <w:tcW w:w="1049" w:type="dxa"/>
            <w:shd w:val="clear" w:color="auto" w:fill="auto"/>
            <w:noWrap/>
            <w:vAlign w:val="center"/>
          </w:tcPr>
          <w:p w14:paraId="0D14BF1D" w14:textId="77777777" w:rsidR="00E9088E" w:rsidRPr="00586424" w:rsidRDefault="00E9088E" w:rsidP="008349F0">
            <w:pPr>
              <w:spacing w:before="60" w:after="0"/>
              <w:ind w:firstLine="0"/>
              <w:jc w:val="center"/>
              <w:rPr>
                <w:rFonts w:eastAsia="Times New Roman" w:cs="Times New Roman"/>
                <w:color w:val="000000"/>
                <w:sz w:val="18"/>
                <w:szCs w:val="18"/>
              </w:rPr>
            </w:pPr>
            <w:r w:rsidRPr="00586424">
              <w:rPr>
                <w:rFonts w:eastAsia="Times New Roman" w:cs="Times New Roman"/>
                <w:color w:val="000000"/>
                <w:sz w:val="18"/>
                <w:szCs w:val="18"/>
              </w:rPr>
              <w:t>-1,342</w:t>
            </w:r>
          </w:p>
        </w:tc>
        <w:tc>
          <w:tcPr>
            <w:tcW w:w="1049" w:type="dxa"/>
            <w:shd w:val="clear" w:color="auto" w:fill="FFFFFF" w:themeFill="background1"/>
            <w:noWrap/>
            <w:vAlign w:val="center"/>
            <w:hideMark/>
          </w:tcPr>
          <w:p w14:paraId="6FF480C4" w14:textId="77777777" w:rsidR="00E9088E" w:rsidRPr="00586424" w:rsidRDefault="00E9088E" w:rsidP="008349F0">
            <w:pPr>
              <w:spacing w:before="60" w:after="0"/>
              <w:ind w:firstLine="0"/>
              <w:jc w:val="center"/>
              <w:rPr>
                <w:rFonts w:eastAsia="Times New Roman" w:cs="Times New Roman"/>
                <w:color w:val="000000"/>
                <w:sz w:val="18"/>
                <w:szCs w:val="18"/>
              </w:rPr>
            </w:pPr>
            <w:r w:rsidRPr="00586424">
              <w:rPr>
                <w:rFonts w:eastAsia="Times New Roman" w:cs="Times New Roman"/>
                <w:color w:val="000000"/>
                <w:sz w:val="18"/>
                <w:szCs w:val="18"/>
              </w:rPr>
              <w:t>-1,322</w:t>
            </w:r>
          </w:p>
        </w:tc>
        <w:tc>
          <w:tcPr>
            <w:tcW w:w="1049" w:type="dxa"/>
            <w:shd w:val="clear" w:color="auto" w:fill="FFFFFF" w:themeFill="background1"/>
            <w:noWrap/>
            <w:vAlign w:val="center"/>
            <w:hideMark/>
          </w:tcPr>
          <w:p w14:paraId="11FCD91D" w14:textId="77777777" w:rsidR="00E9088E" w:rsidRPr="00586424" w:rsidRDefault="00E9088E" w:rsidP="008349F0">
            <w:pPr>
              <w:spacing w:before="60" w:after="0"/>
              <w:ind w:firstLine="0"/>
              <w:jc w:val="center"/>
              <w:rPr>
                <w:rFonts w:eastAsia="Times New Roman" w:cs="Times New Roman"/>
                <w:color w:val="000000"/>
                <w:sz w:val="18"/>
                <w:szCs w:val="18"/>
              </w:rPr>
            </w:pPr>
            <w:r w:rsidRPr="00586424">
              <w:rPr>
                <w:rFonts w:eastAsia="Times New Roman" w:cs="Times New Roman"/>
                <w:color w:val="000000"/>
                <w:sz w:val="18"/>
                <w:szCs w:val="18"/>
              </w:rPr>
              <w:t>-1,302</w:t>
            </w:r>
          </w:p>
        </w:tc>
        <w:tc>
          <w:tcPr>
            <w:tcW w:w="1049" w:type="dxa"/>
            <w:shd w:val="clear" w:color="auto" w:fill="FFFFFF" w:themeFill="background1"/>
            <w:noWrap/>
            <w:vAlign w:val="center"/>
            <w:hideMark/>
          </w:tcPr>
          <w:p w14:paraId="44861AFE" w14:textId="77777777" w:rsidR="00652D62" w:rsidRPr="00586424" w:rsidRDefault="00652D62" w:rsidP="00652D62">
            <w:pPr>
              <w:spacing w:after="0"/>
              <w:ind w:firstLine="0"/>
              <w:jc w:val="center"/>
              <w:rPr>
                <w:rFonts w:cs="Times New Roman"/>
                <w:sz w:val="16"/>
                <w:szCs w:val="16"/>
              </w:rPr>
            </w:pPr>
            <w:r w:rsidRPr="00F62287">
              <w:rPr>
                <w:rFonts w:cs="Times New Roman"/>
                <w:sz w:val="16"/>
                <w:szCs w:val="16"/>
              </w:rPr>
              <w:t>-1,257</w:t>
            </w:r>
          </w:p>
          <w:p w14:paraId="2C21F565" w14:textId="09E8D6D3" w:rsidR="00E9088E" w:rsidRPr="00586424" w:rsidRDefault="00E9088E" w:rsidP="008349F0">
            <w:pPr>
              <w:spacing w:before="60" w:after="0"/>
              <w:ind w:firstLine="0"/>
              <w:jc w:val="center"/>
              <w:rPr>
                <w:rFonts w:eastAsia="Times New Roman" w:cs="Times New Roman"/>
                <w:color w:val="000000"/>
                <w:sz w:val="18"/>
                <w:szCs w:val="18"/>
              </w:rPr>
            </w:pPr>
          </w:p>
        </w:tc>
      </w:tr>
      <w:tr w:rsidR="00E9088E" w:rsidRPr="00586424" w14:paraId="0A2D3C75" w14:textId="77777777" w:rsidTr="00A81E9A">
        <w:trPr>
          <w:trHeight w:val="20"/>
          <w:jc w:val="center"/>
        </w:trPr>
        <w:tc>
          <w:tcPr>
            <w:tcW w:w="2693" w:type="dxa"/>
            <w:shd w:val="clear" w:color="auto" w:fill="auto"/>
            <w:noWrap/>
            <w:vAlign w:val="center"/>
          </w:tcPr>
          <w:p w14:paraId="1A9AF17E" w14:textId="77777777" w:rsidR="00E9088E" w:rsidRPr="00FD1578" w:rsidRDefault="00E9088E"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vispārējās valdības procentu izdevumi, % no IKP</w:t>
            </w:r>
          </w:p>
        </w:tc>
        <w:tc>
          <w:tcPr>
            <w:tcW w:w="709" w:type="dxa"/>
            <w:vAlign w:val="center"/>
          </w:tcPr>
          <w:p w14:paraId="452F2FD0" w14:textId="77777777" w:rsidR="00E9088E" w:rsidRPr="00FD1578" w:rsidRDefault="00E9088E"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w:t>
            </w:r>
          </w:p>
        </w:tc>
        <w:tc>
          <w:tcPr>
            <w:tcW w:w="1048" w:type="dxa"/>
            <w:shd w:val="clear" w:color="auto" w:fill="auto"/>
            <w:noWrap/>
            <w:vAlign w:val="center"/>
          </w:tcPr>
          <w:p w14:paraId="3E4A0B84" w14:textId="77777777" w:rsidR="00E9088E" w:rsidRPr="00586424" w:rsidRDefault="00E9088E" w:rsidP="008349F0">
            <w:pPr>
              <w:spacing w:before="60" w:after="0"/>
              <w:ind w:firstLine="0"/>
              <w:jc w:val="center"/>
              <w:rPr>
                <w:rFonts w:eastAsia="Times New Roman" w:cs="Times New Roman"/>
                <w:color w:val="000000"/>
                <w:sz w:val="18"/>
                <w:szCs w:val="18"/>
              </w:rPr>
            </w:pPr>
          </w:p>
        </w:tc>
        <w:tc>
          <w:tcPr>
            <w:tcW w:w="1049" w:type="dxa"/>
            <w:shd w:val="clear" w:color="auto" w:fill="auto"/>
            <w:noWrap/>
            <w:vAlign w:val="center"/>
          </w:tcPr>
          <w:p w14:paraId="39A88F56" w14:textId="77777777" w:rsidR="00E9088E" w:rsidRPr="00586424" w:rsidRDefault="00E9088E" w:rsidP="008349F0">
            <w:pPr>
              <w:spacing w:before="60" w:after="0"/>
              <w:ind w:firstLine="0"/>
              <w:jc w:val="center"/>
              <w:rPr>
                <w:rFonts w:eastAsia="Times New Roman" w:cs="Times New Roman"/>
                <w:color w:val="000000"/>
                <w:sz w:val="18"/>
                <w:szCs w:val="18"/>
              </w:rPr>
            </w:pPr>
            <w:r w:rsidRPr="00586424">
              <w:rPr>
                <w:rFonts w:eastAsia="Times New Roman" w:cs="Times New Roman"/>
                <w:color w:val="000000"/>
                <w:sz w:val="18"/>
                <w:szCs w:val="18"/>
              </w:rPr>
              <w:t>1,2</w:t>
            </w:r>
          </w:p>
        </w:tc>
        <w:tc>
          <w:tcPr>
            <w:tcW w:w="1049" w:type="dxa"/>
            <w:shd w:val="clear" w:color="auto" w:fill="FFFFFF" w:themeFill="background1"/>
            <w:noWrap/>
            <w:vAlign w:val="center"/>
            <w:hideMark/>
          </w:tcPr>
          <w:p w14:paraId="128F9B8E" w14:textId="77777777" w:rsidR="00E9088E" w:rsidRPr="00586424" w:rsidRDefault="00E9088E" w:rsidP="008349F0">
            <w:pPr>
              <w:spacing w:before="60" w:after="0"/>
              <w:ind w:firstLine="0"/>
              <w:jc w:val="center"/>
              <w:rPr>
                <w:rFonts w:eastAsia="Times New Roman" w:cs="Times New Roman"/>
                <w:color w:val="000000"/>
                <w:sz w:val="18"/>
                <w:szCs w:val="18"/>
              </w:rPr>
            </w:pPr>
            <w:r w:rsidRPr="00586424">
              <w:rPr>
                <w:rFonts w:eastAsia="Times New Roman" w:cs="Times New Roman"/>
                <w:color w:val="000000"/>
                <w:sz w:val="18"/>
                <w:szCs w:val="18"/>
              </w:rPr>
              <w:t>1,4</w:t>
            </w:r>
          </w:p>
        </w:tc>
        <w:tc>
          <w:tcPr>
            <w:tcW w:w="1049" w:type="dxa"/>
            <w:shd w:val="clear" w:color="auto" w:fill="FFFFFF" w:themeFill="background1"/>
            <w:noWrap/>
            <w:vAlign w:val="center"/>
            <w:hideMark/>
          </w:tcPr>
          <w:p w14:paraId="2A4F4ABD" w14:textId="77777777" w:rsidR="00E9088E" w:rsidRPr="00586424" w:rsidRDefault="00E9088E" w:rsidP="008349F0">
            <w:pPr>
              <w:spacing w:before="60" w:after="0"/>
              <w:ind w:firstLine="0"/>
              <w:jc w:val="center"/>
              <w:rPr>
                <w:rFonts w:eastAsia="Times New Roman" w:cs="Times New Roman"/>
                <w:color w:val="000000"/>
                <w:sz w:val="18"/>
                <w:szCs w:val="18"/>
              </w:rPr>
            </w:pPr>
            <w:r w:rsidRPr="00586424">
              <w:rPr>
                <w:rFonts w:eastAsia="Times New Roman" w:cs="Times New Roman"/>
                <w:color w:val="000000"/>
                <w:sz w:val="18"/>
                <w:szCs w:val="18"/>
              </w:rPr>
              <w:t>1,5</w:t>
            </w:r>
          </w:p>
        </w:tc>
        <w:tc>
          <w:tcPr>
            <w:tcW w:w="1049" w:type="dxa"/>
            <w:shd w:val="clear" w:color="auto" w:fill="FFFFFF" w:themeFill="background1"/>
            <w:noWrap/>
            <w:vAlign w:val="center"/>
            <w:hideMark/>
          </w:tcPr>
          <w:p w14:paraId="3EF2F852" w14:textId="77777777" w:rsidR="00E9088E" w:rsidRPr="00586424" w:rsidRDefault="00E9088E" w:rsidP="008349F0">
            <w:pPr>
              <w:spacing w:before="60" w:after="0"/>
              <w:ind w:firstLine="0"/>
              <w:jc w:val="center"/>
              <w:rPr>
                <w:rFonts w:eastAsia="Times New Roman" w:cs="Times New Roman"/>
                <w:color w:val="000000"/>
                <w:sz w:val="18"/>
                <w:szCs w:val="18"/>
              </w:rPr>
            </w:pPr>
            <w:r w:rsidRPr="00586424">
              <w:rPr>
                <w:rFonts w:eastAsia="Times New Roman" w:cs="Times New Roman"/>
                <w:color w:val="000000"/>
                <w:sz w:val="18"/>
                <w:szCs w:val="18"/>
              </w:rPr>
              <w:t>1,5</w:t>
            </w:r>
          </w:p>
        </w:tc>
      </w:tr>
      <w:tr w:rsidR="00652D62" w:rsidRPr="00586424" w14:paraId="44C3FC87" w14:textId="77777777" w:rsidTr="004E6D90">
        <w:trPr>
          <w:trHeight w:val="20"/>
          <w:jc w:val="center"/>
        </w:trPr>
        <w:tc>
          <w:tcPr>
            <w:tcW w:w="2693" w:type="dxa"/>
            <w:shd w:val="clear" w:color="auto" w:fill="auto"/>
            <w:noWrap/>
            <w:vAlign w:val="center"/>
          </w:tcPr>
          <w:p w14:paraId="0474FFBE" w14:textId="77777777" w:rsidR="00652D62" w:rsidRPr="00FD1578" w:rsidRDefault="00652D62" w:rsidP="00652D62">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one-off</w:t>
            </w:r>
            <w:proofErr w:type="spellEnd"/>
            <w:r w:rsidRPr="00FD1578">
              <w:rPr>
                <w:rFonts w:eastAsia="Times New Roman" w:cs="Times New Roman"/>
                <w:color w:val="000000"/>
                <w:sz w:val="18"/>
                <w:szCs w:val="18"/>
              </w:rPr>
              <w:t xml:space="preserve"> un citi īslaicīgie pasākumi, % no IKP</w:t>
            </w:r>
          </w:p>
        </w:tc>
        <w:tc>
          <w:tcPr>
            <w:tcW w:w="709" w:type="dxa"/>
            <w:vAlign w:val="center"/>
          </w:tcPr>
          <w:p w14:paraId="1783C816" w14:textId="77777777" w:rsidR="00652D62" w:rsidRPr="00FD1578" w:rsidRDefault="00652D62" w:rsidP="00652D62">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w:t>
            </w:r>
          </w:p>
        </w:tc>
        <w:tc>
          <w:tcPr>
            <w:tcW w:w="1048" w:type="dxa"/>
            <w:shd w:val="clear" w:color="auto" w:fill="auto"/>
            <w:noWrap/>
            <w:vAlign w:val="center"/>
          </w:tcPr>
          <w:p w14:paraId="359F9FFA" w14:textId="77777777" w:rsidR="00652D62" w:rsidRPr="00586424" w:rsidRDefault="00652D62" w:rsidP="00652D62">
            <w:pPr>
              <w:spacing w:before="60" w:after="0"/>
              <w:ind w:firstLine="0"/>
              <w:jc w:val="center"/>
              <w:rPr>
                <w:rFonts w:eastAsia="Times New Roman" w:cs="Times New Roman"/>
                <w:color w:val="000000"/>
                <w:sz w:val="18"/>
                <w:szCs w:val="18"/>
              </w:rPr>
            </w:pPr>
          </w:p>
        </w:tc>
        <w:tc>
          <w:tcPr>
            <w:tcW w:w="1049" w:type="dxa"/>
            <w:shd w:val="clear" w:color="auto" w:fill="auto"/>
            <w:noWrap/>
            <w:vAlign w:val="center"/>
          </w:tcPr>
          <w:p w14:paraId="47C90533" w14:textId="21BCF8DF" w:rsidR="00652D62" w:rsidRPr="00F62287" w:rsidRDefault="00652D62" w:rsidP="004E6D90">
            <w:pPr>
              <w:spacing w:before="60" w:after="0"/>
              <w:ind w:firstLine="0"/>
              <w:jc w:val="center"/>
              <w:rPr>
                <w:rFonts w:eastAsia="Times New Roman" w:cs="Times New Roman"/>
                <w:color w:val="000000"/>
                <w:sz w:val="16"/>
                <w:szCs w:val="16"/>
              </w:rPr>
            </w:pPr>
            <w:r w:rsidRPr="00F62287">
              <w:rPr>
                <w:rFonts w:cs="Times New Roman"/>
                <w:color w:val="000000"/>
                <w:sz w:val="16"/>
                <w:szCs w:val="16"/>
              </w:rPr>
              <w:t>-1,7</w:t>
            </w:r>
          </w:p>
        </w:tc>
        <w:tc>
          <w:tcPr>
            <w:tcW w:w="1049" w:type="dxa"/>
            <w:shd w:val="clear" w:color="auto" w:fill="FFFFFF" w:themeFill="background1"/>
            <w:noWrap/>
            <w:vAlign w:val="center"/>
            <w:hideMark/>
          </w:tcPr>
          <w:p w14:paraId="05D94508" w14:textId="5F20E4AC" w:rsidR="00652D62" w:rsidRPr="00F62287" w:rsidRDefault="00652D62" w:rsidP="004E6D90">
            <w:pPr>
              <w:spacing w:before="60" w:after="0"/>
              <w:ind w:firstLine="0"/>
              <w:jc w:val="center"/>
              <w:rPr>
                <w:rFonts w:eastAsia="Times New Roman" w:cs="Times New Roman"/>
                <w:color w:val="000000"/>
                <w:sz w:val="16"/>
                <w:szCs w:val="16"/>
              </w:rPr>
            </w:pPr>
            <w:r w:rsidRPr="00F62287">
              <w:rPr>
                <w:rFonts w:cs="Times New Roman"/>
                <w:color w:val="000000"/>
                <w:sz w:val="16"/>
                <w:szCs w:val="16"/>
              </w:rPr>
              <w:t>-1,8</w:t>
            </w:r>
          </w:p>
        </w:tc>
        <w:tc>
          <w:tcPr>
            <w:tcW w:w="1049" w:type="dxa"/>
            <w:shd w:val="clear" w:color="auto" w:fill="FFFFFF" w:themeFill="background1"/>
            <w:noWrap/>
            <w:vAlign w:val="center"/>
            <w:hideMark/>
          </w:tcPr>
          <w:p w14:paraId="7B39ECAA" w14:textId="49840043" w:rsidR="00652D62" w:rsidRPr="00F62287" w:rsidRDefault="00652D62" w:rsidP="004E6D90">
            <w:pPr>
              <w:spacing w:before="60" w:after="0"/>
              <w:ind w:firstLine="0"/>
              <w:jc w:val="center"/>
              <w:rPr>
                <w:rFonts w:eastAsia="Times New Roman" w:cs="Times New Roman"/>
                <w:color w:val="000000"/>
                <w:sz w:val="16"/>
                <w:szCs w:val="16"/>
              </w:rPr>
            </w:pPr>
            <w:r w:rsidRPr="00F62287">
              <w:rPr>
                <w:rFonts w:cs="Times New Roman"/>
                <w:color w:val="000000"/>
                <w:sz w:val="16"/>
                <w:szCs w:val="16"/>
              </w:rPr>
              <w:t>-1,7</w:t>
            </w:r>
          </w:p>
        </w:tc>
        <w:tc>
          <w:tcPr>
            <w:tcW w:w="1049" w:type="dxa"/>
            <w:shd w:val="clear" w:color="auto" w:fill="FFFFFF" w:themeFill="background1"/>
            <w:noWrap/>
            <w:vAlign w:val="center"/>
            <w:hideMark/>
          </w:tcPr>
          <w:p w14:paraId="78392EC4" w14:textId="06FFD1F2" w:rsidR="00652D62" w:rsidRPr="00F62287" w:rsidRDefault="00652D62" w:rsidP="004E6D90">
            <w:pPr>
              <w:spacing w:before="60" w:after="0"/>
              <w:ind w:firstLine="0"/>
              <w:jc w:val="center"/>
              <w:rPr>
                <w:rFonts w:eastAsia="Times New Roman" w:cs="Times New Roman"/>
                <w:color w:val="000000"/>
                <w:sz w:val="16"/>
                <w:szCs w:val="16"/>
              </w:rPr>
            </w:pPr>
            <w:r w:rsidRPr="00F62287">
              <w:rPr>
                <w:rFonts w:cs="Times New Roman"/>
                <w:color w:val="000000"/>
                <w:sz w:val="16"/>
                <w:szCs w:val="16"/>
              </w:rPr>
              <w:t>-1,3</w:t>
            </w:r>
          </w:p>
        </w:tc>
      </w:tr>
      <w:tr w:rsidR="004E6D90" w:rsidRPr="00586424" w14:paraId="5B29A2E0" w14:textId="77777777" w:rsidTr="004E6D90">
        <w:trPr>
          <w:trHeight w:val="20"/>
          <w:jc w:val="center"/>
        </w:trPr>
        <w:tc>
          <w:tcPr>
            <w:tcW w:w="2693" w:type="dxa"/>
            <w:shd w:val="clear" w:color="auto" w:fill="BDD6EE" w:themeFill="accent1" w:themeFillTint="66"/>
            <w:noWrap/>
            <w:vAlign w:val="center"/>
          </w:tcPr>
          <w:p w14:paraId="2DBBB377" w14:textId="0B7D2BE2" w:rsidR="004E6D90" w:rsidRPr="004E6D90" w:rsidRDefault="004E6D90" w:rsidP="004E6D90">
            <w:pPr>
              <w:spacing w:before="60" w:after="0"/>
              <w:ind w:firstLine="0"/>
              <w:jc w:val="left"/>
              <w:rPr>
                <w:rFonts w:eastAsia="Times New Roman" w:cs="Times New Roman"/>
                <w:b/>
                <w:bCs/>
                <w:color w:val="000000"/>
                <w:sz w:val="18"/>
                <w:szCs w:val="18"/>
              </w:rPr>
            </w:pPr>
            <w:r w:rsidRPr="004E6D90">
              <w:rPr>
                <w:rFonts w:eastAsia="Times New Roman" w:cs="Times New Roman"/>
                <w:b/>
                <w:bCs/>
                <w:color w:val="000000"/>
                <w:sz w:val="18"/>
                <w:szCs w:val="18"/>
              </w:rPr>
              <w:t>Vispārējās valdības strukturālās bilances mērķi, % no IKP</w:t>
            </w:r>
          </w:p>
        </w:tc>
        <w:tc>
          <w:tcPr>
            <w:tcW w:w="709" w:type="dxa"/>
            <w:shd w:val="clear" w:color="auto" w:fill="BDD6EE" w:themeFill="accent1" w:themeFillTint="66"/>
            <w:vAlign w:val="center"/>
          </w:tcPr>
          <w:p w14:paraId="14E0AFB4" w14:textId="77777777" w:rsidR="004E6D90" w:rsidRPr="004E6D90" w:rsidRDefault="004E6D90" w:rsidP="004E6D90">
            <w:pPr>
              <w:spacing w:before="60" w:after="0"/>
              <w:ind w:firstLine="0"/>
              <w:jc w:val="center"/>
              <w:rPr>
                <w:rFonts w:eastAsia="Times New Roman" w:cs="Times New Roman"/>
                <w:b/>
                <w:bCs/>
                <w:color w:val="000000"/>
                <w:sz w:val="18"/>
                <w:szCs w:val="18"/>
              </w:rPr>
            </w:pPr>
            <w:r w:rsidRPr="004E6D90">
              <w:rPr>
                <w:rFonts w:eastAsia="Times New Roman" w:cs="Times New Roman"/>
                <w:b/>
                <w:bCs/>
                <w:color w:val="000000"/>
                <w:sz w:val="18"/>
                <w:szCs w:val="18"/>
              </w:rPr>
              <w:t>(4)</w:t>
            </w:r>
          </w:p>
        </w:tc>
        <w:tc>
          <w:tcPr>
            <w:tcW w:w="1048" w:type="dxa"/>
            <w:shd w:val="clear" w:color="auto" w:fill="BDD6EE" w:themeFill="accent1" w:themeFillTint="66"/>
            <w:noWrap/>
            <w:vAlign w:val="center"/>
          </w:tcPr>
          <w:p w14:paraId="0AC14D35" w14:textId="77777777" w:rsidR="004E6D90" w:rsidRPr="00F62287" w:rsidRDefault="004E6D90" w:rsidP="004E6D90">
            <w:pPr>
              <w:spacing w:before="60" w:after="0"/>
              <w:ind w:firstLine="0"/>
              <w:jc w:val="center"/>
              <w:rPr>
                <w:rFonts w:eastAsia="Times New Roman" w:cs="Times New Roman"/>
                <w:b/>
                <w:bCs/>
                <w:color w:val="000000"/>
                <w:sz w:val="18"/>
                <w:szCs w:val="18"/>
              </w:rPr>
            </w:pPr>
          </w:p>
        </w:tc>
        <w:tc>
          <w:tcPr>
            <w:tcW w:w="1049" w:type="dxa"/>
            <w:shd w:val="clear" w:color="auto" w:fill="BDD6EE" w:themeFill="accent1" w:themeFillTint="66"/>
            <w:noWrap/>
            <w:vAlign w:val="center"/>
          </w:tcPr>
          <w:p w14:paraId="34BBA24D" w14:textId="481F5FB3" w:rsidR="004E6D90" w:rsidRPr="00F62287" w:rsidRDefault="004E6D90" w:rsidP="004E6D90">
            <w:pPr>
              <w:spacing w:before="60" w:after="0"/>
              <w:ind w:firstLine="0"/>
              <w:jc w:val="center"/>
              <w:rPr>
                <w:rFonts w:eastAsia="Times New Roman" w:cs="Times New Roman"/>
                <w:b/>
                <w:bCs/>
                <w:sz w:val="16"/>
                <w:szCs w:val="16"/>
              </w:rPr>
            </w:pPr>
            <w:r w:rsidRPr="00F62287">
              <w:rPr>
                <w:rFonts w:cs="Times New Roman"/>
                <w:b/>
                <w:bCs/>
                <w:sz w:val="16"/>
                <w:szCs w:val="16"/>
              </w:rPr>
              <w:t>-0,817</w:t>
            </w:r>
          </w:p>
        </w:tc>
        <w:tc>
          <w:tcPr>
            <w:tcW w:w="1049" w:type="dxa"/>
            <w:shd w:val="clear" w:color="auto" w:fill="BDD6EE" w:themeFill="accent1" w:themeFillTint="66"/>
            <w:noWrap/>
            <w:vAlign w:val="center"/>
            <w:hideMark/>
          </w:tcPr>
          <w:p w14:paraId="1D4E38B8" w14:textId="06E70932" w:rsidR="004E6D90" w:rsidRPr="00F62287" w:rsidRDefault="004E6D90" w:rsidP="004E6D90">
            <w:pPr>
              <w:spacing w:before="60" w:after="0"/>
              <w:ind w:firstLine="0"/>
              <w:jc w:val="center"/>
              <w:rPr>
                <w:rFonts w:eastAsia="Times New Roman" w:cs="Times New Roman"/>
                <w:b/>
                <w:bCs/>
                <w:sz w:val="16"/>
                <w:szCs w:val="16"/>
              </w:rPr>
            </w:pPr>
            <w:r w:rsidRPr="00F62287">
              <w:rPr>
                <w:rFonts w:cs="Times New Roman"/>
                <w:b/>
                <w:bCs/>
                <w:sz w:val="16"/>
                <w:szCs w:val="16"/>
              </w:rPr>
              <w:t>-0,923</w:t>
            </w:r>
          </w:p>
        </w:tc>
        <w:tc>
          <w:tcPr>
            <w:tcW w:w="1049" w:type="dxa"/>
            <w:shd w:val="clear" w:color="auto" w:fill="BDD6EE" w:themeFill="accent1" w:themeFillTint="66"/>
            <w:noWrap/>
            <w:vAlign w:val="center"/>
            <w:hideMark/>
          </w:tcPr>
          <w:p w14:paraId="5CE2AF07" w14:textId="241FCB03" w:rsidR="004E6D90" w:rsidRPr="00F62287" w:rsidRDefault="004E6D90" w:rsidP="004E6D90">
            <w:pPr>
              <w:spacing w:before="60" w:after="0"/>
              <w:ind w:firstLine="0"/>
              <w:jc w:val="center"/>
              <w:rPr>
                <w:rFonts w:eastAsia="Times New Roman" w:cs="Times New Roman"/>
                <w:b/>
                <w:bCs/>
                <w:sz w:val="16"/>
                <w:szCs w:val="16"/>
              </w:rPr>
            </w:pPr>
            <w:r w:rsidRPr="00F62287">
              <w:rPr>
                <w:rFonts w:cs="Times New Roman"/>
                <w:b/>
                <w:bCs/>
                <w:sz w:val="16"/>
                <w:szCs w:val="16"/>
              </w:rPr>
              <w:t>-1,101</w:t>
            </w:r>
          </w:p>
        </w:tc>
        <w:tc>
          <w:tcPr>
            <w:tcW w:w="1049" w:type="dxa"/>
            <w:shd w:val="clear" w:color="auto" w:fill="BDD6EE" w:themeFill="accent1" w:themeFillTint="66"/>
            <w:noWrap/>
            <w:vAlign w:val="center"/>
            <w:hideMark/>
          </w:tcPr>
          <w:p w14:paraId="7F61849E" w14:textId="2FE0E0A3" w:rsidR="004E6D90" w:rsidRPr="00F62287" w:rsidRDefault="004E6D90" w:rsidP="004E6D90">
            <w:pPr>
              <w:spacing w:before="60" w:after="0"/>
              <w:ind w:firstLine="0"/>
              <w:jc w:val="center"/>
              <w:rPr>
                <w:rFonts w:eastAsia="Times New Roman" w:cs="Times New Roman"/>
                <w:b/>
                <w:bCs/>
                <w:sz w:val="16"/>
                <w:szCs w:val="16"/>
              </w:rPr>
            </w:pPr>
            <w:r w:rsidRPr="00F62287">
              <w:rPr>
                <w:rFonts w:cs="Times New Roman"/>
                <w:b/>
                <w:bCs/>
                <w:sz w:val="16"/>
                <w:szCs w:val="16"/>
              </w:rPr>
              <w:t>-1,456</w:t>
            </w:r>
          </w:p>
        </w:tc>
      </w:tr>
    </w:tbl>
    <w:p w14:paraId="1F96BE56" w14:textId="77777777" w:rsidR="00085786" w:rsidRPr="00FD1578" w:rsidRDefault="00085786" w:rsidP="008349F0">
      <w:pPr>
        <w:widowControl w:val="0"/>
        <w:spacing w:after="0"/>
        <w:ind w:firstLine="0"/>
        <w:rPr>
          <w:rFonts w:eastAsia="Times New Roman" w:cs="Times New Roman"/>
          <w:b/>
          <w:szCs w:val="24"/>
        </w:rPr>
      </w:pPr>
    </w:p>
    <w:p w14:paraId="00B7D185" w14:textId="119516C2" w:rsidR="00E9088E" w:rsidRPr="00FD1578" w:rsidRDefault="00873AB9" w:rsidP="008349F0">
      <w:pPr>
        <w:widowControl w:val="0"/>
        <w:spacing w:before="240"/>
        <w:jc w:val="right"/>
        <w:rPr>
          <w:rFonts w:eastAsia="Times New Roman" w:cs="Times New Roman"/>
          <w:b/>
          <w:i/>
          <w:iCs/>
          <w:szCs w:val="24"/>
        </w:rPr>
      </w:pPr>
      <w:r w:rsidRPr="00FD1578">
        <w:rPr>
          <w:rFonts w:eastAsia="Times New Roman" w:cs="Times New Roman"/>
          <w:b/>
          <w:i/>
          <w:iCs/>
          <w:szCs w:val="24"/>
        </w:rPr>
        <w:t>2.14.</w:t>
      </w:r>
      <w:r w:rsidR="00E9088E" w:rsidRPr="00FD1578">
        <w:rPr>
          <w:rFonts w:eastAsia="Times New Roman" w:cs="Times New Roman"/>
          <w:b/>
          <w:i/>
          <w:iCs/>
          <w:szCs w:val="24"/>
        </w:rPr>
        <w:t xml:space="preserve"> tabula. Vispārējās valdības strukturālās bilances mērķi, balstoties uz ES izdevumu pieauguma nosacījumu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34"/>
        <w:gridCol w:w="963"/>
        <w:gridCol w:w="964"/>
        <w:gridCol w:w="964"/>
        <w:gridCol w:w="964"/>
        <w:gridCol w:w="964"/>
      </w:tblGrid>
      <w:tr w:rsidR="00E9088E" w:rsidRPr="00FD1578" w14:paraId="0522186D" w14:textId="77777777" w:rsidTr="00B77280">
        <w:trPr>
          <w:trHeight w:val="20"/>
          <w:tblHeader/>
          <w:jc w:val="center"/>
        </w:trPr>
        <w:tc>
          <w:tcPr>
            <w:tcW w:w="3114" w:type="dxa"/>
            <w:shd w:val="clear" w:color="auto" w:fill="BDD6EE" w:themeFill="accent1" w:themeFillTint="66"/>
            <w:noWrap/>
            <w:vAlign w:val="bottom"/>
            <w:hideMark/>
          </w:tcPr>
          <w:p w14:paraId="26ED89D9" w14:textId="77777777" w:rsidR="00E9088E" w:rsidRPr="00FD1578" w:rsidRDefault="00E9088E"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134" w:type="dxa"/>
            <w:shd w:val="clear" w:color="auto" w:fill="BDD6EE" w:themeFill="accent1" w:themeFillTint="66"/>
          </w:tcPr>
          <w:p w14:paraId="01CE1BF5" w14:textId="77777777" w:rsidR="00E9088E" w:rsidRPr="00FD1578" w:rsidRDefault="00E9088E" w:rsidP="008349F0">
            <w:pPr>
              <w:spacing w:before="60" w:after="0"/>
              <w:ind w:firstLine="0"/>
              <w:jc w:val="center"/>
              <w:rPr>
                <w:rFonts w:eastAsia="Times New Roman" w:cs="Times New Roman"/>
                <w:b/>
                <w:bCs/>
                <w:color w:val="000000"/>
                <w:sz w:val="18"/>
                <w:szCs w:val="18"/>
              </w:rPr>
            </w:pPr>
          </w:p>
        </w:tc>
        <w:tc>
          <w:tcPr>
            <w:tcW w:w="963" w:type="dxa"/>
            <w:shd w:val="clear" w:color="auto" w:fill="BDD6EE" w:themeFill="accent1" w:themeFillTint="66"/>
            <w:noWrap/>
            <w:vAlign w:val="center"/>
            <w:hideMark/>
          </w:tcPr>
          <w:p w14:paraId="5B1347FA"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2024</w:t>
            </w:r>
          </w:p>
        </w:tc>
        <w:tc>
          <w:tcPr>
            <w:tcW w:w="964" w:type="dxa"/>
            <w:shd w:val="clear" w:color="auto" w:fill="BDD6EE" w:themeFill="accent1" w:themeFillTint="66"/>
            <w:noWrap/>
            <w:vAlign w:val="center"/>
            <w:hideMark/>
          </w:tcPr>
          <w:p w14:paraId="0DBD2C56"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964" w:type="dxa"/>
            <w:shd w:val="clear" w:color="auto" w:fill="BDD6EE" w:themeFill="accent1" w:themeFillTint="66"/>
            <w:noWrap/>
            <w:vAlign w:val="center"/>
            <w:hideMark/>
          </w:tcPr>
          <w:p w14:paraId="2D5A9E42"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964" w:type="dxa"/>
            <w:shd w:val="clear" w:color="auto" w:fill="BDD6EE" w:themeFill="accent1" w:themeFillTint="66"/>
            <w:noWrap/>
            <w:vAlign w:val="center"/>
            <w:hideMark/>
          </w:tcPr>
          <w:p w14:paraId="08761A9A"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964" w:type="dxa"/>
            <w:shd w:val="clear" w:color="auto" w:fill="BDD6EE" w:themeFill="accent1" w:themeFillTint="66"/>
            <w:noWrap/>
            <w:vAlign w:val="center"/>
            <w:hideMark/>
          </w:tcPr>
          <w:p w14:paraId="35E74A81" w14:textId="77777777" w:rsidR="00E9088E" w:rsidRPr="00FD1578" w:rsidRDefault="00E9088E"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E9088E" w:rsidRPr="00FD1578" w14:paraId="503B6704" w14:textId="77777777" w:rsidTr="00F62287">
        <w:trPr>
          <w:trHeight w:val="20"/>
          <w:jc w:val="center"/>
        </w:trPr>
        <w:tc>
          <w:tcPr>
            <w:tcW w:w="3114" w:type="dxa"/>
            <w:shd w:val="clear" w:color="auto" w:fill="auto"/>
            <w:noWrap/>
            <w:vAlign w:val="center"/>
          </w:tcPr>
          <w:p w14:paraId="080FADBF" w14:textId="77777777" w:rsidR="00E9088E" w:rsidRPr="00FD1578" w:rsidRDefault="00E9088E"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Valsts finansēto neto primāro izdevumu (NNFPI) pieauguma likme, % </w:t>
            </w:r>
          </w:p>
        </w:tc>
        <w:tc>
          <w:tcPr>
            <w:tcW w:w="1134" w:type="dxa"/>
            <w:vAlign w:val="center"/>
          </w:tcPr>
          <w:p w14:paraId="5C8928F0" w14:textId="77777777" w:rsidR="00E9088E" w:rsidRPr="00FD1578" w:rsidRDefault="00E9088E"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w:t>
            </w:r>
          </w:p>
        </w:tc>
        <w:tc>
          <w:tcPr>
            <w:tcW w:w="963" w:type="dxa"/>
            <w:shd w:val="clear" w:color="auto" w:fill="auto"/>
            <w:noWrap/>
            <w:vAlign w:val="center"/>
          </w:tcPr>
          <w:p w14:paraId="14F47401" w14:textId="77777777" w:rsidR="00E9088E" w:rsidRPr="00FD1578" w:rsidRDefault="00E9088E" w:rsidP="008349F0">
            <w:pPr>
              <w:spacing w:before="60" w:after="0"/>
              <w:ind w:firstLine="0"/>
              <w:jc w:val="center"/>
              <w:rPr>
                <w:rFonts w:eastAsia="Times New Roman" w:cs="Times New Roman"/>
                <w:color w:val="000000"/>
                <w:sz w:val="18"/>
                <w:szCs w:val="18"/>
              </w:rPr>
            </w:pPr>
          </w:p>
        </w:tc>
        <w:tc>
          <w:tcPr>
            <w:tcW w:w="964" w:type="dxa"/>
            <w:shd w:val="clear" w:color="auto" w:fill="auto"/>
            <w:noWrap/>
            <w:vAlign w:val="center"/>
          </w:tcPr>
          <w:p w14:paraId="011304A9" w14:textId="324F9938" w:rsidR="00E9088E" w:rsidRPr="00BD2592" w:rsidRDefault="00E9088E" w:rsidP="008349F0">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5,902</w:t>
            </w:r>
          </w:p>
        </w:tc>
        <w:tc>
          <w:tcPr>
            <w:tcW w:w="964" w:type="dxa"/>
            <w:shd w:val="clear" w:color="auto" w:fill="FFFFFF" w:themeFill="background1"/>
            <w:noWrap/>
            <w:vAlign w:val="center"/>
          </w:tcPr>
          <w:p w14:paraId="51A68702" w14:textId="77777777" w:rsidR="00E9088E" w:rsidRPr="00BD2592" w:rsidRDefault="00E9088E" w:rsidP="008349F0">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3,645</w:t>
            </w:r>
          </w:p>
        </w:tc>
        <w:tc>
          <w:tcPr>
            <w:tcW w:w="964" w:type="dxa"/>
            <w:shd w:val="clear" w:color="auto" w:fill="FFFFFF" w:themeFill="background1"/>
            <w:noWrap/>
            <w:vAlign w:val="center"/>
          </w:tcPr>
          <w:p w14:paraId="7C9639BB" w14:textId="77777777" w:rsidR="00E9088E" w:rsidRPr="00BD2592" w:rsidRDefault="00E9088E" w:rsidP="008349F0">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3,363</w:t>
            </w:r>
          </w:p>
        </w:tc>
        <w:tc>
          <w:tcPr>
            <w:tcW w:w="964" w:type="dxa"/>
            <w:shd w:val="clear" w:color="auto" w:fill="FFFFFF" w:themeFill="background1"/>
            <w:noWrap/>
            <w:vAlign w:val="center"/>
          </w:tcPr>
          <w:p w14:paraId="2A31B6B7" w14:textId="2F643379" w:rsidR="00E9088E" w:rsidRPr="00F62287" w:rsidRDefault="00652D62" w:rsidP="004E6D90">
            <w:pPr>
              <w:spacing w:after="0"/>
              <w:ind w:firstLine="0"/>
              <w:jc w:val="center"/>
              <w:rPr>
                <w:rFonts w:cs="Times New Roman"/>
                <w:color w:val="000000"/>
                <w:sz w:val="18"/>
                <w:szCs w:val="18"/>
              </w:rPr>
            </w:pPr>
            <w:r w:rsidRPr="00F62287">
              <w:rPr>
                <w:rFonts w:cs="Times New Roman"/>
                <w:color w:val="000000"/>
                <w:sz w:val="18"/>
                <w:szCs w:val="18"/>
              </w:rPr>
              <w:t>3,326</w:t>
            </w:r>
          </w:p>
        </w:tc>
      </w:tr>
      <w:tr w:rsidR="00942EF7" w:rsidRPr="00FD1578" w14:paraId="3B9F3C96" w14:textId="77777777" w:rsidTr="00F62287">
        <w:trPr>
          <w:trHeight w:val="20"/>
          <w:jc w:val="center"/>
        </w:trPr>
        <w:tc>
          <w:tcPr>
            <w:tcW w:w="3114" w:type="dxa"/>
            <w:shd w:val="clear" w:color="auto" w:fill="auto"/>
            <w:noWrap/>
            <w:vAlign w:val="center"/>
          </w:tcPr>
          <w:p w14:paraId="11EBEACF" w14:textId="77777777" w:rsidR="00942EF7" w:rsidRPr="00FD1578" w:rsidRDefault="00942EF7" w:rsidP="00942EF7">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NNFPI līmenis,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229BBF53" w14:textId="77777777" w:rsidR="00942EF7" w:rsidRPr="00FD1578" w:rsidRDefault="00942EF7" w:rsidP="00942EF7">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(2)</w:t>
            </w:r>
          </w:p>
        </w:tc>
        <w:tc>
          <w:tcPr>
            <w:tcW w:w="963" w:type="dxa"/>
            <w:shd w:val="clear" w:color="auto" w:fill="auto"/>
            <w:noWrap/>
            <w:vAlign w:val="bottom"/>
          </w:tcPr>
          <w:p w14:paraId="4C078880" w14:textId="77777777" w:rsidR="00942EF7" w:rsidRPr="00F62287" w:rsidRDefault="00942EF7" w:rsidP="00942EF7">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17 263</w:t>
            </w:r>
          </w:p>
        </w:tc>
        <w:tc>
          <w:tcPr>
            <w:tcW w:w="964" w:type="dxa"/>
            <w:shd w:val="clear" w:color="auto" w:fill="auto"/>
            <w:noWrap/>
            <w:vAlign w:val="center"/>
          </w:tcPr>
          <w:p w14:paraId="580C7CED" w14:textId="07BA7143" w:rsidR="00942EF7" w:rsidRPr="00F62287" w:rsidRDefault="00BD2592" w:rsidP="00942EF7">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18 282</w:t>
            </w:r>
          </w:p>
        </w:tc>
        <w:tc>
          <w:tcPr>
            <w:tcW w:w="964" w:type="dxa"/>
            <w:shd w:val="clear" w:color="auto" w:fill="FFFFFF" w:themeFill="background1"/>
            <w:noWrap/>
            <w:vAlign w:val="center"/>
          </w:tcPr>
          <w:p w14:paraId="7221758C" w14:textId="1697DCE0" w:rsidR="00942EF7" w:rsidRPr="00F62287" w:rsidRDefault="00942EF7" w:rsidP="00942EF7">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18 700</w:t>
            </w:r>
          </w:p>
        </w:tc>
        <w:tc>
          <w:tcPr>
            <w:tcW w:w="964" w:type="dxa"/>
            <w:shd w:val="clear" w:color="auto" w:fill="FFFFFF" w:themeFill="background1"/>
            <w:noWrap/>
            <w:vAlign w:val="center"/>
          </w:tcPr>
          <w:p w14:paraId="08A779D1" w14:textId="5B01466E"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19 274</w:t>
            </w:r>
          </w:p>
        </w:tc>
        <w:tc>
          <w:tcPr>
            <w:tcW w:w="964" w:type="dxa"/>
            <w:shd w:val="clear" w:color="auto" w:fill="FFFFFF" w:themeFill="background1"/>
            <w:noWrap/>
            <w:vAlign w:val="center"/>
          </w:tcPr>
          <w:p w14:paraId="1BF90771" w14:textId="5AF7C79F"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19 871</w:t>
            </w:r>
          </w:p>
        </w:tc>
      </w:tr>
      <w:tr w:rsidR="00586424" w:rsidRPr="00FD1578" w14:paraId="096FBBB2" w14:textId="77777777" w:rsidTr="00F62287">
        <w:trPr>
          <w:trHeight w:val="20"/>
          <w:jc w:val="center"/>
        </w:trPr>
        <w:tc>
          <w:tcPr>
            <w:tcW w:w="3114" w:type="dxa"/>
            <w:shd w:val="clear" w:color="auto" w:fill="auto"/>
            <w:noWrap/>
            <w:vAlign w:val="center"/>
          </w:tcPr>
          <w:p w14:paraId="66E42BB8" w14:textId="77777777" w:rsidR="00586424" w:rsidRPr="00FD1578" w:rsidRDefault="00586424" w:rsidP="00586424">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lastRenderedPageBreak/>
              <w:t>Diskrecionārie</w:t>
            </w:r>
            <w:proofErr w:type="spellEnd"/>
            <w:r w:rsidRPr="00FD1578">
              <w:rPr>
                <w:rFonts w:eastAsia="Times New Roman" w:cs="Times New Roman"/>
                <w:color w:val="000000"/>
                <w:sz w:val="18"/>
                <w:szCs w:val="18"/>
              </w:rPr>
              <w:t xml:space="preserve"> ieņēmumu pasākumi (DRM)</w:t>
            </w:r>
          </w:p>
        </w:tc>
        <w:tc>
          <w:tcPr>
            <w:tcW w:w="1134" w:type="dxa"/>
            <w:vAlign w:val="center"/>
          </w:tcPr>
          <w:p w14:paraId="5A6E1AE4" w14:textId="77777777" w:rsidR="00586424" w:rsidRPr="00FD1578" w:rsidRDefault="00586424" w:rsidP="00586424">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(3)</w:t>
            </w:r>
          </w:p>
        </w:tc>
        <w:tc>
          <w:tcPr>
            <w:tcW w:w="963" w:type="dxa"/>
            <w:shd w:val="clear" w:color="auto" w:fill="auto"/>
            <w:noWrap/>
            <w:vAlign w:val="center"/>
          </w:tcPr>
          <w:p w14:paraId="4D0A8FFE" w14:textId="77777777" w:rsidR="00586424" w:rsidRPr="00FD1578" w:rsidRDefault="00586424" w:rsidP="00586424">
            <w:pPr>
              <w:spacing w:before="60" w:after="0"/>
              <w:ind w:firstLine="0"/>
              <w:jc w:val="center"/>
              <w:rPr>
                <w:rFonts w:eastAsia="Times New Roman" w:cs="Times New Roman"/>
                <w:color w:val="000000"/>
                <w:sz w:val="18"/>
                <w:szCs w:val="18"/>
                <w:highlight w:val="yellow"/>
              </w:rPr>
            </w:pPr>
            <w:r w:rsidRPr="00F62287">
              <w:rPr>
                <w:rFonts w:eastAsia="Times New Roman" w:cs="Times New Roman"/>
                <w:color w:val="000000"/>
                <w:sz w:val="18"/>
                <w:szCs w:val="18"/>
              </w:rPr>
              <w:t>354,30</w:t>
            </w:r>
          </w:p>
        </w:tc>
        <w:tc>
          <w:tcPr>
            <w:tcW w:w="964" w:type="dxa"/>
            <w:shd w:val="clear" w:color="auto" w:fill="auto"/>
            <w:noWrap/>
            <w:vAlign w:val="center"/>
          </w:tcPr>
          <w:p w14:paraId="2942E415" w14:textId="6EB1FA8C"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-16,5</w:t>
            </w:r>
          </w:p>
        </w:tc>
        <w:tc>
          <w:tcPr>
            <w:tcW w:w="964" w:type="dxa"/>
            <w:shd w:val="clear" w:color="auto" w:fill="FFFFFF" w:themeFill="background1"/>
            <w:noWrap/>
            <w:vAlign w:val="center"/>
          </w:tcPr>
          <w:p w14:paraId="0634C72F" w14:textId="3CE5BA41"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-53,6</w:t>
            </w:r>
          </w:p>
        </w:tc>
        <w:tc>
          <w:tcPr>
            <w:tcW w:w="964" w:type="dxa"/>
            <w:shd w:val="clear" w:color="auto" w:fill="FFFFFF" w:themeFill="background1"/>
            <w:noWrap/>
            <w:vAlign w:val="center"/>
          </w:tcPr>
          <w:p w14:paraId="31CA097A" w14:textId="542730F2"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-43,0</w:t>
            </w:r>
          </w:p>
        </w:tc>
        <w:tc>
          <w:tcPr>
            <w:tcW w:w="964" w:type="dxa"/>
            <w:shd w:val="clear" w:color="auto" w:fill="FFFFFF" w:themeFill="background1"/>
            <w:noWrap/>
            <w:vAlign w:val="center"/>
          </w:tcPr>
          <w:p w14:paraId="2EDA5806" w14:textId="7E8D8BE0"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-95,6</w:t>
            </w:r>
          </w:p>
        </w:tc>
      </w:tr>
      <w:tr w:rsidR="00942EF7" w:rsidRPr="00FD1578" w14:paraId="5F16B3AA" w14:textId="77777777" w:rsidTr="00F62287">
        <w:trPr>
          <w:trHeight w:val="20"/>
          <w:jc w:val="center"/>
        </w:trPr>
        <w:tc>
          <w:tcPr>
            <w:tcW w:w="3114" w:type="dxa"/>
            <w:shd w:val="clear" w:color="auto" w:fill="auto"/>
            <w:noWrap/>
            <w:vAlign w:val="center"/>
          </w:tcPr>
          <w:p w14:paraId="1E804327" w14:textId="77777777" w:rsidR="00942EF7" w:rsidRPr="00FD1578" w:rsidRDefault="00942EF7" w:rsidP="00942EF7">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NNFPI līmenis (ar DRM),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399CFE71" w14:textId="77777777" w:rsidR="00942EF7" w:rsidRPr="00FD1578" w:rsidRDefault="00942EF7" w:rsidP="00942EF7">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(4)=(2)+(3)</w:t>
            </w:r>
          </w:p>
        </w:tc>
        <w:tc>
          <w:tcPr>
            <w:tcW w:w="963" w:type="dxa"/>
            <w:shd w:val="clear" w:color="auto" w:fill="auto"/>
            <w:noWrap/>
            <w:vAlign w:val="center"/>
          </w:tcPr>
          <w:p w14:paraId="56DA15A2" w14:textId="77777777" w:rsidR="00942EF7" w:rsidRPr="00FD1578" w:rsidRDefault="00942EF7" w:rsidP="00942EF7">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077CC6DD" w14:textId="173C1A05" w:rsidR="00942EF7" w:rsidRPr="00F62287" w:rsidRDefault="00BD2592" w:rsidP="00942EF7">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18 265</w:t>
            </w:r>
          </w:p>
        </w:tc>
        <w:tc>
          <w:tcPr>
            <w:tcW w:w="964" w:type="dxa"/>
            <w:shd w:val="clear" w:color="auto" w:fill="FFFFFF" w:themeFill="background1"/>
            <w:noWrap/>
            <w:vAlign w:val="center"/>
          </w:tcPr>
          <w:p w14:paraId="58E5CC0C" w14:textId="5F1F11EE" w:rsidR="00942EF7" w:rsidRPr="00F62287" w:rsidRDefault="00942EF7" w:rsidP="00942EF7">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18 647*</w:t>
            </w:r>
          </w:p>
        </w:tc>
        <w:tc>
          <w:tcPr>
            <w:tcW w:w="964" w:type="dxa"/>
            <w:shd w:val="clear" w:color="auto" w:fill="FFFFFF" w:themeFill="background1"/>
            <w:noWrap/>
            <w:vAlign w:val="center"/>
          </w:tcPr>
          <w:p w14:paraId="02D1D84E" w14:textId="45FFB44C"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19 231</w:t>
            </w:r>
          </w:p>
        </w:tc>
        <w:tc>
          <w:tcPr>
            <w:tcW w:w="964" w:type="dxa"/>
            <w:shd w:val="clear" w:color="auto" w:fill="FFFFFF" w:themeFill="background1"/>
            <w:noWrap/>
            <w:vAlign w:val="center"/>
          </w:tcPr>
          <w:p w14:paraId="4763EA0C" w14:textId="7DB4A378"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19 775</w:t>
            </w:r>
          </w:p>
        </w:tc>
      </w:tr>
      <w:tr w:rsidR="00586424" w:rsidRPr="00FD1578" w14:paraId="4C714FD7" w14:textId="77777777" w:rsidTr="00F62287">
        <w:trPr>
          <w:trHeight w:val="20"/>
          <w:jc w:val="center"/>
        </w:trPr>
        <w:tc>
          <w:tcPr>
            <w:tcW w:w="3114" w:type="dxa"/>
            <w:shd w:val="clear" w:color="auto" w:fill="auto"/>
            <w:noWrap/>
            <w:vAlign w:val="center"/>
          </w:tcPr>
          <w:p w14:paraId="7142863F" w14:textId="77777777" w:rsidR="00586424" w:rsidRPr="00FD1578" w:rsidRDefault="00586424" w:rsidP="00586424">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procentu izdevumi, </w:t>
            </w:r>
          </w:p>
          <w:p w14:paraId="202518A6" w14:textId="77777777" w:rsidR="00586424" w:rsidRPr="00FD1578" w:rsidRDefault="00586424" w:rsidP="00586424">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milj. </w:t>
            </w:r>
            <w:proofErr w:type="spellStart"/>
            <w:r w:rsidRPr="00FD1578">
              <w:rPr>
                <w:rFonts w:eastAsia="Times New Roman" w:cs="Times New Roman"/>
                <w:i/>
                <w:iCs/>
                <w:color w:val="000000"/>
                <w:sz w:val="18"/>
                <w:szCs w:val="18"/>
              </w:rPr>
              <w:t>euro</w:t>
            </w:r>
            <w:proofErr w:type="spellEnd"/>
            <w:r w:rsidRPr="00FD1578">
              <w:rPr>
                <w:rFonts w:eastAsia="Times New Roman" w:cs="Times New Roman"/>
                <w:i/>
                <w:iCs/>
                <w:color w:val="000000"/>
                <w:sz w:val="18"/>
                <w:szCs w:val="18"/>
              </w:rPr>
              <w:t xml:space="preserve"> </w:t>
            </w:r>
          </w:p>
        </w:tc>
        <w:tc>
          <w:tcPr>
            <w:tcW w:w="1134" w:type="dxa"/>
            <w:vAlign w:val="center"/>
          </w:tcPr>
          <w:p w14:paraId="4A2F5239" w14:textId="77777777" w:rsidR="00586424" w:rsidRPr="00FD1578" w:rsidRDefault="00586424" w:rsidP="00586424">
            <w:pPr>
              <w:spacing w:before="60"/>
              <w:ind w:firstLine="0"/>
              <w:jc w:val="center"/>
              <w:rPr>
                <w:rFonts w:eastAsia="Times New Roman" w:cs="Times New Roman"/>
                <w:color w:val="000000"/>
                <w:sz w:val="18"/>
                <w:szCs w:val="18"/>
              </w:rPr>
            </w:pPr>
            <w:r w:rsidRPr="00FD1578">
              <w:rPr>
                <w:rFonts w:eastAsia="Times New Roman" w:cs="Times New Roman"/>
                <w:color w:val="000000"/>
                <w:sz w:val="18"/>
                <w:szCs w:val="18"/>
              </w:rPr>
              <w:t>(6)</w:t>
            </w:r>
          </w:p>
        </w:tc>
        <w:tc>
          <w:tcPr>
            <w:tcW w:w="963" w:type="dxa"/>
            <w:shd w:val="clear" w:color="auto" w:fill="auto"/>
            <w:noWrap/>
            <w:vAlign w:val="center"/>
          </w:tcPr>
          <w:p w14:paraId="14723E36" w14:textId="77777777" w:rsidR="00586424" w:rsidRPr="00FD1578" w:rsidRDefault="00586424" w:rsidP="00586424">
            <w:pPr>
              <w:spacing w:before="6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7DC94780" w14:textId="15F026F6" w:rsidR="00586424" w:rsidRPr="00F62287" w:rsidRDefault="00586424" w:rsidP="00586424">
            <w:pPr>
              <w:spacing w:before="60"/>
              <w:ind w:firstLine="0"/>
              <w:jc w:val="center"/>
              <w:rPr>
                <w:rFonts w:eastAsia="Times New Roman" w:cs="Times New Roman"/>
                <w:color w:val="000000"/>
                <w:sz w:val="18"/>
                <w:szCs w:val="18"/>
              </w:rPr>
            </w:pPr>
            <w:r w:rsidRPr="00BD2592">
              <w:rPr>
                <w:rFonts w:eastAsia="Times New Roman" w:cs="Times New Roman"/>
                <w:color w:val="000000"/>
                <w:sz w:val="18"/>
                <w:szCs w:val="18"/>
              </w:rPr>
              <w:t>541</w:t>
            </w:r>
          </w:p>
        </w:tc>
        <w:tc>
          <w:tcPr>
            <w:tcW w:w="964" w:type="dxa"/>
            <w:shd w:val="clear" w:color="auto" w:fill="FFFFFF" w:themeFill="background1"/>
            <w:noWrap/>
            <w:vAlign w:val="center"/>
          </w:tcPr>
          <w:p w14:paraId="2DC8E7F2" w14:textId="3913624A" w:rsidR="00586424" w:rsidRPr="00F62287" w:rsidRDefault="00586424" w:rsidP="00586424">
            <w:pPr>
              <w:spacing w:before="60"/>
              <w:ind w:firstLine="0"/>
              <w:jc w:val="center"/>
              <w:rPr>
                <w:rFonts w:eastAsia="Times New Roman" w:cs="Times New Roman"/>
                <w:color w:val="000000"/>
                <w:sz w:val="18"/>
                <w:szCs w:val="18"/>
              </w:rPr>
            </w:pPr>
            <w:r w:rsidRPr="00BD2592">
              <w:rPr>
                <w:rFonts w:eastAsia="Times New Roman" w:cs="Times New Roman"/>
                <w:color w:val="000000"/>
                <w:sz w:val="18"/>
                <w:szCs w:val="18"/>
              </w:rPr>
              <w:t>645</w:t>
            </w:r>
          </w:p>
        </w:tc>
        <w:tc>
          <w:tcPr>
            <w:tcW w:w="964" w:type="dxa"/>
            <w:shd w:val="clear" w:color="auto" w:fill="FFFFFF" w:themeFill="background1"/>
            <w:noWrap/>
            <w:vAlign w:val="center"/>
          </w:tcPr>
          <w:p w14:paraId="0F76FEDE" w14:textId="37AE9031" w:rsidR="00586424" w:rsidRPr="00F62287" w:rsidRDefault="00586424" w:rsidP="00586424">
            <w:pPr>
              <w:spacing w:before="60"/>
              <w:ind w:firstLine="0"/>
              <w:jc w:val="center"/>
              <w:rPr>
                <w:rFonts w:eastAsia="Times New Roman" w:cs="Times New Roman"/>
                <w:color w:val="000000"/>
                <w:sz w:val="18"/>
                <w:szCs w:val="18"/>
              </w:rPr>
            </w:pPr>
            <w:r w:rsidRPr="00BD2592">
              <w:rPr>
                <w:rFonts w:eastAsia="Times New Roman" w:cs="Times New Roman"/>
                <w:color w:val="000000"/>
                <w:sz w:val="18"/>
                <w:szCs w:val="18"/>
              </w:rPr>
              <w:t>721</w:t>
            </w:r>
          </w:p>
        </w:tc>
        <w:tc>
          <w:tcPr>
            <w:tcW w:w="964" w:type="dxa"/>
            <w:shd w:val="clear" w:color="auto" w:fill="FFFFFF" w:themeFill="background1"/>
            <w:noWrap/>
            <w:vAlign w:val="center"/>
          </w:tcPr>
          <w:p w14:paraId="631C36DB" w14:textId="3EDE8370" w:rsidR="00586424" w:rsidRPr="00F62287" w:rsidRDefault="00586424" w:rsidP="00586424">
            <w:pPr>
              <w:spacing w:before="60"/>
              <w:ind w:firstLine="0"/>
              <w:jc w:val="center"/>
              <w:rPr>
                <w:rFonts w:eastAsia="Times New Roman" w:cs="Times New Roman"/>
                <w:color w:val="000000"/>
                <w:sz w:val="18"/>
                <w:szCs w:val="18"/>
              </w:rPr>
            </w:pPr>
            <w:r w:rsidRPr="00BD2592">
              <w:rPr>
                <w:rFonts w:eastAsia="Times New Roman" w:cs="Times New Roman"/>
                <w:color w:val="000000"/>
                <w:sz w:val="18"/>
                <w:szCs w:val="18"/>
              </w:rPr>
              <w:t>772</w:t>
            </w:r>
          </w:p>
        </w:tc>
      </w:tr>
      <w:tr w:rsidR="00586424" w:rsidRPr="00FD1578" w14:paraId="24E61022" w14:textId="77777777" w:rsidTr="00F62287">
        <w:trPr>
          <w:trHeight w:val="20"/>
          <w:jc w:val="center"/>
        </w:trPr>
        <w:tc>
          <w:tcPr>
            <w:tcW w:w="3114" w:type="dxa"/>
            <w:shd w:val="clear" w:color="auto" w:fill="auto"/>
            <w:noWrap/>
            <w:vAlign w:val="center"/>
          </w:tcPr>
          <w:p w14:paraId="3210D49B" w14:textId="77777777" w:rsidR="00586424" w:rsidRPr="00FD1578" w:rsidRDefault="00586424" w:rsidP="00586424">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bezdarbnieka pabalstu izdevumu cikliskos elementi,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4AB90E8E" w14:textId="77777777" w:rsidR="00586424" w:rsidRPr="00FD1578" w:rsidRDefault="00586424" w:rsidP="00586424">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(7)</w:t>
            </w:r>
          </w:p>
        </w:tc>
        <w:tc>
          <w:tcPr>
            <w:tcW w:w="963" w:type="dxa"/>
            <w:shd w:val="clear" w:color="auto" w:fill="auto"/>
            <w:noWrap/>
            <w:vAlign w:val="center"/>
          </w:tcPr>
          <w:p w14:paraId="38704C08" w14:textId="77777777" w:rsidR="00586424" w:rsidRPr="00FD1578" w:rsidRDefault="00586424" w:rsidP="00586424">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47219EB4" w14:textId="79653F25"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8</w:t>
            </w:r>
          </w:p>
        </w:tc>
        <w:tc>
          <w:tcPr>
            <w:tcW w:w="964" w:type="dxa"/>
            <w:shd w:val="clear" w:color="auto" w:fill="FFFFFF" w:themeFill="background1"/>
            <w:noWrap/>
            <w:vAlign w:val="center"/>
          </w:tcPr>
          <w:p w14:paraId="6FD24A63" w14:textId="3C345804"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6</w:t>
            </w:r>
          </w:p>
        </w:tc>
        <w:tc>
          <w:tcPr>
            <w:tcW w:w="964" w:type="dxa"/>
            <w:shd w:val="clear" w:color="auto" w:fill="FFFFFF" w:themeFill="background1"/>
            <w:noWrap/>
            <w:vAlign w:val="center"/>
          </w:tcPr>
          <w:p w14:paraId="717CA07D" w14:textId="3F2168BF"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-6</w:t>
            </w:r>
          </w:p>
        </w:tc>
        <w:tc>
          <w:tcPr>
            <w:tcW w:w="964" w:type="dxa"/>
            <w:shd w:val="clear" w:color="auto" w:fill="FFFFFF" w:themeFill="background1"/>
            <w:noWrap/>
            <w:vAlign w:val="center"/>
          </w:tcPr>
          <w:p w14:paraId="5525C43C" w14:textId="7FBC3250"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-25</w:t>
            </w:r>
          </w:p>
        </w:tc>
      </w:tr>
      <w:tr w:rsidR="00586424" w:rsidRPr="00FD1578" w14:paraId="3AFA79CE" w14:textId="77777777" w:rsidTr="00F62287">
        <w:trPr>
          <w:trHeight w:val="20"/>
          <w:jc w:val="center"/>
        </w:trPr>
        <w:tc>
          <w:tcPr>
            <w:tcW w:w="3114" w:type="dxa"/>
            <w:shd w:val="clear" w:color="auto" w:fill="auto"/>
            <w:noWrap/>
            <w:vAlign w:val="center"/>
          </w:tcPr>
          <w:p w14:paraId="2905B621" w14:textId="77777777" w:rsidR="00586424" w:rsidRPr="00FD1578" w:rsidRDefault="00586424" w:rsidP="00586424">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izdevumi par ES programmām, kas pilnībā atbilst ES fondu ieņēmumiem,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5B28D84B" w14:textId="77777777" w:rsidR="00586424" w:rsidRPr="00FD1578" w:rsidRDefault="00586424" w:rsidP="00586424">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(8)</w:t>
            </w:r>
          </w:p>
        </w:tc>
        <w:tc>
          <w:tcPr>
            <w:tcW w:w="963" w:type="dxa"/>
            <w:shd w:val="clear" w:color="auto" w:fill="auto"/>
            <w:noWrap/>
            <w:vAlign w:val="center"/>
          </w:tcPr>
          <w:p w14:paraId="48FE99F3" w14:textId="77777777" w:rsidR="00586424" w:rsidRPr="00FD1578" w:rsidRDefault="00586424" w:rsidP="00586424">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6A64DDE9" w14:textId="71E3197A"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970</w:t>
            </w:r>
          </w:p>
        </w:tc>
        <w:tc>
          <w:tcPr>
            <w:tcW w:w="964" w:type="dxa"/>
            <w:shd w:val="clear" w:color="auto" w:fill="FFFFFF" w:themeFill="background1"/>
            <w:noWrap/>
            <w:vAlign w:val="center"/>
          </w:tcPr>
          <w:p w14:paraId="3AA21D4B" w14:textId="3055453F"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884</w:t>
            </w:r>
          </w:p>
        </w:tc>
        <w:tc>
          <w:tcPr>
            <w:tcW w:w="964" w:type="dxa"/>
            <w:shd w:val="clear" w:color="auto" w:fill="FFFFFF" w:themeFill="background1"/>
            <w:noWrap/>
            <w:vAlign w:val="center"/>
          </w:tcPr>
          <w:p w14:paraId="784AA46E" w14:textId="524E5954"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623</w:t>
            </w:r>
          </w:p>
        </w:tc>
        <w:tc>
          <w:tcPr>
            <w:tcW w:w="964" w:type="dxa"/>
            <w:shd w:val="clear" w:color="auto" w:fill="FFFFFF" w:themeFill="background1"/>
            <w:noWrap/>
            <w:vAlign w:val="center"/>
          </w:tcPr>
          <w:p w14:paraId="6292F629" w14:textId="22C5C462"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494</w:t>
            </w:r>
          </w:p>
        </w:tc>
      </w:tr>
      <w:tr w:rsidR="00586424" w:rsidRPr="00FD1578" w14:paraId="31E60038" w14:textId="77777777" w:rsidTr="00F62287">
        <w:trPr>
          <w:trHeight w:val="20"/>
          <w:jc w:val="center"/>
        </w:trPr>
        <w:tc>
          <w:tcPr>
            <w:tcW w:w="3114" w:type="dxa"/>
            <w:shd w:val="clear" w:color="auto" w:fill="auto"/>
            <w:noWrap/>
            <w:vAlign w:val="center"/>
          </w:tcPr>
          <w:p w14:paraId="361FB7CB" w14:textId="77777777" w:rsidR="00586424" w:rsidRPr="00FD1578" w:rsidRDefault="00586424" w:rsidP="00586424">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valsts izdevumi par ES finansēto programmu līdzfinansēšanu,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79DAA60F" w14:textId="77777777" w:rsidR="00586424" w:rsidRPr="00FD1578" w:rsidRDefault="00586424" w:rsidP="00586424">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(9)</w:t>
            </w:r>
          </w:p>
        </w:tc>
        <w:tc>
          <w:tcPr>
            <w:tcW w:w="963" w:type="dxa"/>
            <w:shd w:val="clear" w:color="auto" w:fill="auto"/>
            <w:noWrap/>
            <w:vAlign w:val="center"/>
          </w:tcPr>
          <w:p w14:paraId="542179F2" w14:textId="77777777" w:rsidR="00586424" w:rsidRPr="00FD1578" w:rsidRDefault="00586424" w:rsidP="00586424">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2350135B" w14:textId="180BA76A"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193</w:t>
            </w:r>
          </w:p>
        </w:tc>
        <w:tc>
          <w:tcPr>
            <w:tcW w:w="964" w:type="dxa"/>
            <w:shd w:val="clear" w:color="auto" w:fill="FFFFFF" w:themeFill="background1"/>
            <w:noWrap/>
            <w:vAlign w:val="center"/>
          </w:tcPr>
          <w:p w14:paraId="520346C0" w14:textId="12224FBF"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156</w:t>
            </w:r>
          </w:p>
        </w:tc>
        <w:tc>
          <w:tcPr>
            <w:tcW w:w="964" w:type="dxa"/>
            <w:shd w:val="clear" w:color="auto" w:fill="FFFFFF" w:themeFill="background1"/>
            <w:noWrap/>
            <w:vAlign w:val="center"/>
          </w:tcPr>
          <w:p w14:paraId="62BE1288" w14:textId="495A1BBE"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132</w:t>
            </w:r>
          </w:p>
        </w:tc>
        <w:tc>
          <w:tcPr>
            <w:tcW w:w="964" w:type="dxa"/>
            <w:shd w:val="clear" w:color="auto" w:fill="FFFFFF" w:themeFill="background1"/>
            <w:noWrap/>
            <w:vAlign w:val="center"/>
          </w:tcPr>
          <w:p w14:paraId="30D9E2FE" w14:textId="20E71B32" w:rsidR="00586424" w:rsidRPr="00F62287" w:rsidRDefault="00586424" w:rsidP="00586424">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108</w:t>
            </w:r>
          </w:p>
        </w:tc>
      </w:tr>
      <w:tr w:rsidR="00E9088E" w:rsidRPr="00FD1578" w14:paraId="6165050B" w14:textId="77777777" w:rsidTr="00F62287">
        <w:trPr>
          <w:trHeight w:val="20"/>
          <w:jc w:val="center"/>
        </w:trPr>
        <w:tc>
          <w:tcPr>
            <w:tcW w:w="3114" w:type="dxa"/>
            <w:shd w:val="clear" w:color="auto" w:fill="auto"/>
            <w:noWrap/>
            <w:vAlign w:val="center"/>
          </w:tcPr>
          <w:p w14:paraId="5FA324EE" w14:textId="77777777" w:rsidR="00E9088E" w:rsidRPr="00FD1578" w:rsidRDefault="00E9088E"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kopējie izdevumi,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10CCAE55" w14:textId="77777777" w:rsidR="00E9088E" w:rsidRPr="00FD1578" w:rsidRDefault="00E9088E"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(10)=(4)+(6)+(7)+(8)+(9)</w:t>
            </w:r>
          </w:p>
        </w:tc>
        <w:tc>
          <w:tcPr>
            <w:tcW w:w="963" w:type="dxa"/>
            <w:shd w:val="clear" w:color="auto" w:fill="auto"/>
            <w:noWrap/>
            <w:vAlign w:val="center"/>
          </w:tcPr>
          <w:p w14:paraId="1748ADA0" w14:textId="77777777" w:rsidR="00E9088E" w:rsidRPr="00FD1578" w:rsidRDefault="00E9088E"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5A39962F" w14:textId="5D0B1877" w:rsidR="00E9088E" w:rsidRPr="00F62287" w:rsidRDefault="00BD2592"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19 978</w:t>
            </w:r>
          </w:p>
        </w:tc>
        <w:tc>
          <w:tcPr>
            <w:tcW w:w="964" w:type="dxa"/>
            <w:shd w:val="clear" w:color="auto" w:fill="FFFFFF" w:themeFill="background1"/>
            <w:noWrap/>
            <w:vAlign w:val="center"/>
          </w:tcPr>
          <w:p w14:paraId="6E4378B7" w14:textId="0DB67C21" w:rsidR="00E9088E" w:rsidRPr="00F62287" w:rsidRDefault="00FA3108" w:rsidP="008349F0">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20 338</w:t>
            </w:r>
          </w:p>
        </w:tc>
        <w:tc>
          <w:tcPr>
            <w:tcW w:w="964" w:type="dxa"/>
            <w:shd w:val="clear" w:color="auto" w:fill="FFFFFF" w:themeFill="background1"/>
            <w:noWrap/>
            <w:vAlign w:val="center"/>
          </w:tcPr>
          <w:p w14:paraId="2D7AF70C" w14:textId="2CC4AADF" w:rsidR="00E9088E" w:rsidRPr="00F62287" w:rsidRDefault="00942EF7" w:rsidP="008349F0">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20 701</w:t>
            </w:r>
          </w:p>
        </w:tc>
        <w:tc>
          <w:tcPr>
            <w:tcW w:w="964" w:type="dxa"/>
            <w:shd w:val="clear" w:color="auto" w:fill="FFFFFF" w:themeFill="background1"/>
            <w:noWrap/>
            <w:vAlign w:val="center"/>
          </w:tcPr>
          <w:p w14:paraId="616456DB" w14:textId="0FDBFF49" w:rsidR="00E9088E" w:rsidRPr="00F62287" w:rsidRDefault="00942EF7" w:rsidP="008349F0">
            <w:pPr>
              <w:spacing w:before="60" w:after="0"/>
              <w:ind w:firstLine="0"/>
              <w:jc w:val="center"/>
              <w:rPr>
                <w:rFonts w:eastAsia="Times New Roman" w:cs="Times New Roman"/>
                <w:color w:val="000000"/>
                <w:sz w:val="18"/>
                <w:szCs w:val="18"/>
              </w:rPr>
            </w:pPr>
            <w:r w:rsidRPr="00BD2592">
              <w:rPr>
                <w:rFonts w:eastAsia="Times New Roman" w:cs="Times New Roman"/>
                <w:color w:val="000000"/>
                <w:sz w:val="18"/>
                <w:szCs w:val="18"/>
              </w:rPr>
              <w:t>21 124</w:t>
            </w:r>
          </w:p>
        </w:tc>
      </w:tr>
      <w:tr w:rsidR="00942EF7" w:rsidRPr="00FD1578" w14:paraId="0731FF32" w14:textId="77777777" w:rsidTr="00F62287">
        <w:trPr>
          <w:trHeight w:val="20"/>
          <w:jc w:val="center"/>
        </w:trPr>
        <w:tc>
          <w:tcPr>
            <w:tcW w:w="3114" w:type="dxa"/>
            <w:shd w:val="clear" w:color="auto" w:fill="auto"/>
            <w:noWrap/>
            <w:vAlign w:val="center"/>
          </w:tcPr>
          <w:p w14:paraId="7B7F7001" w14:textId="77777777" w:rsidR="00942EF7" w:rsidRPr="00FD1578" w:rsidRDefault="00942EF7" w:rsidP="00942EF7">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kopējie ieņēmumi,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62F8BD9D" w14:textId="77777777" w:rsidR="00942EF7" w:rsidRPr="00FD1578" w:rsidRDefault="00942EF7" w:rsidP="00942EF7">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(11)</w:t>
            </w:r>
          </w:p>
        </w:tc>
        <w:tc>
          <w:tcPr>
            <w:tcW w:w="963" w:type="dxa"/>
            <w:shd w:val="clear" w:color="auto" w:fill="auto"/>
            <w:noWrap/>
            <w:vAlign w:val="center"/>
          </w:tcPr>
          <w:p w14:paraId="7B8F158F" w14:textId="77777777" w:rsidR="00942EF7" w:rsidRPr="00FD1578" w:rsidRDefault="00942EF7" w:rsidP="00942EF7">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3B3B13DF" w14:textId="05DD57EF"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18 428</w:t>
            </w:r>
          </w:p>
        </w:tc>
        <w:tc>
          <w:tcPr>
            <w:tcW w:w="964" w:type="dxa"/>
            <w:shd w:val="clear" w:color="auto" w:fill="FFFFFF" w:themeFill="background1"/>
            <w:noWrap/>
            <w:vAlign w:val="center"/>
          </w:tcPr>
          <w:p w14:paraId="647634D7" w14:textId="17831915"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19 050</w:t>
            </w:r>
          </w:p>
        </w:tc>
        <w:tc>
          <w:tcPr>
            <w:tcW w:w="964" w:type="dxa"/>
            <w:shd w:val="clear" w:color="auto" w:fill="FFFFFF" w:themeFill="background1"/>
            <w:noWrap/>
            <w:vAlign w:val="center"/>
          </w:tcPr>
          <w:p w14:paraId="25D60C5A" w14:textId="1B660962"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19 451</w:t>
            </w:r>
          </w:p>
        </w:tc>
        <w:tc>
          <w:tcPr>
            <w:tcW w:w="964" w:type="dxa"/>
            <w:shd w:val="clear" w:color="auto" w:fill="FFFFFF" w:themeFill="background1"/>
            <w:noWrap/>
            <w:vAlign w:val="center"/>
          </w:tcPr>
          <w:p w14:paraId="1FA48FEB" w14:textId="3482A468"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19 969</w:t>
            </w:r>
          </w:p>
        </w:tc>
      </w:tr>
      <w:tr w:rsidR="00942EF7" w:rsidRPr="00FD1578" w14:paraId="4882D5EE" w14:textId="77777777" w:rsidTr="00F62287">
        <w:trPr>
          <w:trHeight w:val="20"/>
          <w:jc w:val="center"/>
        </w:trPr>
        <w:tc>
          <w:tcPr>
            <w:tcW w:w="3114" w:type="dxa"/>
            <w:shd w:val="clear" w:color="auto" w:fill="auto"/>
            <w:noWrap/>
            <w:vAlign w:val="center"/>
          </w:tcPr>
          <w:p w14:paraId="2417C5F5" w14:textId="77777777" w:rsidR="00942EF7" w:rsidRPr="00FD1578" w:rsidRDefault="00942EF7" w:rsidP="00942EF7">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vispārējās valdības budžeta bilance,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3F120299" w14:textId="77777777" w:rsidR="00942EF7" w:rsidRPr="00FD1578" w:rsidRDefault="00942EF7" w:rsidP="00942EF7">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(12)=(11)-(10)</w:t>
            </w:r>
          </w:p>
        </w:tc>
        <w:tc>
          <w:tcPr>
            <w:tcW w:w="963" w:type="dxa"/>
            <w:shd w:val="clear" w:color="auto" w:fill="auto"/>
            <w:noWrap/>
            <w:vAlign w:val="center"/>
          </w:tcPr>
          <w:p w14:paraId="30FA8312" w14:textId="77777777" w:rsidR="00942EF7" w:rsidRPr="00FD1578" w:rsidRDefault="00942EF7" w:rsidP="00942EF7">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15831B10" w14:textId="12E9FF47" w:rsidR="00942EF7" w:rsidRPr="00F62287" w:rsidRDefault="00942EF7" w:rsidP="00942EF7">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w:t>
            </w:r>
            <w:r w:rsidR="00BD2592" w:rsidRPr="00F62287">
              <w:rPr>
                <w:rFonts w:eastAsia="Times New Roman" w:cs="Times New Roman"/>
                <w:color w:val="000000"/>
                <w:sz w:val="18"/>
                <w:szCs w:val="18"/>
              </w:rPr>
              <w:t>1 549,9</w:t>
            </w:r>
          </w:p>
        </w:tc>
        <w:tc>
          <w:tcPr>
            <w:tcW w:w="964" w:type="dxa"/>
            <w:shd w:val="clear" w:color="auto" w:fill="FFFFFF" w:themeFill="background1"/>
            <w:noWrap/>
            <w:vAlign w:val="center"/>
          </w:tcPr>
          <w:p w14:paraId="61B20043" w14:textId="35F303EF"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w:t>
            </w:r>
            <w:r w:rsidR="00BD2592" w:rsidRPr="00F62287">
              <w:rPr>
                <w:rFonts w:cs="Times New Roman"/>
                <w:sz w:val="18"/>
                <w:szCs w:val="18"/>
              </w:rPr>
              <w:t xml:space="preserve"> </w:t>
            </w:r>
            <w:r w:rsidRPr="00F62287">
              <w:rPr>
                <w:rFonts w:cs="Times New Roman"/>
                <w:sz w:val="18"/>
                <w:szCs w:val="18"/>
              </w:rPr>
              <w:t>287,6</w:t>
            </w:r>
          </w:p>
        </w:tc>
        <w:tc>
          <w:tcPr>
            <w:tcW w:w="964" w:type="dxa"/>
            <w:shd w:val="clear" w:color="auto" w:fill="FFFFFF" w:themeFill="background1"/>
            <w:noWrap/>
            <w:vAlign w:val="center"/>
          </w:tcPr>
          <w:p w14:paraId="04C1072D" w14:textId="46EACA0E"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w:t>
            </w:r>
            <w:r w:rsidR="00BD2592" w:rsidRPr="00F62287">
              <w:rPr>
                <w:rFonts w:cs="Times New Roman"/>
                <w:sz w:val="18"/>
                <w:szCs w:val="18"/>
              </w:rPr>
              <w:t xml:space="preserve"> </w:t>
            </w:r>
            <w:r w:rsidRPr="00F62287">
              <w:rPr>
                <w:rFonts w:cs="Times New Roman"/>
                <w:sz w:val="18"/>
                <w:szCs w:val="18"/>
              </w:rPr>
              <w:t>249,5</w:t>
            </w:r>
          </w:p>
        </w:tc>
        <w:tc>
          <w:tcPr>
            <w:tcW w:w="964" w:type="dxa"/>
            <w:shd w:val="clear" w:color="auto" w:fill="FFFFFF" w:themeFill="background1"/>
            <w:noWrap/>
            <w:vAlign w:val="center"/>
          </w:tcPr>
          <w:p w14:paraId="7C3CEDFC" w14:textId="385659F2"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-1</w:t>
            </w:r>
            <w:r w:rsidR="00BD2592" w:rsidRPr="00F62287">
              <w:rPr>
                <w:rFonts w:cs="Times New Roman"/>
                <w:sz w:val="18"/>
                <w:szCs w:val="18"/>
              </w:rPr>
              <w:t xml:space="preserve"> </w:t>
            </w:r>
            <w:r w:rsidRPr="00F62287">
              <w:rPr>
                <w:rFonts w:cs="Times New Roman"/>
                <w:sz w:val="18"/>
                <w:szCs w:val="18"/>
              </w:rPr>
              <w:t>155,2</w:t>
            </w:r>
          </w:p>
        </w:tc>
      </w:tr>
      <w:tr w:rsidR="00E9088E" w:rsidRPr="00FD1578" w14:paraId="4853E992" w14:textId="77777777" w:rsidTr="00F62287">
        <w:trPr>
          <w:trHeight w:val="20"/>
          <w:jc w:val="center"/>
        </w:trPr>
        <w:tc>
          <w:tcPr>
            <w:tcW w:w="3114" w:type="dxa"/>
            <w:shd w:val="clear" w:color="auto" w:fill="auto"/>
            <w:noWrap/>
            <w:vAlign w:val="center"/>
          </w:tcPr>
          <w:p w14:paraId="5E55EF30" w14:textId="77777777" w:rsidR="00E9088E" w:rsidRPr="00FD1578" w:rsidRDefault="00E9088E"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IKP prognoze, milj. </w:t>
            </w:r>
            <w:proofErr w:type="spellStart"/>
            <w:r w:rsidRPr="00FD1578">
              <w:rPr>
                <w:rFonts w:eastAsia="Times New Roman" w:cs="Times New Roman"/>
                <w:i/>
                <w:iCs/>
                <w:color w:val="000000"/>
                <w:sz w:val="18"/>
                <w:szCs w:val="18"/>
              </w:rPr>
              <w:t>euro</w:t>
            </w:r>
            <w:proofErr w:type="spellEnd"/>
          </w:p>
        </w:tc>
        <w:tc>
          <w:tcPr>
            <w:tcW w:w="1134" w:type="dxa"/>
            <w:vAlign w:val="center"/>
          </w:tcPr>
          <w:p w14:paraId="21C5FB93" w14:textId="77777777" w:rsidR="00E9088E" w:rsidRPr="00FD1578" w:rsidRDefault="00E9088E"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(13)</w:t>
            </w:r>
          </w:p>
        </w:tc>
        <w:tc>
          <w:tcPr>
            <w:tcW w:w="963" w:type="dxa"/>
            <w:shd w:val="clear" w:color="auto" w:fill="auto"/>
            <w:noWrap/>
            <w:vAlign w:val="center"/>
          </w:tcPr>
          <w:p w14:paraId="435108E6" w14:textId="77777777" w:rsidR="00E9088E" w:rsidRPr="00FD1578" w:rsidRDefault="00E9088E"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16CF38DF" w14:textId="77777777" w:rsidR="00E9088E" w:rsidRPr="00F62287" w:rsidRDefault="00E9088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44 379</w:t>
            </w:r>
          </w:p>
        </w:tc>
        <w:tc>
          <w:tcPr>
            <w:tcW w:w="964" w:type="dxa"/>
            <w:shd w:val="clear" w:color="auto" w:fill="FFFFFF" w:themeFill="background1"/>
            <w:noWrap/>
            <w:vAlign w:val="center"/>
          </w:tcPr>
          <w:p w14:paraId="26C58A45" w14:textId="77777777" w:rsidR="00E9088E" w:rsidRPr="00F62287" w:rsidRDefault="00E9088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46 836</w:t>
            </w:r>
          </w:p>
        </w:tc>
        <w:tc>
          <w:tcPr>
            <w:tcW w:w="964" w:type="dxa"/>
            <w:shd w:val="clear" w:color="auto" w:fill="FFFFFF" w:themeFill="background1"/>
            <w:noWrap/>
            <w:vAlign w:val="center"/>
          </w:tcPr>
          <w:p w14:paraId="035648F2" w14:textId="77777777" w:rsidR="00E9088E" w:rsidRPr="00F62287" w:rsidRDefault="00E9088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49 349</w:t>
            </w:r>
          </w:p>
        </w:tc>
        <w:tc>
          <w:tcPr>
            <w:tcW w:w="964" w:type="dxa"/>
            <w:shd w:val="clear" w:color="auto" w:fill="FFFFFF" w:themeFill="background1"/>
            <w:noWrap/>
            <w:vAlign w:val="center"/>
          </w:tcPr>
          <w:p w14:paraId="20391128" w14:textId="77777777" w:rsidR="00E9088E" w:rsidRPr="00F62287" w:rsidRDefault="00E9088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51 851</w:t>
            </w:r>
          </w:p>
        </w:tc>
      </w:tr>
      <w:tr w:rsidR="00942EF7" w:rsidRPr="00FD1578" w14:paraId="5FD0462D" w14:textId="77777777" w:rsidTr="00F62287">
        <w:trPr>
          <w:trHeight w:val="20"/>
          <w:jc w:val="center"/>
        </w:trPr>
        <w:tc>
          <w:tcPr>
            <w:tcW w:w="3114" w:type="dxa"/>
            <w:shd w:val="clear" w:color="auto" w:fill="auto"/>
            <w:noWrap/>
            <w:vAlign w:val="center"/>
          </w:tcPr>
          <w:p w14:paraId="56346F2A" w14:textId="77777777" w:rsidR="00942EF7" w:rsidRPr="00FD1578" w:rsidRDefault="00942EF7" w:rsidP="00942EF7">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vispārējās valdības budžeta bilance, % no IKP</w:t>
            </w:r>
          </w:p>
        </w:tc>
        <w:tc>
          <w:tcPr>
            <w:tcW w:w="1134" w:type="dxa"/>
            <w:vAlign w:val="center"/>
          </w:tcPr>
          <w:p w14:paraId="34997207" w14:textId="77777777" w:rsidR="00942EF7" w:rsidRPr="00FD1578" w:rsidRDefault="00942EF7" w:rsidP="00942EF7">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(14)=(12)/(13)*100</w:t>
            </w:r>
          </w:p>
        </w:tc>
        <w:tc>
          <w:tcPr>
            <w:tcW w:w="963" w:type="dxa"/>
            <w:shd w:val="clear" w:color="auto" w:fill="auto"/>
            <w:noWrap/>
            <w:vAlign w:val="center"/>
          </w:tcPr>
          <w:p w14:paraId="7DB8533A" w14:textId="77777777" w:rsidR="00942EF7" w:rsidRPr="00FD1578" w:rsidRDefault="00942EF7" w:rsidP="00942EF7">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235DCC5C" w14:textId="63C5711A" w:rsidR="00942EF7" w:rsidRPr="00F62287" w:rsidRDefault="00942EF7" w:rsidP="00942EF7">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-3,</w:t>
            </w:r>
            <w:r w:rsidR="00BD2592" w:rsidRPr="00F62287">
              <w:rPr>
                <w:rFonts w:eastAsia="Times New Roman" w:cs="Times New Roman"/>
                <w:color w:val="000000"/>
                <w:sz w:val="18"/>
                <w:szCs w:val="18"/>
              </w:rPr>
              <w:t>492</w:t>
            </w:r>
          </w:p>
        </w:tc>
        <w:tc>
          <w:tcPr>
            <w:tcW w:w="964" w:type="dxa"/>
            <w:shd w:val="clear" w:color="auto" w:fill="FFFFFF" w:themeFill="background1"/>
            <w:noWrap/>
            <w:vAlign w:val="center"/>
          </w:tcPr>
          <w:p w14:paraId="6075BBAA" w14:textId="2890EAA2"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-2,749</w:t>
            </w:r>
          </w:p>
        </w:tc>
        <w:tc>
          <w:tcPr>
            <w:tcW w:w="964" w:type="dxa"/>
            <w:shd w:val="clear" w:color="auto" w:fill="FFFFFF" w:themeFill="background1"/>
            <w:noWrap/>
            <w:vAlign w:val="center"/>
          </w:tcPr>
          <w:p w14:paraId="1FAD4539" w14:textId="5A8609D0"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-2,532</w:t>
            </w:r>
          </w:p>
        </w:tc>
        <w:tc>
          <w:tcPr>
            <w:tcW w:w="964" w:type="dxa"/>
            <w:shd w:val="clear" w:color="auto" w:fill="FFFFFF" w:themeFill="background1"/>
            <w:noWrap/>
            <w:vAlign w:val="center"/>
          </w:tcPr>
          <w:p w14:paraId="554554BA" w14:textId="63335CE8" w:rsidR="00942EF7" w:rsidRPr="00F62287" w:rsidRDefault="00942EF7" w:rsidP="00942EF7">
            <w:pPr>
              <w:spacing w:before="60" w:after="0"/>
              <w:ind w:firstLine="0"/>
              <w:jc w:val="center"/>
              <w:rPr>
                <w:rFonts w:eastAsia="Times New Roman" w:cs="Times New Roman"/>
                <w:color w:val="000000"/>
                <w:sz w:val="18"/>
                <w:szCs w:val="18"/>
              </w:rPr>
            </w:pPr>
            <w:r w:rsidRPr="00F62287">
              <w:rPr>
                <w:rFonts w:cs="Times New Roman"/>
                <w:sz w:val="18"/>
                <w:szCs w:val="18"/>
              </w:rPr>
              <w:t>-2,228</w:t>
            </w:r>
          </w:p>
        </w:tc>
      </w:tr>
      <w:tr w:rsidR="00E9088E" w:rsidRPr="00FD1578" w14:paraId="16CDC18D" w14:textId="77777777" w:rsidTr="00F62287">
        <w:trPr>
          <w:trHeight w:val="20"/>
          <w:jc w:val="center"/>
        </w:trPr>
        <w:tc>
          <w:tcPr>
            <w:tcW w:w="3114" w:type="dxa"/>
            <w:shd w:val="clear" w:color="auto" w:fill="auto"/>
            <w:noWrap/>
            <w:vAlign w:val="center"/>
          </w:tcPr>
          <w:p w14:paraId="542107AF" w14:textId="77777777" w:rsidR="00E9088E" w:rsidRPr="00FD1578" w:rsidRDefault="00E9088E" w:rsidP="008349F0">
            <w:pPr>
              <w:spacing w:before="60" w:after="0"/>
              <w:ind w:firstLine="0"/>
              <w:jc w:val="left"/>
              <w:rPr>
                <w:rFonts w:eastAsia="Times New Roman" w:cs="Times New Roman"/>
                <w:color w:val="000000"/>
                <w:sz w:val="18"/>
                <w:szCs w:val="18"/>
              </w:rPr>
            </w:pPr>
            <w:r w:rsidRPr="00FD1578">
              <w:rPr>
                <w:rFonts w:eastAsia="Times New Roman" w:cs="Times New Roman"/>
                <w:color w:val="000000"/>
                <w:sz w:val="18"/>
                <w:szCs w:val="18"/>
              </w:rPr>
              <w:t>bilances cikliskā komponente, % no IKP</w:t>
            </w:r>
          </w:p>
        </w:tc>
        <w:tc>
          <w:tcPr>
            <w:tcW w:w="1134" w:type="dxa"/>
            <w:vAlign w:val="center"/>
          </w:tcPr>
          <w:p w14:paraId="1230AE87" w14:textId="77777777" w:rsidR="00E9088E" w:rsidRPr="00FD1578" w:rsidRDefault="00E9088E"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(15)</w:t>
            </w:r>
          </w:p>
        </w:tc>
        <w:tc>
          <w:tcPr>
            <w:tcW w:w="963" w:type="dxa"/>
            <w:shd w:val="clear" w:color="auto" w:fill="auto"/>
            <w:noWrap/>
            <w:vAlign w:val="center"/>
          </w:tcPr>
          <w:p w14:paraId="70A41E5F" w14:textId="77777777" w:rsidR="00E9088E" w:rsidRPr="00FD1578" w:rsidRDefault="00E9088E" w:rsidP="008349F0">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632E1E97" w14:textId="77777777" w:rsidR="00E9088E" w:rsidRPr="00F62287" w:rsidRDefault="00E9088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-0,43</w:t>
            </w:r>
          </w:p>
        </w:tc>
        <w:tc>
          <w:tcPr>
            <w:tcW w:w="964" w:type="dxa"/>
            <w:shd w:val="clear" w:color="auto" w:fill="auto"/>
            <w:noWrap/>
            <w:vAlign w:val="center"/>
          </w:tcPr>
          <w:p w14:paraId="7B587F43" w14:textId="77777777" w:rsidR="00E9088E" w:rsidRPr="00F62287" w:rsidRDefault="00E9088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-0,22</w:t>
            </w:r>
          </w:p>
        </w:tc>
        <w:tc>
          <w:tcPr>
            <w:tcW w:w="964" w:type="dxa"/>
            <w:shd w:val="clear" w:color="auto" w:fill="auto"/>
            <w:noWrap/>
            <w:vAlign w:val="center"/>
          </w:tcPr>
          <w:p w14:paraId="0D172993" w14:textId="77777777" w:rsidR="00E9088E" w:rsidRPr="00F62287" w:rsidRDefault="00E9088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-0,08</w:t>
            </w:r>
          </w:p>
        </w:tc>
        <w:tc>
          <w:tcPr>
            <w:tcW w:w="964" w:type="dxa"/>
            <w:shd w:val="clear" w:color="auto" w:fill="auto"/>
            <w:noWrap/>
            <w:vAlign w:val="center"/>
          </w:tcPr>
          <w:p w14:paraId="4CA2A62C" w14:textId="77777777" w:rsidR="00E9088E" w:rsidRPr="00F62287" w:rsidRDefault="00E9088E" w:rsidP="008349F0">
            <w:pPr>
              <w:spacing w:before="60" w:after="0"/>
              <w:ind w:firstLine="0"/>
              <w:jc w:val="center"/>
              <w:rPr>
                <w:rFonts w:eastAsia="Times New Roman" w:cs="Times New Roman"/>
                <w:color w:val="000000"/>
                <w:sz w:val="18"/>
                <w:szCs w:val="18"/>
              </w:rPr>
            </w:pPr>
            <w:r w:rsidRPr="00F62287">
              <w:rPr>
                <w:rFonts w:eastAsia="Times New Roman" w:cs="Times New Roman"/>
                <w:color w:val="000000"/>
                <w:sz w:val="18"/>
                <w:szCs w:val="18"/>
              </w:rPr>
              <w:t>0,00</w:t>
            </w:r>
          </w:p>
        </w:tc>
      </w:tr>
      <w:tr w:rsidR="00586424" w:rsidRPr="00FD1578" w14:paraId="4CFE158C" w14:textId="77777777" w:rsidTr="00F62287">
        <w:trPr>
          <w:trHeight w:val="20"/>
          <w:jc w:val="center"/>
        </w:trPr>
        <w:tc>
          <w:tcPr>
            <w:tcW w:w="3114" w:type="dxa"/>
            <w:shd w:val="clear" w:color="auto" w:fill="auto"/>
            <w:noWrap/>
            <w:vAlign w:val="center"/>
          </w:tcPr>
          <w:p w14:paraId="6E86F059" w14:textId="77777777" w:rsidR="00586424" w:rsidRPr="00FD1578" w:rsidRDefault="00586424" w:rsidP="00586424">
            <w:pPr>
              <w:spacing w:before="60"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one-off</w:t>
            </w:r>
            <w:proofErr w:type="spellEnd"/>
            <w:r w:rsidRPr="00FD1578">
              <w:rPr>
                <w:rFonts w:eastAsia="Times New Roman" w:cs="Times New Roman"/>
                <w:color w:val="000000"/>
                <w:sz w:val="18"/>
                <w:szCs w:val="18"/>
              </w:rPr>
              <w:t xml:space="preserve"> un citi īslaicīgie pasākumi, % no IKP</w:t>
            </w:r>
          </w:p>
        </w:tc>
        <w:tc>
          <w:tcPr>
            <w:tcW w:w="1134" w:type="dxa"/>
            <w:vAlign w:val="center"/>
          </w:tcPr>
          <w:p w14:paraId="49BF7407" w14:textId="77777777" w:rsidR="00586424" w:rsidRPr="00FD1578" w:rsidRDefault="00586424" w:rsidP="00586424">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(16)</w:t>
            </w:r>
          </w:p>
        </w:tc>
        <w:tc>
          <w:tcPr>
            <w:tcW w:w="963" w:type="dxa"/>
            <w:shd w:val="clear" w:color="auto" w:fill="auto"/>
            <w:noWrap/>
            <w:vAlign w:val="center"/>
          </w:tcPr>
          <w:p w14:paraId="50D30762" w14:textId="77777777" w:rsidR="00586424" w:rsidRPr="00FD1578" w:rsidRDefault="00586424" w:rsidP="00586424">
            <w:pPr>
              <w:spacing w:before="60" w:after="0"/>
              <w:ind w:firstLine="0"/>
              <w:jc w:val="center"/>
              <w:rPr>
                <w:rFonts w:eastAsia="Times New Roman" w:cs="Times New Roman"/>
                <w:color w:val="000000"/>
                <w:sz w:val="18"/>
                <w:szCs w:val="18"/>
                <w:highlight w:val="yellow"/>
              </w:rPr>
            </w:pPr>
          </w:p>
        </w:tc>
        <w:tc>
          <w:tcPr>
            <w:tcW w:w="964" w:type="dxa"/>
            <w:shd w:val="clear" w:color="auto" w:fill="auto"/>
            <w:noWrap/>
            <w:vAlign w:val="center"/>
          </w:tcPr>
          <w:p w14:paraId="4ACF2872" w14:textId="44802325" w:rsidR="00586424" w:rsidRPr="00F62287" w:rsidRDefault="00586424" w:rsidP="00586424">
            <w:pPr>
              <w:spacing w:before="60" w:after="0"/>
              <w:ind w:firstLine="0"/>
              <w:jc w:val="center"/>
              <w:rPr>
                <w:rFonts w:eastAsia="Times New Roman" w:cs="Times New Roman"/>
                <w:color w:val="000000"/>
                <w:sz w:val="18"/>
                <w:szCs w:val="18"/>
              </w:rPr>
            </w:pPr>
            <w:r w:rsidRPr="00F62287">
              <w:rPr>
                <w:rFonts w:cs="Times New Roman"/>
                <w:sz w:val="18"/>
                <w:szCs w:val="18"/>
              </w:rPr>
              <w:t>-1,7</w:t>
            </w:r>
          </w:p>
        </w:tc>
        <w:tc>
          <w:tcPr>
            <w:tcW w:w="964" w:type="dxa"/>
            <w:shd w:val="clear" w:color="auto" w:fill="FFFFFF" w:themeFill="background1"/>
            <w:noWrap/>
            <w:vAlign w:val="center"/>
          </w:tcPr>
          <w:p w14:paraId="084F8232" w14:textId="02D12DBE" w:rsidR="00586424" w:rsidRPr="00F62287" w:rsidRDefault="00586424" w:rsidP="00586424">
            <w:pPr>
              <w:spacing w:before="60" w:after="0"/>
              <w:ind w:firstLine="0"/>
              <w:jc w:val="center"/>
              <w:rPr>
                <w:rFonts w:eastAsia="Times New Roman" w:cs="Times New Roman"/>
                <w:color w:val="000000"/>
                <w:sz w:val="18"/>
                <w:szCs w:val="18"/>
              </w:rPr>
            </w:pPr>
            <w:r w:rsidRPr="00F62287">
              <w:rPr>
                <w:rFonts w:cs="Times New Roman"/>
                <w:sz w:val="18"/>
                <w:szCs w:val="18"/>
              </w:rPr>
              <w:t>-1,8</w:t>
            </w:r>
          </w:p>
        </w:tc>
        <w:tc>
          <w:tcPr>
            <w:tcW w:w="964" w:type="dxa"/>
            <w:shd w:val="clear" w:color="auto" w:fill="FFFFFF" w:themeFill="background1"/>
            <w:noWrap/>
            <w:vAlign w:val="center"/>
          </w:tcPr>
          <w:p w14:paraId="6D427767" w14:textId="2DD489B2" w:rsidR="00586424" w:rsidRPr="00F62287" w:rsidRDefault="00586424" w:rsidP="00586424">
            <w:pPr>
              <w:spacing w:before="60" w:after="0"/>
              <w:ind w:firstLine="0"/>
              <w:jc w:val="center"/>
              <w:rPr>
                <w:rFonts w:eastAsia="Times New Roman" w:cs="Times New Roman"/>
                <w:color w:val="000000"/>
                <w:sz w:val="18"/>
                <w:szCs w:val="18"/>
              </w:rPr>
            </w:pPr>
            <w:r w:rsidRPr="00F62287">
              <w:rPr>
                <w:rFonts w:cs="Times New Roman"/>
                <w:sz w:val="18"/>
                <w:szCs w:val="18"/>
              </w:rPr>
              <w:t>-1,7</w:t>
            </w:r>
          </w:p>
        </w:tc>
        <w:tc>
          <w:tcPr>
            <w:tcW w:w="964" w:type="dxa"/>
            <w:shd w:val="clear" w:color="auto" w:fill="FFFFFF" w:themeFill="background1"/>
            <w:noWrap/>
            <w:vAlign w:val="center"/>
          </w:tcPr>
          <w:p w14:paraId="29EB8FF3" w14:textId="4DB349EE" w:rsidR="00586424" w:rsidRPr="00F62287" w:rsidRDefault="00586424" w:rsidP="00586424">
            <w:pPr>
              <w:spacing w:before="60" w:after="0"/>
              <w:ind w:firstLine="0"/>
              <w:jc w:val="center"/>
              <w:rPr>
                <w:rFonts w:eastAsia="Times New Roman" w:cs="Times New Roman"/>
                <w:color w:val="000000"/>
                <w:sz w:val="18"/>
                <w:szCs w:val="18"/>
              </w:rPr>
            </w:pPr>
            <w:r w:rsidRPr="00F62287">
              <w:rPr>
                <w:rFonts w:cs="Times New Roman"/>
                <w:sz w:val="18"/>
                <w:szCs w:val="18"/>
              </w:rPr>
              <w:t>-1,3</w:t>
            </w:r>
          </w:p>
        </w:tc>
      </w:tr>
      <w:tr w:rsidR="00942EF7" w:rsidRPr="00FD1578" w14:paraId="2DFFFF31" w14:textId="77777777" w:rsidTr="00F62287">
        <w:trPr>
          <w:trHeight w:val="20"/>
          <w:jc w:val="center"/>
        </w:trPr>
        <w:tc>
          <w:tcPr>
            <w:tcW w:w="3114" w:type="dxa"/>
            <w:shd w:val="clear" w:color="auto" w:fill="BDD6EE" w:themeFill="accent1" w:themeFillTint="66"/>
            <w:noWrap/>
            <w:vAlign w:val="center"/>
          </w:tcPr>
          <w:p w14:paraId="4A8D8582" w14:textId="77777777" w:rsidR="00942EF7" w:rsidRPr="00FD1578" w:rsidRDefault="00942EF7" w:rsidP="00942EF7">
            <w:pPr>
              <w:spacing w:before="60"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Vispārējās valdības strukturālās bilances mērķi, % no IKP</w:t>
            </w:r>
          </w:p>
        </w:tc>
        <w:tc>
          <w:tcPr>
            <w:tcW w:w="1134" w:type="dxa"/>
            <w:shd w:val="clear" w:color="auto" w:fill="BDD6EE" w:themeFill="accent1" w:themeFillTint="66"/>
            <w:vAlign w:val="center"/>
          </w:tcPr>
          <w:p w14:paraId="3247AA6A" w14:textId="77777777" w:rsidR="00942EF7" w:rsidRPr="00FD1578" w:rsidRDefault="00942EF7" w:rsidP="00942EF7">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(17)=(14)-(15)-(16)</w:t>
            </w:r>
          </w:p>
        </w:tc>
        <w:tc>
          <w:tcPr>
            <w:tcW w:w="963" w:type="dxa"/>
            <w:shd w:val="clear" w:color="auto" w:fill="BDD6EE" w:themeFill="accent1" w:themeFillTint="66"/>
            <w:noWrap/>
            <w:vAlign w:val="center"/>
          </w:tcPr>
          <w:p w14:paraId="0261645A" w14:textId="77777777" w:rsidR="00942EF7" w:rsidRPr="00FD1578" w:rsidRDefault="00942EF7" w:rsidP="00942EF7">
            <w:pPr>
              <w:spacing w:before="60" w:after="0"/>
              <w:ind w:firstLine="0"/>
              <w:jc w:val="center"/>
              <w:rPr>
                <w:rFonts w:eastAsia="Times New Roman" w:cs="Times New Roman"/>
                <w:b/>
                <w:bCs/>
                <w:color w:val="000000"/>
                <w:sz w:val="18"/>
                <w:szCs w:val="18"/>
                <w:highlight w:val="yellow"/>
              </w:rPr>
            </w:pPr>
          </w:p>
        </w:tc>
        <w:tc>
          <w:tcPr>
            <w:tcW w:w="964" w:type="dxa"/>
            <w:shd w:val="clear" w:color="auto" w:fill="BDD6EE" w:themeFill="accent1" w:themeFillTint="66"/>
            <w:noWrap/>
            <w:vAlign w:val="center"/>
          </w:tcPr>
          <w:p w14:paraId="6D537AE1" w14:textId="72281F40" w:rsidR="00942EF7" w:rsidRPr="00F62287" w:rsidRDefault="00942EF7" w:rsidP="00942EF7">
            <w:pPr>
              <w:spacing w:before="60" w:after="0"/>
              <w:ind w:firstLine="0"/>
              <w:jc w:val="center"/>
              <w:rPr>
                <w:rFonts w:eastAsia="Times New Roman" w:cs="Times New Roman"/>
                <w:b/>
                <w:bCs/>
                <w:color w:val="000000"/>
                <w:sz w:val="18"/>
                <w:szCs w:val="18"/>
              </w:rPr>
            </w:pPr>
            <w:r w:rsidRPr="00F62287">
              <w:rPr>
                <w:rFonts w:eastAsia="Times New Roman" w:cs="Times New Roman"/>
                <w:b/>
                <w:bCs/>
                <w:color w:val="000000"/>
                <w:sz w:val="18"/>
                <w:szCs w:val="18"/>
              </w:rPr>
              <w:t>-1,</w:t>
            </w:r>
            <w:r w:rsidR="00BD2592" w:rsidRPr="00F62287">
              <w:rPr>
                <w:rFonts w:eastAsia="Times New Roman" w:cs="Times New Roman"/>
                <w:b/>
                <w:bCs/>
                <w:color w:val="000000"/>
                <w:sz w:val="18"/>
                <w:szCs w:val="18"/>
              </w:rPr>
              <w:t>318</w:t>
            </w:r>
          </w:p>
        </w:tc>
        <w:tc>
          <w:tcPr>
            <w:tcW w:w="964" w:type="dxa"/>
            <w:shd w:val="clear" w:color="auto" w:fill="BDD6EE" w:themeFill="accent1" w:themeFillTint="66"/>
            <w:noWrap/>
            <w:vAlign w:val="center"/>
          </w:tcPr>
          <w:p w14:paraId="369DEDB2" w14:textId="0843DAC1" w:rsidR="00942EF7" w:rsidRPr="00F62287" w:rsidRDefault="00942EF7" w:rsidP="00942EF7">
            <w:pPr>
              <w:spacing w:before="60" w:after="0"/>
              <w:ind w:firstLine="0"/>
              <w:jc w:val="center"/>
              <w:rPr>
                <w:rFonts w:eastAsia="Times New Roman" w:cs="Times New Roman"/>
                <w:b/>
                <w:bCs/>
                <w:color w:val="000000"/>
                <w:sz w:val="18"/>
                <w:szCs w:val="18"/>
              </w:rPr>
            </w:pPr>
            <w:r w:rsidRPr="00F62287">
              <w:rPr>
                <w:rFonts w:cs="Times New Roman"/>
                <w:b/>
                <w:bCs/>
                <w:sz w:val="18"/>
                <w:szCs w:val="18"/>
              </w:rPr>
              <w:t>-0,749</w:t>
            </w:r>
          </w:p>
        </w:tc>
        <w:tc>
          <w:tcPr>
            <w:tcW w:w="964" w:type="dxa"/>
            <w:shd w:val="clear" w:color="auto" w:fill="BDD6EE" w:themeFill="accent1" w:themeFillTint="66"/>
            <w:noWrap/>
            <w:vAlign w:val="center"/>
          </w:tcPr>
          <w:p w14:paraId="63B49C0E" w14:textId="2E2BE55F" w:rsidR="00942EF7" w:rsidRPr="00F62287" w:rsidRDefault="00942EF7" w:rsidP="00942EF7">
            <w:pPr>
              <w:spacing w:before="60" w:after="0"/>
              <w:ind w:firstLine="0"/>
              <w:jc w:val="center"/>
              <w:rPr>
                <w:rFonts w:eastAsia="Times New Roman" w:cs="Times New Roman"/>
                <w:b/>
                <w:bCs/>
                <w:color w:val="000000"/>
                <w:sz w:val="18"/>
                <w:szCs w:val="18"/>
              </w:rPr>
            </w:pPr>
            <w:r w:rsidRPr="00F62287">
              <w:rPr>
                <w:rFonts w:cs="Times New Roman"/>
                <w:b/>
                <w:bCs/>
                <w:sz w:val="18"/>
                <w:szCs w:val="18"/>
              </w:rPr>
              <w:t>-0,792</w:t>
            </w:r>
          </w:p>
        </w:tc>
        <w:tc>
          <w:tcPr>
            <w:tcW w:w="964" w:type="dxa"/>
            <w:shd w:val="clear" w:color="auto" w:fill="BDD6EE" w:themeFill="accent1" w:themeFillTint="66"/>
            <w:noWrap/>
            <w:vAlign w:val="center"/>
          </w:tcPr>
          <w:p w14:paraId="22D3AF7C" w14:textId="650B3D62" w:rsidR="00942EF7" w:rsidRPr="00F62287" w:rsidRDefault="00942EF7" w:rsidP="00942EF7">
            <w:pPr>
              <w:spacing w:before="60" w:after="0"/>
              <w:ind w:firstLine="0"/>
              <w:jc w:val="center"/>
              <w:rPr>
                <w:rFonts w:eastAsia="Times New Roman" w:cs="Times New Roman"/>
                <w:b/>
                <w:bCs/>
                <w:color w:val="000000"/>
                <w:sz w:val="18"/>
                <w:szCs w:val="18"/>
              </w:rPr>
            </w:pPr>
            <w:r w:rsidRPr="00F62287">
              <w:rPr>
                <w:rFonts w:cs="Times New Roman"/>
                <w:b/>
                <w:bCs/>
                <w:sz w:val="18"/>
                <w:szCs w:val="18"/>
              </w:rPr>
              <w:t>-0,932</w:t>
            </w:r>
          </w:p>
        </w:tc>
      </w:tr>
    </w:tbl>
    <w:p w14:paraId="50EDB7CB" w14:textId="0CD33BAC" w:rsidR="00E9088E" w:rsidRDefault="00FA3108" w:rsidP="00FA3108">
      <w:pPr>
        <w:spacing w:after="0"/>
        <w:rPr>
          <w:szCs w:val="20"/>
        </w:rPr>
      </w:pPr>
      <w:r w:rsidRPr="00FA3108">
        <w:rPr>
          <w:szCs w:val="20"/>
        </w:rPr>
        <w:t>*</w:t>
      </w:r>
      <w:r>
        <w:rPr>
          <w:szCs w:val="20"/>
        </w:rPr>
        <w:t xml:space="preserve"> - NNFPI līmenis 2026. gadā tiek noteikts, ņemot vērā dominējošo nosacījumu 2025. gadā – ES strukturālās primārās bilances nosacījumu, t.i. NNFPI izdevumu pieaugums 202</w:t>
      </w:r>
      <w:r w:rsidR="00BD2592">
        <w:rPr>
          <w:szCs w:val="20"/>
        </w:rPr>
        <w:t>5</w:t>
      </w:r>
      <w:r>
        <w:rPr>
          <w:szCs w:val="20"/>
        </w:rPr>
        <w:t>. gadā tiek noteikts tādā apjomā, lai ievērotu stingrāko nosacījumu</w:t>
      </w:r>
      <w:r w:rsidR="00BD2592">
        <w:rPr>
          <w:szCs w:val="20"/>
        </w:rPr>
        <w:t>.</w:t>
      </w:r>
    </w:p>
    <w:p w14:paraId="1F80A724" w14:textId="77777777" w:rsidR="00BD2592" w:rsidRPr="00FA3108" w:rsidRDefault="00BD2592" w:rsidP="00FA3108">
      <w:pPr>
        <w:spacing w:after="0"/>
        <w:rPr>
          <w:szCs w:val="20"/>
        </w:rPr>
      </w:pPr>
    </w:p>
    <w:p w14:paraId="4AB0BB0A" w14:textId="6D3E58EA" w:rsidR="00E9088E" w:rsidRPr="00FD1578" w:rsidRDefault="00BD2592" w:rsidP="008349F0">
      <w:pPr>
        <w:rPr>
          <w:rFonts w:cs="Times New Roman"/>
          <w:szCs w:val="24"/>
        </w:rPr>
      </w:pPr>
      <w:r>
        <w:rPr>
          <w:rFonts w:cs="Times New Roman"/>
          <w:szCs w:val="24"/>
        </w:rPr>
        <w:t xml:space="preserve">Ņemot vērā tehniskā dialoga rezultātus un visus apstiprinātos politikas pasākumus, </w:t>
      </w:r>
      <w:r w:rsidR="00E9088E" w:rsidRPr="00FD1578">
        <w:rPr>
          <w:rFonts w:cs="Times New Roman"/>
          <w:szCs w:val="24"/>
        </w:rPr>
        <w:t xml:space="preserve"> domin</w:t>
      </w:r>
      <w:r w:rsidR="00CA1C27" w:rsidRPr="00FD1578">
        <w:rPr>
          <w:rFonts w:cs="Times New Roman"/>
          <w:szCs w:val="24"/>
        </w:rPr>
        <w:t>ē</w:t>
      </w:r>
      <w:r w:rsidR="00E9088E" w:rsidRPr="00FD1578">
        <w:rPr>
          <w:rFonts w:cs="Times New Roman"/>
          <w:szCs w:val="24"/>
        </w:rPr>
        <w:t>j</w:t>
      </w:r>
      <w:r w:rsidR="00CA1C27" w:rsidRPr="00FD1578">
        <w:rPr>
          <w:rFonts w:cs="Times New Roman"/>
          <w:szCs w:val="24"/>
        </w:rPr>
        <w:t>o</w:t>
      </w:r>
      <w:r w:rsidR="00E9088E" w:rsidRPr="00FD1578">
        <w:rPr>
          <w:rFonts w:cs="Times New Roman"/>
          <w:szCs w:val="24"/>
        </w:rPr>
        <w:t>šais fiskālais nosacījums</w:t>
      </w:r>
      <w:r>
        <w:rPr>
          <w:rFonts w:cs="Times New Roman"/>
          <w:szCs w:val="24"/>
        </w:rPr>
        <w:t xml:space="preserve"> 2025. gadā ir ES strukturālās primārās bilances nosacījums, savukārt 2026. – 2028. gadā</w:t>
      </w:r>
      <w:r w:rsidR="00E9088E" w:rsidRPr="00FD1578">
        <w:rPr>
          <w:rFonts w:cs="Times New Roman"/>
          <w:szCs w:val="24"/>
        </w:rPr>
        <w:t xml:space="preserve"> </w:t>
      </w:r>
      <w:r>
        <w:rPr>
          <w:rFonts w:cs="Times New Roman"/>
          <w:szCs w:val="24"/>
        </w:rPr>
        <w:t>strukturālās bilances mērķis tiek noteikts atbilstoši</w:t>
      </w:r>
      <w:r w:rsidR="00E9088E" w:rsidRPr="00FD1578">
        <w:rPr>
          <w:rFonts w:cs="Times New Roman"/>
          <w:szCs w:val="24"/>
        </w:rPr>
        <w:t xml:space="preserve"> ir </w:t>
      </w:r>
      <w:r w:rsidR="00CA1C27" w:rsidRPr="00FD1578">
        <w:rPr>
          <w:rFonts w:cs="Times New Roman"/>
          <w:szCs w:val="24"/>
        </w:rPr>
        <w:t xml:space="preserve">ES </w:t>
      </w:r>
      <w:r w:rsidR="00E9088E" w:rsidRPr="00FD1578">
        <w:rPr>
          <w:rFonts w:cs="Times New Roman"/>
          <w:szCs w:val="24"/>
        </w:rPr>
        <w:t xml:space="preserve">izdevumu pieauguma </w:t>
      </w:r>
      <w:r w:rsidRPr="00FD1578">
        <w:rPr>
          <w:rFonts w:cs="Times New Roman"/>
          <w:szCs w:val="24"/>
        </w:rPr>
        <w:t>nosacījum</w:t>
      </w:r>
      <w:r>
        <w:rPr>
          <w:rFonts w:cs="Times New Roman"/>
          <w:szCs w:val="24"/>
        </w:rPr>
        <w:t>am</w:t>
      </w:r>
      <w:r w:rsidR="00E9088E" w:rsidRPr="00FD1578">
        <w:rPr>
          <w:rFonts w:cs="Times New Roman"/>
          <w:szCs w:val="24"/>
        </w:rPr>
        <w:t>.</w:t>
      </w:r>
    </w:p>
    <w:p w14:paraId="790455BB" w14:textId="4BD38F25" w:rsidR="00E9088E" w:rsidRPr="00FD1578" w:rsidRDefault="00CA1C27" w:rsidP="008349F0">
      <w:pPr>
        <w:jc w:val="right"/>
        <w:rPr>
          <w:rFonts w:cs="Times New Roman"/>
          <w:b/>
          <w:bCs/>
          <w:i/>
          <w:iCs/>
          <w:szCs w:val="24"/>
        </w:rPr>
      </w:pPr>
      <w:r w:rsidRPr="00FD1578">
        <w:rPr>
          <w:rFonts w:cs="Times New Roman"/>
          <w:b/>
          <w:bCs/>
          <w:i/>
          <w:iCs/>
          <w:szCs w:val="24"/>
        </w:rPr>
        <w:t>2.15.</w:t>
      </w:r>
      <w:r w:rsidR="00E9088E" w:rsidRPr="00FD1578">
        <w:rPr>
          <w:rFonts w:cs="Times New Roman"/>
          <w:b/>
          <w:bCs/>
          <w:i/>
          <w:iCs/>
          <w:szCs w:val="24"/>
        </w:rPr>
        <w:t xml:space="preserve"> tabula. Dominējošais fiskālais nosacījums</w:t>
      </w:r>
    </w:p>
    <w:tbl>
      <w:tblPr>
        <w:tblW w:w="7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6"/>
        <w:gridCol w:w="1109"/>
        <w:gridCol w:w="1275"/>
        <w:gridCol w:w="961"/>
        <w:gridCol w:w="927"/>
      </w:tblGrid>
      <w:tr w:rsidR="00CA1C27" w:rsidRPr="00FD1578" w14:paraId="6D90FA3A" w14:textId="77777777" w:rsidTr="00710443">
        <w:trPr>
          <w:trHeight w:val="20"/>
          <w:tblHeader/>
          <w:jc w:val="center"/>
        </w:trPr>
        <w:tc>
          <w:tcPr>
            <w:tcW w:w="3346" w:type="dxa"/>
            <w:shd w:val="clear" w:color="auto" w:fill="BDD6EE" w:themeFill="accent1" w:themeFillTint="66"/>
            <w:vAlign w:val="bottom"/>
            <w:hideMark/>
          </w:tcPr>
          <w:p w14:paraId="262986FA" w14:textId="77777777" w:rsidR="00CA1C27" w:rsidRPr="00FD1578" w:rsidRDefault="00CA1C27" w:rsidP="008349F0">
            <w:pPr>
              <w:spacing w:before="60" w:after="0"/>
              <w:ind w:firstLine="0"/>
              <w:jc w:val="left"/>
              <w:rPr>
                <w:rFonts w:eastAsia="Times New Roman" w:cs="Times New Roman"/>
                <w:color w:val="000000"/>
                <w:sz w:val="18"/>
                <w:szCs w:val="18"/>
              </w:rPr>
            </w:pPr>
          </w:p>
        </w:tc>
        <w:tc>
          <w:tcPr>
            <w:tcW w:w="1109" w:type="dxa"/>
            <w:shd w:val="clear" w:color="auto" w:fill="BDD6EE" w:themeFill="accent1" w:themeFillTint="66"/>
            <w:noWrap/>
            <w:vAlign w:val="center"/>
            <w:hideMark/>
          </w:tcPr>
          <w:p w14:paraId="222BFDEA" w14:textId="77777777" w:rsidR="00CA1C27" w:rsidRPr="00FD1578" w:rsidRDefault="00CA1C2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1275" w:type="dxa"/>
            <w:shd w:val="clear" w:color="auto" w:fill="BDD6EE" w:themeFill="accent1" w:themeFillTint="66"/>
            <w:noWrap/>
            <w:vAlign w:val="center"/>
            <w:hideMark/>
          </w:tcPr>
          <w:p w14:paraId="0CB8C35E" w14:textId="77777777" w:rsidR="00CA1C27" w:rsidRPr="00FD1578" w:rsidRDefault="00CA1C2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c>
          <w:tcPr>
            <w:tcW w:w="961" w:type="dxa"/>
            <w:shd w:val="clear" w:color="auto" w:fill="BDD6EE" w:themeFill="accent1" w:themeFillTint="66"/>
            <w:vAlign w:val="center"/>
          </w:tcPr>
          <w:p w14:paraId="272B99F5" w14:textId="77777777" w:rsidR="00CA1C27" w:rsidRPr="00FD1578" w:rsidRDefault="00CA1C2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c>
          <w:tcPr>
            <w:tcW w:w="927" w:type="dxa"/>
            <w:shd w:val="clear" w:color="auto" w:fill="BDD6EE" w:themeFill="accent1" w:themeFillTint="66"/>
            <w:vAlign w:val="center"/>
          </w:tcPr>
          <w:p w14:paraId="4EBE174E" w14:textId="77777777" w:rsidR="00CA1C27" w:rsidRPr="00FD1578" w:rsidRDefault="00CA1C27" w:rsidP="008349F0">
            <w:pPr>
              <w:spacing w:before="60"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2028</w:t>
            </w:r>
          </w:p>
        </w:tc>
      </w:tr>
      <w:tr w:rsidR="00CA1C27" w:rsidRPr="00FD1578" w14:paraId="29430C9E" w14:textId="77777777" w:rsidTr="00710443">
        <w:trPr>
          <w:trHeight w:val="20"/>
          <w:jc w:val="center"/>
        </w:trPr>
        <w:tc>
          <w:tcPr>
            <w:tcW w:w="3346" w:type="dxa"/>
            <w:shd w:val="clear" w:color="auto" w:fill="auto"/>
            <w:vAlign w:val="bottom"/>
          </w:tcPr>
          <w:p w14:paraId="6DDC7CAD" w14:textId="77777777" w:rsidR="00CA1C27" w:rsidRPr="00FD1578" w:rsidRDefault="00CA1C27" w:rsidP="008349F0">
            <w:pPr>
              <w:spacing w:before="60" w:after="0"/>
              <w:ind w:firstLine="0"/>
              <w:jc w:val="left"/>
              <w:rPr>
                <w:rFonts w:eastAsia="Times New Roman" w:cs="Times New Roman"/>
                <w:color w:val="000000"/>
                <w:sz w:val="18"/>
                <w:szCs w:val="18"/>
              </w:rPr>
            </w:pPr>
            <w:r w:rsidRPr="00FD1578">
              <w:rPr>
                <w:rFonts w:cs="Times New Roman"/>
                <w:sz w:val="18"/>
                <w:szCs w:val="18"/>
              </w:rPr>
              <w:t>FDL strukturālās bilances nosacījums</w:t>
            </w:r>
          </w:p>
        </w:tc>
        <w:tc>
          <w:tcPr>
            <w:tcW w:w="1109" w:type="dxa"/>
            <w:shd w:val="clear" w:color="auto" w:fill="auto"/>
            <w:noWrap/>
            <w:vAlign w:val="center"/>
          </w:tcPr>
          <w:p w14:paraId="3EA7F18F" w14:textId="77777777" w:rsidR="00CA1C27" w:rsidRPr="00FD1578" w:rsidRDefault="00CA1C27" w:rsidP="008349F0">
            <w:pPr>
              <w:spacing w:before="60" w:after="0"/>
              <w:ind w:firstLine="0"/>
              <w:jc w:val="center"/>
              <w:rPr>
                <w:rFonts w:eastAsia="Times New Roman" w:cs="Times New Roman"/>
                <w:b/>
                <w:bCs/>
                <w:color w:val="000000"/>
                <w:sz w:val="18"/>
                <w:szCs w:val="18"/>
              </w:rPr>
            </w:pPr>
          </w:p>
        </w:tc>
        <w:tc>
          <w:tcPr>
            <w:tcW w:w="1275" w:type="dxa"/>
            <w:shd w:val="clear" w:color="auto" w:fill="auto"/>
            <w:noWrap/>
            <w:vAlign w:val="center"/>
          </w:tcPr>
          <w:p w14:paraId="4BEAC667" w14:textId="77777777" w:rsidR="00CA1C27" w:rsidRPr="00FD1578" w:rsidRDefault="00CA1C27" w:rsidP="008349F0">
            <w:pPr>
              <w:spacing w:before="60" w:after="0"/>
              <w:ind w:firstLine="0"/>
              <w:jc w:val="center"/>
              <w:rPr>
                <w:rFonts w:eastAsia="Times New Roman" w:cs="Times New Roman"/>
                <w:b/>
                <w:bCs/>
                <w:color w:val="000000"/>
                <w:sz w:val="18"/>
                <w:szCs w:val="18"/>
              </w:rPr>
            </w:pPr>
          </w:p>
        </w:tc>
        <w:tc>
          <w:tcPr>
            <w:tcW w:w="961" w:type="dxa"/>
            <w:vAlign w:val="center"/>
          </w:tcPr>
          <w:p w14:paraId="08CA33E4" w14:textId="77777777" w:rsidR="00CA1C27" w:rsidRPr="00FD1578" w:rsidRDefault="00CA1C27" w:rsidP="008349F0">
            <w:pPr>
              <w:spacing w:before="60" w:after="0"/>
              <w:ind w:firstLine="0"/>
              <w:jc w:val="center"/>
              <w:rPr>
                <w:rFonts w:eastAsia="Times New Roman" w:cs="Times New Roman"/>
                <w:b/>
                <w:bCs/>
                <w:color w:val="000000"/>
                <w:sz w:val="18"/>
                <w:szCs w:val="18"/>
              </w:rPr>
            </w:pPr>
          </w:p>
        </w:tc>
        <w:tc>
          <w:tcPr>
            <w:tcW w:w="927" w:type="dxa"/>
            <w:vAlign w:val="center"/>
          </w:tcPr>
          <w:p w14:paraId="50355678" w14:textId="77777777" w:rsidR="00CA1C27" w:rsidRPr="00FD1578" w:rsidRDefault="00CA1C27" w:rsidP="008349F0">
            <w:pPr>
              <w:spacing w:before="60" w:after="0"/>
              <w:ind w:firstLine="0"/>
              <w:jc w:val="center"/>
              <w:rPr>
                <w:rFonts w:eastAsia="Times New Roman" w:cs="Times New Roman"/>
                <w:b/>
                <w:bCs/>
                <w:color w:val="000000"/>
                <w:sz w:val="18"/>
                <w:szCs w:val="18"/>
              </w:rPr>
            </w:pPr>
          </w:p>
        </w:tc>
      </w:tr>
      <w:tr w:rsidR="00CA1C27" w:rsidRPr="00FD1578" w14:paraId="7F74D01A" w14:textId="77777777" w:rsidTr="00710443">
        <w:trPr>
          <w:trHeight w:val="20"/>
          <w:jc w:val="center"/>
        </w:trPr>
        <w:tc>
          <w:tcPr>
            <w:tcW w:w="3346" w:type="dxa"/>
            <w:shd w:val="clear" w:color="auto" w:fill="auto"/>
            <w:vAlign w:val="bottom"/>
          </w:tcPr>
          <w:p w14:paraId="0C47C6C5" w14:textId="77777777" w:rsidR="00CA1C27" w:rsidRPr="00FD1578" w:rsidRDefault="00CA1C27" w:rsidP="008349F0">
            <w:pPr>
              <w:spacing w:before="60" w:after="0"/>
              <w:ind w:firstLine="0"/>
              <w:jc w:val="left"/>
              <w:rPr>
                <w:rFonts w:eastAsia="Times New Roman" w:cs="Times New Roman"/>
                <w:color w:val="000000"/>
                <w:sz w:val="18"/>
                <w:szCs w:val="18"/>
              </w:rPr>
            </w:pPr>
            <w:r w:rsidRPr="00FD1578">
              <w:rPr>
                <w:rFonts w:cs="Times New Roman"/>
                <w:sz w:val="18"/>
                <w:szCs w:val="18"/>
              </w:rPr>
              <w:t>ES strukturālās primārās bilances nosacījums</w:t>
            </w:r>
          </w:p>
        </w:tc>
        <w:tc>
          <w:tcPr>
            <w:tcW w:w="1109" w:type="dxa"/>
            <w:shd w:val="clear" w:color="auto" w:fill="auto"/>
            <w:noWrap/>
            <w:vAlign w:val="center"/>
          </w:tcPr>
          <w:p w14:paraId="38A11DFA" w14:textId="1A3456A6" w:rsidR="00CA1C27" w:rsidRPr="00FD1578" w:rsidRDefault="00F1067B" w:rsidP="008349F0">
            <w:pPr>
              <w:spacing w:before="60" w:after="0"/>
              <w:ind w:firstLine="0"/>
              <w:jc w:val="center"/>
              <w:rPr>
                <w:rFonts w:eastAsia="Times New Roman" w:cs="Times New Roman"/>
                <w:b/>
                <w:bCs/>
                <w:color w:val="000000"/>
                <w:sz w:val="18"/>
                <w:szCs w:val="18"/>
              </w:rPr>
            </w:pPr>
            <w:r w:rsidRPr="00F62287">
              <w:rPr>
                <w:rFonts w:cs="Times New Roman"/>
                <w:sz w:val="18"/>
                <w:szCs w:val="18"/>
              </w:rPr>
              <w:t>X</w:t>
            </w:r>
          </w:p>
        </w:tc>
        <w:tc>
          <w:tcPr>
            <w:tcW w:w="1275" w:type="dxa"/>
            <w:shd w:val="clear" w:color="auto" w:fill="auto"/>
            <w:noWrap/>
            <w:vAlign w:val="center"/>
          </w:tcPr>
          <w:p w14:paraId="1807D252" w14:textId="77777777" w:rsidR="00CA1C27" w:rsidRPr="00FD1578" w:rsidRDefault="00CA1C27" w:rsidP="008349F0">
            <w:pPr>
              <w:spacing w:before="60" w:after="0"/>
              <w:ind w:firstLine="0"/>
              <w:jc w:val="center"/>
              <w:rPr>
                <w:rFonts w:eastAsia="Times New Roman" w:cs="Times New Roman"/>
                <w:b/>
                <w:bCs/>
                <w:color w:val="000000"/>
                <w:sz w:val="18"/>
                <w:szCs w:val="18"/>
              </w:rPr>
            </w:pPr>
          </w:p>
        </w:tc>
        <w:tc>
          <w:tcPr>
            <w:tcW w:w="961" w:type="dxa"/>
            <w:vAlign w:val="center"/>
          </w:tcPr>
          <w:p w14:paraId="7F1C46BD" w14:textId="77777777" w:rsidR="00CA1C27" w:rsidRPr="00FD1578" w:rsidRDefault="00CA1C27" w:rsidP="008349F0">
            <w:pPr>
              <w:spacing w:before="60" w:after="0"/>
              <w:ind w:firstLine="0"/>
              <w:jc w:val="center"/>
              <w:rPr>
                <w:rFonts w:eastAsia="Times New Roman" w:cs="Times New Roman"/>
                <w:b/>
                <w:bCs/>
                <w:color w:val="000000"/>
                <w:sz w:val="18"/>
                <w:szCs w:val="18"/>
              </w:rPr>
            </w:pPr>
          </w:p>
        </w:tc>
        <w:tc>
          <w:tcPr>
            <w:tcW w:w="927" w:type="dxa"/>
            <w:vAlign w:val="center"/>
          </w:tcPr>
          <w:p w14:paraId="7AD2AE47" w14:textId="77777777" w:rsidR="00CA1C27" w:rsidRPr="00FD1578" w:rsidRDefault="00CA1C27" w:rsidP="008349F0">
            <w:pPr>
              <w:spacing w:before="60" w:after="0"/>
              <w:ind w:firstLine="0"/>
              <w:jc w:val="center"/>
              <w:rPr>
                <w:rFonts w:eastAsia="Times New Roman" w:cs="Times New Roman"/>
                <w:b/>
                <w:bCs/>
                <w:color w:val="000000"/>
                <w:sz w:val="18"/>
                <w:szCs w:val="18"/>
              </w:rPr>
            </w:pPr>
          </w:p>
        </w:tc>
      </w:tr>
      <w:tr w:rsidR="00CA1C27" w:rsidRPr="00FD1578" w14:paraId="39BA3BB0" w14:textId="77777777" w:rsidTr="00710443">
        <w:trPr>
          <w:trHeight w:val="20"/>
          <w:jc w:val="center"/>
        </w:trPr>
        <w:tc>
          <w:tcPr>
            <w:tcW w:w="3346" w:type="dxa"/>
            <w:shd w:val="clear" w:color="auto" w:fill="auto"/>
            <w:vAlign w:val="bottom"/>
          </w:tcPr>
          <w:p w14:paraId="3F606E74" w14:textId="77777777" w:rsidR="00CA1C27" w:rsidRPr="00FD1578" w:rsidRDefault="00CA1C27" w:rsidP="008349F0">
            <w:pPr>
              <w:spacing w:before="60" w:after="0"/>
              <w:ind w:firstLine="0"/>
              <w:jc w:val="left"/>
              <w:rPr>
                <w:rFonts w:cs="Times New Roman"/>
                <w:sz w:val="18"/>
                <w:szCs w:val="18"/>
              </w:rPr>
            </w:pPr>
            <w:r w:rsidRPr="00FD1578">
              <w:rPr>
                <w:rFonts w:cs="Times New Roman"/>
                <w:sz w:val="18"/>
                <w:szCs w:val="18"/>
              </w:rPr>
              <w:t>ES izdevumu pieauguma nosacījums</w:t>
            </w:r>
          </w:p>
        </w:tc>
        <w:tc>
          <w:tcPr>
            <w:tcW w:w="1109" w:type="dxa"/>
            <w:shd w:val="clear" w:color="auto" w:fill="auto"/>
            <w:noWrap/>
            <w:vAlign w:val="bottom"/>
          </w:tcPr>
          <w:p w14:paraId="717A3F77" w14:textId="506A5464" w:rsidR="00CA1C27" w:rsidRPr="00FD1578" w:rsidRDefault="00CA1C27" w:rsidP="008349F0">
            <w:pPr>
              <w:spacing w:before="60" w:after="0"/>
              <w:ind w:firstLine="0"/>
              <w:jc w:val="center"/>
              <w:rPr>
                <w:rFonts w:cs="Times New Roman"/>
                <w:sz w:val="18"/>
                <w:szCs w:val="18"/>
              </w:rPr>
            </w:pPr>
          </w:p>
        </w:tc>
        <w:tc>
          <w:tcPr>
            <w:tcW w:w="1275" w:type="dxa"/>
            <w:shd w:val="clear" w:color="auto" w:fill="auto"/>
            <w:noWrap/>
            <w:vAlign w:val="bottom"/>
          </w:tcPr>
          <w:p w14:paraId="79E1A493" w14:textId="77777777" w:rsidR="00CA1C27" w:rsidRPr="00FD1578" w:rsidRDefault="00CA1C27" w:rsidP="008349F0">
            <w:pPr>
              <w:spacing w:before="60" w:after="0"/>
              <w:ind w:firstLine="0"/>
              <w:jc w:val="center"/>
              <w:rPr>
                <w:rFonts w:cs="Times New Roman"/>
                <w:sz w:val="18"/>
                <w:szCs w:val="18"/>
              </w:rPr>
            </w:pPr>
            <w:r w:rsidRPr="00FD1578">
              <w:rPr>
                <w:rFonts w:cs="Times New Roman"/>
                <w:sz w:val="18"/>
                <w:szCs w:val="18"/>
              </w:rPr>
              <w:t>X</w:t>
            </w:r>
          </w:p>
        </w:tc>
        <w:tc>
          <w:tcPr>
            <w:tcW w:w="961" w:type="dxa"/>
            <w:vAlign w:val="bottom"/>
          </w:tcPr>
          <w:p w14:paraId="60738E6A" w14:textId="77777777" w:rsidR="00CA1C27" w:rsidRPr="00FD1578" w:rsidRDefault="00CA1C27" w:rsidP="008349F0">
            <w:pPr>
              <w:spacing w:before="60" w:after="0"/>
              <w:ind w:firstLine="0"/>
              <w:jc w:val="center"/>
              <w:rPr>
                <w:rFonts w:cs="Times New Roman"/>
                <w:sz w:val="18"/>
                <w:szCs w:val="18"/>
              </w:rPr>
            </w:pPr>
            <w:r w:rsidRPr="00FD1578">
              <w:rPr>
                <w:rFonts w:cs="Times New Roman"/>
                <w:sz w:val="18"/>
                <w:szCs w:val="18"/>
              </w:rPr>
              <w:t>X</w:t>
            </w:r>
          </w:p>
        </w:tc>
        <w:tc>
          <w:tcPr>
            <w:tcW w:w="927" w:type="dxa"/>
            <w:vAlign w:val="center"/>
          </w:tcPr>
          <w:p w14:paraId="4C2B71D1" w14:textId="77777777" w:rsidR="00CA1C27" w:rsidRPr="00FD1578" w:rsidRDefault="00CA1C27" w:rsidP="008349F0">
            <w:pPr>
              <w:spacing w:before="60" w:after="0"/>
              <w:ind w:firstLine="0"/>
              <w:jc w:val="center"/>
              <w:rPr>
                <w:rFonts w:eastAsia="Times New Roman" w:cs="Times New Roman"/>
                <w:color w:val="000000"/>
                <w:sz w:val="18"/>
                <w:szCs w:val="18"/>
              </w:rPr>
            </w:pPr>
            <w:r w:rsidRPr="00FD1578">
              <w:rPr>
                <w:rFonts w:eastAsia="Times New Roman" w:cs="Times New Roman"/>
                <w:color w:val="000000"/>
                <w:sz w:val="18"/>
                <w:szCs w:val="18"/>
              </w:rPr>
              <w:t>X</w:t>
            </w:r>
          </w:p>
        </w:tc>
      </w:tr>
    </w:tbl>
    <w:p w14:paraId="0B5C7B0B" w14:textId="77777777" w:rsidR="00E9088E" w:rsidRPr="00FD1578" w:rsidRDefault="00E9088E" w:rsidP="008349F0">
      <w:pPr>
        <w:ind w:firstLine="0"/>
        <w:rPr>
          <w:rFonts w:cs="Times New Roman"/>
          <w:szCs w:val="24"/>
        </w:rPr>
      </w:pPr>
    </w:p>
    <w:p w14:paraId="75E90EEA" w14:textId="1349CAF3" w:rsidR="00E9088E" w:rsidRPr="00FD1578" w:rsidRDefault="00E9088E" w:rsidP="008349F0">
      <w:pPr>
        <w:spacing w:after="0"/>
        <w:rPr>
          <w:szCs w:val="20"/>
        </w:rPr>
      </w:pPr>
      <w:r w:rsidRPr="00BD2592">
        <w:rPr>
          <w:rFonts w:cs="Times New Roman"/>
          <w:szCs w:val="24"/>
        </w:rPr>
        <w:t xml:space="preserve">Ņemot vērā </w:t>
      </w:r>
      <w:r w:rsidR="00CA1C27" w:rsidRPr="00BD2592">
        <w:rPr>
          <w:rFonts w:cs="Times New Roman"/>
          <w:szCs w:val="24"/>
        </w:rPr>
        <w:t>2.12., 2.13. un 2.14.</w:t>
      </w:r>
      <w:r w:rsidRPr="00BD2592">
        <w:rPr>
          <w:rFonts w:cs="Times New Roman"/>
          <w:szCs w:val="24"/>
        </w:rPr>
        <w:t xml:space="preserve"> tabulā norādīto, </w:t>
      </w:r>
      <w:r w:rsidRPr="00BD2592">
        <w:rPr>
          <w:rFonts w:eastAsia="Times New Roman" w:cs="Times New Roman"/>
          <w:b/>
        </w:rPr>
        <w:t xml:space="preserve">vispārējās valdības budžeta </w:t>
      </w:r>
      <w:r w:rsidRPr="00BD2592">
        <w:rPr>
          <w:rFonts w:cs="Times New Roman"/>
          <w:b/>
          <w:bCs/>
          <w:szCs w:val="24"/>
        </w:rPr>
        <w:t xml:space="preserve">strukturālās bilances mērķis, kas izpilda visus trīs nosacījumus, </w:t>
      </w:r>
      <w:r w:rsidRPr="00BD2592">
        <w:rPr>
          <w:rFonts w:eastAsia="Times New Roman" w:cs="Times New Roman"/>
          <w:bCs/>
        </w:rPr>
        <w:t xml:space="preserve">2025. – 2028. gadam tiek noteikts: </w:t>
      </w:r>
      <w:r w:rsidRPr="00F62287">
        <w:rPr>
          <w:rFonts w:eastAsia="Times New Roman" w:cs="Times New Roman"/>
          <w:bCs/>
        </w:rPr>
        <w:t>-</w:t>
      </w:r>
      <w:r w:rsidRPr="00F62287">
        <w:rPr>
          <w:rFonts w:eastAsia="Times New Roman" w:cs="Times New Roman"/>
          <w:b/>
        </w:rPr>
        <w:t>0,</w:t>
      </w:r>
      <w:r w:rsidR="00BD2592" w:rsidRPr="00F62287">
        <w:rPr>
          <w:rFonts w:eastAsia="Times New Roman" w:cs="Times New Roman"/>
          <w:b/>
        </w:rPr>
        <w:t>817</w:t>
      </w:r>
      <w:r w:rsidRPr="00F62287">
        <w:rPr>
          <w:rFonts w:eastAsia="Times New Roman" w:cs="Times New Roman"/>
          <w:b/>
        </w:rPr>
        <w:t>%</w:t>
      </w:r>
      <w:r w:rsidRPr="00BD2592">
        <w:rPr>
          <w:rFonts w:eastAsia="Times New Roman" w:cs="Times New Roman"/>
          <w:b/>
        </w:rPr>
        <w:t xml:space="preserve"> no IKP 2025. gadam</w:t>
      </w:r>
      <w:r w:rsidRPr="00F62287">
        <w:rPr>
          <w:rFonts w:eastAsia="Times New Roman" w:cs="Times New Roman"/>
          <w:bCs/>
        </w:rPr>
        <w:t xml:space="preserve">, </w:t>
      </w:r>
      <w:r w:rsidRPr="00F62287">
        <w:rPr>
          <w:rFonts w:eastAsia="Times New Roman" w:cs="Times New Roman"/>
          <w:b/>
        </w:rPr>
        <w:t>-0,</w:t>
      </w:r>
      <w:r w:rsidR="00BD2592" w:rsidRPr="00F62287">
        <w:rPr>
          <w:rFonts w:eastAsia="Times New Roman" w:cs="Times New Roman"/>
          <w:b/>
        </w:rPr>
        <w:t>749</w:t>
      </w:r>
      <w:r w:rsidRPr="00F62287">
        <w:rPr>
          <w:rFonts w:eastAsia="Times New Roman" w:cs="Times New Roman"/>
          <w:b/>
        </w:rPr>
        <w:t>%</w:t>
      </w:r>
      <w:r w:rsidRPr="00BD2592">
        <w:rPr>
          <w:rFonts w:eastAsia="Times New Roman" w:cs="Times New Roman"/>
          <w:b/>
        </w:rPr>
        <w:t xml:space="preserve"> no IKP 2026. gadam</w:t>
      </w:r>
      <w:r w:rsidRPr="00BD2592">
        <w:rPr>
          <w:rFonts w:eastAsia="Times New Roman" w:cs="Times New Roman"/>
          <w:bCs/>
        </w:rPr>
        <w:t xml:space="preserve">, </w:t>
      </w:r>
      <w:r w:rsidRPr="00F62287">
        <w:rPr>
          <w:rFonts w:eastAsia="Times New Roman" w:cs="Times New Roman"/>
          <w:b/>
        </w:rPr>
        <w:t>-</w:t>
      </w:r>
      <w:r w:rsidR="00C347ED" w:rsidRPr="00F62287">
        <w:rPr>
          <w:rFonts w:eastAsia="Times New Roman" w:cs="Times New Roman"/>
          <w:b/>
        </w:rPr>
        <w:t>0,79</w:t>
      </w:r>
      <w:r w:rsidR="00BD2592" w:rsidRPr="00F62287">
        <w:rPr>
          <w:rFonts w:eastAsia="Times New Roman" w:cs="Times New Roman"/>
          <w:b/>
        </w:rPr>
        <w:t>2</w:t>
      </w:r>
      <w:r w:rsidRPr="00F62287">
        <w:rPr>
          <w:rFonts w:eastAsia="Times New Roman" w:cs="Times New Roman"/>
          <w:b/>
        </w:rPr>
        <w:t>%</w:t>
      </w:r>
      <w:r w:rsidRPr="00BD2592">
        <w:rPr>
          <w:rFonts w:eastAsia="Times New Roman" w:cs="Times New Roman"/>
          <w:b/>
        </w:rPr>
        <w:t xml:space="preserve"> no IKP 2027. gadam </w:t>
      </w:r>
      <w:r w:rsidRPr="00BD2592">
        <w:rPr>
          <w:rFonts w:eastAsia="Times New Roman" w:cs="Times New Roman"/>
          <w:bCs/>
        </w:rPr>
        <w:t>un</w:t>
      </w:r>
      <w:r w:rsidRPr="00BD2592">
        <w:rPr>
          <w:rFonts w:eastAsia="Times New Roman" w:cs="Times New Roman"/>
          <w:b/>
        </w:rPr>
        <w:t xml:space="preserve"> </w:t>
      </w:r>
      <w:r w:rsidRPr="00F62287">
        <w:rPr>
          <w:rFonts w:eastAsia="Times New Roman" w:cs="Times New Roman"/>
          <w:b/>
        </w:rPr>
        <w:t>-0,9</w:t>
      </w:r>
      <w:r w:rsidR="00C347ED" w:rsidRPr="00F62287">
        <w:rPr>
          <w:rFonts w:eastAsia="Times New Roman" w:cs="Times New Roman"/>
          <w:b/>
        </w:rPr>
        <w:t>3</w:t>
      </w:r>
      <w:r w:rsidR="00BD2592" w:rsidRPr="00F62287">
        <w:rPr>
          <w:rFonts w:eastAsia="Times New Roman" w:cs="Times New Roman"/>
          <w:b/>
        </w:rPr>
        <w:t>2</w:t>
      </w:r>
      <w:r w:rsidRPr="00F62287">
        <w:rPr>
          <w:rFonts w:eastAsia="Times New Roman" w:cs="Times New Roman"/>
          <w:b/>
        </w:rPr>
        <w:t>%</w:t>
      </w:r>
      <w:r w:rsidRPr="00BD2592">
        <w:rPr>
          <w:rFonts w:eastAsia="Times New Roman" w:cs="Times New Roman"/>
          <w:b/>
        </w:rPr>
        <w:t xml:space="preserve"> no IKP 2028. gadam</w:t>
      </w:r>
      <w:r w:rsidRPr="00BD2592">
        <w:rPr>
          <w:rFonts w:eastAsia="Times New Roman" w:cs="Times New Roman"/>
          <w:bCs/>
        </w:rPr>
        <w:t>.</w:t>
      </w:r>
      <w:r w:rsidR="005735FB">
        <w:rPr>
          <w:rFonts w:eastAsia="Times New Roman" w:cs="Times New Roman"/>
          <w:bCs/>
        </w:rPr>
        <w:t xml:space="preserve"> </w:t>
      </w:r>
    </w:p>
    <w:p w14:paraId="79CD6CD1" w14:textId="77777777" w:rsidR="00B53441" w:rsidRPr="00FD1578" w:rsidRDefault="00B53441" w:rsidP="008349F0">
      <w:pPr>
        <w:spacing w:after="0"/>
        <w:rPr>
          <w:rFonts w:eastAsia="Calibri" w:cs="Times New Roman"/>
          <w:b/>
          <w:bCs/>
          <w:color w:val="000000" w:themeColor="text1"/>
          <w:sz w:val="32"/>
          <w:szCs w:val="28"/>
        </w:rPr>
      </w:pPr>
    </w:p>
    <w:p w14:paraId="684EB4CA" w14:textId="418A2362" w:rsidR="003F3FCD" w:rsidRPr="00FD1578" w:rsidRDefault="00941601" w:rsidP="008349F0">
      <w:pPr>
        <w:pStyle w:val="Heading3"/>
        <w:numPr>
          <w:ilvl w:val="0"/>
          <w:numId w:val="0"/>
        </w:numPr>
        <w:spacing w:after="240"/>
        <w:ind w:left="992" w:hanging="567"/>
      </w:pPr>
      <w:bookmarkStart w:id="51" w:name="_Toc179356082"/>
      <w:r w:rsidRPr="00FD1578">
        <w:lastRenderedPageBreak/>
        <w:t>2.1.2</w:t>
      </w:r>
      <w:r w:rsidR="00E8646E" w:rsidRPr="00FD1578">
        <w:t xml:space="preserve">. </w:t>
      </w:r>
      <w:r w:rsidR="000548A5" w:rsidRPr="00FD1578">
        <w:t>Koriģēto maksimāli pieļaujamo valsts budžeta izdevumu noteikšana</w:t>
      </w:r>
      <w:bookmarkEnd w:id="51"/>
    </w:p>
    <w:p w14:paraId="6DF6467C" w14:textId="77777777" w:rsidR="006B0A1E" w:rsidRPr="00FD1578" w:rsidRDefault="000226D6" w:rsidP="008349F0">
      <w:pPr>
        <w:widowControl w:val="0"/>
        <w:rPr>
          <w:rFonts w:eastAsia="Times New Roman" w:cs="Times New Roman"/>
        </w:rPr>
      </w:pPr>
      <w:r w:rsidRPr="00FD1578">
        <w:rPr>
          <w:rFonts w:eastAsia="Times New Roman" w:cs="Times New Roman"/>
        </w:rPr>
        <w:t xml:space="preserve">Atbilstoši </w:t>
      </w:r>
      <w:r w:rsidR="001D14A4" w:rsidRPr="00FD1578">
        <w:rPr>
          <w:rFonts w:eastAsia="Times New Roman" w:cs="Times New Roman"/>
        </w:rPr>
        <w:t>FDL</w:t>
      </w:r>
      <w:r w:rsidR="00071293" w:rsidRPr="00FD1578">
        <w:rPr>
          <w:rFonts w:eastAsia="Times New Roman" w:cs="Times New Roman"/>
        </w:rPr>
        <w:t xml:space="preserve"> nosacījumiem, līdztekus citi</w:t>
      </w:r>
      <w:r w:rsidRPr="00FD1578">
        <w:rPr>
          <w:rFonts w:eastAsia="Times New Roman" w:cs="Times New Roman"/>
        </w:rPr>
        <w:t>em fiskālajiem rādītājiem, vidēja termiņa budžeta ietvara veidošanas</w:t>
      </w:r>
      <w:r w:rsidR="00071293" w:rsidRPr="00FD1578">
        <w:rPr>
          <w:rFonts w:eastAsia="Times New Roman" w:cs="Times New Roman"/>
        </w:rPr>
        <w:t xml:space="preserve"> ietvaros ir nepieciešams aprēķināt koriģētos maksimāli pieļaujamos valsts budžeta izdevumus. Šī fiskālā rādītāja aprēķināšanas</w:t>
      </w:r>
      <w:r w:rsidRPr="00FD1578">
        <w:rPr>
          <w:rFonts w:eastAsia="Times New Roman" w:cs="Times New Roman"/>
        </w:rPr>
        <w:t xml:space="preserve"> vispārējos principus nosaka </w:t>
      </w:r>
      <w:r w:rsidR="001D14A4" w:rsidRPr="00FD1578">
        <w:rPr>
          <w:rFonts w:eastAsia="Times New Roman" w:cs="Times New Roman"/>
        </w:rPr>
        <w:t>FDL</w:t>
      </w:r>
      <w:r w:rsidR="00071293" w:rsidRPr="00FD1578">
        <w:rPr>
          <w:rFonts w:eastAsia="Times New Roman" w:cs="Times New Roman"/>
        </w:rPr>
        <w:t xml:space="preserve"> 15.</w:t>
      </w:r>
      <w:r w:rsidRPr="00FD1578">
        <w:rPr>
          <w:rFonts w:eastAsia="Times New Roman" w:cs="Times New Roman"/>
        </w:rPr>
        <w:t xml:space="preserve"> </w:t>
      </w:r>
      <w:r w:rsidR="00071293" w:rsidRPr="00FD1578">
        <w:rPr>
          <w:rFonts w:eastAsia="Times New Roman" w:cs="Times New Roman"/>
        </w:rPr>
        <w:t>pants</w:t>
      </w:r>
      <w:r w:rsidR="006B0A1E" w:rsidRPr="00FD1578">
        <w:rPr>
          <w:rFonts w:eastAsia="Times New Roman" w:cs="Times New Roman"/>
        </w:rPr>
        <w:t>.</w:t>
      </w:r>
    </w:p>
    <w:p w14:paraId="19972401" w14:textId="2FAA05E7" w:rsidR="006B0A1E" w:rsidRPr="00FD1578" w:rsidRDefault="006B0A1E" w:rsidP="008349F0">
      <w:pPr>
        <w:widowControl w:val="0"/>
        <w:rPr>
          <w:rFonts w:eastAsia="Times New Roman" w:cs="Times New Roman"/>
        </w:rPr>
      </w:pPr>
      <w:r w:rsidRPr="00FD1578">
        <w:rPr>
          <w:rFonts w:eastAsia="Times New Roman" w:cs="Times New Roman"/>
        </w:rPr>
        <w:t xml:space="preserve">Izdevumu izlīdzināšanas mērķis ir vidējā termiņā novērst augsti svārstīgu valsts budžeta izdevumu kategoriju ietekmi uz kopējo valsts budžeta izdevumu apmēru, tādejādi plānošanas fāzē nodrošinot izdevumu stabilitāti vidējā termiņā. Praksē ir pierādījies, ka šis mehānisms nestrādā, jo būtiskāku nenoteiktību rada fondu prognožu un izpildes atšķirības un </w:t>
      </w:r>
      <w:proofErr w:type="spellStart"/>
      <w:r w:rsidRPr="00FD1578">
        <w:rPr>
          <w:rFonts w:eastAsia="Times New Roman" w:cs="Times New Roman"/>
        </w:rPr>
        <w:t>virssaistību</w:t>
      </w:r>
      <w:proofErr w:type="spellEnd"/>
      <w:r w:rsidRPr="00FD1578">
        <w:rPr>
          <w:rFonts w:eastAsia="Times New Roman" w:cs="Times New Roman"/>
        </w:rPr>
        <w:t xml:space="preserve"> mehānisms.</w:t>
      </w:r>
    </w:p>
    <w:p w14:paraId="564CF4E2" w14:textId="5A39956E" w:rsidR="006B0A1E" w:rsidRPr="00FD1578" w:rsidRDefault="006B0A1E" w:rsidP="008349F0">
      <w:pPr>
        <w:widowControl w:val="0"/>
        <w:rPr>
          <w:rFonts w:eastAsia="Times New Roman" w:cs="Times New Roman"/>
        </w:rPr>
      </w:pPr>
      <w:r w:rsidRPr="002343A0">
        <w:rPr>
          <w:rFonts w:eastAsia="Times New Roman" w:cs="Times New Roman"/>
        </w:rPr>
        <w:t xml:space="preserve">Līdz ar to </w:t>
      </w:r>
      <w:r w:rsidR="005C2FAE" w:rsidRPr="002343A0">
        <w:rPr>
          <w:rFonts w:eastAsia="Times New Roman" w:cs="Times New Roman"/>
        </w:rPr>
        <w:t>šā likuma 9. pantā</w:t>
      </w:r>
      <w:r w:rsidRPr="002343A0">
        <w:rPr>
          <w:rFonts w:eastAsia="Times New Roman" w:cs="Times New Roman"/>
        </w:rPr>
        <w:t xml:space="preserve"> ir</w:t>
      </w:r>
      <w:r w:rsidRPr="00FD1578">
        <w:rPr>
          <w:rFonts w:eastAsia="Times New Roman" w:cs="Times New Roman"/>
        </w:rPr>
        <w:t xml:space="preserve"> ietverta norma, ka izlīdzinātie izdevumi tiek noteikti faktiski prognozēto izdevumu apjomā, tādā veidā faktiski neveicot izdevumu izlīdzināšanu.</w:t>
      </w:r>
    </w:p>
    <w:p w14:paraId="17BA19F3" w14:textId="6B667E43" w:rsidR="00071293" w:rsidRPr="00FD1578" w:rsidRDefault="006B0A1E" w:rsidP="008349F0">
      <w:pPr>
        <w:widowControl w:val="0"/>
        <w:rPr>
          <w:rFonts w:eastAsia="Times New Roman" w:cs="Times New Roman"/>
        </w:rPr>
      </w:pPr>
      <w:r w:rsidRPr="00841858">
        <w:rPr>
          <w:rFonts w:eastAsia="Times New Roman" w:cs="Times New Roman"/>
        </w:rPr>
        <w:t>2.</w:t>
      </w:r>
      <w:r w:rsidR="00101E84" w:rsidRPr="00841858">
        <w:rPr>
          <w:rFonts w:eastAsia="Times New Roman" w:cs="Times New Roman"/>
        </w:rPr>
        <w:t>16</w:t>
      </w:r>
      <w:r w:rsidRPr="00841858">
        <w:rPr>
          <w:rFonts w:eastAsia="Times New Roman" w:cs="Times New Roman"/>
        </w:rPr>
        <w:t>. tabulā ir parādīta</w:t>
      </w:r>
      <w:r w:rsidRPr="00FD1578">
        <w:rPr>
          <w:rFonts w:eastAsia="Times New Roman" w:cs="Times New Roman"/>
        </w:rPr>
        <w:t xml:space="preserve"> koriģēto izdevumu aprēķināšana saskaņā ar FDL noteikto kārtību ar to atšķirību, ka izlīdzināto izdevumu vietā tiek ņemti faktiskie attiecīgajā gadā prognozētie izdevumi.</w:t>
      </w:r>
      <w:r w:rsidR="005735FB">
        <w:rPr>
          <w:rFonts w:eastAsia="Times New Roman" w:cs="Times New Roman"/>
        </w:rPr>
        <w:t xml:space="preserve"> </w:t>
      </w:r>
      <w:r w:rsidRPr="00FD1578">
        <w:rPr>
          <w:rFonts w:eastAsia="Times New Roman" w:cs="Times New Roman"/>
        </w:rPr>
        <w:t xml:space="preserve"> </w:t>
      </w:r>
    </w:p>
    <w:p w14:paraId="61E670E3" w14:textId="77777777" w:rsidR="008512C8" w:rsidRDefault="008512C8" w:rsidP="008349F0">
      <w:pPr>
        <w:widowControl w:val="0"/>
        <w:rPr>
          <w:rFonts w:eastAsia="Times New Roman" w:cs="Times New Roman"/>
        </w:rPr>
      </w:pPr>
      <w:r w:rsidRPr="008512C8">
        <w:rPr>
          <w:rFonts w:eastAsia="Times New Roman" w:cs="Times New Roman"/>
        </w:rPr>
        <w:t>Aprēķinu algoritms tiek uzsākts ar minimāli plānojamās vispārējās valdības strukturālās bilances mērķa definēšanu, kas saskaņā ar iepriekšējās sadaļas aprakstu ir -0,82% no IKP 2025. gadam, -0,75% no IKP 2026. gadam un -0,79% no IKP 2027. gadam.</w:t>
      </w:r>
    </w:p>
    <w:p w14:paraId="74351886" w14:textId="209A7E27" w:rsidR="00071293" w:rsidRPr="00FD1578" w:rsidRDefault="00071293" w:rsidP="008349F0">
      <w:pPr>
        <w:widowControl w:val="0"/>
        <w:rPr>
          <w:rFonts w:ascii="Calibri" w:eastAsia="Calibri" w:hAnsi="Calibri" w:cs="Calibri"/>
          <w:sz w:val="22"/>
        </w:rPr>
      </w:pPr>
      <w:r w:rsidRPr="00FD1578">
        <w:rPr>
          <w:rFonts w:eastAsia="Times New Roman" w:cs="Times New Roman"/>
        </w:rPr>
        <w:t>Turpmākie algoritma soļi paredz aprēķināt vispārējās valdības budžeta bilances apmēru, kas atbilst minimāli plānojamam vispārējās valdības strukturālās bilances mērķim. To aprēķina pie minimāli plānojamā vispārējās valdības strukturālās bilances mērķa pieskaitot vispārējās valdības budžeta bilances ciklisko komponenti</w:t>
      </w:r>
      <w:r w:rsidR="00ED5483">
        <w:rPr>
          <w:rFonts w:eastAsia="Times New Roman" w:cs="Times New Roman"/>
        </w:rPr>
        <w:t xml:space="preserve">, </w:t>
      </w:r>
      <w:r w:rsidRPr="00FD1578">
        <w:rPr>
          <w:rFonts w:eastAsia="Times New Roman" w:cs="Times New Roman"/>
        </w:rPr>
        <w:t>vienreizējos un citus pagaidu pasākumus (</w:t>
      </w:r>
      <w:proofErr w:type="spellStart"/>
      <w:r w:rsidRPr="00FD1578">
        <w:rPr>
          <w:rFonts w:eastAsia="Times New Roman" w:cs="Times New Roman"/>
          <w:i/>
        </w:rPr>
        <w:t>one-off</w:t>
      </w:r>
      <w:proofErr w:type="spellEnd"/>
      <w:r w:rsidRPr="00FD1578">
        <w:rPr>
          <w:rFonts w:eastAsia="Times New Roman" w:cs="Times New Roman"/>
          <w:i/>
        </w:rPr>
        <w:t xml:space="preserve"> </w:t>
      </w:r>
      <w:proofErr w:type="spellStart"/>
      <w:r w:rsidRPr="00FD1578">
        <w:rPr>
          <w:rFonts w:eastAsia="Times New Roman" w:cs="Times New Roman"/>
          <w:i/>
        </w:rPr>
        <w:t>and</w:t>
      </w:r>
      <w:proofErr w:type="spellEnd"/>
      <w:r w:rsidRPr="00FD1578">
        <w:rPr>
          <w:rFonts w:eastAsia="Times New Roman" w:cs="Times New Roman"/>
          <w:i/>
        </w:rPr>
        <w:t xml:space="preserve"> </w:t>
      </w:r>
      <w:proofErr w:type="spellStart"/>
      <w:r w:rsidRPr="00FD1578">
        <w:rPr>
          <w:rFonts w:eastAsia="Times New Roman" w:cs="Times New Roman"/>
          <w:i/>
        </w:rPr>
        <w:t>other</w:t>
      </w:r>
      <w:proofErr w:type="spellEnd"/>
      <w:r w:rsidRPr="00FD1578">
        <w:rPr>
          <w:rFonts w:eastAsia="Times New Roman" w:cs="Times New Roman"/>
          <w:i/>
        </w:rPr>
        <w:t xml:space="preserve"> </w:t>
      </w:r>
      <w:proofErr w:type="spellStart"/>
      <w:r w:rsidRPr="00FD1578">
        <w:rPr>
          <w:rFonts w:eastAsia="Times New Roman" w:cs="Times New Roman"/>
          <w:i/>
        </w:rPr>
        <w:t>temporary</w:t>
      </w:r>
      <w:proofErr w:type="spellEnd"/>
      <w:r w:rsidRPr="00FD1578">
        <w:rPr>
          <w:rFonts w:eastAsia="Times New Roman" w:cs="Times New Roman"/>
          <w:i/>
        </w:rPr>
        <w:t xml:space="preserve"> </w:t>
      </w:r>
      <w:proofErr w:type="spellStart"/>
      <w:r w:rsidRPr="00FD1578">
        <w:rPr>
          <w:rFonts w:eastAsia="Times New Roman" w:cs="Times New Roman"/>
          <w:i/>
        </w:rPr>
        <w:t>measures</w:t>
      </w:r>
      <w:proofErr w:type="spellEnd"/>
      <w:r w:rsidRPr="00FD1578">
        <w:rPr>
          <w:rFonts w:eastAsia="Times New Roman" w:cs="Times New Roman"/>
        </w:rPr>
        <w:t>). Līdz ar to tiek iegūta vispārējās valdības budžeta bilance monetārajā izteiksmē, kas 202</w:t>
      </w:r>
      <w:r w:rsidR="004B6D79" w:rsidRPr="00FD1578">
        <w:rPr>
          <w:rFonts w:eastAsia="Times New Roman" w:cs="Times New Roman"/>
        </w:rPr>
        <w:t>5</w:t>
      </w:r>
      <w:r w:rsidRPr="00FD1578">
        <w:rPr>
          <w:rFonts w:eastAsia="Times New Roman" w:cs="Times New Roman"/>
        </w:rPr>
        <w:t>.</w:t>
      </w:r>
      <w:r w:rsidR="000226D6" w:rsidRPr="00FD1578">
        <w:rPr>
          <w:rFonts w:eastAsia="Times New Roman" w:cs="Times New Roman"/>
        </w:rPr>
        <w:t xml:space="preserve"> </w:t>
      </w:r>
      <w:r w:rsidRPr="00FD1578">
        <w:rPr>
          <w:rFonts w:eastAsia="Times New Roman" w:cs="Times New Roman"/>
        </w:rPr>
        <w:t xml:space="preserve">gadā </w:t>
      </w:r>
      <w:r w:rsidRPr="007C07C3">
        <w:rPr>
          <w:rFonts w:eastAsia="Times New Roman" w:cs="Times New Roman"/>
        </w:rPr>
        <w:t>ir -</w:t>
      </w:r>
      <w:r w:rsidR="007C07C3" w:rsidRPr="007C07C3">
        <w:rPr>
          <w:rFonts w:eastAsia="Times New Roman" w:cs="Times New Roman"/>
        </w:rPr>
        <w:t>1 327,2</w:t>
      </w:r>
      <w:r w:rsidRPr="007C07C3">
        <w:rPr>
          <w:rFonts w:eastAsia="Times New Roman" w:cs="Times New Roman"/>
        </w:rPr>
        <w:t xml:space="preserve"> milj. </w:t>
      </w:r>
      <w:proofErr w:type="spellStart"/>
      <w:r w:rsidRPr="007C07C3">
        <w:rPr>
          <w:rFonts w:eastAsia="Times New Roman" w:cs="Times New Roman"/>
          <w:i/>
        </w:rPr>
        <w:t>euro</w:t>
      </w:r>
      <w:proofErr w:type="spellEnd"/>
      <w:r w:rsidRPr="007C07C3">
        <w:rPr>
          <w:rFonts w:eastAsia="Times New Roman" w:cs="Times New Roman"/>
        </w:rPr>
        <w:t>, 202</w:t>
      </w:r>
      <w:r w:rsidR="004B6D79" w:rsidRPr="007C07C3">
        <w:rPr>
          <w:rFonts w:eastAsia="Times New Roman" w:cs="Times New Roman"/>
        </w:rPr>
        <w:t>6</w:t>
      </w:r>
      <w:r w:rsidRPr="007C07C3">
        <w:rPr>
          <w:rFonts w:eastAsia="Times New Roman" w:cs="Times New Roman"/>
        </w:rPr>
        <w:t>.</w:t>
      </w:r>
      <w:r w:rsidR="000226D6" w:rsidRPr="007C07C3">
        <w:rPr>
          <w:rFonts w:eastAsia="Times New Roman" w:cs="Times New Roman"/>
        </w:rPr>
        <w:t xml:space="preserve"> </w:t>
      </w:r>
      <w:r w:rsidRPr="007C07C3">
        <w:rPr>
          <w:rFonts w:eastAsia="Times New Roman" w:cs="Times New Roman"/>
        </w:rPr>
        <w:t>gadā ir -</w:t>
      </w:r>
      <w:r w:rsidR="00EE1956" w:rsidRPr="007C07C3">
        <w:rPr>
          <w:rFonts w:eastAsia="Times New Roman" w:cs="Times New Roman"/>
        </w:rPr>
        <w:t>1</w:t>
      </w:r>
      <w:r w:rsidR="007C07C3" w:rsidRPr="007C07C3">
        <w:rPr>
          <w:rFonts w:eastAsia="Times New Roman" w:cs="Times New Roman"/>
        </w:rPr>
        <w:t> 287,6</w:t>
      </w:r>
      <w:r w:rsidR="000226D6" w:rsidRPr="007C07C3">
        <w:rPr>
          <w:rFonts w:eastAsia="Times New Roman" w:cs="Times New Roman"/>
        </w:rPr>
        <w:t xml:space="preserve"> </w:t>
      </w:r>
      <w:r w:rsidRPr="007C07C3">
        <w:rPr>
          <w:rFonts w:eastAsia="Times New Roman" w:cs="Times New Roman"/>
        </w:rPr>
        <w:t xml:space="preserve">milj. </w:t>
      </w:r>
      <w:proofErr w:type="spellStart"/>
      <w:r w:rsidRPr="007C07C3">
        <w:rPr>
          <w:rFonts w:eastAsia="Times New Roman" w:cs="Times New Roman"/>
          <w:i/>
        </w:rPr>
        <w:t>euro</w:t>
      </w:r>
      <w:proofErr w:type="spellEnd"/>
      <w:r w:rsidR="00D57548" w:rsidRPr="007C07C3">
        <w:rPr>
          <w:rFonts w:eastAsia="Times New Roman" w:cs="Times New Roman"/>
        </w:rPr>
        <w:t xml:space="preserve"> un</w:t>
      </w:r>
      <w:r w:rsidR="005735FB" w:rsidRPr="007C07C3">
        <w:rPr>
          <w:rFonts w:eastAsia="Times New Roman" w:cs="Times New Roman"/>
        </w:rPr>
        <w:t xml:space="preserve"> </w:t>
      </w:r>
      <w:r w:rsidR="004B6D79" w:rsidRPr="007C07C3">
        <w:rPr>
          <w:rFonts w:eastAsia="Times New Roman" w:cs="Times New Roman"/>
        </w:rPr>
        <w:t>2027. gadā -</w:t>
      </w:r>
      <w:r w:rsidR="007C07C3" w:rsidRPr="007C07C3">
        <w:rPr>
          <w:rFonts w:eastAsia="Times New Roman" w:cs="Times New Roman"/>
        </w:rPr>
        <w:t>1 249,5</w:t>
      </w:r>
      <w:r w:rsidR="004B6D79" w:rsidRPr="007C07C3">
        <w:rPr>
          <w:rFonts w:eastAsia="Times New Roman" w:cs="Times New Roman"/>
        </w:rPr>
        <w:t xml:space="preserve"> milj. </w:t>
      </w:r>
      <w:proofErr w:type="spellStart"/>
      <w:r w:rsidR="004B6D79" w:rsidRPr="007C07C3">
        <w:rPr>
          <w:rFonts w:eastAsia="Times New Roman" w:cs="Times New Roman"/>
          <w:i/>
        </w:rPr>
        <w:t>euro</w:t>
      </w:r>
      <w:proofErr w:type="spellEnd"/>
      <w:r w:rsidRPr="007C07C3">
        <w:rPr>
          <w:rFonts w:eastAsia="Times New Roman" w:cs="Times New Roman"/>
        </w:rPr>
        <w:t>.</w:t>
      </w:r>
    </w:p>
    <w:p w14:paraId="33FAB282" w14:textId="47158BE6" w:rsidR="00071293" w:rsidRPr="00FD1578" w:rsidRDefault="006B0A1E" w:rsidP="008349F0">
      <w:pPr>
        <w:widowControl w:val="0"/>
        <w:rPr>
          <w:rFonts w:ascii="Calibri" w:eastAsia="Calibri" w:hAnsi="Calibri" w:cs="Calibri"/>
          <w:sz w:val="22"/>
        </w:rPr>
      </w:pPr>
      <w:r w:rsidRPr="00FD1578">
        <w:rPr>
          <w:rFonts w:eastAsia="Times New Roman" w:cs="Times New Roman"/>
        </w:rPr>
        <w:t>Tālāk tiek aprēķināta valsts budžeta bilance pēc naudas plūsmas metodes</w:t>
      </w:r>
      <w:r w:rsidR="00071293" w:rsidRPr="00FD1578">
        <w:rPr>
          <w:rFonts w:eastAsia="Times New Roman" w:cs="Times New Roman"/>
        </w:rPr>
        <w:t>, ko iegūst no iepriekš aprēķinātās vispārējās valdības budžeta bilances atskaitot prognozēto pašvaldību budžeta bilanci, prognozēto atvasināto publisko personu un budžeta nefinansēto iestāžu budžeta bilanci, kā arī EKS korekciju apjomu. Veicot iepriekš minētās darbības, tiek iegūta valsts budžeta bilance katram gadam. Tās apmērs 202</w:t>
      </w:r>
      <w:r w:rsidR="004B6D79" w:rsidRPr="00FD1578">
        <w:rPr>
          <w:rFonts w:eastAsia="Times New Roman" w:cs="Times New Roman"/>
        </w:rPr>
        <w:t>5</w:t>
      </w:r>
      <w:r w:rsidR="00071293" w:rsidRPr="00FD1578">
        <w:rPr>
          <w:rFonts w:eastAsia="Times New Roman" w:cs="Times New Roman"/>
        </w:rPr>
        <w:t>.</w:t>
      </w:r>
      <w:r w:rsidR="000226D6" w:rsidRPr="00FD1578">
        <w:rPr>
          <w:rFonts w:eastAsia="Times New Roman" w:cs="Times New Roman"/>
        </w:rPr>
        <w:t xml:space="preserve"> </w:t>
      </w:r>
      <w:r w:rsidR="00071293" w:rsidRPr="00FD1578">
        <w:rPr>
          <w:rFonts w:eastAsia="Times New Roman" w:cs="Times New Roman"/>
        </w:rPr>
        <w:t xml:space="preserve">gadā ir </w:t>
      </w:r>
      <w:r w:rsidR="00071293" w:rsidRPr="008359BF">
        <w:rPr>
          <w:rFonts w:eastAsia="Times New Roman" w:cs="Times New Roman"/>
        </w:rPr>
        <w:t>-</w:t>
      </w:r>
      <w:r w:rsidR="007C07C3" w:rsidRPr="008359BF">
        <w:rPr>
          <w:rFonts w:eastAsia="Times New Roman" w:cs="Times New Roman"/>
        </w:rPr>
        <w:t>2 057,1</w:t>
      </w:r>
      <w:r w:rsidR="00071293" w:rsidRPr="008359BF">
        <w:rPr>
          <w:rFonts w:eastAsia="Times New Roman" w:cs="Times New Roman"/>
        </w:rPr>
        <w:t xml:space="preserve"> milj. </w:t>
      </w:r>
      <w:proofErr w:type="spellStart"/>
      <w:r w:rsidR="00071293" w:rsidRPr="008359BF">
        <w:rPr>
          <w:rFonts w:eastAsia="Times New Roman" w:cs="Times New Roman"/>
          <w:i/>
        </w:rPr>
        <w:t>euro</w:t>
      </w:r>
      <w:proofErr w:type="spellEnd"/>
      <w:r w:rsidR="00071293" w:rsidRPr="008359BF">
        <w:rPr>
          <w:rFonts w:eastAsia="Times New Roman" w:cs="Times New Roman"/>
        </w:rPr>
        <w:t>, 202</w:t>
      </w:r>
      <w:r w:rsidR="004B6D79" w:rsidRPr="008359BF">
        <w:rPr>
          <w:rFonts w:eastAsia="Times New Roman" w:cs="Times New Roman"/>
        </w:rPr>
        <w:t>6</w:t>
      </w:r>
      <w:r w:rsidR="00071293" w:rsidRPr="008359BF">
        <w:rPr>
          <w:rFonts w:eastAsia="Times New Roman" w:cs="Times New Roman"/>
        </w:rPr>
        <w:t>.</w:t>
      </w:r>
      <w:r w:rsidR="000226D6" w:rsidRPr="008359BF">
        <w:rPr>
          <w:rFonts w:eastAsia="Times New Roman" w:cs="Times New Roman"/>
        </w:rPr>
        <w:t xml:space="preserve"> </w:t>
      </w:r>
      <w:r w:rsidR="00071293" w:rsidRPr="008359BF">
        <w:rPr>
          <w:rFonts w:eastAsia="Times New Roman" w:cs="Times New Roman"/>
        </w:rPr>
        <w:t>gadā ir -</w:t>
      </w:r>
      <w:r w:rsidR="007C07C3" w:rsidRPr="008359BF">
        <w:rPr>
          <w:rFonts w:eastAsia="Times New Roman" w:cs="Times New Roman"/>
        </w:rPr>
        <w:t>1 227,1</w:t>
      </w:r>
      <w:r w:rsidR="00071293" w:rsidRPr="008359BF">
        <w:rPr>
          <w:rFonts w:eastAsia="Times New Roman" w:cs="Times New Roman"/>
        </w:rPr>
        <w:t xml:space="preserve"> milj. </w:t>
      </w:r>
      <w:proofErr w:type="spellStart"/>
      <w:r w:rsidR="00071293" w:rsidRPr="008359BF">
        <w:rPr>
          <w:rFonts w:eastAsia="Times New Roman" w:cs="Times New Roman"/>
          <w:i/>
        </w:rPr>
        <w:t>euro</w:t>
      </w:r>
      <w:proofErr w:type="spellEnd"/>
      <w:r w:rsidR="004B6D79" w:rsidRPr="008359BF">
        <w:rPr>
          <w:rFonts w:eastAsia="Times New Roman" w:cs="Times New Roman"/>
        </w:rPr>
        <w:t xml:space="preserve"> </w:t>
      </w:r>
      <w:r w:rsidR="00071293" w:rsidRPr="008359BF">
        <w:rPr>
          <w:rFonts w:eastAsia="Times New Roman" w:cs="Times New Roman"/>
        </w:rPr>
        <w:t>un 202</w:t>
      </w:r>
      <w:r w:rsidR="004B6D79" w:rsidRPr="008359BF">
        <w:rPr>
          <w:rFonts w:eastAsia="Times New Roman" w:cs="Times New Roman"/>
        </w:rPr>
        <w:t>7</w:t>
      </w:r>
      <w:r w:rsidR="00071293" w:rsidRPr="008359BF">
        <w:rPr>
          <w:rFonts w:eastAsia="Times New Roman" w:cs="Times New Roman"/>
        </w:rPr>
        <w:t>.</w:t>
      </w:r>
      <w:r w:rsidR="000226D6" w:rsidRPr="008359BF">
        <w:rPr>
          <w:rFonts w:eastAsia="Times New Roman" w:cs="Times New Roman"/>
        </w:rPr>
        <w:t xml:space="preserve"> </w:t>
      </w:r>
      <w:r w:rsidR="00071293" w:rsidRPr="008359BF">
        <w:rPr>
          <w:rFonts w:eastAsia="Times New Roman" w:cs="Times New Roman"/>
        </w:rPr>
        <w:t>gadā ir -</w:t>
      </w:r>
      <w:r w:rsidR="00EE1956" w:rsidRPr="008359BF">
        <w:rPr>
          <w:rFonts w:eastAsia="Times New Roman" w:cs="Times New Roman"/>
        </w:rPr>
        <w:t>1</w:t>
      </w:r>
      <w:r w:rsidR="008359BF" w:rsidRPr="008359BF">
        <w:rPr>
          <w:rFonts w:eastAsia="Times New Roman" w:cs="Times New Roman"/>
        </w:rPr>
        <w:t> 298,2</w:t>
      </w:r>
      <w:r w:rsidR="00071293" w:rsidRPr="008359BF">
        <w:rPr>
          <w:rFonts w:eastAsia="Times New Roman" w:cs="Times New Roman"/>
        </w:rPr>
        <w:t xml:space="preserve"> milj. </w:t>
      </w:r>
      <w:proofErr w:type="spellStart"/>
      <w:r w:rsidR="00071293" w:rsidRPr="008359BF">
        <w:rPr>
          <w:rFonts w:eastAsia="Times New Roman" w:cs="Times New Roman"/>
          <w:i/>
        </w:rPr>
        <w:t>euro</w:t>
      </w:r>
      <w:proofErr w:type="spellEnd"/>
      <w:r w:rsidR="00071293" w:rsidRPr="008359BF">
        <w:rPr>
          <w:rFonts w:eastAsia="Times New Roman" w:cs="Times New Roman"/>
        </w:rPr>
        <w:t>.</w:t>
      </w:r>
    </w:p>
    <w:p w14:paraId="339EF95F" w14:textId="7AD5D2B2" w:rsidR="00071293" w:rsidRPr="00FD1578" w:rsidRDefault="006B0A1E" w:rsidP="008349F0">
      <w:pPr>
        <w:widowControl w:val="0"/>
        <w:rPr>
          <w:rFonts w:ascii="Calibri" w:eastAsia="Calibri" w:hAnsi="Calibri" w:cs="Calibri"/>
          <w:sz w:val="22"/>
        </w:rPr>
      </w:pPr>
      <w:r w:rsidRPr="008359BF">
        <w:rPr>
          <w:rFonts w:eastAsia="Times New Roman" w:cs="Times New Roman"/>
        </w:rPr>
        <w:t>L</w:t>
      </w:r>
      <w:r w:rsidR="00071293" w:rsidRPr="008359BF">
        <w:rPr>
          <w:rFonts w:eastAsia="Times New Roman" w:cs="Times New Roman"/>
        </w:rPr>
        <w:t>ai aprēķinātu maksimāli pieļaujamos valsts budžeta izdevumus, no prognozētajiem valsts budžeta ieņēmumiem</w:t>
      </w:r>
      <w:r w:rsidRPr="008359BF">
        <w:rPr>
          <w:rFonts w:eastAsia="Times New Roman" w:cs="Times New Roman"/>
        </w:rPr>
        <w:t xml:space="preserve"> tiek atskaitīta</w:t>
      </w:r>
      <w:r w:rsidR="00071293" w:rsidRPr="008359BF">
        <w:rPr>
          <w:rFonts w:eastAsia="Times New Roman" w:cs="Times New Roman"/>
        </w:rPr>
        <w:t xml:space="preserve"> iepriekš aprēķināt</w:t>
      </w:r>
      <w:r w:rsidRPr="008359BF">
        <w:rPr>
          <w:rFonts w:eastAsia="Times New Roman" w:cs="Times New Roman"/>
        </w:rPr>
        <w:t>ā</w:t>
      </w:r>
      <w:r w:rsidR="00071293" w:rsidRPr="008359BF">
        <w:rPr>
          <w:rFonts w:eastAsia="Times New Roman" w:cs="Times New Roman"/>
        </w:rPr>
        <w:t xml:space="preserve"> valsts budžeta bilanc</w:t>
      </w:r>
      <w:r w:rsidRPr="008359BF">
        <w:rPr>
          <w:rFonts w:eastAsia="Times New Roman" w:cs="Times New Roman"/>
        </w:rPr>
        <w:t>e</w:t>
      </w:r>
      <w:r w:rsidR="00071293" w:rsidRPr="008359BF">
        <w:rPr>
          <w:rFonts w:eastAsia="Times New Roman" w:cs="Times New Roman"/>
        </w:rPr>
        <w:t xml:space="preserve">. Tādejādi, </w:t>
      </w:r>
      <w:r w:rsidRPr="008359BF">
        <w:rPr>
          <w:rFonts w:eastAsia="Times New Roman" w:cs="Times New Roman"/>
        </w:rPr>
        <w:t>tiek iegūti</w:t>
      </w:r>
      <w:r w:rsidR="00071293" w:rsidRPr="008359BF">
        <w:rPr>
          <w:rFonts w:eastAsia="Times New Roman" w:cs="Times New Roman"/>
        </w:rPr>
        <w:t xml:space="preserve"> maksimāli pieļaujam</w:t>
      </w:r>
      <w:r w:rsidRPr="008359BF">
        <w:rPr>
          <w:rFonts w:eastAsia="Times New Roman" w:cs="Times New Roman"/>
        </w:rPr>
        <w:t>ie</w:t>
      </w:r>
      <w:r w:rsidR="00071293" w:rsidRPr="008359BF">
        <w:rPr>
          <w:rFonts w:eastAsia="Times New Roman" w:cs="Times New Roman"/>
        </w:rPr>
        <w:t xml:space="preserve"> valsts budžeta izdevum</w:t>
      </w:r>
      <w:r w:rsidRPr="008359BF">
        <w:rPr>
          <w:rFonts w:eastAsia="Times New Roman" w:cs="Times New Roman"/>
        </w:rPr>
        <w:t>i</w:t>
      </w:r>
      <w:r w:rsidR="00071293" w:rsidRPr="008359BF">
        <w:rPr>
          <w:rFonts w:eastAsia="Times New Roman" w:cs="Times New Roman"/>
        </w:rPr>
        <w:t>, kas 202</w:t>
      </w:r>
      <w:r w:rsidR="004B6D79" w:rsidRPr="008359BF">
        <w:rPr>
          <w:rFonts w:eastAsia="Times New Roman" w:cs="Times New Roman"/>
        </w:rPr>
        <w:t>5</w:t>
      </w:r>
      <w:r w:rsidR="00071293" w:rsidRPr="008359BF">
        <w:rPr>
          <w:rFonts w:eastAsia="Times New Roman" w:cs="Times New Roman"/>
        </w:rPr>
        <w:t>.</w:t>
      </w:r>
      <w:r w:rsidR="000226D6" w:rsidRPr="008359BF">
        <w:rPr>
          <w:rFonts w:eastAsia="Times New Roman" w:cs="Times New Roman"/>
        </w:rPr>
        <w:t xml:space="preserve"> </w:t>
      </w:r>
      <w:r w:rsidR="00071293" w:rsidRPr="008359BF">
        <w:rPr>
          <w:rFonts w:eastAsia="Times New Roman" w:cs="Times New Roman"/>
        </w:rPr>
        <w:t xml:space="preserve">gadā ir </w:t>
      </w:r>
      <w:r w:rsidR="008359BF" w:rsidRPr="008359BF">
        <w:rPr>
          <w:rFonts w:eastAsia="Times New Roman" w:cs="Times New Roman"/>
        </w:rPr>
        <w:t>17 137,7</w:t>
      </w:r>
      <w:r w:rsidR="00071293" w:rsidRPr="008359BF">
        <w:rPr>
          <w:rFonts w:eastAsia="Times New Roman" w:cs="Times New Roman"/>
        </w:rPr>
        <w:t xml:space="preserve"> milj. </w:t>
      </w:r>
      <w:proofErr w:type="spellStart"/>
      <w:r w:rsidR="00071293" w:rsidRPr="008359BF">
        <w:rPr>
          <w:rFonts w:eastAsia="Times New Roman" w:cs="Times New Roman"/>
          <w:i/>
        </w:rPr>
        <w:t>euro</w:t>
      </w:r>
      <w:proofErr w:type="spellEnd"/>
      <w:r w:rsidR="00071293" w:rsidRPr="008359BF">
        <w:rPr>
          <w:rFonts w:eastAsia="Times New Roman" w:cs="Times New Roman"/>
        </w:rPr>
        <w:t>, 202</w:t>
      </w:r>
      <w:r w:rsidR="004B6D79" w:rsidRPr="008359BF">
        <w:rPr>
          <w:rFonts w:eastAsia="Times New Roman" w:cs="Times New Roman"/>
        </w:rPr>
        <w:t>6</w:t>
      </w:r>
      <w:r w:rsidR="00071293" w:rsidRPr="008359BF">
        <w:rPr>
          <w:rFonts w:eastAsia="Times New Roman" w:cs="Times New Roman"/>
        </w:rPr>
        <w:t>.</w:t>
      </w:r>
      <w:r w:rsidR="000226D6" w:rsidRPr="008359BF">
        <w:rPr>
          <w:rFonts w:eastAsia="Times New Roman" w:cs="Times New Roman"/>
        </w:rPr>
        <w:t xml:space="preserve"> </w:t>
      </w:r>
      <w:r w:rsidR="00071293" w:rsidRPr="008359BF">
        <w:rPr>
          <w:rFonts w:eastAsia="Times New Roman" w:cs="Times New Roman"/>
        </w:rPr>
        <w:t xml:space="preserve">gadā ir </w:t>
      </w:r>
      <w:r w:rsidR="008359BF" w:rsidRPr="008359BF">
        <w:rPr>
          <w:rFonts w:eastAsia="Times New Roman" w:cs="Times New Roman"/>
        </w:rPr>
        <w:t>17 342,8</w:t>
      </w:r>
      <w:r w:rsidR="00071293" w:rsidRPr="008359BF">
        <w:rPr>
          <w:rFonts w:eastAsia="Times New Roman" w:cs="Times New Roman"/>
        </w:rPr>
        <w:t xml:space="preserve"> milj. </w:t>
      </w:r>
      <w:proofErr w:type="spellStart"/>
      <w:r w:rsidR="00071293" w:rsidRPr="008359BF">
        <w:rPr>
          <w:rFonts w:eastAsia="Times New Roman" w:cs="Times New Roman"/>
          <w:i/>
        </w:rPr>
        <w:t>euro</w:t>
      </w:r>
      <w:proofErr w:type="spellEnd"/>
      <w:r w:rsidR="004B6D79" w:rsidRPr="008359BF">
        <w:rPr>
          <w:rFonts w:eastAsia="Times New Roman" w:cs="Times New Roman"/>
        </w:rPr>
        <w:t xml:space="preserve"> </w:t>
      </w:r>
      <w:r w:rsidR="00071293" w:rsidRPr="008359BF">
        <w:rPr>
          <w:rFonts w:eastAsia="Times New Roman" w:cs="Times New Roman"/>
        </w:rPr>
        <w:t>un 202</w:t>
      </w:r>
      <w:r w:rsidR="004B6D79" w:rsidRPr="008359BF">
        <w:rPr>
          <w:rFonts w:eastAsia="Times New Roman" w:cs="Times New Roman"/>
        </w:rPr>
        <w:t>7</w:t>
      </w:r>
      <w:r w:rsidR="00071293" w:rsidRPr="008359BF">
        <w:rPr>
          <w:rFonts w:eastAsia="Times New Roman" w:cs="Times New Roman"/>
        </w:rPr>
        <w:t>.</w:t>
      </w:r>
      <w:r w:rsidR="000226D6" w:rsidRPr="008359BF">
        <w:rPr>
          <w:rFonts w:eastAsia="Times New Roman" w:cs="Times New Roman"/>
        </w:rPr>
        <w:t xml:space="preserve"> </w:t>
      </w:r>
      <w:r w:rsidR="00071293" w:rsidRPr="008359BF">
        <w:rPr>
          <w:rFonts w:eastAsia="Times New Roman" w:cs="Times New Roman"/>
        </w:rPr>
        <w:t xml:space="preserve">gadā attiecīgi </w:t>
      </w:r>
      <w:r w:rsidR="00EE1956" w:rsidRPr="008359BF">
        <w:rPr>
          <w:rFonts w:eastAsia="Times New Roman" w:cs="Times New Roman"/>
        </w:rPr>
        <w:t>1</w:t>
      </w:r>
      <w:r w:rsidR="008359BF" w:rsidRPr="008359BF">
        <w:rPr>
          <w:rFonts w:eastAsia="Times New Roman" w:cs="Times New Roman"/>
        </w:rPr>
        <w:t>7 070,7</w:t>
      </w:r>
      <w:r w:rsidR="00071293" w:rsidRPr="008359BF">
        <w:rPr>
          <w:rFonts w:eastAsia="Times New Roman" w:cs="Times New Roman"/>
        </w:rPr>
        <w:t xml:space="preserve"> milj. </w:t>
      </w:r>
      <w:proofErr w:type="spellStart"/>
      <w:r w:rsidR="00071293" w:rsidRPr="008359BF">
        <w:rPr>
          <w:rFonts w:eastAsia="Times New Roman" w:cs="Times New Roman"/>
          <w:i/>
        </w:rPr>
        <w:t>euro</w:t>
      </w:r>
      <w:proofErr w:type="spellEnd"/>
      <w:r w:rsidR="00071293" w:rsidRPr="008359BF">
        <w:rPr>
          <w:rFonts w:eastAsia="Times New Roman" w:cs="Times New Roman"/>
        </w:rPr>
        <w:t>.</w:t>
      </w:r>
    </w:p>
    <w:p w14:paraId="74D18AAC" w14:textId="37D56E7B" w:rsidR="00071293" w:rsidRPr="00FD1578" w:rsidRDefault="00775F9E" w:rsidP="008349F0">
      <w:pPr>
        <w:widowControl w:val="0"/>
        <w:rPr>
          <w:rFonts w:ascii="Calibri" w:eastAsia="Calibri" w:hAnsi="Calibri" w:cs="Calibri"/>
          <w:sz w:val="22"/>
        </w:rPr>
      </w:pPr>
      <w:r w:rsidRPr="00FD1578">
        <w:rPr>
          <w:rFonts w:eastAsia="Times New Roman" w:cs="Times New Roman"/>
        </w:rPr>
        <w:t>Lai aprēķinātu koriģētos maksimāli pieļaujamos valsts budžeta izdevumus saskaņā ar FDL</w:t>
      </w:r>
      <w:r w:rsidR="00B93389" w:rsidRPr="00FD1578">
        <w:rPr>
          <w:rFonts w:eastAsia="Times New Roman" w:cs="Times New Roman"/>
        </w:rPr>
        <w:t xml:space="preserve"> </w:t>
      </w:r>
      <w:r w:rsidRPr="00FD1578">
        <w:rPr>
          <w:rFonts w:eastAsia="Times New Roman" w:cs="Times New Roman"/>
        </w:rPr>
        <w:t xml:space="preserve">no maksimāli pieļaujamajiem valsts budžeta izdevumiem tiek atskaitīti izlīdzinātie izdevumi, kurus nosaka FDL 18. pants. </w:t>
      </w:r>
      <w:r w:rsidR="00071293" w:rsidRPr="00FD1578">
        <w:rPr>
          <w:rFonts w:eastAsia="Times New Roman" w:cs="Times New Roman"/>
        </w:rPr>
        <w:t xml:space="preserve">Atbilstoši </w:t>
      </w:r>
      <w:r w:rsidR="00623500" w:rsidRPr="00FD1578">
        <w:rPr>
          <w:rFonts w:eastAsia="Times New Roman" w:cs="Times New Roman"/>
        </w:rPr>
        <w:t>FDL</w:t>
      </w:r>
      <w:r w:rsidR="00071293" w:rsidRPr="00FD1578">
        <w:rPr>
          <w:rFonts w:eastAsia="Times New Roman" w:cs="Times New Roman"/>
        </w:rPr>
        <w:t xml:space="preserve"> 18.</w:t>
      </w:r>
      <w:r w:rsidR="000226D6" w:rsidRPr="00FD1578">
        <w:rPr>
          <w:rFonts w:eastAsia="Times New Roman" w:cs="Times New Roman"/>
        </w:rPr>
        <w:t xml:space="preserve"> </w:t>
      </w:r>
      <w:r w:rsidR="00071293" w:rsidRPr="00FD1578">
        <w:rPr>
          <w:rFonts w:eastAsia="Times New Roman" w:cs="Times New Roman"/>
        </w:rPr>
        <w:t xml:space="preserve">panta otrajā daļā noteiktajam, izdevumu izlīdzināšana tiek piemērota: </w:t>
      </w:r>
    </w:p>
    <w:p w14:paraId="25C1EE88" w14:textId="0CA7E017" w:rsidR="00071293" w:rsidRPr="00FD1578" w:rsidRDefault="00775F9E" w:rsidP="008349F0">
      <w:pPr>
        <w:pStyle w:val="ListParagraph"/>
        <w:widowControl w:val="0"/>
        <w:numPr>
          <w:ilvl w:val="0"/>
          <w:numId w:val="11"/>
        </w:numPr>
        <w:rPr>
          <w:rFonts w:eastAsia="Times New Roman" w:cs="Times New Roman"/>
        </w:rPr>
      </w:pPr>
      <w:r w:rsidRPr="00FD1578">
        <w:rPr>
          <w:rFonts w:eastAsia="Times New Roman" w:cs="Times New Roman"/>
        </w:rPr>
        <w:t>ES</w:t>
      </w:r>
      <w:r w:rsidR="00071293" w:rsidRPr="00FD1578">
        <w:rPr>
          <w:rFonts w:eastAsia="Times New Roman" w:cs="Times New Roman"/>
        </w:rPr>
        <w:t xml:space="preserve"> struktūrfondu, Kohēzijas fonda, kopējās lauksaimniecības politikas un kopējās zivsaimniecības politikas izdevumiem; </w:t>
      </w:r>
    </w:p>
    <w:p w14:paraId="2E0039C7" w14:textId="1D3644FD" w:rsidR="00775F9E" w:rsidRPr="00FD1578" w:rsidRDefault="00071293" w:rsidP="008349F0">
      <w:pPr>
        <w:pStyle w:val="ListParagraph"/>
        <w:widowControl w:val="0"/>
        <w:numPr>
          <w:ilvl w:val="0"/>
          <w:numId w:val="11"/>
        </w:numPr>
        <w:rPr>
          <w:rFonts w:eastAsia="Times New Roman" w:cs="Times New Roman"/>
        </w:rPr>
      </w:pPr>
      <w:r w:rsidRPr="00FD1578">
        <w:rPr>
          <w:rFonts w:eastAsia="Times New Roman" w:cs="Times New Roman"/>
        </w:rPr>
        <w:t xml:space="preserve">valsts budžeta izdevumiem, kas saistīti ar tās valsts parāda daļas apkalpošanu, kura ietilpst Valsts kases kompetencē. </w:t>
      </w:r>
    </w:p>
    <w:p w14:paraId="5BBC0B6F" w14:textId="5DFE72C3" w:rsidR="00775F9E" w:rsidRPr="00FD1578" w:rsidRDefault="00775F9E" w:rsidP="008349F0">
      <w:pPr>
        <w:widowControl w:val="0"/>
        <w:rPr>
          <w:rFonts w:eastAsia="Times New Roman" w:cs="Times New Roman"/>
        </w:rPr>
      </w:pPr>
      <w:r w:rsidRPr="00FD1578">
        <w:rPr>
          <w:rFonts w:eastAsia="Times New Roman" w:cs="Times New Roman"/>
        </w:rPr>
        <w:t xml:space="preserve">Lai arī FDL to neparedz, izlīdzināmo izdevumu grupā šajā likumā tiek ietverts arī </w:t>
      </w:r>
      <w:r w:rsidR="00E816F1">
        <w:rPr>
          <w:rFonts w:eastAsia="Times New Roman" w:cs="Times New Roman"/>
        </w:rPr>
        <w:t>ANM</w:t>
      </w:r>
      <w:r w:rsidR="00B93389" w:rsidRPr="00FD1578">
        <w:rPr>
          <w:rFonts w:eastAsia="Times New Roman" w:cs="Times New Roman"/>
        </w:rPr>
        <w:t xml:space="preserve"> </w:t>
      </w:r>
      <w:r w:rsidRPr="00FD1578">
        <w:rPr>
          <w:rFonts w:eastAsia="Times New Roman" w:cs="Times New Roman"/>
        </w:rPr>
        <w:lastRenderedPageBreak/>
        <w:t xml:space="preserve">un Taisnīgas pārkārtošanās fonds. Šie </w:t>
      </w:r>
      <w:r w:rsidR="001E733F">
        <w:rPr>
          <w:rFonts w:eastAsia="Times New Roman" w:cs="Times New Roman"/>
        </w:rPr>
        <w:t>ES fondi</w:t>
      </w:r>
      <w:r w:rsidRPr="00FD1578">
        <w:rPr>
          <w:rFonts w:eastAsia="Times New Roman" w:cs="Times New Roman"/>
        </w:rPr>
        <w:t xml:space="preserve"> ir jauni un tāpēc tie nebija paredzēti izstrādājot FDL, </w:t>
      </w:r>
      <w:r w:rsidR="001E733F">
        <w:rPr>
          <w:rFonts w:eastAsia="Times New Roman" w:cs="Times New Roman"/>
        </w:rPr>
        <w:t>t</w:t>
      </w:r>
      <w:r w:rsidRPr="00FD1578">
        <w:rPr>
          <w:rFonts w:eastAsia="Times New Roman" w:cs="Times New Roman"/>
        </w:rPr>
        <w:t>omēr pēc sava rakstura tie atbilst tiem gadījumiem, kad FDL paredzēja izdevumu izlīdzināšanu.</w:t>
      </w:r>
    </w:p>
    <w:p w14:paraId="095720BF" w14:textId="22086DA0" w:rsidR="00071293" w:rsidRPr="00FD1578" w:rsidRDefault="000226D6" w:rsidP="008349F0">
      <w:pPr>
        <w:widowControl w:val="0"/>
        <w:rPr>
          <w:rFonts w:eastAsia="Times New Roman" w:cs="Times New Roman"/>
        </w:rPr>
      </w:pPr>
      <w:r w:rsidRPr="00FD1578">
        <w:rPr>
          <w:rFonts w:eastAsia="Times New Roman" w:cs="Times New Roman"/>
        </w:rPr>
        <w:t xml:space="preserve">Izdevumu izlīdzināšana </w:t>
      </w:r>
      <w:r w:rsidR="00775F9E" w:rsidRPr="00FD1578">
        <w:rPr>
          <w:rFonts w:eastAsia="Times New Roman" w:cs="Times New Roman"/>
        </w:rPr>
        <w:t>ES</w:t>
      </w:r>
      <w:r w:rsidR="00071293" w:rsidRPr="00FD1578">
        <w:rPr>
          <w:rFonts w:eastAsia="Times New Roman" w:cs="Times New Roman"/>
        </w:rPr>
        <w:t xml:space="preserve"> struktūrfondu</w:t>
      </w:r>
      <w:r w:rsidR="00775F9E" w:rsidRPr="00FD1578">
        <w:rPr>
          <w:rFonts w:eastAsia="Times New Roman" w:cs="Times New Roman"/>
        </w:rPr>
        <w:t>,</w:t>
      </w:r>
      <w:r w:rsidR="00EA07A8" w:rsidRPr="00FD1578">
        <w:rPr>
          <w:rFonts w:eastAsia="Times New Roman" w:cs="Times New Roman"/>
        </w:rPr>
        <w:t xml:space="preserve"> </w:t>
      </w:r>
      <w:r w:rsidR="00E816F1">
        <w:rPr>
          <w:rFonts w:eastAsia="Times New Roman" w:cs="Times New Roman"/>
        </w:rPr>
        <w:t>ANM</w:t>
      </w:r>
      <w:r w:rsidR="00EA07A8" w:rsidRPr="00FD1578">
        <w:rPr>
          <w:rFonts w:eastAsia="Times New Roman" w:cs="Times New Roman"/>
        </w:rPr>
        <w:t xml:space="preserve">, </w:t>
      </w:r>
      <w:r w:rsidR="00EA07A8" w:rsidRPr="00FD1578">
        <w:rPr>
          <w:rFonts w:eastAsia="Times New Roman" w:cs="Times New Roman"/>
          <w:lang w:bidi="lv-LV"/>
        </w:rPr>
        <w:t>Taisnīgas pārkārtošanās fond</w:t>
      </w:r>
      <w:r w:rsidR="00775F9E" w:rsidRPr="00FD1578">
        <w:rPr>
          <w:rFonts w:eastAsia="Times New Roman" w:cs="Times New Roman"/>
          <w:lang w:bidi="lv-LV"/>
        </w:rPr>
        <w:t>a</w:t>
      </w:r>
      <w:r w:rsidR="00071293" w:rsidRPr="00FD1578">
        <w:rPr>
          <w:rFonts w:eastAsia="Times New Roman" w:cs="Times New Roman"/>
        </w:rPr>
        <w:t>, Kohēzijas fonda, kopējās lauksaimniecības politikas un kopējās zivsaimniecības politik</w:t>
      </w:r>
      <w:r w:rsidRPr="00FD1578">
        <w:rPr>
          <w:rFonts w:eastAsia="Times New Roman" w:cs="Times New Roman"/>
        </w:rPr>
        <w:t>as izdevumiem tiek veikta 2014.</w:t>
      </w:r>
      <w:r w:rsidR="004B6D79" w:rsidRPr="00FD1578">
        <w:rPr>
          <w:rFonts w:eastAsia="Times New Roman" w:cs="Times New Roman"/>
        </w:rPr>
        <w:t xml:space="preserve"> – </w:t>
      </w:r>
      <w:r w:rsidR="00071293" w:rsidRPr="00FD1578">
        <w:rPr>
          <w:rFonts w:eastAsia="Times New Roman" w:cs="Times New Roman"/>
        </w:rPr>
        <w:t>2020.</w:t>
      </w:r>
      <w:r w:rsidRPr="00FD1578">
        <w:rPr>
          <w:rFonts w:eastAsia="Times New Roman" w:cs="Times New Roman"/>
        </w:rPr>
        <w:t xml:space="preserve"> </w:t>
      </w:r>
      <w:r w:rsidR="00071293" w:rsidRPr="00FD1578">
        <w:rPr>
          <w:rFonts w:eastAsia="Times New Roman" w:cs="Times New Roman"/>
        </w:rPr>
        <w:t>gada un 2021.</w:t>
      </w:r>
      <w:r w:rsidR="004B6D79" w:rsidRPr="00FD1578">
        <w:rPr>
          <w:rFonts w:eastAsia="Times New Roman" w:cs="Times New Roman"/>
        </w:rPr>
        <w:t xml:space="preserve"> – </w:t>
      </w:r>
      <w:r w:rsidR="00071293" w:rsidRPr="00FD1578">
        <w:rPr>
          <w:rFonts w:eastAsia="Times New Roman" w:cs="Times New Roman"/>
        </w:rPr>
        <w:t>2027.</w:t>
      </w:r>
      <w:r w:rsidRPr="00FD1578">
        <w:rPr>
          <w:rFonts w:eastAsia="Times New Roman" w:cs="Times New Roman"/>
        </w:rPr>
        <w:t xml:space="preserve"> gada </w:t>
      </w:r>
      <w:r w:rsidR="00775F9E" w:rsidRPr="00FD1578">
        <w:rPr>
          <w:rFonts w:eastAsia="Times New Roman" w:cs="Times New Roman"/>
        </w:rPr>
        <w:t>ES</w:t>
      </w:r>
      <w:r w:rsidR="00071293" w:rsidRPr="00FD1578">
        <w:rPr>
          <w:rFonts w:eastAsia="Times New Roman" w:cs="Times New Roman"/>
        </w:rPr>
        <w:t xml:space="preserve"> plānošanas periodam.</w:t>
      </w:r>
    </w:p>
    <w:p w14:paraId="6B7A19BF" w14:textId="550AD52C" w:rsidR="00775F9E" w:rsidRPr="00FD1578" w:rsidRDefault="00775F9E" w:rsidP="008349F0">
      <w:pPr>
        <w:widowControl w:val="0"/>
        <w:rPr>
          <w:rFonts w:eastAsia="Times New Roman" w:cs="Times New Roman"/>
        </w:rPr>
      </w:pPr>
      <w:r w:rsidRPr="00FD1578">
        <w:rPr>
          <w:rFonts w:eastAsia="Times New Roman" w:cs="Times New Roman"/>
        </w:rPr>
        <w:t>Kā jau tika minēts augstāk, 202</w:t>
      </w:r>
      <w:r w:rsidR="004B6D79" w:rsidRPr="00FD1578">
        <w:rPr>
          <w:rFonts w:eastAsia="Times New Roman" w:cs="Times New Roman"/>
        </w:rPr>
        <w:t>5</w:t>
      </w:r>
      <w:r w:rsidR="00DD0CA7" w:rsidRPr="00FD1578">
        <w:rPr>
          <w:rFonts w:eastAsia="Times New Roman" w:cs="Times New Roman"/>
        </w:rPr>
        <w:t>.</w:t>
      </w:r>
      <w:r w:rsidR="004B6D79" w:rsidRPr="00FD1578">
        <w:rPr>
          <w:rFonts w:eastAsia="Times New Roman" w:cs="Times New Roman"/>
        </w:rPr>
        <w:t xml:space="preserve"> – </w:t>
      </w:r>
      <w:r w:rsidRPr="00FD1578">
        <w:rPr>
          <w:rFonts w:eastAsia="Times New Roman" w:cs="Times New Roman"/>
        </w:rPr>
        <w:t>202</w:t>
      </w:r>
      <w:r w:rsidR="00D57548" w:rsidRPr="00FD1578">
        <w:rPr>
          <w:rFonts w:eastAsia="Times New Roman" w:cs="Times New Roman"/>
        </w:rPr>
        <w:t>7</w:t>
      </w:r>
      <w:r w:rsidRPr="00FD1578">
        <w:rPr>
          <w:rFonts w:eastAsia="Times New Roman" w:cs="Times New Roman"/>
        </w:rPr>
        <w:t>. gadā izlīdzināto izdevumu apmērs tiek noteikts attiecīgajā gadā faktiski attiecīgajos fondos prognozēto izdevumu apmērā.</w:t>
      </w:r>
    </w:p>
    <w:p w14:paraId="463AA36E" w14:textId="1F0ED127" w:rsidR="00775F9E" w:rsidRPr="00FD1578" w:rsidRDefault="00775F9E" w:rsidP="008349F0">
      <w:pPr>
        <w:widowControl w:val="0"/>
        <w:rPr>
          <w:rFonts w:eastAsia="Times New Roman" w:cs="Times New Roman"/>
        </w:rPr>
      </w:pPr>
      <w:r w:rsidRPr="00FD1578">
        <w:rPr>
          <w:rFonts w:eastAsia="Times New Roman" w:cs="Times New Roman"/>
        </w:rPr>
        <w:t>Pēc izlīdzināto izdevumu noteikšanas ir iespējams noteikt koriģētos maksimāli pieļaujamos valsts budžeta izdevumus, no maksimāli pieļaujamiem valsts budžeta izdevumiem atskaitot izlīdzināto izdevumu apmēru. Koriģētie maksimāli pieļaujamie valsts budžeta izdevumi 202</w:t>
      </w:r>
      <w:r w:rsidR="004B6D79" w:rsidRPr="00FD1578">
        <w:rPr>
          <w:rFonts w:eastAsia="Times New Roman" w:cs="Times New Roman"/>
        </w:rPr>
        <w:t>5</w:t>
      </w:r>
      <w:r w:rsidRPr="00FD1578">
        <w:rPr>
          <w:rFonts w:eastAsia="Times New Roman" w:cs="Times New Roman"/>
        </w:rPr>
        <w:t xml:space="preserve">. gadā ir </w:t>
      </w:r>
      <w:r w:rsidR="001E733F">
        <w:rPr>
          <w:rFonts w:eastAsia="Times New Roman" w:cs="Times New Roman"/>
        </w:rPr>
        <w:t>14 455,6</w:t>
      </w:r>
      <w:r w:rsidRPr="00FD1578">
        <w:rPr>
          <w:rFonts w:eastAsia="Times New Roman" w:cs="Times New Roman"/>
        </w:rPr>
        <w:t xml:space="preserve"> milj. </w:t>
      </w:r>
      <w:proofErr w:type="spellStart"/>
      <w:r w:rsidRPr="00FD1578">
        <w:rPr>
          <w:rFonts w:eastAsia="Times New Roman" w:cs="Times New Roman"/>
          <w:i/>
          <w:iCs/>
        </w:rPr>
        <w:t>euro</w:t>
      </w:r>
      <w:proofErr w:type="spellEnd"/>
      <w:r w:rsidRPr="00FD1578">
        <w:rPr>
          <w:rFonts w:eastAsia="Times New Roman" w:cs="Times New Roman"/>
        </w:rPr>
        <w:t>, 202</w:t>
      </w:r>
      <w:r w:rsidR="004B6D79" w:rsidRPr="00FD1578">
        <w:rPr>
          <w:rFonts w:eastAsia="Times New Roman" w:cs="Times New Roman"/>
        </w:rPr>
        <w:t>6</w:t>
      </w:r>
      <w:r w:rsidRPr="00FD1578">
        <w:rPr>
          <w:rFonts w:eastAsia="Times New Roman" w:cs="Times New Roman"/>
        </w:rPr>
        <w:t xml:space="preserve">. gadā ir </w:t>
      </w:r>
      <w:r w:rsidR="001E733F">
        <w:rPr>
          <w:rFonts w:eastAsia="Times New Roman" w:cs="Times New Roman"/>
        </w:rPr>
        <w:t>14 630,8</w:t>
      </w:r>
      <w:r w:rsidRPr="00FD1578">
        <w:rPr>
          <w:rFonts w:eastAsia="Times New Roman" w:cs="Times New Roman"/>
        </w:rPr>
        <w:t xml:space="preserve"> milj. </w:t>
      </w:r>
      <w:proofErr w:type="spellStart"/>
      <w:r w:rsidRPr="00FD1578">
        <w:rPr>
          <w:rFonts w:eastAsia="Times New Roman" w:cs="Times New Roman"/>
          <w:i/>
          <w:iCs/>
        </w:rPr>
        <w:t>euro</w:t>
      </w:r>
      <w:proofErr w:type="spellEnd"/>
      <w:r w:rsidR="00D57548" w:rsidRPr="00FD1578">
        <w:rPr>
          <w:rFonts w:eastAsia="Times New Roman" w:cs="Times New Roman"/>
        </w:rPr>
        <w:t xml:space="preserve"> un </w:t>
      </w:r>
      <w:r w:rsidRPr="00FD1578">
        <w:rPr>
          <w:rFonts w:eastAsia="Times New Roman" w:cs="Times New Roman"/>
        </w:rPr>
        <w:t>202</w:t>
      </w:r>
      <w:r w:rsidR="00D57548" w:rsidRPr="00FD1578">
        <w:rPr>
          <w:rFonts w:eastAsia="Times New Roman" w:cs="Times New Roman"/>
        </w:rPr>
        <w:t>7</w:t>
      </w:r>
      <w:r w:rsidRPr="00FD1578">
        <w:rPr>
          <w:rFonts w:eastAsia="Times New Roman" w:cs="Times New Roman"/>
        </w:rPr>
        <w:t xml:space="preserve">. gadā attiecīgi </w:t>
      </w:r>
      <w:r w:rsidR="00EE1956" w:rsidRPr="00FD1578">
        <w:rPr>
          <w:rFonts w:eastAsia="Times New Roman" w:cs="Times New Roman"/>
        </w:rPr>
        <w:t>1</w:t>
      </w:r>
      <w:r w:rsidR="001E733F">
        <w:rPr>
          <w:rFonts w:eastAsia="Times New Roman" w:cs="Times New Roman"/>
        </w:rPr>
        <w:t>4 821,6</w:t>
      </w:r>
      <w:r w:rsidRPr="00FD1578">
        <w:rPr>
          <w:rFonts w:eastAsia="Times New Roman" w:cs="Times New Roman"/>
        </w:rPr>
        <w:t xml:space="preserve"> milj. </w:t>
      </w:r>
      <w:proofErr w:type="spellStart"/>
      <w:r w:rsidRPr="00FD1578">
        <w:rPr>
          <w:rFonts w:eastAsia="Times New Roman" w:cs="Times New Roman"/>
          <w:i/>
          <w:iCs/>
        </w:rPr>
        <w:t>euro</w:t>
      </w:r>
      <w:proofErr w:type="spellEnd"/>
      <w:r w:rsidRPr="00FD1578">
        <w:rPr>
          <w:rFonts w:eastAsia="Times New Roman" w:cs="Times New Roman"/>
        </w:rPr>
        <w:t>.</w:t>
      </w:r>
    </w:p>
    <w:p w14:paraId="529C944B" w14:textId="6137AE0A" w:rsidR="00775F9E" w:rsidRPr="00FD1578" w:rsidRDefault="00775F9E" w:rsidP="008349F0">
      <w:pPr>
        <w:widowControl w:val="0"/>
        <w:rPr>
          <w:rFonts w:ascii="Calibri" w:eastAsia="Calibri" w:hAnsi="Calibri" w:cs="Calibri"/>
          <w:sz w:val="22"/>
        </w:rPr>
      </w:pPr>
      <w:r w:rsidRPr="00FD1578">
        <w:rPr>
          <w:rFonts w:eastAsia="Times New Roman" w:cs="Times New Roman"/>
        </w:rPr>
        <w:t xml:space="preserve">Koriģētie maksimāli pieļaujamie valsts budžeta izdevumi turpmākajiem trim gadiem ir maksimālais izdevumu slieksnis, kuru var atļauties sasniegt valsts budžetā, neskaitot ES fondu izdevumus un valsts parāda apkalpošanas izdevumus, kā arī </w:t>
      </w:r>
      <w:r w:rsidR="00EE1956" w:rsidRPr="00FD1578">
        <w:rPr>
          <w:rFonts w:eastAsia="Times New Roman" w:cs="Times New Roman"/>
        </w:rPr>
        <w:t>5</w:t>
      </w:r>
      <w:r w:rsidRPr="00FD1578">
        <w:rPr>
          <w:rFonts w:eastAsia="Times New Roman" w:cs="Times New Roman"/>
        </w:rPr>
        <w:t>. pantā noteiktos izdevumus (skat. zemāk sadaļu “Pasākumu finansēšana virs maksimāli pieļaujamiem valsts budžeta izdevumiem”).</w:t>
      </w:r>
    </w:p>
    <w:p w14:paraId="061194FA" w14:textId="12E2A4B9" w:rsidR="002F18F9" w:rsidRPr="00FD1578" w:rsidRDefault="00775F9E" w:rsidP="008349F0">
      <w:pPr>
        <w:widowControl w:val="0"/>
        <w:rPr>
          <w:rFonts w:eastAsia="Times New Roman" w:cs="Times New Roman"/>
        </w:rPr>
      </w:pPr>
      <w:r w:rsidRPr="00FD1578">
        <w:rPr>
          <w:rFonts w:eastAsia="Times New Roman" w:cs="Times New Roman"/>
        </w:rPr>
        <w:t>Maksimāli pieļaujamie valsts budžeta izdevumi atbilstoši FDL tiek noteikti pie koriģētajiem maksimāli pieļaujamajiem valsts budžeta izdevumiem pieskaitot faktiskos ES fondu un faktiskos valsts parāda apkalpošanas izdevumus. Kā parādīts 2.</w:t>
      </w:r>
      <w:r w:rsidR="008512C8">
        <w:rPr>
          <w:rFonts w:eastAsia="Times New Roman" w:cs="Times New Roman"/>
        </w:rPr>
        <w:t>1</w:t>
      </w:r>
      <w:r w:rsidR="00D57548" w:rsidRPr="00FD1578">
        <w:rPr>
          <w:rFonts w:eastAsia="Times New Roman" w:cs="Times New Roman"/>
        </w:rPr>
        <w:t>6</w:t>
      </w:r>
      <w:r w:rsidRPr="00FD1578">
        <w:rPr>
          <w:rFonts w:eastAsia="Times New Roman" w:cs="Times New Roman"/>
        </w:rPr>
        <w:t>. tabulā, maksimāli pieļaujamie valsts budžeta izdevumi atbilstoši FDL 202</w:t>
      </w:r>
      <w:r w:rsidR="00D57548" w:rsidRPr="00FD1578">
        <w:rPr>
          <w:rFonts w:eastAsia="Times New Roman" w:cs="Times New Roman"/>
        </w:rPr>
        <w:t>5</w:t>
      </w:r>
      <w:r w:rsidRPr="00FD1578">
        <w:rPr>
          <w:rFonts w:eastAsia="Times New Roman" w:cs="Times New Roman"/>
        </w:rPr>
        <w:t xml:space="preserve">. gadā ir </w:t>
      </w:r>
      <w:r w:rsidR="001E733F">
        <w:rPr>
          <w:rFonts w:eastAsia="Times New Roman" w:cs="Times New Roman"/>
        </w:rPr>
        <w:t>17 137,7</w:t>
      </w:r>
      <w:r w:rsidR="0048284B" w:rsidRPr="00FD1578">
        <w:rPr>
          <w:rFonts w:eastAsia="Times New Roman" w:cs="Times New Roman"/>
        </w:rPr>
        <w:t xml:space="preserve"> </w:t>
      </w:r>
      <w:r w:rsidRPr="00FD1578">
        <w:rPr>
          <w:rFonts w:eastAsia="Times New Roman" w:cs="Times New Roman"/>
        </w:rPr>
        <w:t xml:space="preserve">milj. </w:t>
      </w:r>
      <w:proofErr w:type="spellStart"/>
      <w:r w:rsidRPr="00FD1578">
        <w:rPr>
          <w:rFonts w:eastAsia="Times New Roman" w:cs="Times New Roman"/>
          <w:i/>
        </w:rPr>
        <w:t>euro</w:t>
      </w:r>
      <w:proofErr w:type="spellEnd"/>
      <w:r w:rsidRPr="00FD1578">
        <w:rPr>
          <w:rFonts w:eastAsia="Times New Roman" w:cs="Times New Roman"/>
        </w:rPr>
        <w:t>, 202</w:t>
      </w:r>
      <w:r w:rsidR="00D57548" w:rsidRPr="00FD1578">
        <w:rPr>
          <w:rFonts w:eastAsia="Times New Roman" w:cs="Times New Roman"/>
        </w:rPr>
        <w:t>6</w:t>
      </w:r>
      <w:r w:rsidRPr="00FD1578">
        <w:rPr>
          <w:rFonts w:eastAsia="Times New Roman" w:cs="Times New Roman"/>
        </w:rPr>
        <w:t xml:space="preserve">. gadā ir </w:t>
      </w:r>
      <w:r w:rsidR="001E733F">
        <w:rPr>
          <w:rFonts w:eastAsia="Times New Roman" w:cs="Times New Roman"/>
        </w:rPr>
        <w:t xml:space="preserve">17 342,8 </w:t>
      </w:r>
      <w:r w:rsidRPr="00FD1578">
        <w:rPr>
          <w:rFonts w:eastAsia="Times New Roman" w:cs="Times New Roman"/>
        </w:rPr>
        <w:t xml:space="preserve">milj. </w:t>
      </w:r>
      <w:proofErr w:type="spellStart"/>
      <w:r w:rsidRPr="00FD1578">
        <w:rPr>
          <w:rFonts w:eastAsia="Times New Roman" w:cs="Times New Roman"/>
          <w:i/>
        </w:rPr>
        <w:t>euro</w:t>
      </w:r>
      <w:proofErr w:type="spellEnd"/>
      <w:r w:rsidRPr="00FD1578">
        <w:rPr>
          <w:rFonts w:eastAsia="Times New Roman" w:cs="Times New Roman"/>
        </w:rPr>
        <w:t xml:space="preserve"> un 202</w:t>
      </w:r>
      <w:r w:rsidR="00D57548" w:rsidRPr="00FD1578">
        <w:rPr>
          <w:rFonts w:eastAsia="Times New Roman" w:cs="Times New Roman"/>
        </w:rPr>
        <w:t>7</w:t>
      </w:r>
      <w:r w:rsidRPr="00FD1578">
        <w:rPr>
          <w:rFonts w:eastAsia="Times New Roman" w:cs="Times New Roman"/>
        </w:rPr>
        <w:t xml:space="preserve">. gadā attiecīgi </w:t>
      </w:r>
      <w:r w:rsidR="001E733F">
        <w:rPr>
          <w:rFonts w:eastAsia="Times New Roman" w:cs="Times New Roman"/>
        </w:rPr>
        <w:t>17 070,7</w:t>
      </w:r>
      <w:r w:rsidRPr="00FD1578">
        <w:rPr>
          <w:rFonts w:eastAsia="Times New Roman" w:cs="Times New Roman"/>
        </w:rPr>
        <w:t xml:space="preserve"> milj. </w:t>
      </w:r>
      <w:proofErr w:type="spellStart"/>
      <w:r w:rsidRPr="00FD1578">
        <w:rPr>
          <w:rFonts w:eastAsia="Times New Roman" w:cs="Times New Roman"/>
          <w:i/>
        </w:rPr>
        <w:t>euro</w:t>
      </w:r>
      <w:proofErr w:type="spellEnd"/>
      <w:r w:rsidRPr="00FD1578">
        <w:rPr>
          <w:rFonts w:eastAsia="Times New Roman" w:cs="Times New Roman"/>
        </w:rPr>
        <w:t>. Savukārt, faktiskie valsts budžeta izdevumi 202</w:t>
      </w:r>
      <w:r w:rsidR="00D57548" w:rsidRPr="00FD1578">
        <w:rPr>
          <w:rFonts w:eastAsia="Times New Roman" w:cs="Times New Roman"/>
        </w:rPr>
        <w:t>5</w:t>
      </w:r>
      <w:r w:rsidRPr="00FD1578">
        <w:rPr>
          <w:rFonts w:eastAsia="Times New Roman" w:cs="Times New Roman"/>
        </w:rPr>
        <w:t xml:space="preserve">. gadā ir </w:t>
      </w:r>
      <w:r w:rsidR="001E733F">
        <w:rPr>
          <w:rFonts w:eastAsia="Times New Roman" w:cs="Times New Roman"/>
        </w:rPr>
        <w:t>17 093,4</w:t>
      </w:r>
      <w:r w:rsidRPr="00FD1578">
        <w:rPr>
          <w:rFonts w:eastAsia="Times New Roman" w:cs="Times New Roman"/>
        </w:rPr>
        <w:t xml:space="preserve"> milj. </w:t>
      </w:r>
      <w:proofErr w:type="spellStart"/>
      <w:r w:rsidRPr="00FD1578">
        <w:rPr>
          <w:rFonts w:eastAsia="Times New Roman" w:cs="Times New Roman"/>
          <w:i/>
        </w:rPr>
        <w:t>euro</w:t>
      </w:r>
      <w:proofErr w:type="spellEnd"/>
      <w:r w:rsidRPr="00FD1578">
        <w:rPr>
          <w:rFonts w:eastAsia="Times New Roman" w:cs="Times New Roman"/>
        </w:rPr>
        <w:t>, 202</w:t>
      </w:r>
      <w:r w:rsidR="00D57548" w:rsidRPr="00FD1578">
        <w:rPr>
          <w:rFonts w:eastAsia="Times New Roman" w:cs="Times New Roman"/>
        </w:rPr>
        <w:t>6</w:t>
      </w:r>
      <w:r w:rsidRPr="00FD1578">
        <w:rPr>
          <w:rFonts w:eastAsia="Times New Roman" w:cs="Times New Roman"/>
        </w:rPr>
        <w:t>.</w:t>
      </w:r>
      <w:r w:rsidR="0048284B" w:rsidRPr="00FD1578">
        <w:rPr>
          <w:rFonts w:eastAsia="Times New Roman" w:cs="Times New Roman"/>
        </w:rPr>
        <w:t xml:space="preserve"> </w:t>
      </w:r>
      <w:r w:rsidRPr="00FD1578">
        <w:rPr>
          <w:rFonts w:eastAsia="Times New Roman" w:cs="Times New Roman"/>
        </w:rPr>
        <w:t xml:space="preserve">gadā </w:t>
      </w:r>
      <w:r w:rsidR="001E733F">
        <w:rPr>
          <w:rFonts w:eastAsia="Times New Roman" w:cs="Times New Roman"/>
        </w:rPr>
        <w:t>17 296,0</w:t>
      </w:r>
      <w:r w:rsidRPr="00FD1578">
        <w:rPr>
          <w:rFonts w:eastAsia="Times New Roman" w:cs="Times New Roman"/>
        </w:rPr>
        <w:t xml:space="preserve"> milj. </w:t>
      </w:r>
      <w:proofErr w:type="spellStart"/>
      <w:r w:rsidRPr="00FD1578">
        <w:rPr>
          <w:rFonts w:eastAsia="Times New Roman" w:cs="Times New Roman"/>
          <w:i/>
        </w:rPr>
        <w:t>euro</w:t>
      </w:r>
      <w:proofErr w:type="spellEnd"/>
      <w:r w:rsidRPr="00FD1578">
        <w:rPr>
          <w:rFonts w:eastAsia="Times New Roman" w:cs="Times New Roman"/>
        </w:rPr>
        <w:t xml:space="preserve"> un 202</w:t>
      </w:r>
      <w:r w:rsidR="00D57548" w:rsidRPr="00FD1578">
        <w:rPr>
          <w:rFonts w:eastAsia="Times New Roman" w:cs="Times New Roman"/>
        </w:rPr>
        <w:t>7</w:t>
      </w:r>
      <w:r w:rsidRPr="00FD1578">
        <w:rPr>
          <w:rFonts w:eastAsia="Times New Roman" w:cs="Times New Roman"/>
        </w:rPr>
        <w:t xml:space="preserve">. gadā attiecīgi </w:t>
      </w:r>
      <w:r w:rsidR="001E733F">
        <w:rPr>
          <w:rFonts w:eastAsia="Times New Roman" w:cs="Times New Roman"/>
        </w:rPr>
        <w:t>17 021,4</w:t>
      </w:r>
      <w:r w:rsidRPr="00FD1578">
        <w:rPr>
          <w:rFonts w:eastAsia="Times New Roman" w:cs="Times New Roman"/>
        </w:rPr>
        <w:t xml:space="preserve"> milj. </w:t>
      </w:r>
      <w:proofErr w:type="spellStart"/>
      <w:r w:rsidRPr="00FD1578">
        <w:rPr>
          <w:rFonts w:eastAsia="Times New Roman" w:cs="Times New Roman"/>
          <w:i/>
        </w:rPr>
        <w:t>euro</w:t>
      </w:r>
      <w:proofErr w:type="spellEnd"/>
      <w:r w:rsidRPr="00FD1578">
        <w:rPr>
          <w:rFonts w:eastAsia="Times New Roman" w:cs="Times New Roman"/>
        </w:rPr>
        <w:t xml:space="preserve">. Starpību starp šiem diviem lielumiem, veido fiskālā nodrošinājuma rezerve un </w:t>
      </w:r>
      <w:r w:rsidRPr="001E733F">
        <w:rPr>
          <w:rFonts w:eastAsia="Times New Roman" w:cs="Times New Roman"/>
        </w:rPr>
        <w:t xml:space="preserve">vispārīgā gadījumā atlikusī fiskālā telpa pēc lēmumiem par fiskālās telpas sadali budžeta sagatavošanas procesā. Jāatzīmē, ka šogad tika sadalīta visa </w:t>
      </w:r>
      <w:r w:rsidR="00D57548" w:rsidRPr="001E733F">
        <w:rPr>
          <w:rFonts w:eastAsia="Times New Roman" w:cs="Times New Roman"/>
        </w:rPr>
        <w:t xml:space="preserve">pieejamā </w:t>
      </w:r>
      <w:r w:rsidRPr="001E733F">
        <w:rPr>
          <w:rFonts w:eastAsia="Times New Roman" w:cs="Times New Roman"/>
        </w:rPr>
        <w:t>fiskālā telp</w:t>
      </w:r>
      <w:r w:rsidR="00D12940">
        <w:rPr>
          <w:rFonts w:eastAsia="Times New Roman" w:cs="Times New Roman"/>
        </w:rPr>
        <w:t>a 2025. – 2027. gadam</w:t>
      </w:r>
      <w:r w:rsidRPr="001E733F">
        <w:rPr>
          <w:rFonts w:eastAsia="Times New Roman" w:cs="Times New Roman"/>
        </w:rPr>
        <w:t xml:space="preserve">, </w:t>
      </w:r>
      <w:r w:rsidR="0048284B" w:rsidRPr="001E733F">
        <w:rPr>
          <w:rFonts w:eastAsia="Times New Roman" w:cs="Times New Roman"/>
        </w:rPr>
        <w:t>attiecīgi</w:t>
      </w:r>
      <w:r w:rsidR="00B93389" w:rsidRPr="001E733F">
        <w:rPr>
          <w:rFonts w:eastAsia="Times New Roman" w:cs="Times New Roman"/>
        </w:rPr>
        <w:t>,</w:t>
      </w:r>
      <w:r w:rsidRPr="001E733F">
        <w:rPr>
          <w:rFonts w:eastAsia="Times New Roman" w:cs="Times New Roman"/>
        </w:rPr>
        <w:t xml:space="preserve"> atlikusī fiskālā telpa 202</w:t>
      </w:r>
      <w:r w:rsidR="00D57548" w:rsidRPr="001E733F">
        <w:rPr>
          <w:rFonts w:eastAsia="Times New Roman" w:cs="Times New Roman"/>
        </w:rPr>
        <w:t>5</w:t>
      </w:r>
      <w:r w:rsidR="0048284B" w:rsidRPr="001E733F">
        <w:rPr>
          <w:rFonts w:eastAsia="Times New Roman" w:cs="Times New Roman"/>
        </w:rPr>
        <w:t xml:space="preserve">. </w:t>
      </w:r>
      <w:r w:rsidR="00D57548" w:rsidRPr="001E733F">
        <w:rPr>
          <w:rFonts w:eastAsia="Times New Roman" w:cs="Times New Roman"/>
        </w:rPr>
        <w:t xml:space="preserve">– </w:t>
      </w:r>
      <w:r w:rsidR="0048284B" w:rsidRPr="001E733F">
        <w:rPr>
          <w:rFonts w:eastAsia="Times New Roman" w:cs="Times New Roman"/>
        </w:rPr>
        <w:t>202</w:t>
      </w:r>
      <w:r w:rsidR="00D57548" w:rsidRPr="001E733F">
        <w:rPr>
          <w:rFonts w:eastAsia="Times New Roman" w:cs="Times New Roman"/>
        </w:rPr>
        <w:t>7</w:t>
      </w:r>
      <w:r w:rsidRPr="001E733F">
        <w:rPr>
          <w:rFonts w:eastAsia="Times New Roman" w:cs="Times New Roman"/>
        </w:rPr>
        <w:t>. gadā</w:t>
      </w:r>
      <w:r w:rsidR="0048284B" w:rsidRPr="001E733F">
        <w:rPr>
          <w:rFonts w:eastAsia="Times New Roman" w:cs="Times New Roman"/>
        </w:rPr>
        <w:t xml:space="preserve"> ir nulle</w:t>
      </w:r>
      <w:r w:rsidR="00D57548" w:rsidRPr="001E733F">
        <w:rPr>
          <w:rFonts w:eastAsia="Times New Roman" w:cs="Times New Roman"/>
        </w:rPr>
        <w:t>.</w:t>
      </w:r>
      <w:r w:rsidR="005735FB">
        <w:rPr>
          <w:rFonts w:eastAsia="Times New Roman" w:cs="Times New Roman"/>
        </w:rPr>
        <w:t xml:space="preserve"> </w:t>
      </w:r>
      <w:r w:rsidRPr="00FD1578">
        <w:rPr>
          <w:rFonts w:eastAsia="Times New Roman" w:cs="Times New Roman"/>
        </w:rPr>
        <w:t xml:space="preserve"> </w:t>
      </w:r>
    </w:p>
    <w:p w14:paraId="1304BA1C" w14:textId="01E72C73" w:rsidR="002519DD" w:rsidRPr="007C07C3" w:rsidRDefault="00EE5424" w:rsidP="008349F0">
      <w:pPr>
        <w:widowControl w:val="0"/>
        <w:spacing w:before="120"/>
        <w:ind w:right="142" w:firstLine="709"/>
        <w:jc w:val="right"/>
        <w:rPr>
          <w:rFonts w:eastAsia="Times New Roman" w:cs="Times New Roman"/>
          <w:b/>
          <w:i/>
        </w:rPr>
      </w:pPr>
      <w:r w:rsidRPr="007C07C3">
        <w:rPr>
          <w:rFonts w:eastAsia="Times New Roman" w:cs="Times New Roman"/>
          <w:b/>
          <w:i/>
          <w:color w:val="000000"/>
        </w:rPr>
        <w:t>2.</w:t>
      </w:r>
      <w:r w:rsidR="005C63FF" w:rsidRPr="007C07C3">
        <w:rPr>
          <w:rFonts w:eastAsia="Times New Roman" w:cs="Times New Roman"/>
          <w:b/>
          <w:i/>
          <w:color w:val="000000"/>
        </w:rPr>
        <w:t>1</w:t>
      </w:r>
      <w:r w:rsidR="00D57548" w:rsidRPr="007C07C3">
        <w:rPr>
          <w:rFonts w:eastAsia="Times New Roman" w:cs="Times New Roman"/>
          <w:b/>
          <w:i/>
          <w:color w:val="000000"/>
        </w:rPr>
        <w:t>6</w:t>
      </w:r>
      <w:r w:rsidR="00071293" w:rsidRPr="007C07C3">
        <w:rPr>
          <w:rFonts w:eastAsia="Times New Roman" w:cs="Times New Roman"/>
          <w:b/>
          <w:i/>
          <w:color w:val="000000"/>
        </w:rPr>
        <w:t>.</w:t>
      </w:r>
      <w:r w:rsidRPr="007C07C3">
        <w:rPr>
          <w:rFonts w:eastAsia="Times New Roman" w:cs="Times New Roman"/>
          <w:b/>
          <w:i/>
          <w:color w:val="000000"/>
        </w:rPr>
        <w:t xml:space="preserve"> </w:t>
      </w:r>
      <w:r w:rsidR="00071293" w:rsidRPr="007C07C3">
        <w:rPr>
          <w:rFonts w:eastAsia="Times New Roman" w:cs="Times New Roman"/>
          <w:b/>
          <w:i/>
          <w:color w:val="000000"/>
        </w:rPr>
        <w:t xml:space="preserve">tabula. </w:t>
      </w:r>
      <w:r w:rsidR="00071293" w:rsidRPr="007C07C3">
        <w:rPr>
          <w:rFonts w:eastAsia="Times New Roman" w:cs="Times New Roman"/>
          <w:b/>
          <w:i/>
        </w:rPr>
        <w:t>Fiskālie rādītāji, kas tiek izmantoti koriģēto</w:t>
      </w:r>
      <w:r w:rsidR="00071293" w:rsidRPr="007C07C3">
        <w:rPr>
          <w:rFonts w:ascii="Calibri" w:eastAsia="Calibri" w:hAnsi="Calibri" w:cs="Calibri"/>
        </w:rPr>
        <w:t xml:space="preserve"> </w:t>
      </w:r>
      <w:r w:rsidR="00071293" w:rsidRPr="007C07C3">
        <w:rPr>
          <w:rFonts w:eastAsia="Times New Roman" w:cs="Times New Roman"/>
          <w:b/>
          <w:i/>
        </w:rPr>
        <w:t>maksimāli pieļaujamo valsts</w:t>
      </w:r>
      <w:r w:rsidR="006C5310" w:rsidRPr="007C07C3">
        <w:rPr>
          <w:rFonts w:eastAsia="Times New Roman" w:cs="Times New Roman"/>
          <w:b/>
          <w:i/>
        </w:rPr>
        <w:t xml:space="preserve"> budžeta izdevumu aprēķināšana</w:t>
      </w:r>
    </w:p>
    <w:tbl>
      <w:tblPr>
        <w:tblW w:w="9066" w:type="dxa"/>
        <w:jc w:val="center"/>
        <w:tblLook w:val="04A0" w:firstRow="1" w:lastRow="0" w:firstColumn="1" w:lastColumn="0" w:noHBand="0" w:noVBand="1"/>
      </w:tblPr>
      <w:tblGrid>
        <w:gridCol w:w="1230"/>
        <w:gridCol w:w="4599"/>
        <w:gridCol w:w="1079"/>
        <w:gridCol w:w="1079"/>
        <w:gridCol w:w="1079"/>
      </w:tblGrid>
      <w:tr w:rsidR="002519DD" w:rsidRPr="00D12940" w14:paraId="0731FD87" w14:textId="77777777" w:rsidTr="00D83C9B">
        <w:trPr>
          <w:trHeight w:val="300"/>
          <w:tblHeader/>
          <w:jc w:val="center"/>
        </w:trPr>
        <w:tc>
          <w:tcPr>
            <w:tcW w:w="1229" w:type="dxa"/>
            <w:tcBorders>
              <w:top w:val="nil"/>
              <w:left w:val="nil"/>
              <w:bottom w:val="nil"/>
              <w:right w:val="nil"/>
            </w:tcBorders>
            <w:shd w:val="clear" w:color="auto" w:fill="auto"/>
            <w:noWrap/>
            <w:vAlign w:val="bottom"/>
            <w:hideMark/>
          </w:tcPr>
          <w:p w14:paraId="23B0A7ED" w14:textId="77777777" w:rsidR="002519DD" w:rsidRPr="00D12940" w:rsidRDefault="002519DD" w:rsidP="008349F0">
            <w:pPr>
              <w:spacing w:after="0"/>
              <w:ind w:firstLine="0"/>
              <w:jc w:val="left"/>
              <w:rPr>
                <w:rFonts w:eastAsia="Times New Roman" w:cs="Times New Roman"/>
                <w:sz w:val="18"/>
                <w:szCs w:val="18"/>
              </w:rPr>
            </w:pPr>
          </w:p>
        </w:tc>
        <w:tc>
          <w:tcPr>
            <w:tcW w:w="4600"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bottom"/>
            <w:hideMark/>
          </w:tcPr>
          <w:p w14:paraId="4B2700FE" w14:textId="77777777" w:rsidR="002519DD" w:rsidRPr="00D12940" w:rsidRDefault="002519DD" w:rsidP="008349F0">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w:t>
            </w:r>
          </w:p>
        </w:tc>
        <w:tc>
          <w:tcPr>
            <w:tcW w:w="1079"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325DFE92" w14:textId="76EFCA3E" w:rsidR="002519DD" w:rsidRPr="00D12940" w:rsidRDefault="002519DD" w:rsidP="008349F0">
            <w:pPr>
              <w:spacing w:after="0"/>
              <w:ind w:firstLine="0"/>
              <w:jc w:val="center"/>
              <w:rPr>
                <w:rFonts w:eastAsia="Times New Roman" w:cs="Times New Roman"/>
                <w:b/>
                <w:bCs/>
                <w:color w:val="000000"/>
                <w:sz w:val="18"/>
                <w:szCs w:val="18"/>
              </w:rPr>
            </w:pPr>
            <w:r w:rsidRPr="00D12940">
              <w:rPr>
                <w:rFonts w:eastAsia="Times New Roman" w:cs="Times New Roman"/>
                <w:b/>
                <w:bCs/>
                <w:color w:val="000000"/>
                <w:sz w:val="18"/>
                <w:szCs w:val="18"/>
              </w:rPr>
              <w:t>202</w:t>
            </w:r>
            <w:r w:rsidR="00572387" w:rsidRPr="00D12940">
              <w:rPr>
                <w:rFonts w:eastAsia="Times New Roman" w:cs="Times New Roman"/>
                <w:b/>
                <w:bCs/>
                <w:color w:val="000000"/>
                <w:sz w:val="18"/>
                <w:szCs w:val="18"/>
              </w:rPr>
              <w:t>5</w:t>
            </w:r>
          </w:p>
        </w:tc>
        <w:tc>
          <w:tcPr>
            <w:tcW w:w="1079"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5AFBE8E6" w14:textId="682EAA2D" w:rsidR="002519DD" w:rsidRPr="00D12940" w:rsidRDefault="002519DD" w:rsidP="008349F0">
            <w:pPr>
              <w:spacing w:after="0"/>
              <w:ind w:firstLine="0"/>
              <w:jc w:val="center"/>
              <w:rPr>
                <w:rFonts w:eastAsia="Times New Roman" w:cs="Times New Roman"/>
                <w:b/>
                <w:bCs/>
                <w:color w:val="000000"/>
                <w:sz w:val="18"/>
                <w:szCs w:val="18"/>
              </w:rPr>
            </w:pPr>
            <w:r w:rsidRPr="00D12940">
              <w:rPr>
                <w:rFonts w:eastAsia="Times New Roman" w:cs="Times New Roman"/>
                <w:b/>
                <w:bCs/>
                <w:color w:val="000000"/>
                <w:sz w:val="18"/>
                <w:szCs w:val="18"/>
              </w:rPr>
              <w:t>202</w:t>
            </w:r>
            <w:r w:rsidR="00572387" w:rsidRPr="00D12940">
              <w:rPr>
                <w:rFonts w:eastAsia="Times New Roman" w:cs="Times New Roman"/>
                <w:b/>
                <w:bCs/>
                <w:color w:val="000000"/>
                <w:sz w:val="18"/>
                <w:szCs w:val="18"/>
              </w:rPr>
              <w:t>6</w:t>
            </w:r>
          </w:p>
        </w:tc>
        <w:tc>
          <w:tcPr>
            <w:tcW w:w="1079"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0D22B2CC" w14:textId="614371B6" w:rsidR="002519DD" w:rsidRPr="00D12940" w:rsidRDefault="002519DD" w:rsidP="008349F0">
            <w:pPr>
              <w:spacing w:after="0"/>
              <w:ind w:firstLine="0"/>
              <w:jc w:val="center"/>
              <w:rPr>
                <w:rFonts w:eastAsia="Times New Roman" w:cs="Times New Roman"/>
                <w:b/>
                <w:bCs/>
                <w:sz w:val="18"/>
                <w:szCs w:val="18"/>
              </w:rPr>
            </w:pPr>
            <w:r w:rsidRPr="00D12940">
              <w:rPr>
                <w:rFonts w:eastAsia="Times New Roman" w:cs="Times New Roman"/>
                <w:b/>
                <w:bCs/>
                <w:color w:val="000000"/>
                <w:sz w:val="18"/>
                <w:szCs w:val="18"/>
              </w:rPr>
              <w:t>202</w:t>
            </w:r>
            <w:r w:rsidR="00572387" w:rsidRPr="00D12940">
              <w:rPr>
                <w:rFonts w:eastAsia="Times New Roman" w:cs="Times New Roman"/>
                <w:b/>
                <w:bCs/>
                <w:color w:val="000000"/>
                <w:sz w:val="18"/>
                <w:szCs w:val="18"/>
              </w:rPr>
              <w:t>7</w:t>
            </w:r>
          </w:p>
        </w:tc>
      </w:tr>
      <w:tr w:rsidR="00572387" w:rsidRPr="00D12940" w14:paraId="605EEA9F"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23D7C71D" w14:textId="77777777" w:rsidR="00572387" w:rsidRPr="00D12940" w:rsidRDefault="00572387" w:rsidP="008349F0">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0</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27FE5750" w14:textId="12072EB5" w:rsidR="00572387" w:rsidRPr="00D12940" w:rsidRDefault="00572387" w:rsidP="008349F0">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IKP, faktiskajās cenas, milj. </w:t>
            </w:r>
            <w:proofErr w:type="spellStart"/>
            <w:r w:rsidRPr="00D12940">
              <w:rPr>
                <w:rFonts w:eastAsia="Times New Roman" w:cs="Times New Roman"/>
                <w:i/>
                <w:iCs/>
                <w:color w:val="000000"/>
                <w:sz w:val="18"/>
                <w:szCs w:val="18"/>
              </w:rPr>
              <w:t>euro</w:t>
            </w:r>
            <w:proofErr w:type="spellEnd"/>
          </w:p>
        </w:tc>
        <w:tc>
          <w:tcPr>
            <w:tcW w:w="10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3685F3E" w14:textId="736E4C80" w:rsidR="00572387" w:rsidRPr="00D12940" w:rsidRDefault="00572387" w:rsidP="008349F0">
            <w:pPr>
              <w:spacing w:after="0"/>
              <w:ind w:firstLine="0"/>
              <w:jc w:val="right"/>
              <w:rPr>
                <w:rFonts w:eastAsia="Times New Roman" w:cs="Times New Roman"/>
                <w:sz w:val="18"/>
                <w:szCs w:val="18"/>
              </w:rPr>
            </w:pPr>
            <w:r w:rsidRPr="00D12940">
              <w:rPr>
                <w:rFonts w:cs="Times New Roman"/>
                <w:sz w:val="18"/>
                <w:szCs w:val="18"/>
              </w:rPr>
              <w:t>44 379</w:t>
            </w:r>
          </w:p>
        </w:tc>
        <w:tc>
          <w:tcPr>
            <w:tcW w:w="1079" w:type="dxa"/>
            <w:tcBorders>
              <w:top w:val="single" w:sz="4" w:space="0" w:color="auto"/>
              <w:left w:val="nil"/>
              <w:bottom w:val="single" w:sz="4" w:space="0" w:color="auto"/>
              <w:right w:val="single" w:sz="4" w:space="0" w:color="auto"/>
            </w:tcBorders>
            <w:shd w:val="clear" w:color="000000" w:fill="FFFFFF"/>
            <w:noWrap/>
            <w:vAlign w:val="bottom"/>
            <w:hideMark/>
          </w:tcPr>
          <w:p w14:paraId="361ABCCB" w14:textId="6979AE3A" w:rsidR="00572387" w:rsidRPr="00D12940" w:rsidRDefault="00572387" w:rsidP="008349F0">
            <w:pPr>
              <w:spacing w:after="0"/>
              <w:ind w:firstLine="0"/>
              <w:jc w:val="right"/>
              <w:rPr>
                <w:rFonts w:eastAsia="Times New Roman" w:cs="Times New Roman"/>
                <w:sz w:val="18"/>
                <w:szCs w:val="18"/>
              </w:rPr>
            </w:pPr>
            <w:r w:rsidRPr="00D12940">
              <w:rPr>
                <w:rFonts w:cs="Times New Roman"/>
                <w:sz w:val="18"/>
                <w:szCs w:val="18"/>
              </w:rPr>
              <w:t>46 836</w:t>
            </w:r>
          </w:p>
        </w:tc>
        <w:tc>
          <w:tcPr>
            <w:tcW w:w="1079" w:type="dxa"/>
            <w:tcBorders>
              <w:top w:val="single" w:sz="4" w:space="0" w:color="auto"/>
              <w:left w:val="nil"/>
              <w:bottom w:val="single" w:sz="4" w:space="0" w:color="auto"/>
              <w:right w:val="single" w:sz="4" w:space="0" w:color="auto"/>
            </w:tcBorders>
            <w:shd w:val="clear" w:color="000000" w:fill="FFFFFF"/>
            <w:noWrap/>
            <w:vAlign w:val="bottom"/>
            <w:hideMark/>
          </w:tcPr>
          <w:p w14:paraId="3AC98778" w14:textId="7C1DDE47" w:rsidR="00572387" w:rsidRPr="00D12940" w:rsidRDefault="00572387" w:rsidP="008349F0">
            <w:pPr>
              <w:spacing w:after="0"/>
              <w:ind w:firstLine="0"/>
              <w:jc w:val="right"/>
              <w:rPr>
                <w:rFonts w:eastAsia="Times New Roman" w:cs="Times New Roman"/>
                <w:sz w:val="18"/>
                <w:szCs w:val="18"/>
              </w:rPr>
            </w:pPr>
            <w:r w:rsidRPr="00D12940">
              <w:rPr>
                <w:rFonts w:cs="Times New Roman"/>
                <w:sz w:val="18"/>
                <w:szCs w:val="18"/>
              </w:rPr>
              <w:t>49 349</w:t>
            </w:r>
          </w:p>
        </w:tc>
      </w:tr>
      <w:tr w:rsidR="007C07C3" w:rsidRPr="00D12940" w14:paraId="1C223818"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345BC269"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w:t>
            </w:r>
          </w:p>
        </w:tc>
        <w:tc>
          <w:tcPr>
            <w:tcW w:w="4600" w:type="dxa"/>
            <w:tcBorders>
              <w:top w:val="nil"/>
              <w:left w:val="single" w:sz="4" w:space="0" w:color="auto"/>
              <w:bottom w:val="single" w:sz="4" w:space="0" w:color="auto"/>
              <w:right w:val="single" w:sz="4" w:space="0" w:color="auto"/>
            </w:tcBorders>
            <w:shd w:val="clear" w:color="000000" w:fill="DCE6F1"/>
            <w:noWrap/>
            <w:vAlign w:val="bottom"/>
            <w:hideMark/>
          </w:tcPr>
          <w:p w14:paraId="3F3DF828" w14:textId="2C5DAE1D"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Strukturālās bilances mērķis, % no IKP</w:t>
            </w:r>
          </w:p>
        </w:tc>
        <w:tc>
          <w:tcPr>
            <w:tcW w:w="1079" w:type="dxa"/>
            <w:tcBorders>
              <w:top w:val="nil"/>
              <w:left w:val="single" w:sz="4" w:space="0" w:color="auto"/>
              <w:bottom w:val="single" w:sz="4" w:space="0" w:color="auto"/>
              <w:right w:val="single" w:sz="4" w:space="0" w:color="auto"/>
            </w:tcBorders>
            <w:shd w:val="clear" w:color="000000" w:fill="DCE6F1"/>
            <w:noWrap/>
            <w:vAlign w:val="bottom"/>
            <w:hideMark/>
          </w:tcPr>
          <w:p w14:paraId="4765F158" w14:textId="6899F7E0"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-0,82</w:t>
            </w:r>
          </w:p>
        </w:tc>
        <w:tc>
          <w:tcPr>
            <w:tcW w:w="1079" w:type="dxa"/>
            <w:tcBorders>
              <w:top w:val="nil"/>
              <w:left w:val="nil"/>
              <w:bottom w:val="single" w:sz="4" w:space="0" w:color="auto"/>
              <w:right w:val="single" w:sz="4" w:space="0" w:color="auto"/>
            </w:tcBorders>
            <w:shd w:val="clear" w:color="000000" w:fill="DCE6F1"/>
            <w:noWrap/>
            <w:vAlign w:val="bottom"/>
            <w:hideMark/>
          </w:tcPr>
          <w:p w14:paraId="2CE89C81" w14:textId="7902A4BF"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-0,75</w:t>
            </w:r>
          </w:p>
        </w:tc>
        <w:tc>
          <w:tcPr>
            <w:tcW w:w="1079" w:type="dxa"/>
            <w:tcBorders>
              <w:top w:val="nil"/>
              <w:left w:val="nil"/>
              <w:bottom w:val="single" w:sz="4" w:space="0" w:color="auto"/>
              <w:right w:val="single" w:sz="4" w:space="0" w:color="auto"/>
            </w:tcBorders>
            <w:shd w:val="clear" w:color="000000" w:fill="DCE6F1"/>
            <w:noWrap/>
            <w:vAlign w:val="bottom"/>
            <w:hideMark/>
          </w:tcPr>
          <w:p w14:paraId="72C8CB0A" w14:textId="77708BB4"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-0,79</w:t>
            </w:r>
          </w:p>
        </w:tc>
      </w:tr>
      <w:tr w:rsidR="007C07C3" w:rsidRPr="00D12940" w14:paraId="708CE89C"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67CEB520"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2</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0007869D" w14:textId="6E36B9D5"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Cikliskā komponente, % no IKP</w:t>
            </w:r>
          </w:p>
        </w:tc>
        <w:tc>
          <w:tcPr>
            <w:tcW w:w="1079" w:type="dxa"/>
            <w:tcBorders>
              <w:top w:val="nil"/>
              <w:left w:val="single" w:sz="4" w:space="0" w:color="auto"/>
              <w:bottom w:val="single" w:sz="4" w:space="0" w:color="auto"/>
              <w:right w:val="single" w:sz="4" w:space="0" w:color="auto"/>
            </w:tcBorders>
            <w:shd w:val="clear" w:color="auto" w:fill="auto"/>
            <w:noWrap/>
            <w:vAlign w:val="bottom"/>
            <w:hideMark/>
          </w:tcPr>
          <w:p w14:paraId="3BC3DD6C" w14:textId="7BD1A2FF"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-0,4</w:t>
            </w:r>
          </w:p>
        </w:tc>
        <w:tc>
          <w:tcPr>
            <w:tcW w:w="1079" w:type="dxa"/>
            <w:tcBorders>
              <w:top w:val="nil"/>
              <w:left w:val="nil"/>
              <w:bottom w:val="single" w:sz="4" w:space="0" w:color="auto"/>
              <w:right w:val="single" w:sz="4" w:space="0" w:color="auto"/>
            </w:tcBorders>
            <w:shd w:val="clear" w:color="auto" w:fill="auto"/>
            <w:noWrap/>
            <w:vAlign w:val="bottom"/>
            <w:hideMark/>
          </w:tcPr>
          <w:p w14:paraId="64124E67" w14:textId="6E829681"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-0,2</w:t>
            </w:r>
          </w:p>
        </w:tc>
        <w:tc>
          <w:tcPr>
            <w:tcW w:w="1079" w:type="dxa"/>
            <w:tcBorders>
              <w:top w:val="nil"/>
              <w:left w:val="nil"/>
              <w:bottom w:val="single" w:sz="4" w:space="0" w:color="auto"/>
              <w:right w:val="single" w:sz="4" w:space="0" w:color="auto"/>
            </w:tcBorders>
            <w:shd w:val="clear" w:color="auto" w:fill="auto"/>
            <w:noWrap/>
            <w:vAlign w:val="bottom"/>
            <w:hideMark/>
          </w:tcPr>
          <w:p w14:paraId="2D56A88D" w14:textId="5A391EEB"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-0,1</w:t>
            </w:r>
          </w:p>
        </w:tc>
      </w:tr>
      <w:tr w:rsidR="007C07C3" w:rsidRPr="00D12940" w14:paraId="626C1599"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68C49C22"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3</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59A6C11B" w14:textId="7EB1A86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Vienreizējie un pagaidu pasākumi, % no IKP</w:t>
            </w:r>
          </w:p>
        </w:tc>
        <w:tc>
          <w:tcPr>
            <w:tcW w:w="10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B1334" w14:textId="03CD303F"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-1,7</w:t>
            </w:r>
          </w:p>
        </w:tc>
        <w:tc>
          <w:tcPr>
            <w:tcW w:w="1079" w:type="dxa"/>
            <w:tcBorders>
              <w:top w:val="single" w:sz="4" w:space="0" w:color="auto"/>
              <w:left w:val="nil"/>
              <w:bottom w:val="single" w:sz="4" w:space="0" w:color="auto"/>
              <w:right w:val="single" w:sz="4" w:space="0" w:color="auto"/>
            </w:tcBorders>
            <w:shd w:val="clear" w:color="auto" w:fill="auto"/>
            <w:noWrap/>
            <w:vAlign w:val="bottom"/>
          </w:tcPr>
          <w:p w14:paraId="742CAF65" w14:textId="05F9CF16"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-1,8</w:t>
            </w:r>
          </w:p>
        </w:tc>
        <w:tc>
          <w:tcPr>
            <w:tcW w:w="1079" w:type="dxa"/>
            <w:tcBorders>
              <w:top w:val="single" w:sz="4" w:space="0" w:color="auto"/>
              <w:left w:val="nil"/>
              <w:bottom w:val="single" w:sz="4" w:space="0" w:color="auto"/>
              <w:right w:val="single" w:sz="4" w:space="0" w:color="auto"/>
            </w:tcBorders>
            <w:shd w:val="clear" w:color="auto" w:fill="auto"/>
            <w:noWrap/>
            <w:vAlign w:val="bottom"/>
          </w:tcPr>
          <w:p w14:paraId="7151991E" w14:textId="6214DC5D"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-1,7</w:t>
            </w:r>
          </w:p>
        </w:tc>
      </w:tr>
      <w:tr w:rsidR="007C07C3" w:rsidRPr="00D12940" w14:paraId="283D64DB"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6785789A"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4=1+2+3</w:t>
            </w:r>
          </w:p>
        </w:tc>
        <w:tc>
          <w:tcPr>
            <w:tcW w:w="4600" w:type="dxa"/>
            <w:tcBorders>
              <w:top w:val="nil"/>
              <w:left w:val="single" w:sz="4" w:space="0" w:color="auto"/>
              <w:bottom w:val="single" w:sz="4" w:space="0" w:color="auto"/>
              <w:right w:val="single" w:sz="4" w:space="0" w:color="auto"/>
            </w:tcBorders>
            <w:shd w:val="clear" w:color="000000" w:fill="DCE6F1"/>
            <w:noWrap/>
            <w:vAlign w:val="bottom"/>
            <w:hideMark/>
          </w:tcPr>
          <w:p w14:paraId="0670ACFA" w14:textId="1978F77A"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Vispārējās valdības budžeta nominālā bilance, % no IKP</w:t>
            </w:r>
          </w:p>
        </w:tc>
        <w:tc>
          <w:tcPr>
            <w:tcW w:w="1079" w:type="dxa"/>
            <w:tcBorders>
              <w:top w:val="nil"/>
              <w:left w:val="single" w:sz="4" w:space="0" w:color="auto"/>
              <w:bottom w:val="single" w:sz="4" w:space="0" w:color="auto"/>
              <w:right w:val="single" w:sz="4" w:space="0" w:color="auto"/>
            </w:tcBorders>
            <w:shd w:val="clear" w:color="000000" w:fill="DCE6F1"/>
            <w:noWrap/>
            <w:vAlign w:val="bottom"/>
          </w:tcPr>
          <w:p w14:paraId="2BA89E0E" w14:textId="7E37221E"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-3,0</w:t>
            </w:r>
          </w:p>
        </w:tc>
        <w:tc>
          <w:tcPr>
            <w:tcW w:w="1079" w:type="dxa"/>
            <w:tcBorders>
              <w:top w:val="nil"/>
              <w:left w:val="nil"/>
              <w:bottom w:val="single" w:sz="4" w:space="0" w:color="auto"/>
              <w:right w:val="single" w:sz="4" w:space="0" w:color="auto"/>
            </w:tcBorders>
            <w:shd w:val="clear" w:color="000000" w:fill="DCE6F1"/>
            <w:noWrap/>
            <w:vAlign w:val="bottom"/>
          </w:tcPr>
          <w:p w14:paraId="7EC45181" w14:textId="32032AB7"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-2,7</w:t>
            </w:r>
          </w:p>
        </w:tc>
        <w:tc>
          <w:tcPr>
            <w:tcW w:w="1079" w:type="dxa"/>
            <w:tcBorders>
              <w:top w:val="nil"/>
              <w:left w:val="nil"/>
              <w:bottom w:val="single" w:sz="4" w:space="0" w:color="auto"/>
              <w:right w:val="single" w:sz="4" w:space="0" w:color="auto"/>
            </w:tcBorders>
            <w:shd w:val="clear" w:color="000000" w:fill="DCE6F1"/>
            <w:noWrap/>
            <w:vAlign w:val="bottom"/>
          </w:tcPr>
          <w:p w14:paraId="4C77BA93" w14:textId="60DC4325"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-2,5</w:t>
            </w:r>
          </w:p>
        </w:tc>
      </w:tr>
      <w:tr w:rsidR="007C07C3" w:rsidRPr="00D12940" w14:paraId="7F1B8BA4"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5652FC06"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5=4*0</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489B638C"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Vispārējās valdības nominālā bilance, milj. </w:t>
            </w:r>
            <w:proofErr w:type="spellStart"/>
            <w:r w:rsidRPr="00D12940">
              <w:rPr>
                <w:rFonts w:eastAsia="Times New Roman" w:cs="Times New Roman"/>
                <w:i/>
                <w:iCs/>
                <w:color w:val="000000"/>
                <w:sz w:val="18"/>
                <w:szCs w:val="18"/>
              </w:rPr>
              <w:t>euro</w:t>
            </w:r>
            <w:proofErr w:type="spellEnd"/>
          </w:p>
        </w:tc>
        <w:tc>
          <w:tcPr>
            <w:tcW w:w="1079" w:type="dxa"/>
            <w:tcBorders>
              <w:top w:val="nil"/>
              <w:left w:val="single" w:sz="4" w:space="0" w:color="auto"/>
              <w:bottom w:val="single" w:sz="4" w:space="0" w:color="auto"/>
              <w:right w:val="single" w:sz="4" w:space="0" w:color="auto"/>
            </w:tcBorders>
            <w:shd w:val="clear" w:color="000000" w:fill="FFFFFF"/>
            <w:noWrap/>
            <w:vAlign w:val="bottom"/>
          </w:tcPr>
          <w:p w14:paraId="0C46C4E2" w14:textId="54EF3386"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-1 327,2</w:t>
            </w:r>
          </w:p>
        </w:tc>
        <w:tc>
          <w:tcPr>
            <w:tcW w:w="1079" w:type="dxa"/>
            <w:tcBorders>
              <w:top w:val="nil"/>
              <w:left w:val="nil"/>
              <w:bottom w:val="single" w:sz="4" w:space="0" w:color="auto"/>
              <w:right w:val="single" w:sz="4" w:space="0" w:color="auto"/>
            </w:tcBorders>
            <w:shd w:val="clear" w:color="000000" w:fill="FFFFFF"/>
            <w:noWrap/>
            <w:vAlign w:val="bottom"/>
          </w:tcPr>
          <w:p w14:paraId="11FBCF79" w14:textId="2F9938B6"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-1 287,6</w:t>
            </w:r>
          </w:p>
        </w:tc>
        <w:tc>
          <w:tcPr>
            <w:tcW w:w="1079" w:type="dxa"/>
            <w:tcBorders>
              <w:top w:val="nil"/>
              <w:left w:val="nil"/>
              <w:bottom w:val="single" w:sz="4" w:space="0" w:color="auto"/>
              <w:right w:val="single" w:sz="4" w:space="0" w:color="auto"/>
            </w:tcBorders>
            <w:shd w:val="clear" w:color="000000" w:fill="FFFFFF"/>
            <w:noWrap/>
            <w:vAlign w:val="bottom"/>
          </w:tcPr>
          <w:p w14:paraId="0452FF5F" w14:textId="33B03BEB"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-1 249,5</w:t>
            </w:r>
          </w:p>
        </w:tc>
      </w:tr>
      <w:tr w:rsidR="007C07C3" w:rsidRPr="00D12940" w14:paraId="587163D1"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5EC91241"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6</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62CE353B"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Pašvaldību budžeta bilance, milj. </w:t>
            </w:r>
            <w:proofErr w:type="spellStart"/>
            <w:r w:rsidRPr="00D12940">
              <w:rPr>
                <w:rFonts w:eastAsia="Times New Roman" w:cs="Times New Roman"/>
                <w:i/>
                <w:iCs/>
                <w:color w:val="000000"/>
                <w:sz w:val="18"/>
                <w:szCs w:val="18"/>
              </w:rPr>
              <w:t>euro</w:t>
            </w:r>
            <w:proofErr w:type="spellEnd"/>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1BDD0EAC" w14:textId="515DC78D"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10,0</w:t>
            </w:r>
          </w:p>
        </w:tc>
        <w:tc>
          <w:tcPr>
            <w:tcW w:w="1079" w:type="dxa"/>
            <w:tcBorders>
              <w:top w:val="nil"/>
              <w:left w:val="nil"/>
              <w:bottom w:val="single" w:sz="4" w:space="0" w:color="auto"/>
              <w:right w:val="single" w:sz="4" w:space="0" w:color="auto"/>
            </w:tcBorders>
            <w:shd w:val="clear" w:color="auto" w:fill="auto"/>
            <w:noWrap/>
            <w:vAlign w:val="bottom"/>
          </w:tcPr>
          <w:p w14:paraId="0A88A817" w14:textId="19ED9D36"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65,4</w:t>
            </w:r>
          </w:p>
        </w:tc>
        <w:tc>
          <w:tcPr>
            <w:tcW w:w="1079" w:type="dxa"/>
            <w:tcBorders>
              <w:top w:val="nil"/>
              <w:left w:val="nil"/>
              <w:bottom w:val="single" w:sz="4" w:space="0" w:color="auto"/>
              <w:right w:val="single" w:sz="4" w:space="0" w:color="auto"/>
            </w:tcBorders>
            <w:shd w:val="clear" w:color="auto" w:fill="auto"/>
            <w:noWrap/>
            <w:vAlign w:val="bottom"/>
          </w:tcPr>
          <w:p w14:paraId="37A53866" w14:textId="73E026E3"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79,8</w:t>
            </w:r>
          </w:p>
        </w:tc>
      </w:tr>
      <w:tr w:rsidR="007C07C3" w:rsidRPr="00D12940" w14:paraId="42C3E909"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110F1CB3"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7</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0BCCB55B"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Atvasināto personu un budžeta nefinansētu iestāžu budžeta bilance, milj. </w:t>
            </w:r>
            <w:proofErr w:type="spellStart"/>
            <w:r w:rsidRPr="00D12940">
              <w:rPr>
                <w:rFonts w:eastAsia="Times New Roman" w:cs="Times New Roman"/>
                <w:i/>
                <w:iCs/>
                <w:color w:val="000000"/>
                <w:sz w:val="18"/>
                <w:szCs w:val="18"/>
              </w:rPr>
              <w:t>euro</w:t>
            </w:r>
            <w:proofErr w:type="spellEnd"/>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47560B9F" w14:textId="457A4BE7"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18,8</w:t>
            </w:r>
          </w:p>
        </w:tc>
        <w:tc>
          <w:tcPr>
            <w:tcW w:w="1079" w:type="dxa"/>
            <w:tcBorders>
              <w:top w:val="nil"/>
              <w:left w:val="nil"/>
              <w:bottom w:val="single" w:sz="4" w:space="0" w:color="auto"/>
              <w:right w:val="single" w:sz="4" w:space="0" w:color="auto"/>
            </w:tcBorders>
            <w:shd w:val="clear" w:color="auto" w:fill="auto"/>
            <w:noWrap/>
            <w:vAlign w:val="bottom"/>
          </w:tcPr>
          <w:p w14:paraId="4B08A901" w14:textId="554A618F"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15,2</w:t>
            </w:r>
          </w:p>
        </w:tc>
        <w:tc>
          <w:tcPr>
            <w:tcW w:w="1079" w:type="dxa"/>
            <w:tcBorders>
              <w:top w:val="nil"/>
              <w:left w:val="nil"/>
              <w:bottom w:val="single" w:sz="4" w:space="0" w:color="auto"/>
              <w:right w:val="single" w:sz="4" w:space="0" w:color="auto"/>
            </w:tcBorders>
            <w:shd w:val="clear" w:color="auto" w:fill="auto"/>
            <w:noWrap/>
            <w:vAlign w:val="bottom"/>
          </w:tcPr>
          <w:p w14:paraId="264867D4" w14:textId="4CB9103A"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-5,5</w:t>
            </w:r>
          </w:p>
        </w:tc>
      </w:tr>
      <w:tr w:rsidR="007C07C3" w:rsidRPr="00D12940" w14:paraId="77D2E512"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70CFE0DF"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8</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71F2CCB6"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EKS korekcijas, milj. </w:t>
            </w:r>
            <w:proofErr w:type="spellStart"/>
            <w:r w:rsidRPr="00D12940">
              <w:rPr>
                <w:rFonts w:eastAsia="Times New Roman" w:cs="Times New Roman"/>
                <w:i/>
                <w:iCs/>
                <w:color w:val="000000"/>
                <w:sz w:val="18"/>
                <w:szCs w:val="18"/>
              </w:rPr>
              <w:t>euro</w:t>
            </w:r>
            <w:proofErr w:type="spellEnd"/>
          </w:p>
        </w:tc>
        <w:tc>
          <w:tcPr>
            <w:tcW w:w="1079" w:type="dxa"/>
            <w:tcBorders>
              <w:top w:val="nil"/>
              <w:left w:val="single" w:sz="4" w:space="0" w:color="auto"/>
              <w:bottom w:val="single" w:sz="4" w:space="0" w:color="auto"/>
              <w:right w:val="single" w:sz="4" w:space="0" w:color="auto"/>
            </w:tcBorders>
            <w:shd w:val="clear" w:color="auto" w:fill="auto"/>
            <w:noWrap/>
            <w:vAlign w:val="center"/>
          </w:tcPr>
          <w:p w14:paraId="0AA44C25" w14:textId="74401B6F"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701,1</w:t>
            </w:r>
          </w:p>
        </w:tc>
        <w:tc>
          <w:tcPr>
            <w:tcW w:w="1079" w:type="dxa"/>
            <w:tcBorders>
              <w:top w:val="nil"/>
              <w:left w:val="nil"/>
              <w:bottom w:val="single" w:sz="4" w:space="0" w:color="auto"/>
              <w:right w:val="single" w:sz="4" w:space="0" w:color="auto"/>
            </w:tcBorders>
            <w:shd w:val="clear" w:color="auto" w:fill="auto"/>
            <w:noWrap/>
            <w:vAlign w:val="center"/>
          </w:tcPr>
          <w:p w14:paraId="5C09DBD1" w14:textId="1635C7D5"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-141,2</w:t>
            </w:r>
          </w:p>
        </w:tc>
        <w:tc>
          <w:tcPr>
            <w:tcW w:w="1079" w:type="dxa"/>
            <w:tcBorders>
              <w:top w:val="nil"/>
              <w:left w:val="nil"/>
              <w:bottom w:val="single" w:sz="4" w:space="0" w:color="auto"/>
              <w:right w:val="single" w:sz="4" w:space="0" w:color="auto"/>
            </w:tcBorders>
            <w:shd w:val="clear" w:color="auto" w:fill="auto"/>
            <w:noWrap/>
            <w:vAlign w:val="center"/>
          </w:tcPr>
          <w:p w14:paraId="0142B97F" w14:textId="3959CCF2"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-25,6</w:t>
            </w:r>
          </w:p>
        </w:tc>
      </w:tr>
      <w:tr w:rsidR="007C07C3" w:rsidRPr="00D12940" w14:paraId="560F5ED1"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70AADC9F"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9=5-6-7-8</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65DEB985"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Valsts budžeta bilance, milj. </w:t>
            </w:r>
            <w:proofErr w:type="spellStart"/>
            <w:r w:rsidRPr="00D12940">
              <w:rPr>
                <w:rFonts w:eastAsia="Times New Roman" w:cs="Times New Roman"/>
                <w:i/>
                <w:iCs/>
                <w:color w:val="000000"/>
                <w:sz w:val="18"/>
                <w:szCs w:val="18"/>
              </w:rPr>
              <w:t>euro</w:t>
            </w:r>
            <w:proofErr w:type="spellEnd"/>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2C80039A" w14:textId="4986FFA9"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-2 057,1</w:t>
            </w:r>
          </w:p>
        </w:tc>
        <w:tc>
          <w:tcPr>
            <w:tcW w:w="1079" w:type="dxa"/>
            <w:tcBorders>
              <w:top w:val="nil"/>
              <w:left w:val="nil"/>
              <w:bottom w:val="single" w:sz="4" w:space="0" w:color="auto"/>
              <w:right w:val="single" w:sz="4" w:space="0" w:color="auto"/>
            </w:tcBorders>
            <w:shd w:val="clear" w:color="auto" w:fill="auto"/>
            <w:noWrap/>
            <w:vAlign w:val="bottom"/>
          </w:tcPr>
          <w:p w14:paraId="4616EE15" w14:textId="4A676E02"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-1 227,1</w:t>
            </w:r>
          </w:p>
        </w:tc>
        <w:tc>
          <w:tcPr>
            <w:tcW w:w="1079" w:type="dxa"/>
            <w:tcBorders>
              <w:top w:val="nil"/>
              <w:left w:val="nil"/>
              <w:bottom w:val="single" w:sz="4" w:space="0" w:color="auto"/>
              <w:right w:val="single" w:sz="4" w:space="0" w:color="auto"/>
            </w:tcBorders>
            <w:shd w:val="clear" w:color="auto" w:fill="auto"/>
            <w:noWrap/>
            <w:vAlign w:val="bottom"/>
          </w:tcPr>
          <w:p w14:paraId="78B86BE0" w14:textId="3EC47825" w:rsidR="007C07C3" w:rsidRPr="00D12940" w:rsidRDefault="007C07C3" w:rsidP="007C07C3">
            <w:pPr>
              <w:spacing w:after="0"/>
              <w:ind w:firstLine="0"/>
              <w:jc w:val="right"/>
              <w:rPr>
                <w:rFonts w:eastAsia="Times New Roman" w:cs="Times New Roman"/>
                <w:color w:val="000000"/>
                <w:sz w:val="18"/>
                <w:szCs w:val="18"/>
              </w:rPr>
            </w:pPr>
            <w:r w:rsidRPr="00D12940">
              <w:rPr>
                <w:rFonts w:cs="Times New Roman"/>
                <w:sz w:val="18"/>
                <w:szCs w:val="18"/>
              </w:rPr>
              <w:t>-1 298,2</w:t>
            </w:r>
          </w:p>
        </w:tc>
      </w:tr>
      <w:tr w:rsidR="007C07C3" w:rsidRPr="00D12940" w14:paraId="2A47E7E8"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26B56E3D"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10</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1952ECBC"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Valsts budžeta ieņēmumi, milj. </w:t>
            </w:r>
            <w:proofErr w:type="spellStart"/>
            <w:r w:rsidRPr="00D12940">
              <w:rPr>
                <w:rFonts w:eastAsia="Times New Roman" w:cs="Times New Roman"/>
                <w:i/>
                <w:iCs/>
                <w:color w:val="000000"/>
                <w:sz w:val="18"/>
                <w:szCs w:val="18"/>
              </w:rPr>
              <w:t>euro</w:t>
            </w:r>
            <w:proofErr w:type="spellEnd"/>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1D50A238" w14:textId="0A02F4CC"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15 080,6</w:t>
            </w:r>
          </w:p>
        </w:tc>
        <w:tc>
          <w:tcPr>
            <w:tcW w:w="1079" w:type="dxa"/>
            <w:tcBorders>
              <w:top w:val="nil"/>
              <w:left w:val="nil"/>
              <w:bottom w:val="single" w:sz="4" w:space="0" w:color="auto"/>
              <w:right w:val="single" w:sz="4" w:space="0" w:color="auto"/>
            </w:tcBorders>
            <w:shd w:val="clear" w:color="auto" w:fill="auto"/>
            <w:noWrap/>
            <w:vAlign w:val="bottom"/>
          </w:tcPr>
          <w:p w14:paraId="396C017B" w14:textId="7AA64725"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16 115,8</w:t>
            </w:r>
          </w:p>
        </w:tc>
        <w:tc>
          <w:tcPr>
            <w:tcW w:w="1079" w:type="dxa"/>
            <w:tcBorders>
              <w:top w:val="nil"/>
              <w:left w:val="nil"/>
              <w:bottom w:val="single" w:sz="4" w:space="0" w:color="auto"/>
              <w:right w:val="single" w:sz="4" w:space="0" w:color="auto"/>
            </w:tcBorders>
            <w:shd w:val="clear" w:color="auto" w:fill="auto"/>
            <w:noWrap/>
            <w:vAlign w:val="bottom"/>
          </w:tcPr>
          <w:p w14:paraId="7F819BEE" w14:textId="3AECB923"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15 772,5</w:t>
            </w:r>
          </w:p>
        </w:tc>
      </w:tr>
      <w:tr w:rsidR="007C07C3" w:rsidRPr="00D12940" w14:paraId="139D2B22" w14:textId="77777777" w:rsidTr="007C07C3">
        <w:trPr>
          <w:trHeight w:val="315"/>
          <w:jc w:val="center"/>
        </w:trPr>
        <w:tc>
          <w:tcPr>
            <w:tcW w:w="1229" w:type="dxa"/>
            <w:tcBorders>
              <w:top w:val="nil"/>
              <w:left w:val="nil"/>
              <w:bottom w:val="nil"/>
              <w:right w:val="nil"/>
            </w:tcBorders>
            <w:shd w:val="clear" w:color="auto" w:fill="auto"/>
            <w:noWrap/>
            <w:vAlign w:val="center"/>
            <w:hideMark/>
          </w:tcPr>
          <w:p w14:paraId="23987F3B"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11=10-9</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2C55CD02"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Maksimāli pieļaujamie valsts budžeta izdevumi, milj. </w:t>
            </w:r>
            <w:proofErr w:type="spellStart"/>
            <w:r w:rsidRPr="00D12940">
              <w:rPr>
                <w:rFonts w:eastAsia="Times New Roman" w:cs="Times New Roman"/>
                <w:i/>
                <w:iCs/>
                <w:color w:val="000000"/>
                <w:sz w:val="18"/>
                <w:szCs w:val="18"/>
              </w:rPr>
              <w:t>euro</w:t>
            </w:r>
            <w:proofErr w:type="spellEnd"/>
            <w:r w:rsidRPr="00D12940">
              <w:rPr>
                <w:rFonts w:eastAsia="Times New Roman" w:cs="Times New Roman"/>
                <w:color w:val="000000"/>
                <w:sz w:val="18"/>
                <w:szCs w:val="18"/>
              </w:rPr>
              <w:t xml:space="preserve"> </w:t>
            </w:r>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72A67FA5" w14:textId="2C6158AB"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17 137,7</w:t>
            </w:r>
          </w:p>
        </w:tc>
        <w:tc>
          <w:tcPr>
            <w:tcW w:w="1079" w:type="dxa"/>
            <w:tcBorders>
              <w:top w:val="nil"/>
              <w:left w:val="nil"/>
              <w:bottom w:val="single" w:sz="4" w:space="0" w:color="auto"/>
              <w:right w:val="single" w:sz="4" w:space="0" w:color="auto"/>
            </w:tcBorders>
            <w:shd w:val="clear" w:color="auto" w:fill="auto"/>
            <w:noWrap/>
            <w:vAlign w:val="bottom"/>
          </w:tcPr>
          <w:p w14:paraId="787BC670" w14:textId="0BE9A328"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17 342,8</w:t>
            </w:r>
          </w:p>
        </w:tc>
        <w:tc>
          <w:tcPr>
            <w:tcW w:w="1079" w:type="dxa"/>
            <w:tcBorders>
              <w:top w:val="nil"/>
              <w:left w:val="nil"/>
              <w:bottom w:val="single" w:sz="4" w:space="0" w:color="auto"/>
              <w:right w:val="single" w:sz="4" w:space="0" w:color="auto"/>
            </w:tcBorders>
            <w:shd w:val="clear" w:color="auto" w:fill="auto"/>
            <w:noWrap/>
            <w:vAlign w:val="bottom"/>
          </w:tcPr>
          <w:p w14:paraId="3F78AD4D" w14:textId="2B736A41"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17 070,7</w:t>
            </w:r>
          </w:p>
        </w:tc>
      </w:tr>
      <w:tr w:rsidR="007C07C3" w:rsidRPr="00D12940" w14:paraId="3885D41B"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0F8C67C2"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12=12.1+12.2</w:t>
            </w:r>
          </w:p>
        </w:tc>
        <w:tc>
          <w:tcPr>
            <w:tcW w:w="4600" w:type="dxa"/>
            <w:tcBorders>
              <w:top w:val="nil"/>
              <w:left w:val="single" w:sz="4" w:space="0" w:color="auto"/>
              <w:bottom w:val="single" w:sz="4" w:space="0" w:color="auto"/>
              <w:right w:val="single" w:sz="4" w:space="0" w:color="auto"/>
            </w:tcBorders>
            <w:shd w:val="clear" w:color="000000" w:fill="DCE6F1"/>
            <w:noWrap/>
            <w:vAlign w:val="bottom"/>
            <w:hideMark/>
          </w:tcPr>
          <w:p w14:paraId="18753DFE"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 Izlīdzinātie izdevumi, milj. </w:t>
            </w:r>
            <w:proofErr w:type="spellStart"/>
            <w:r w:rsidRPr="00D12940">
              <w:rPr>
                <w:rFonts w:eastAsia="Times New Roman" w:cs="Times New Roman"/>
                <w:i/>
                <w:iCs/>
                <w:color w:val="000000"/>
                <w:sz w:val="18"/>
                <w:szCs w:val="18"/>
              </w:rPr>
              <w:t>euro</w:t>
            </w:r>
            <w:proofErr w:type="spellEnd"/>
            <w:r w:rsidRPr="00D12940">
              <w:rPr>
                <w:rFonts w:eastAsia="Times New Roman" w:cs="Times New Roman"/>
                <w:i/>
                <w:iCs/>
                <w:color w:val="000000"/>
                <w:sz w:val="18"/>
                <w:szCs w:val="18"/>
              </w:rPr>
              <w:t xml:space="preserve"> </w:t>
            </w:r>
          </w:p>
        </w:tc>
        <w:tc>
          <w:tcPr>
            <w:tcW w:w="1079" w:type="dxa"/>
            <w:tcBorders>
              <w:top w:val="nil"/>
              <w:left w:val="single" w:sz="4" w:space="0" w:color="auto"/>
              <w:bottom w:val="single" w:sz="4" w:space="0" w:color="auto"/>
              <w:right w:val="single" w:sz="4" w:space="0" w:color="auto"/>
            </w:tcBorders>
            <w:shd w:val="clear" w:color="000000" w:fill="DCE6F1"/>
            <w:noWrap/>
            <w:vAlign w:val="bottom"/>
          </w:tcPr>
          <w:p w14:paraId="64D7FBCF" w14:textId="33C8BDE5"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2 682,1</w:t>
            </w:r>
          </w:p>
        </w:tc>
        <w:tc>
          <w:tcPr>
            <w:tcW w:w="1079" w:type="dxa"/>
            <w:tcBorders>
              <w:top w:val="nil"/>
              <w:left w:val="nil"/>
              <w:bottom w:val="single" w:sz="4" w:space="0" w:color="auto"/>
              <w:right w:val="single" w:sz="4" w:space="0" w:color="auto"/>
            </w:tcBorders>
            <w:shd w:val="clear" w:color="000000" w:fill="DCE6F1"/>
            <w:noWrap/>
            <w:vAlign w:val="bottom"/>
          </w:tcPr>
          <w:p w14:paraId="4CE4196D" w14:textId="57D549D0"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2 712,0</w:t>
            </w:r>
          </w:p>
        </w:tc>
        <w:tc>
          <w:tcPr>
            <w:tcW w:w="1079" w:type="dxa"/>
            <w:tcBorders>
              <w:top w:val="nil"/>
              <w:left w:val="nil"/>
              <w:bottom w:val="single" w:sz="4" w:space="0" w:color="auto"/>
              <w:right w:val="single" w:sz="4" w:space="0" w:color="auto"/>
            </w:tcBorders>
            <w:shd w:val="clear" w:color="000000" w:fill="DCE6F1"/>
            <w:noWrap/>
            <w:vAlign w:val="bottom"/>
          </w:tcPr>
          <w:p w14:paraId="65B053A5" w14:textId="6AA01BA5"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2 249,1</w:t>
            </w:r>
          </w:p>
        </w:tc>
      </w:tr>
      <w:tr w:rsidR="007C07C3" w:rsidRPr="00D12940" w14:paraId="2C07C342"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0126F09F"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12.1</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4DE9AAF3" w14:textId="77777777" w:rsidR="007C07C3" w:rsidRPr="00D12940" w:rsidRDefault="007C07C3" w:rsidP="007C07C3">
            <w:pPr>
              <w:spacing w:after="0"/>
              <w:ind w:firstLineChars="100" w:firstLine="180"/>
              <w:jc w:val="left"/>
              <w:rPr>
                <w:rFonts w:eastAsia="Times New Roman" w:cs="Times New Roman"/>
                <w:color w:val="000000"/>
                <w:sz w:val="18"/>
                <w:szCs w:val="18"/>
              </w:rPr>
            </w:pPr>
            <w:r w:rsidRPr="00D12940">
              <w:rPr>
                <w:rFonts w:eastAsia="Times New Roman" w:cs="Times New Roman"/>
                <w:color w:val="000000"/>
                <w:sz w:val="18"/>
                <w:szCs w:val="18"/>
              </w:rPr>
              <w:t xml:space="preserve"> t.sk. izlīdzinātie ES fondu izdevumi, milj. </w:t>
            </w:r>
            <w:proofErr w:type="spellStart"/>
            <w:r w:rsidRPr="00D12940">
              <w:rPr>
                <w:rFonts w:eastAsia="Times New Roman" w:cs="Times New Roman"/>
                <w:i/>
                <w:iCs/>
                <w:color w:val="000000"/>
                <w:sz w:val="18"/>
                <w:szCs w:val="18"/>
              </w:rPr>
              <w:t>euro</w:t>
            </w:r>
            <w:proofErr w:type="spellEnd"/>
            <w:r w:rsidRPr="00D12940">
              <w:rPr>
                <w:rFonts w:eastAsia="Times New Roman" w:cs="Times New Roman"/>
                <w:i/>
                <w:iCs/>
                <w:color w:val="000000"/>
                <w:sz w:val="18"/>
                <w:szCs w:val="18"/>
              </w:rPr>
              <w:t xml:space="preserve"> </w:t>
            </w:r>
          </w:p>
        </w:tc>
        <w:tc>
          <w:tcPr>
            <w:tcW w:w="1079" w:type="dxa"/>
            <w:tcBorders>
              <w:top w:val="nil"/>
              <w:left w:val="single" w:sz="4" w:space="0" w:color="auto"/>
              <w:bottom w:val="single" w:sz="4" w:space="0" w:color="auto"/>
              <w:right w:val="single" w:sz="4" w:space="0" w:color="auto"/>
            </w:tcBorders>
            <w:shd w:val="clear" w:color="000000" w:fill="FFFFFF"/>
            <w:noWrap/>
            <w:vAlign w:val="bottom"/>
          </w:tcPr>
          <w:p w14:paraId="1850060C" w14:textId="1D91F575"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2 178,3</w:t>
            </w:r>
          </w:p>
        </w:tc>
        <w:tc>
          <w:tcPr>
            <w:tcW w:w="1079" w:type="dxa"/>
            <w:tcBorders>
              <w:top w:val="nil"/>
              <w:left w:val="nil"/>
              <w:bottom w:val="single" w:sz="4" w:space="0" w:color="auto"/>
              <w:right w:val="single" w:sz="4" w:space="0" w:color="auto"/>
            </w:tcBorders>
            <w:shd w:val="clear" w:color="000000" w:fill="FFFFFF"/>
            <w:noWrap/>
            <w:vAlign w:val="bottom"/>
          </w:tcPr>
          <w:p w14:paraId="5104AA2A" w14:textId="3A1070D3"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2 107,8</w:t>
            </w:r>
          </w:p>
        </w:tc>
        <w:tc>
          <w:tcPr>
            <w:tcW w:w="1079" w:type="dxa"/>
            <w:tcBorders>
              <w:top w:val="nil"/>
              <w:left w:val="nil"/>
              <w:bottom w:val="single" w:sz="4" w:space="0" w:color="auto"/>
              <w:right w:val="single" w:sz="4" w:space="0" w:color="auto"/>
            </w:tcBorders>
            <w:shd w:val="clear" w:color="000000" w:fill="FFFFFF"/>
            <w:noWrap/>
            <w:vAlign w:val="bottom"/>
          </w:tcPr>
          <w:p w14:paraId="3B00E2C0" w14:textId="5E1F5666"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1 587,1</w:t>
            </w:r>
          </w:p>
        </w:tc>
      </w:tr>
      <w:tr w:rsidR="007C07C3" w:rsidRPr="00D12940" w14:paraId="0446ABEC"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40DA76D8"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12.1.1</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180E1B55" w14:textId="77777777" w:rsidR="007C07C3" w:rsidRPr="00D12940" w:rsidRDefault="007C07C3" w:rsidP="007C07C3">
            <w:pPr>
              <w:spacing w:after="0"/>
              <w:ind w:firstLineChars="200" w:firstLine="360"/>
              <w:jc w:val="left"/>
              <w:rPr>
                <w:rFonts w:eastAsia="Times New Roman" w:cs="Times New Roman"/>
                <w:color w:val="000000"/>
                <w:sz w:val="18"/>
                <w:szCs w:val="18"/>
              </w:rPr>
            </w:pPr>
            <w:r w:rsidRPr="00D12940">
              <w:rPr>
                <w:rFonts w:eastAsia="Times New Roman" w:cs="Times New Roman"/>
                <w:color w:val="000000"/>
                <w:sz w:val="18"/>
                <w:szCs w:val="18"/>
              </w:rPr>
              <w:t xml:space="preserve"> t.sk. neatmaksājamā daļa </w:t>
            </w:r>
          </w:p>
        </w:tc>
        <w:tc>
          <w:tcPr>
            <w:tcW w:w="1079" w:type="dxa"/>
            <w:tcBorders>
              <w:top w:val="nil"/>
              <w:left w:val="single" w:sz="4" w:space="0" w:color="auto"/>
              <w:bottom w:val="single" w:sz="4" w:space="0" w:color="auto"/>
              <w:right w:val="single" w:sz="4" w:space="0" w:color="auto"/>
            </w:tcBorders>
            <w:shd w:val="clear" w:color="000000" w:fill="FFFFFF"/>
            <w:noWrap/>
            <w:vAlign w:val="bottom"/>
          </w:tcPr>
          <w:p w14:paraId="703B3DB4" w14:textId="5923ADF8"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266,7</w:t>
            </w:r>
          </w:p>
        </w:tc>
        <w:tc>
          <w:tcPr>
            <w:tcW w:w="1079" w:type="dxa"/>
            <w:tcBorders>
              <w:top w:val="nil"/>
              <w:left w:val="nil"/>
              <w:bottom w:val="single" w:sz="4" w:space="0" w:color="auto"/>
              <w:right w:val="single" w:sz="4" w:space="0" w:color="auto"/>
            </w:tcBorders>
            <w:shd w:val="clear" w:color="000000" w:fill="FFFFFF"/>
            <w:noWrap/>
            <w:vAlign w:val="bottom"/>
          </w:tcPr>
          <w:p w14:paraId="2BBB1A94" w14:textId="4FDA0AE0"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233,4</w:t>
            </w:r>
          </w:p>
        </w:tc>
        <w:tc>
          <w:tcPr>
            <w:tcW w:w="1079" w:type="dxa"/>
            <w:tcBorders>
              <w:top w:val="nil"/>
              <w:left w:val="nil"/>
              <w:bottom w:val="single" w:sz="4" w:space="0" w:color="auto"/>
              <w:right w:val="single" w:sz="4" w:space="0" w:color="auto"/>
            </w:tcBorders>
            <w:shd w:val="clear" w:color="000000" w:fill="FFFFFF"/>
            <w:noWrap/>
            <w:vAlign w:val="bottom"/>
          </w:tcPr>
          <w:p w14:paraId="43F760BB" w14:textId="004B09F3"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154,4</w:t>
            </w:r>
          </w:p>
        </w:tc>
      </w:tr>
      <w:tr w:rsidR="007C07C3" w:rsidRPr="00D12940" w14:paraId="13EFB9A7"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263E22E0"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lastRenderedPageBreak/>
              <w:t>12.1.2</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38CCB04F" w14:textId="77777777" w:rsidR="007C07C3" w:rsidRPr="00D12940" w:rsidRDefault="007C07C3" w:rsidP="007C07C3">
            <w:pPr>
              <w:spacing w:after="0"/>
              <w:ind w:firstLineChars="200" w:firstLine="360"/>
              <w:jc w:val="left"/>
              <w:rPr>
                <w:rFonts w:eastAsia="Times New Roman" w:cs="Times New Roman"/>
                <w:color w:val="000000"/>
                <w:sz w:val="18"/>
                <w:szCs w:val="18"/>
              </w:rPr>
            </w:pPr>
            <w:r w:rsidRPr="00D12940">
              <w:rPr>
                <w:rFonts w:eastAsia="Times New Roman" w:cs="Times New Roman"/>
                <w:color w:val="000000"/>
                <w:sz w:val="18"/>
                <w:szCs w:val="18"/>
              </w:rPr>
              <w:t xml:space="preserve"> atmaksājamā daļa </w:t>
            </w:r>
          </w:p>
        </w:tc>
        <w:tc>
          <w:tcPr>
            <w:tcW w:w="1079" w:type="dxa"/>
            <w:tcBorders>
              <w:top w:val="nil"/>
              <w:left w:val="single" w:sz="4" w:space="0" w:color="auto"/>
              <w:bottom w:val="single" w:sz="4" w:space="0" w:color="auto"/>
              <w:right w:val="single" w:sz="4" w:space="0" w:color="auto"/>
            </w:tcBorders>
            <w:shd w:val="clear" w:color="000000" w:fill="FFFFFF"/>
            <w:noWrap/>
            <w:vAlign w:val="bottom"/>
          </w:tcPr>
          <w:p w14:paraId="1F94A4BD" w14:textId="1E3A53A7"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1 911,6</w:t>
            </w:r>
          </w:p>
        </w:tc>
        <w:tc>
          <w:tcPr>
            <w:tcW w:w="1079" w:type="dxa"/>
            <w:tcBorders>
              <w:top w:val="nil"/>
              <w:left w:val="nil"/>
              <w:bottom w:val="single" w:sz="4" w:space="0" w:color="auto"/>
              <w:right w:val="single" w:sz="4" w:space="0" w:color="auto"/>
            </w:tcBorders>
            <w:shd w:val="clear" w:color="000000" w:fill="FFFFFF"/>
            <w:noWrap/>
            <w:vAlign w:val="bottom"/>
          </w:tcPr>
          <w:p w14:paraId="24809890" w14:textId="4907DF07"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1 874,4</w:t>
            </w:r>
          </w:p>
        </w:tc>
        <w:tc>
          <w:tcPr>
            <w:tcW w:w="1079" w:type="dxa"/>
            <w:tcBorders>
              <w:top w:val="nil"/>
              <w:left w:val="nil"/>
              <w:bottom w:val="single" w:sz="4" w:space="0" w:color="auto"/>
              <w:right w:val="single" w:sz="4" w:space="0" w:color="auto"/>
            </w:tcBorders>
            <w:shd w:val="clear" w:color="000000" w:fill="FFFFFF"/>
            <w:noWrap/>
            <w:vAlign w:val="bottom"/>
          </w:tcPr>
          <w:p w14:paraId="7469A51A" w14:textId="0784A19F"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1 432,7</w:t>
            </w:r>
          </w:p>
        </w:tc>
      </w:tr>
      <w:tr w:rsidR="007C07C3" w:rsidRPr="00D12940" w14:paraId="3F1E0316"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6EB20206"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12.2</w:t>
            </w:r>
          </w:p>
        </w:tc>
        <w:tc>
          <w:tcPr>
            <w:tcW w:w="4600" w:type="dxa"/>
            <w:tcBorders>
              <w:top w:val="nil"/>
              <w:left w:val="single" w:sz="4" w:space="0" w:color="auto"/>
              <w:bottom w:val="single" w:sz="4" w:space="0" w:color="auto"/>
              <w:right w:val="single" w:sz="4" w:space="0" w:color="auto"/>
            </w:tcBorders>
            <w:shd w:val="clear" w:color="000000" w:fill="FFFFFF"/>
            <w:noWrap/>
            <w:vAlign w:val="bottom"/>
            <w:hideMark/>
          </w:tcPr>
          <w:p w14:paraId="3E048F86" w14:textId="77777777" w:rsidR="007C07C3" w:rsidRPr="00D12940" w:rsidRDefault="007C07C3" w:rsidP="007C07C3">
            <w:pPr>
              <w:spacing w:after="0"/>
              <w:ind w:firstLineChars="100" w:firstLine="180"/>
              <w:jc w:val="left"/>
              <w:rPr>
                <w:rFonts w:eastAsia="Times New Roman" w:cs="Times New Roman"/>
                <w:sz w:val="18"/>
                <w:szCs w:val="18"/>
              </w:rPr>
            </w:pPr>
            <w:r w:rsidRPr="00D12940">
              <w:rPr>
                <w:rFonts w:eastAsia="Times New Roman" w:cs="Times New Roman"/>
                <w:sz w:val="18"/>
                <w:szCs w:val="18"/>
              </w:rPr>
              <w:t xml:space="preserve"> Izlīdzinātie valsts parāda apkalpošanas izdevumi </w:t>
            </w:r>
          </w:p>
        </w:tc>
        <w:tc>
          <w:tcPr>
            <w:tcW w:w="1079" w:type="dxa"/>
            <w:tcBorders>
              <w:top w:val="nil"/>
              <w:left w:val="single" w:sz="4" w:space="0" w:color="auto"/>
              <w:bottom w:val="single" w:sz="4" w:space="0" w:color="auto"/>
              <w:right w:val="single" w:sz="4" w:space="0" w:color="auto"/>
            </w:tcBorders>
            <w:shd w:val="clear" w:color="000000" w:fill="FFFFFF"/>
            <w:noWrap/>
            <w:vAlign w:val="bottom"/>
          </w:tcPr>
          <w:p w14:paraId="5002DE85" w14:textId="5516A1D0"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503,8</w:t>
            </w:r>
          </w:p>
        </w:tc>
        <w:tc>
          <w:tcPr>
            <w:tcW w:w="1079" w:type="dxa"/>
            <w:tcBorders>
              <w:top w:val="nil"/>
              <w:left w:val="nil"/>
              <w:bottom w:val="single" w:sz="4" w:space="0" w:color="auto"/>
              <w:right w:val="single" w:sz="4" w:space="0" w:color="auto"/>
            </w:tcBorders>
            <w:shd w:val="clear" w:color="000000" w:fill="FFFFFF"/>
            <w:noWrap/>
            <w:vAlign w:val="bottom"/>
          </w:tcPr>
          <w:p w14:paraId="191F822A" w14:textId="275C655D"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604,2</w:t>
            </w:r>
          </w:p>
        </w:tc>
        <w:tc>
          <w:tcPr>
            <w:tcW w:w="1079" w:type="dxa"/>
            <w:tcBorders>
              <w:top w:val="nil"/>
              <w:left w:val="nil"/>
              <w:bottom w:val="single" w:sz="4" w:space="0" w:color="auto"/>
              <w:right w:val="single" w:sz="4" w:space="0" w:color="auto"/>
            </w:tcBorders>
            <w:shd w:val="clear" w:color="000000" w:fill="FFFFFF"/>
            <w:noWrap/>
            <w:vAlign w:val="bottom"/>
          </w:tcPr>
          <w:p w14:paraId="68D143AC" w14:textId="667BE1AD" w:rsidR="007C07C3" w:rsidRPr="00D12940" w:rsidRDefault="007C07C3" w:rsidP="007C07C3">
            <w:pPr>
              <w:spacing w:after="0"/>
              <w:ind w:firstLine="0"/>
              <w:jc w:val="right"/>
              <w:rPr>
                <w:rFonts w:eastAsia="Times New Roman" w:cs="Times New Roman"/>
                <w:sz w:val="18"/>
                <w:szCs w:val="18"/>
              </w:rPr>
            </w:pPr>
            <w:r w:rsidRPr="00D12940">
              <w:rPr>
                <w:rFonts w:cs="Times New Roman"/>
                <w:sz w:val="18"/>
                <w:szCs w:val="18"/>
              </w:rPr>
              <w:t>662,0</w:t>
            </w:r>
          </w:p>
        </w:tc>
      </w:tr>
      <w:tr w:rsidR="007C07C3" w:rsidRPr="00D12940" w14:paraId="53251801" w14:textId="77777777" w:rsidTr="00595910">
        <w:trPr>
          <w:trHeight w:val="300"/>
          <w:jc w:val="center"/>
        </w:trPr>
        <w:tc>
          <w:tcPr>
            <w:tcW w:w="1229" w:type="dxa"/>
            <w:tcBorders>
              <w:top w:val="nil"/>
              <w:left w:val="nil"/>
              <w:bottom w:val="nil"/>
              <w:right w:val="nil"/>
            </w:tcBorders>
            <w:shd w:val="clear" w:color="auto" w:fill="auto"/>
            <w:noWrap/>
            <w:vAlign w:val="center"/>
            <w:hideMark/>
          </w:tcPr>
          <w:p w14:paraId="7D694884"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13=11-12</w:t>
            </w:r>
          </w:p>
        </w:tc>
        <w:tc>
          <w:tcPr>
            <w:tcW w:w="4600" w:type="dxa"/>
            <w:tcBorders>
              <w:top w:val="nil"/>
              <w:left w:val="single" w:sz="4" w:space="0" w:color="auto"/>
              <w:bottom w:val="single" w:sz="4" w:space="0" w:color="auto"/>
              <w:right w:val="single" w:sz="4" w:space="0" w:color="auto"/>
            </w:tcBorders>
            <w:shd w:val="clear" w:color="000000" w:fill="FFC000"/>
            <w:noWrap/>
            <w:vAlign w:val="bottom"/>
            <w:hideMark/>
          </w:tcPr>
          <w:p w14:paraId="4B0FF4E0"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b/>
                <w:bCs/>
                <w:color w:val="000000"/>
                <w:sz w:val="18"/>
                <w:szCs w:val="18"/>
              </w:rPr>
              <w:t>Koriģētie maksimāli pieļaujamie valsts budžeta izdevumi,</w:t>
            </w:r>
            <w:r w:rsidRPr="00D12940">
              <w:rPr>
                <w:rFonts w:eastAsia="Times New Roman" w:cs="Times New Roman"/>
                <w:color w:val="000000"/>
                <w:sz w:val="18"/>
                <w:szCs w:val="18"/>
              </w:rPr>
              <w:t xml:space="preserve"> milj. </w:t>
            </w:r>
            <w:proofErr w:type="spellStart"/>
            <w:r w:rsidRPr="00D12940">
              <w:rPr>
                <w:rFonts w:eastAsia="Times New Roman" w:cs="Times New Roman"/>
                <w:i/>
                <w:iCs/>
                <w:color w:val="000000"/>
                <w:sz w:val="18"/>
                <w:szCs w:val="18"/>
              </w:rPr>
              <w:t>euro</w:t>
            </w:r>
            <w:proofErr w:type="spellEnd"/>
            <w:r w:rsidRPr="00D12940">
              <w:rPr>
                <w:rFonts w:eastAsia="Times New Roman" w:cs="Times New Roman"/>
                <w:color w:val="000000"/>
                <w:sz w:val="18"/>
                <w:szCs w:val="18"/>
              </w:rPr>
              <w:t xml:space="preserve"> </w:t>
            </w:r>
          </w:p>
        </w:tc>
        <w:tc>
          <w:tcPr>
            <w:tcW w:w="1079" w:type="dxa"/>
            <w:tcBorders>
              <w:top w:val="nil"/>
              <w:left w:val="single" w:sz="4" w:space="0" w:color="auto"/>
              <w:bottom w:val="single" w:sz="4" w:space="0" w:color="auto"/>
              <w:right w:val="single" w:sz="4" w:space="0" w:color="auto"/>
            </w:tcBorders>
            <w:shd w:val="clear" w:color="000000" w:fill="FFC000"/>
            <w:noWrap/>
            <w:vAlign w:val="center"/>
          </w:tcPr>
          <w:p w14:paraId="3E321835" w14:textId="4F5693FB" w:rsidR="007C07C3" w:rsidRPr="00D12940" w:rsidRDefault="007C07C3" w:rsidP="00595910">
            <w:pPr>
              <w:spacing w:after="0"/>
              <w:ind w:firstLine="0"/>
              <w:jc w:val="center"/>
              <w:rPr>
                <w:rFonts w:eastAsia="Times New Roman" w:cs="Times New Roman"/>
                <w:b/>
                <w:bCs/>
                <w:sz w:val="18"/>
                <w:szCs w:val="18"/>
                <w:highlight w:val="lightGray"/>
              </w:rPr>
            </w:pPr>
            <w:r w:rsidRPr="00D12940">
              <w:rPr>
                <w:rFonts w:cs="Times New Roman"/>
                <w:b/>
                <w:bCs/>
                <w:sz w:val="18"/>
                <w:szCs w:val="18"/>
              </w:rPr>
              <w:t>14 455,6</w:t>
            </w:r>
          </w:p>
        </w:tc>
        <w:tc>
          <w:tcPr>
            <w:tcW w:w="1079" w:type="dxa"/>
            <w:tcBorders>
              <w:top w:val="nil"/>
              <w:left w:val="nil"/>
              <w:bottom w:val="single" w:sz="4" w:space="0" w:color="auto"/>
              <w:right w:val="single" w:sz="4" w:space="0" w:color="auto"/>
            </w:tcBorders>
            <w:shd w:val="clear" w:color="000000" w:fill="FFC000"/>
            <w:noWrap/>
            <w:vAlign w:val="center"/>
          </w:tcPr>
          <w:p w14:paraId="22D77323" w14:textId="5BF504B4" w:rsidR="007C07C3" w:rsidRPr="00D12940" w:rsidRDefault="007C07C3" w:rsidP="00595910">
            <w:pPr>
              <w:spacing w:after="0"/>
              <w:ind w:firstLine="0"/>
              <w:jc w:val="center"/>
              <w:rPr>
                <w:rFonts w:eastAsia="Times New Roman" w:cs="Times New Roman"/>
                <w:b/>
                <w:bCs/>
                <w:sz w:val="18"/>
                <w:szCs w:val="18"/>
                <w:highlight w:val="lightGray"/>
              </w:rPr>
            </w:pPr>
            <w:r w:rsidRPr="00D12940">
              <w:rPr>
                <w:rFonts w:cs="Times New Roman"/>
                <w:b/>
                <w:bCs/>
                <w:sz w:val="18"/>
                <w:szCs w:val="18"/>
              </w:rPr>
              <w:t>14 630,8</w:t>
            </w:r>
          </w:p>
        </w:tc>
        <w:tc>
          <w:tcPr>
            <w:tcW w:w="1079" w:type="dxa"/>
            <w:tcBorders>
              <w:top w:val="nil"/>
              <w:left w:val="nil"/>
              <w:bottom w:val="single" w:sz="4" w:space="0" w:color="auto"/>
              <w:right w:val="single" w:sz="4" w:space="0" w:color="auto"/>
            </w:tcBorders>
            <w:shd w:val="clear" w:color="000000" w:fill="FFC000"/>
            <w:noWrap/>
            <w:vAlign w:val="center"/>
          </w:tcPr>
          <w:p w14:paraId="3E68BCF0" w14:textId="791EA6F8" w:rsidR="007C07C3" w:rsidRPr="00D12940" w:rsidRDefault="007C07C3" w:rsidP="00595910">
            <w:pPr>
              <w:spacing w:after="0"/>
              <w:ind w:firstLine="0"/>
              <w:jc w:val="center"/>
              <w:rPr>
                <w:rFonts w:eastAsia="Times New Roman" w:cs="Times New Roman"/>
                <w:b/>
                <w:bCs/>
                <w:sz w:val="18"/>
                <w:szCs w:val="18"/>
                <w:highlight w:val="lightGray"/>
              </w:rPr>
            </w:pPr>
            <w:r w:rsidRPr="00D12940">
              <w:rPr>
                <w:rFonts w:cs="Times New Roman"/>
                <w:b/>
                <w:bCs/>
                <w:sz w:val="18"/>
                <w:szCs w:val="18"/>
              </w:rPr>
              <w:t>14 821,6</w:t>
            </w:r>
          </w:p>
        </w:tc>
      </w:tr>
      <w:tr w:rsidR="007C07C3" w:rsidRPr="00D12940" w14:paraId="5283AD79"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5116CFE1"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14=15+16</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7331CBB1" w14:textId="77777777"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Faktiskie izdevumi</w:t>
            </w:r>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58604726" w14:textId="3CAE434B"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2 682,1</w:t>
            </w:r>
          </w:p>
        </w:tc>
        <w:tc>
          <w:tcPr>
            <w:tcW w:w="1079" w:type="dxa"/>
            <w:tcBorders>
              <w:top w:val="nil"/>
              <w:left w:val="nil"/>
              <w:bottom w:val="single" w:sz="4" w:space="0" w:color="auto"/>
              <w:right w:val="single" w:sz="4" w:space="0" w:color="auto"/>
            </w:tcBorders>
            <w:shd w:val="clear" w:color="auto" w:fill="auto"/>
            <w:noWrap/>
            <w:vAlign w:val="bottom"/>
          </w:tcPr>
          <w:p w14:paraId="009674C5" w14:textId="4E53615F"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2 712,0</w:t>
            </w:r>
          </w:p>
        </w:tc>
        <w:tc>
          <w:tcPr>
            <w:tcW w:w="1079" w:type="dxa"/>
            <w:tcBorders>
              <w:top w:val="nil"/>
              <w:left w:val="nil"/>
              <w:bottom w:val="single" w:sz="4" w:space="0" w:color="auto"/>
              <w:right w:val="single" w:sz="4" w:space="0" w:color="auto"/>
            </w:tcBorders>
            <w:shd w:val="clear" w:color="auto" w:fill="auto"/>
            <w:noWrap/>
            <w:vAlign w:val="bottom"/>
          </w:tcPr>
          <w:p w14:paraId="270A55A0" w14:textId="68715C89"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2 249,1</w:t>
            </w:r>
          </w:p>
        </w:tc>
      </w:tr>
      <w:tr w:rsidR="007C07C3" w:rsidRPr="00D12940" w14:paraId="67F1075F"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20A2D1D7"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15</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2158DCDB" w14:textId="75748072" w:rsidR="007C07C3" w:rsidRPr="00D12940" w:rsidRDefault="007C07C3" w:rsidP="007C07C3">
            <w:pPr>
              <w:spacing w:after="0"/>
              <w:ind w:firstLineChars="100" w:firstLine="180"/>
              <w:jc w:val="left"/>
              <w:rPr>
                <w:rFonts w:eastAsia="Times New Roman" w:cs="Times New Roman"/>
                <w:color w:val="000000"/>
                <w:sz w:val="18"/>
                <w:szCs w:val="18"/>
              </w:rPr>
            </w:pPr>
            <w:r w:rsidRPr="00D12940">
              <w:rPr>
                <w:rFonts w:eastAsia="Times New Roman" w:cs="Times New Roman"/>
                <w:color w:val="000000"/>
                <w:sz w:val="18"/>
                <w:szCs w:val="18"/>
              </w:rPr>
              <w:t xml:space="preserve">t.sk. </w:t>
            </w:r>
            <w:r w:rsidR="00841858" w:rsidRPr="00D12940">
              <w:rPr>
                <w:rFonts w:eastAsia="Times New Roman" w:cs="Times New Roman"/>
                <w:color w:val="000000"/>
                <w:sz w:val="18"/>
                <w:szCs w:val="18"/>
              </w:rPr>
              <w:t>ES</w:t>
            </w:r>
            <w:r w:rsidRPr="00D12940">
              <w:rPr>
                <w:rFonts w:eastAsia="Times New Roman" w:cs="Times New Roman"/>
                <w:color w:val="000000"/>
                <w:sz w:val="18"/>
                <w:szCs w:val="18"/>
              </w:rPr>
              <w:t xml:space="preserve"> fondu izdevumi – augšup vērstā metode</w:t>
            </w:r>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691D766D" w14:textId="42B41308"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2 178,3</w:t>
            </w:r>
          </w:p>
        </w:tc>
        <w:tc>
          <w:tcPr>
            <w:tcW w:w="1079" w:type="dxa"/>
            <w:tcBorders>
              <w:top w:val="nil"/>
              <w:left w:val="nil"/>
              <w:bottom w:val="single" w:sz="4" w:space="0" w:color="auto"/>
              <w:right w:val="single" w:sz="4" w:space="0" w:color="auto"/>
            </w:tcBorders>
            <w:shd w:val="clear" w:color="auto" w:fill="auto"/>
            <w:noWrap/>
            <w:vAlign w:val="bottom"/>
          </w:tcPr>
          <w:p w14:paraId="2A552EA2" w14:textId="024505C5"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2 107,8</w:t>
            </w:r>
          </w:p>
        </w:tc>
        <w:tc>
          <w:tcPr>
            <w:tcW w:w="1079" w:type="dxa"/>
            <w:tcBorders>
              <w:top w:val="nil"/>
              <w:left w:val="nil"/>
              <w:bottom w:val="single" w:sz="4" w:space="0" w:color="auto"/>
              <w:right w:val="single" w:sz="4" w:space="0" w:color="auto"/>
            </w:tcBorders>
            <w:shd w:val="clear" w:color="auto" w:fill="auto"/>
            <w:noWrap/>
            <w:vAlign w:val="bottom"/>
          </w:tcPr>
          <w:p w14:paraId="20EABA12" w14:textId="37E500D7"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1 587,1</w:t>
            </w:r>
          </w:p>
        </w:tc>
      </w:tr>
      <w:tr w:rsidR="007C07C3" w:rsidRPr="00D12940" w14:paraId="3590604D"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24B4C89D"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15.1</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4681079A" w14:textId="77777777" w:rsidR="007C07C3" w:rsidRPr="00D12940" w:rsidRDefault="007C07C3" w:rsidP="007C07C3">
            <w:pPr>
              <w:spacing w:after="0"/>
              <w:ind w:firstLineChars="200" w:firstLine="360"/>
              <w:jc w:val="left"/>
              <w:rPr>
                <w:rFonts w:eastAsia="Times New Roman" w:cs="Times New Roman"/>
                <w:color w:val="000000"/>
                <w:sz w:val="18"/>
                <w:szCs w:val="18"/>
              </w:rPr>
            </w:pPr>
            <w:r w:rsidRPr="00D12940">
              <w:rPr>
                <w:rFonts w:eastAsia="Times New Roman" w:cs="Times New Roman"/>
                <w:color w:val="000000"/>
                <w:sz w:val="18"/>
                <w:szCs w:val="18"/>
              </w:rPr>
              <w:t>t.sk. neatmaksājamā daļa</w:t>
            </w:r>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5F0D6D3E" w14:textId="1EACA50C"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266,7</w:t>
            </w:r>
          </w:p>
        </w:tc>
        <w:tc>
          <w:tcPr>
            <w:tcW w:w="1079" w:type="dxa"/>
            <w:tcBorders>
              <w:top w:val="nil"/>
              <w:left w:val="nil"/>
              <w:bottom w:val="single" w:sz="4" w:space="0" w:color="auto"/>
              <w:right w:val="single" w:sz="4" w:space="0" w:color="auto"/>
            </w:tcBorders>
            <w:shd w:val="clear" w:color="auto" w:fill="auto"/>
            <w:noWrap/>
            <w:vAlign w:val="bottom"/>
          </w:tcPr>
          <w:p w14:paraId="2124DC9C" w14:textId="3CD4B17A"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233,4</w:t>
            </w:r>
          </w:p>
        </w:tc>
        <w:tc>
          <w:tcPr>
            <w:tcW w:w="1079" w:type="dxa"/>
            <w:tcBorders>
              <w:top w:val="nil"/>
              <w:left w:val="nil"/>
              <w:bottom w:val="single" w:sz="4" w:space="0" w:color="auto"/>
              <w:right w:val="single" w:sz="4" w:space="0" w:color="auto"/>
            </w:tcBorders>
            <w:shd w:val="clear" w:color="auto" w:fill="auto"/>
            <w:noWrap/>
            <w:vAlign w:val="bottom"/>
          </w:tcPr>
          <w:p w14:paraId="1E301488" w14:textId="698552D2"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154,4</w:t>
            </w:r>
          </w:p>
        </w:tc>
      </w:tr>
      <w:tr w:rsidR="007C07C3" w:rsidRPr="00D12940" w14:paraId="0D93A59C"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7ECB3AF7"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15.2</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55A2237E" w14:textId="77777777" w:rsidR="007C07C3" w:rsidRPr="00D12940" w:rsidRDefault="007C07C3" w:rsidP="007C07C3">
            <w:pPr>
              <w:spacing w:after="0"/>
              <w:ind w:firstLineChars="200" w:firstLine="360"/>
              <w:jc w:val="left"/>
              <w:rPr>
                <w:rFonts w:eastAsia="Times New Roman" w:cs="Times New Roman"/>
                <w:color w:val="000000"/>
                <w:sz w:val="18"/>
                <w:szCs w:val="18"/>
              </w:rPr>
            </w:pPr>
            <w:r w:rsidRPr="00D12940">
              <w:rPr>
                <w:rFonts w:eastAsia="Times New Roman" w:cs="Times New Roman"/>
                <w:color w:val="000000"/>
                <w:sz w:val="18"/>
                <w:szCs w:val="18"/>
              </w:rPr>
              <w:t>atmaksājamā daļa</w:t>
            </w:r>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48388C17" w14:textId="05077EB9"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1 911,6</w:t>
            </w:r>
          </w:p>
        </w:tc>
        <w:tc>
          <w:tcPr>
            <w:tcW w:w="1079" w:type="dxa"/>
            <w:tcBorders>
              <w:top w:val="nil"/>
              <w:left w:val="nil"/>
              <w:bottom w:val="single" w:sz="4" w:space="0" w:color="auto"/>
              <w:right w:val="single" w:sz="4" w:space="0" w:color="auto"/>
            </w:tcBorders>
            <w:shd w:val="clear" w:color="auto" w:fill="auto"/>
            <w:noWrap/>
            <w:vAlign w:val="bottom"/>
          </w:tcPr>
          <w:p w14:paraId="3C6316BD" w14:textId="754A9ACE"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1 874,4</w:t>
            </w:r>
          </w:p>
        </w:tc>
        <w:tc>
          <w:tcPr>
            <w:tcW w:w="1079" w:type="dxa"/>
            <w:tcBorders>
              <w:top w:val="nil"/>
              <w:left w:val="nil"/>
              <w:bottom w:val="single" w:sz="4" w:space="0" w:color="auto"/>
              <w:right w:val="single" w:sz="4" w:space="0" w:color="auto"/>
            </w:tcBorders>
            <w:shd w:val="clear" w:color="auto" w:fill="auto"/>
            <w:noWrap/>
            <w:vAlign w:val="bottom"/>
          </w:tcPr>
          <w:p w14:paraId="406C15F8" w14:textId="0C1B7874"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1 432,7</w:t>
            </w:r>
          </w:p>
        </w:tc>
      </w:tr>
      <w:tr w:rsidR="007C07C3" w:rsidRPr="00D12940" w14:paraId="73BEB561"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74451554"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16</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1950388B" w14:textId="77777777" w:rsidR="007C07C3" w:rsidRPr="00D12940" w:rsidRDefault="007C07C3" w:rsidP="007C07C3">
            <w:pPr>
              <w:spacing w:after="0"/>
              <w:ind w:firstLineChars="100" w:firstLine="180"/>
              <w:jc w:val="left"/>
              <w:rPr>
                <w:rFonts w:eastAsia="Times New Roman" w:cs="Times New Roman"/>
                <w:sz w:val="18"/>
                <w:szCs w:val="18"/>
              </w:rPr>
            </w:pPr>
            <w:r w:rsidRPr="00D12940">
              <w:rPr>
                <w:rFonts w:eastAsia="Times New Roman" w:cs="Times New Roman"/>
                <w:sz w:val="18"/>
                <w:szCs w:val="18"/>
              </w:rPr>
              <w:t>Valsts parāda apkalpošanas izdevumi</w:t>
            </w:r>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3595FE3E" w14:textId="3D05FBD2"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503,8</w:t>
            </w:r>
          </w:p>
        </w:tc>
        <w:tc>
          <w:tcPr>
            <w:tcW w:w="1079" w:type="dxa"/>
            <w:tcBorders>
              <w:top w:val="nil"/>
              <w:left w:val="nil"/>
              <w:bottom w:val="single" w:sz="4" w:space="0" w:color="auto"/>
              <w:right w:val="single" w:sz="4" w:space="0" w:color="auto"/>
            </w:tcBorders>
            <w:shd w:val="clear" w:color="auto" w:fill="auto"/>
            <w:noWrap/>
            <w:vAlign w:val="bottom"/>
          </w:tcPr>
          <w:p w14:paraId="564770E1" w14:textId="27F0F9CF"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604,2</w:t>
            </w:r>
          </w:p>
        </w:tc>
        <w:tc>
          <w:tcPr>
            <w:tcW w:w="1079" w:type="dxa"/>
            <w:tcBorders>
              <w:top w:val="nil"/>
              <w:left w:val="nil"/>
              <w:bottom w:val="single" w:sz="4" w:space="0" w:color="auto"/>
              <w:right w:val="single" w:sz="4" w:space="0" w:color="auto"/>
            </w:tcBorders>
            <w:shd w:val="clear" w:color="auto" w:fill="auto"/>
            <w:noWrap/>
            <w:vAlign w:val="bottom"/>
          </w:tcPr>
          <w:p w14:paraId="0DC25836" w14:textId="041323FF"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662,0</w:t>
            </w:r>
          </w:p>
        </w:tc>
      </w:tr>
      <w:tr w:rsidR="007C07C3" w:rsidRPr="00D12940" w14:paraId="018760E6"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7641390E"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17=13+14</w:t>
            </w:r>
          </w:p>
        </w:tc>
        <w:tc>
          <w:tcPr>
            <w:tcW w:w="4600" w:type="dxa"/>
            <w:tcBorders>
              <w:top w:val="nil"/>
              <w:left w:val="single" w:sz="4" w:space="0" w:color="auto"/>
              <w:bottom w:val="single" w:sz="4" w:space="0" w:color="auto"/>
              <w:right w:val="single" w:sz="4" w:space="0" w:color="auto"/>
            </w:tcBorders>
            <w:shd w:val="clear" w:color="000000" w:fill="DCE6F1"/>
            <w:noWrap/>
            <w:vAlign w:val="bottom"/>
            <w:hideMark/>
          </w:tcPr>
          <w:p w14:paraId="3F36C0CD" w14:textId="3012C684"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Valsts budžeta izdevumi, milj. </w:t>
            </w:r>
            <w:proofErr w:type="spellStart"/>
            <w:r w:rsidRPr="00D12940">
              <w:rPr>
                <w:rFonts w:eastAsia="Times New Roman" w:cs="Times New Roman"/>
                <w:i/>
                <w:iCs/>
                <w:color w:val="000000"/>
                <w:sz w:val="18"/>
                <w:szCs w:val="18"/>
              </w:rPr>
              <w:t>euro</w:t>
            </w:r>
            <w:proofErr w:type="spellEnd"/>
            <w:r w:rsidRPr="00D12940">
              <w:rPr>
                <w:rFonts w:eastAsia="Times New Roman" w:cs="Times New Roman"/>
                <w:color w:val="000000"/>
                <w:sz w:val="18"/>
                <w:szCs w:val="18"/>
              </w:rPr>
              <w:t xml:space="preserve"> - lejup vērstā metode</w:t>
            </w:r>
          </w:p>
        </w:tc>
        <w:tc>
          <w:tcPr>
            <w:tcW w:w="1079" w:type="dxa"/>
            <w:tcBorders>
              <w:top w:val="nil"/>
              <w:left w:val="single" w:sz="4" w:space="0" w:color="auto"/>
              <w:bottom w:val="single" w:sz="4" w:space="0" w:color="auto"/>
              <w:right w:val="single" w:sz="4" w:space="0" w:color="auto"/>
            </w:tcBorders>
            <w:shd w:val="clear" w:color="000000" w:fill="DCE6F1"/>
            <w:noWrap/>
            <w:vAlign w:val="bottom"/>
          </w:tcPr>
          <w:p w14:paraId="328F55E9" w14:textId="7AD39698"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17 137,7</w:t>
            </w:r>
          </w:p>
        </w:tc>
        <w:tc>
          <w:tcPr>
            <w:tcW w:w="1079" w:type="dxa"/>
            <w:tcBorders>
              <w:top w:val="nil"/>
              <w:left w:val="nil"/>
              <w:bottom w:val="single" w:sz="4" w:space="0" w:color="auto"/>
              <w:right w:val="single" w:sz="4" w:space="0" w:color="auto"/>
            </w:tcBorders>
            <w:shd w:val="clear" w:color="000000" w:fill="DCE6F1"/>
            <w:noWrap/>
            <w:vAlign w:val="bottom"/>
          </w:tcPr>
          <w:p w14:paraId="3FDF9287" w14:textId="5537A0FB"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17 342,8</w:t>
            </w:r>
          </w:p>
        </w:tc>
        <w:tc>
          <w:tcPr>
            <w:tcW w:w="1079" w:type="dxa"/>
            <w:tcBorders>
              <w:top w:val="nil"/>
              <w:left w:val="nil"/>
              <w:bottom w:val="single" w:sz="4" w:space="0" w:color="auto"/>
              <w:right w:val="single" w:sz="4" w:space="0" w:color="auto"/>
            </w:tcBorders>
            <w:shd w:val="clear" w:color="000000" w:fill="DCE6F1"/>
            <w:noWrap/>
            <w:vAlign w:val="bottom"/>
          </w:tcPr>
          <w:p w14:paraId="7F05186F" w14:textId="577A0914"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17 070,7</w:t>
            </w:r>
          </w:p>
        </w:tc>
      </w:tr>
      <w:tr w:rsidR="007C07C3" w:rsidRPr="00D12940" w14:paraId="3E3B4B95" w14:textId="77777777" w:rsidTr="007C07C3">
        <w:trPr>
          <w:trHeight w:val="323"/>
          <w:jc w:val="center"/>
        </w:trPr>
        <w:tc>
          <w:tcPr>
            <w:tcW w:w="1229" w:type="dxa"/>
            <w:tcBorders>
              <w:top w:val="nil"/>
              <w:left w:val="nil"/>
              <w:bottom w:val="nil"/>
              <w:right w:val="nil"/>
            </w:tcBorders>
            <w:shd w:val="clear" w:color="auto" w:fill="auto"/>
            <w:noWrap/>
            <w:vAlign w:val="center"/>
            <w:hideMark/>
          </w:tcPr>
          <w:p w14:paraId="419D13B9"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18</w:t>
            </w:r>
          </w:p>
        </w:tc>
        <w:tc>
          <w:tcPr>
            <w:tcW w:w="4600" w:type="dxa"/>
            <w:tcBorders>
              <w:top w:val="nil"/>
              <w:left w:val="single" w:sz="4" w:space="0" w:color="auto"/>
              <w:bottom w:val="single" w:sz="4" w:space="0" w:color="auto"/>
              <w:right w:val="single" w:sz="4" w:space="0" w:color="auto"/>
            </w:tcBorders>
            <w:shd w:val="clear" w:color="000000" w:fill="DCE6F1"/>
            <w:noWrap/>
            <w:vAlign w:val="bottom"/>
            <w:hideMark/>
          </w:tcPr>
          <w:p w14:paraId="420A7494" w14:textId="4773AC81" w:rsidR="007C07C3" w:rsidRPr="00D12940" w:rsidRDefault="007C07C3" w:rsidP="007C07C3">
            <w:pPr>
              <w:spacing w:after="0"/>
              <w:ind w:firstLine="0"/>
              <w:jc w:val="left"/>
              <w:rPr>
                <w:rFonts w:eastAsia="Times New Roman" w:cs="Times New Roman"/>
                <w:color w:val="000000"/>
                <w:sz w:val="18"/>
                <w:szCs w:val="18"/>
              </w:rPr>
            </w:pPr>
            <w:r w:rsidRPr="00D12940">
              <w:rPr>
                <w:rFonts w:eastAsia="Times New Roman" w:cs="Times New Roman"/>
                <w:color w:val="000000"/>
                <w:sz w:val="18"/>
                <w:szCs w:val="18"/>
              </w:rPr>
              <w:t xml:space="preserve">Valsts budžeta izdevumi, milj. </w:t>
            </w:r>
            <w:proofErr w:type="spellStart"/>
            <w:r w:rsidRPr="00D12940">
              <w:rPr>
                <w:rFonts w:eastAsia="Times New Roman" w:cs="Times New Roman"/>
                <w:i/>
                <w:iCs/>
                <w:color w:val="000000"/>
                <w:sz w:val="18"/>
                <w:szCs w:val="18"/>
              </w:rPr>
              <w:t>euro</w:t>
            </w:r>
            <w:proofErr w:type="spellEnd"/>
            <w:r w:rsidRPr="00D12940">
              <w:rPr>
                <w:rFonts w:eastAsia="Times New Roman" w:cs="Times New Roman"/>
                <w:color w:val="000000"/>
                <w:sz w:val="18"/>
                <w:szCs w:val="18"/>
              </w:rPr>
              <w:t xml:space="preserve"> - augšup vērstā metode</w:t>
            </w:r>
          </w:p>
        </w:tc>
        <w:tc>
          <w:tcPr>
            <w:tcW w:w="1079" w:type="dxa"/>
            <w:tcBorders>
              <w:top w:val="nil"/>
              <w:left w:val="single" w:sz="4" w:space="0" w:color="auto"/>
              <w:bottom w:val="single" w:sz="4" w:space="0" w:color="auto"/>
              <w:right w:val="single" w:sz="4" w:space="0" w:color="auto"/>
            </w:tcBorders>
            <w:shd w:val="clear" w:color="000000" w:fill="DCE6F1"/>
            <w:noWrap/>
            <w:vAlign w:val="bottom"/>
          </w:tcPr>
          <w:p w14:paraId="262724F0" w14:textId="4A2B1036"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17 093,4</w:t>
            </w:r>
          </w:p>
        </w:tc>
        <w:tc>
          <w:tcPr>
            <w:tcW w:w="1079" w:type="dxa"/>
            <w:tcBorders>
              <w:top w:val="nil"/>
              <w:left w:val="nil"/>
              <w:bottom w:val="single" w:sz="4" w:space="0" w:color="auto"/>
              <w:right w:val="single" w:sz="4" w:space="0" w:color="auto"/>
            </w:tcBorders>
            <w:shd w:val="clear" w:color="000000" w:fill="DCE6F1"/>
            <w:noWrap/>
            <w:vAlign w:val="bottom"/>
          </w:tcPr>
          <w:p w14:paraId="46C0D67E" w14:textId="04087837"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17 296,0</w:t>
            </w:r>
          </w:p>
        </w:tc>
        <w:tc>
          <w:tcPr>
            <w:tcW w:w="1079" w:type="dxa"/>
            <w:tcBorders>
              <w:top w:val="nil"/>
              <w:left w:val="nil"/>
              <w:bottom w:val="single" w:sz="4" w:space="0" w:color="auto"/>
              <w:right w:val="single" w:sz="4" w:space="0" w:color="auto"/>
            </w:tcBorders>
            <w:shd w:val="clear" w:color="000000" w:fill="DCE6F1"/>
            <w:noWrap/>
            <w:vAlign w:val="bottom"/>
          </w:tcPr>
          <w:p w14:paraId="6EF1684D" w14:textId="7FE3A900" w:rsidR="007C07C3" w:rsidRPr="00D12940" w:rsidRDefault="007C07C3" w:rsidP="007C07C3">
            <w:pPr>
              <w:spacing w:after="0"/>
              <w:ind w:firstLine="0"/>
              <w:jc w:val="right"/>
              <w:rPr>
                <w:rFonts w:eastAsia="Times New Roman" w:cs="Times New Roman"/>
                <w:sz w:val="18"/>
                <w:szCs w:val="18"/>
                <w:highlight w:val="lightGray"/>
              </w:rPr>
            </w:pPr>
            <w:r w:rsidRPr="00D12940">
              <w:rPr>
                <w:rFonts w:cs="Times New Roman"/>
                <w:sz w:val="18"/>
                <w:szCs w:val="18"/>
              </w:rPr>
              <w:t>17 021,4</w:t>
            </w:r>
          </w:p>
        </w:tc>
      </w:tr>
      <w:tr w:rsidR="007C07C3" w:rsidRPr="00D12940" w14:paraId="7907D3F3"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03CF657B"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19=17-18</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4674C4B3" w14:textId="77777777" w:rsidR="007C07C3" w:rsidRPr="00D12940" w:rsidRDefault="007C07C3" w:rsidP="007C07C3">
            <w:pPr>
              <w:spacing w:after="0"/>
              <w:ind w:firstLine="0"/>
              <w:jc w:val="left"/>
              <w:rPr>
                <w:rFonts w:eastAsia="Times New Roman" w:cs="Times New Roman"/>
                <w:b/>
                <w:bCs/>
                <w:i/>
                <w:iCs/>
                <w:color w:val="000000"/>
                <w:sz w:val="18"/>
                <w:szCs w:val="18"/>
              </w:rPr>
            </w:pPr>
            <w:r w:rsidRPr="00D12940">
              <w:rPr>
                <w:rFonts w:eastAsia="Times New Roman" w:cs="Times New Roman"/>
                <w:b/>
                <w:bCs/>
                <w:i/>
                <w:iCs/>
                <w:color w:val="000000"/>
                <w:sz w:val="18"/>
                <w:szCs w:val="18"/>
              </w:rPr>
              <w:t>Starpība</w:t>
            </w:r>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08AAD688" w14:textId="7232838C" w:rsidR="007C07C3" w:rsidRPr="00D12940" w:rsidRDefault="007C07C3" w:rsidP="007C07C3">
            <w:pPr>
              <w:spacing w:after="0"/>
              <w:ind w:firstLine="0"/>
              <w:jc w:val="right"/>
              <w:rPr>
                <w:rFonts w:eastAsia="Times New Roman" w:cs="Times New Roman"/>
                <w:b/>
                <w:bCs/>
                <w:i/>
                <w:iCs/>
                <w:color w:val="000000"/>
                <w:sz w:val="18"/>
                <w:szCs w:val="18"/>
                <w:highlight w:val="lightGray"/>
              </w:rPr>
            </w:pPr>
            <w:r w:rsidRPr="00D12940">
              <w:rPr>
                <w:rFonts w:cs="Times New Roman"/>
                <w:b/>
                <w:bCs/>
                <w:i/>
                <w:iCs/>
                <w:color w:val="000000"/>
                <w:sz w:val="18"/>
                <w:szCs w:val="18"/>
              </w:rPr>
              <w:t>44,4</w:t>
            </w:r>
          </w:p>
        </w:tc>
        <w:tc>
          <w:tcPr>
            <w:tcW w:w="1079" w:type="dxa"/>
            <w:tcBorders>
              <w:top w:val="nil"/>
              <w:left w:val="nil"/>
              <w:bottom w:val="single" w:sz="4" w:space="0" w:color="auto"/>
              <w:right w:val="single" w:sz="4" w:space="0" w:color="auto"/>
            </w:tcBorders>
            <w:shd w:val="clear" w:color="auto" w:fill="auto"/>
            <w:noWrap/>
            <w:vAlign w:val="bottom"/>
          </w:tcPr>
          <w:p w14:paraId="1CF4C82B" w14:textId="31D5AF53" w:rsidR="007C07C3" w:rsidRPr="00D12940" w:rsidRDefault="007C07C3" w:rsidP="007C07C3">
            <w:pPr>
              <w:spacing w:after="0"/>
              <w:ind w:firstLine="0"/>
              <w:jc w:val="right"/>
              <w:rPr>
                <w:rFonts w:eastAsia="Times New Roman" w:cs="Times New Roman"/>
                <w:b/>
                <w:bCs/>
                <w:i/>
                <w:iCs/>
                <w:color w:val="000000"/>
                <w:sz w:val="18"/>
                <w:szCs w:val="18"/>
                <w:highlight w:val="lightGray"/>
              </w:rPr>
            </w:pPr>
            <w:r w:rsidRPr="00D12940">
              <w:rPr>
                <w:rFonts w:cs="Times New Roman"/>
                <w:b/>
                <w:bCs/>
                <w:i/>
                <w:iCs/>
                <w:color w:val="000000"/>
                <w:sz w:val="18"/>
                <w:szCs w:val="18"/>
              </w:rPr>
              <w:t>46,8</w:t>
            </w:r>
          </w:p>
        </w:tc>
        <w:tc>
          <w:tcPr>
            <w:tcW w:w="1079" w:type="dxa"/>
            <w:tcBorders>
              <w:top w:val="nil"/>
              <w:left w:val="nil"/>
              <w:bottom w:val="single" w:sz="4" w:space="0" w:color="auto"/>
              <w:right w:val="single" w:sz="4" w:space="0" w:color="auto"/>
            </w:tcBorders>
            <w:shd w:val="clear" w:color="auto" w:fill="auto"/>
            <w:noWrap/>
            <w:vAlign w:val="bottom"/>
          </w:tcPr>
          <w:p w14:paraId="75AFEC44" w14:textId="25381038" w:rsidR="007C07C3" w:rsidRPr="00D12940" w:rsidRDefault="007C07C3" w:rsidP="007C07C3">
            <w:pPr>
              <w:spacing w:after="0"/>
              <w:ind w:firstLine="0"/>
              <w:jc w:val="right"/>
              <w:rPr>
                <w:rFonts w:eastAsia="Times New Roman" w:cs="Times New Roman"/>
                <w:b/>
                <w:bCs/>
                <w:i/>
                <w:iCs/>
                <w:color w:val="000000"/>
                <w:sz w:val="18"/>
                <w:szCs w:val="18"/>
                <w:highlight w:val="lightGray"/>
              </w:rPr>
            </w:pPr>
            <w:r w:rsidRPr="00D12940">
              <w:rPr>
                <w:rFonts w:cs="Times New Roman"/>
                <w:b/>
                <w:bCs/>
                <w:i/>
                <w:iCs/>
                <w:color w:val="000000"/>
                <w:sz w:val="18"/>
                <w:szCs w:val="18"/>
              </w:rPr>
              <w:t>49,3</w:t>
            </w:r>
          </w:p>
        </w:tc>
      </w:tr>
      <w:tr w:rsidR="007C07C3" w:rsidRPr="00D12940" w14:paraId="600D14A6"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3C5B1D2B"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20</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0E7AD942" w14:textId="715E893E" w:rsidR="007C07C3" w:rsidRPr="00D12940" w:rsidRDefault="007C07C3" w:rsidP="007C07C3">
            <w:pPr>
              <w:spacing w:after="0"/>
              <w:ind w:firstLineChars="100" w:firstLine="180"/>
              <w:jc w:val="left"/>
              <w:rPr>
                <w:rFonts w:eastAsia="Times New Roman" w:cs="Times New Roman"/>
                <w:i/>
                <w:iCs/>
                <w:color w:val="000000"/>
                <w:sz w:val="18"/>
                <w:szCs w:val="18"/>
              </w:rPr>
            </w:pPr>
            <w:r w:rsidRPr="00D12940">
              <w:rPr>
                <w:rFonts w:eastAsia="Times New Roman" w:cs="Times New Roman"/>
                <w:i/>
                <w:iCs/>
                <w:color w:val="000000"/>
                <w:sz w:val="18"/>
                <w:szCs w:val="18"/>
              </w:rPr>
              <w:t xml:space="preserve">Fiskālā nodrošinājuma rezerve atbilstoši FDL, milj. </w:t>
            </w:r>
            <w:proofErr w:type="spellStart"/>
            <w:r w:rsidRPr="00D12940">
              <w:rPr>
                <w:rFonts w:eastAsia="Times New Roman" w:cs="Times New Roman"/>
                <w:i/>
                <w:iCs/>
                <w:color w:val="000000"/>
                <w:sz w:val="18"/>
                <w:szCs w:val="18"/>
              </w:rPr>
              <w:t>euro</w:t>
            </w:r>
            <w:proofErr w:type="spellEnd"/>
          </w:p>
        </w:tc>
        <w:tc>
          <w:tcPr>
            <w:tcW w:w="1079" w:type="dxa"/>
            <w:tcBorders>
              <w:top w:val="nil"/>
              <w:left w:val="single" w:sz="4" w:space="0" w:color="auto"/>
              <w:bottom w:val="single" w:sz="4" w:space="0" w:color="auto"/>
              <w:right w:val="single" w:sz="4" w:space="0" w:color="auto"/>
            </w:tcBorders>
            <w:shd w:val="clear" w:color="auto" w:fill="auto"/>
            <w:noWrap/>
            <w:vAlign w:val="bottom"/>
          </w:tcPr>
          <w:p w14:paraId="19ED7C44" w14:textId="22B4D6B3" w:rsidR="007C07C3" w:rsidRPr="00D12940" w:rsidRDefault="007C07C3" w:rsidP="007C07C3">
            <w:pPr>
              <w:spacing w:after="0"/>
              <w:ind w:firstLine="0"/>
              <w:jc w:val="right"/>
              <w:rPr>
                <w:rFonts w:eastAsia="Times New Roman" w:cs="Times New Roman"/>
                <w:i/>
                <w:iCs/>
                <w:sz w:val="18"/>
                <w:szCs w:val="18"/>
                <w:highlight w:val="lightGray"/>
              </w:rPr>
            </w:pPr>
            <w:r w:rsidRPr="00D12940">
              <w:rPr>
                <w:rFonts w:cs="Times New Roman"/>
                <w:i/>
                <w:iCs/>
                <w:sz w:val="18"/>
                <w:szCs w:val="18"/>
              </w:rPr>
              <w:t>44,4</w:t>
            </w:r>
          </w:p>
        </w:tc>
        <w:tc>
          <w:tcPr>
            <w:tcW w:w="1079" w:type="dxa"/>
            <w:tcBorders>
              <w:top w:val="nil"/>
              <w:left w:val="nil"/>
              <w:bottom w:val="single" w:sz="4" w:space="0" w:color="auto"/>
              <w:right w:val="single" w:sz="4" w:space="0" w:color="auto"/>
            </w:tcBorders>
            <w:shd w:val="clear" w:color="auto" w:fill="auto"/>
            <w:noWrap/>
            <w:vAlign w:val="bottom"/>
          </w:tcPr>
          <w:p w14:paraId="46C4F486" w14:textId="473F2226" w:rsidR="007C07C3" w:rsidRPr="00D12940" w:rsidRDefault="007C07C3" w:rsidP="007C07C3">
            <w:pPr>
              <w:spacing w:after="0"/>
              <w:ind w:firstLine="0"/>
              <w:jc w:val="right"/>
              <w:rPr>
                <w:rFonts w:eastAsia="Times New Roman" w:cs="Times New Roman"/>
                <w:i/>
                <w:iCs/>
                <w:sz w:val="18"/>
                <w:szCs w:val="18"/>
                <w:highlight w:val="lightGray"/>
              </w:rPr>
            </w:pPr>
            <w:r w:rsidRPr="00D12940">
              <w:rPr>
                <w:rFonts w:cs="Times New Roman"/>
                <w:i/>
                <w:iCs/>
                <w:sz w:val="18"/>
                <w:szCs w:val="18"/>
              </w:rPr>
              <w:t>46,8</w:t>
            </w:r>
          </w:p>
        </w:tc>
        <w:tc>
          <w:tcPr>
            <w:tcW w:w="1079" w:type="dxa"/>
            <w:tcBorders>
              <w:top w:val="nil"/>
              <w:left w:val="nil"/>
              <w:bottom w:val="single" w:sz="4" w:space="0" w:color="auto"/>
              <w:right w:val="single" w:sz="4" w:space="0" w:color="auto"/>
            </w:tcBorders>
            <w:shd w:val="clear" w:color="auto" w:fill="auto"/>
            <w:noWrap/>
            <w:vAlign w:val="bottom"/>
          </w:tcPr>
          <w:p w14:paraId="0CE59EE3" w14:textId="1D0FF287" w:rsidR="007C07C3" w:rsidRPr="00D12940" w:rsidRDefault="007C07C3" w:rsidP="007C07C3">
            <w:pPr>
              <w:spacing w:after="0"/>
              <w:ind w:firstLine="0"/>
              <w:jc w:val="right"/>
              <w:rPr>
                <w:rFonts w:eastAsia="Times New Roman" w:cs="Times New Roman"/>
                <w:i/>
                <w:iCs/>
                <w:sz w:val="18"/>
                <w:szCs w:val="18"/>
                <w:highlight w:val="lightGray"/>
              </w:rPr>
            </w:pPr>
            <w:r w:rsidRPr="00D12940">
              <w:rPr>
                <w:rFonts w:cs="Times New Roman"/>
                <w:i/>
                <w:iCs/>
                <w:sz w:val="18"/>
                <w:szCs w:val="18"/>
              </w:rPr>
              <w:t>49,3</w:t>
            </w:r>
          </w:p>
        </w:tc>
      </w:tr>
      <w:tr w:rsidR="007C07C3" w:rsidRPr="00D12940" w14:paraId="34E301E8" w14:textId="77777777" w:rsidTr="007C07C3">
        <w:trPr>
          <w:trHeight w:val="300"/>
          <w:jc w:val="center"/>
        </w:trPr>
        <w:tc>
          <w:tcPr>
            <w:tcW w:w="1229" w:type="dxa"/>
            <w:tcBorders>
              <w:top w:val="nil"/>
              <w:left w:val="nil"/>
              <w:bottom w:val="nil"/>
              <w:right w:val="nil"/>
            </w:tcBorders>
            <w:shd w:val="clear" w:color="auto" w:fill="auto"/>
            <w:noWrap/>
            <w:vAlign w:val="center"/>
            <w:hideMark/>
          </w:tcPr>
          <w:p w14:paraId="70DE0842" w14:textId="77777777" w:rsidR="007C07C3" w:rsidRPr="00D12940" w:rsidRDefault="007C07C3" w:rsidP="007C07C3">
            <w:pPr>
              <w:spacing w:after="0"/>
              <w:ind w:firstLine="0"/>
              <w:jc w:val="right"/>
              <w:rPr>
                <w:rFonts w:eastAsia="Times New Roman" w:cs="Times New Roman"/>
                <w:color w:val="000000"/>
                <w:sz w:val="18"/>
                <w:szCs w:val="18"/>
              </w:rPr>
            </w:pPr>
            <w:r w:rsidRPr="00D12940">
              <w:rPr>
                <w:rFonts w:eastAsia="Times New Roman" w:cs="Times New Roman"/>
                <w:color w:val="000000"/>
                <w:sz w:val="18"/>
                <w:szCs w:val="18"/>
              </w:rPr>
              <w:t>21</w:t>
            </w:r>
          </w:p>
        </w:tc>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10EFB1A8" w14:textId="405F95C2" w:rsidR="007C07C3" w:rsidRPr="00D12940" w:rsidRDefault="007C07C3" w:rsidP="007C07C3">
            <w:pPr>
              <w:spacing w:after="0"/>
              <w:ind w:firstLineChars="100" w:firstLine="180"/>
              <w:jc w:val="left"/>
              <w:rPr>
                <w:rFonts w:eastAsia="Times New Roman" w:cs="Times New Roman"/>
                <w:i/>
                <w:iCs/>
                <w:color w:val="000000"/>
                <w:sz w:val="18"/>
                <w:szCs w:val="18"/>
              </w:rPr>
            </w:pPr>
            <w:r w:rsidRPr="00D12940">
              <w:rPr>
                <w:rFonts w:eastAsia="Times New Roman" w:cs="Times New Roman"/>
                <w:i/>
                <w:iCs/>
                <w:color w:val="000000"/>
                <w:sz w:val="18"/>
                <w:szCs w:val="18"/>
              </w:rPr>
              <w:t xml:space="preserve">Fiskālā telpa, milj. </w:t>
            </w:r>
            <w:proofErr w:type="spellStart"/>
            <w:r w:rsidRPr="00D12940">
              <w:rPr>
                <w:rFonts w:eastAsia="Times New Roman" w:cs="Times New Roman"/>
                <w:i/>
                <w:iCs/>
                <w:color w:val="000000"/>
                <w:sz w:val="18"/>
                <w:szCs w:val="18"/>
              </w:rPr>
              <w:t>euro</w:t>
            </w:r>
            <w:proofErr w:type="spellEnd"/>
          </w:p>
        </w:tc>
        <w:tc>
          <w:tcPr>
            <w:tcW w:w="1079" w:type="dxa"/>
            <w:tcBorders>
              <w:top w:val="nil"/>
              <w:left w:val="nil"/>
              <w:bottom w:val="single" w:sz="4" w:space="0" w:color="auto"/>
              <w:right w:val="single" w:sz="4" w:space="0" w:color="auto"/>
            </w:tcBorders>
            <w:shd w:val="clear" w:color="auto" w:fill="auto"/>
            <w:noWrap/>
            <w:vAlign w:val="bottom"/>
            <w:hideMark/>
          </w:tcPr>
          <w:p w14:paraId="567F403D" w14:textId="021B0FA5" w:rsidR="007C07C3" w:rsidRPr="00D12940" w:rsidRDefault="007C07C3" w:rsidP="007C07C3">
            <w:pPr>
              <w:spacing w:after="0"/>
              <w:ind w:firstLine="0"/>
              <w:jc w:val="right"/>
              <w:rPr>
                <w:rFonts w:eastAsia="Times New Roman" w:cs="Times New Roman"/>
                <w:i/>
                <w:iCs/>
                <w:sz w:val="18"/>
                <w:szCs w:val="18"/>
                <w:highlight w:val="lightGray"/>
              </w:rPr>
            </w:pPr>
            <w:r w:rsidRPr="00D12940">
              <w:rPr>
                <w:rFonts w:cs="Times New Roman"/>
                <w:i/>
                <w:iCs/>
                <w:sz w:val="18"/>
                <w:szCs w:val="18"/>
              </w:rPr>
              <w:t>0,0</w:t>
            </w:r>
          </w:p>
        </w:tc>
        <w:tc>
          <w:tcPr>
            <w:tcW w:w="1079" w:type="dxa"/>
            <w:tcBorders>
              <w:top w:val="nil"/>
              <w:left w:val="nil"/>
              <w:bottom w:val="single" w:sz="4" w:space="0" w:color="auto"/>
              <w:right w:val="single" w:sz="4" w:space="0" w:color="auto"/>
            </w:tcBorders>
            <w:shd w:val="clear" w:color="auto" w:fill="auto"/>
            <w:noWrap/>
            <w:vAlign w:val="bottom"/>
            <w:hideMark/>
          </w:tcPr>
          <w:p w14:paraId="6AD04591" w14:textId="552D1D76" w:rsidR="007C07C3" w:rsidRPr="00D12940" w:rsidRDefault="007C07C3" w:rsidP="007C07C3">
            <w:pPr>
              <w:spacing w:after="0"/>
              <w:ind w:firstLine="0"/>
              <w:jc w:val="right"/>
              <w:rPr>
                <w:rFonts w:eastAsia="Times New Roman" w:cs="Times New Roman"/>
                <w:i/>
                <w:iCs/>
                <w:sz w:val="18"/>
                <w:szCs w:val="18"/>
                <w:highlight w:val="lightGray"/>
              </w:rPr>
            </w:pPr>
            <w:r w:rsidRPr="00D12940">
              <w:rPr>
                <w:rFonts w:cs="Times New Roman"/>
                <w:i/>
                <w:iCs/>
                <w:sz w:val="18"/>
                <w:szCs w:val="18"/>
              </w:rPr>
              <w:t>0,0</w:t>
            </w:r>
          </w:p>
        </w:tc>
        <w:tc>
          <w:tcPr>
            <w:tcW w:w="1079" w:type="dxa"/>
            <w:tcBorders>
              <w:top w:val="nil"/>
              <w:left w:val="nil"/>
              <w:bottom w:val="single" w:sz="4" w:space="0" w:color="auto"/>
              <w:right w:val="single" w:sz="4" w:space="0" w:color="auto"/>
            </w:tcBorders>
            <w:shd w:val="clear" w:color="auto" w:fill="auto"/>
            <w:noWrap/>
            <w:vAlign w:val="bottom"/>
            <w:hideMark/>
          </w:tcPr>
          <w:p w14:paraId="5309AA9C" w14:textId="52AB173D" w:rsidR="007C07C3" w:rsidRPr="00D12940" w:rsidRDefault="007C07C3" w:rsidP="007C07C3">
            <w:pPr>
              <w:spacing w:after="0"/>
              <w:ind w:firstLine="0"/>
              <w:jc w:val="right"/>
              <w:rPr>
                <w:rFonts w:eastAsia="Times New Roman" w:cs="Times New Roman"/>
                <w:i/>
                <w:iCs/>
                <w:sz w:val="18"/>
                <w:szCs w:val="18"/>
                <w:highlight w:val="lightGray"/>
              </w:rPr>
            </w:pPr>
            <w:r w:rsidRPr="00D12940">
              <w:rPr>
                <w:rFonts w:cs="Times New Roman"/>
                <w:i/>
                <w:iCs/>
                <w:sz w:val="18"/>
                <w:szCs w:val="18"/>
              </w:rPr>
              <w:t>0,0</w:t>
            </w:r>
          </w:p>
        </w:tc>
      </w:tr>
    </w:tbl>
    <w:p w14:paraId="6DAFADB9" w14:textId="22E2814C" w:rsidR="00071293" w:rsidRPr="00FD1578" w:rsidRDefault="00071293" w:rsidP="008349F0">
      <w:pPr>
        <w:widowControl w:val="0"/>
        <w:ind w:firstLine="0"/>
        <w:rPr>
          <w:rFonts w:eastAsia="Times New Roman" w:cs="Times New Roman"/>
          <w:b/>
          <w:highlight w:val="lightGray"/>
        </w:rPr>
      </w:pPr>
    </w:p>
    <w:p w14:paraId="682E0184" w14:textId="255B7670" w:rsidR="00071293" w:rsidRPr="00FD1578" w:rsidRDefault="00071293" w:rsidP="008349F0">
      <w:pPr>
        <w:widowControl w:val="0"/>
        <w:spacing w:before="240" w:after="240"/>
        <w:ind w:firstLine="0"/>
        <w:jc w:val="center"/>
        <w:rPr>
          <w:rFonts w:eastAsia="Times New Roman" w:cs="Times New Roman"/>
          <w:b/>
          <w:sz w:val="28"/>
          <w:szCs w:val="24"/>
        </w:rPr>
      </w:pPr>
      <w:r w:rsidRPr="00FD1578">
        <w:rPr>
          <w:rFonts w:eastAsia="Times New Roman" w:cs="Times New Roman"/>
          <w:b/>
          <w:sz w:val="28"/>
          <w:szCs w:val="24"/>
        </w:rPr>
        <w:t>Maksimāli pieļaujamo valsts budžeta izdevumu precizēšana budžeta izpildes laikā</w:t>
      </w:r>
    </w:p>
    <w:p w14:paraId="5009A071" w14:textId="21898ED0" w:rsidR="00071293" w:rsidRPr="00FD1578" w:rsidRDefault="001D14A4" w:rsidP="008349F0">
      <w:pPr>
        <w:widowControl w:val="0"/>
        <w:rPr>
          <w:rFonts w:eastAsia="Times New Roman" w:cs="Times New Roman"/>
        </w:rPr>
      </w:pPr>
      <w:r w:rsidRPr="00FD1578">
        <w:rPr>
          <w:rFonts w:eastAsia="Times New Roman" w:cs="Times New Roman"/>
        </w:rPr>
        <w:t>FDL</w:t>
      </w:r>
      <w:r w:rsidR="00071293" w:rsidRPr="00FD1578">
        <w:rPr>
          <w:rFonts w:eastAsia="Times New Roman" w:cs="Times New Roman"/>
        </w:rPr>
        <w:t xml:space="preserve"> 5.</w:t>
      </w:r>
      <w:r w:rsidR="00112C33" w:rsidRPr="00FD1578">
        <w:rPr>
          <w:rFonts w:eastAsia="Times New Roman" w:cs="Times New Roman"/>
        </w:rPr>
        <w:t xml:space="preserve"> </w:t>
      </w:r>
      <w:r w:rsidR="00071293" w:rsidRPr="00FD1578">
        <w:rPr>
          <w:rFonts w:eastAsia="Times New Roman" w:cs="Times New Roman"/>
        </w:rPr>
        <w:t>panta pirmās daļas 1.</w:t>
      </w:r>
      <w:r w:rsidR="00112C33" w:rsidRPr="00FD1578">
        <w:rPr>
          <w:rFonts w:eastAsia="Times New Roman" w:cs="Times New Roman"/>
        </w:rPr>
        <w:t xml:space="preserve"> </w:t>
      </w:r>
      <w:r w:rsidR="00071293" w:rsidRPr="00FD1578">
        <w:rPr>
          <w:rFonts w:eastAsia="Times New Roman" w:cs="Times New Roman"/>
        </w:rPr>
        <w:t xml:space="preserve">punkts nosaka, ka koriģētos maksimāli pieļaujamos valsts budžeta izdevumus precizē, ja rodas izmaiņas valsts pamatbudžeta izdevumos sakarā ar aktuālākām valsts sociālo pabalstu un pensiju saņēmēju kontingenta prognozēm. </w:t>
      </w:r>
    </w:p>
    <w:p w14:paraId="0FB758EB" w14:textId="41362D7D" w:rsidR="00071293" w:rsidRPr="00705ADF" w:rsidRDefault="008364F3" w:rsidP="008349F0">
      <w:pPr>
        <w:widowControl w:val="0"/>
        <w:rPr>
          <w:rFonts w:eastAsia="Times New Roman" w:cs="Times New Roman"/>
        </w:rPr>
      </w:pPr>
      <w:r w:rsidRPr="00FD1578">
        <w:rPr>
          <w:rFonts w:eastAsia="Times New Roman" w:cs="Times New Roman"/>
        </w:rPr>
        <w:t>Lai šo likuma normu varētu pielietot,</w:t>
      </w:r>
      <w:r w:rsidR="00071293" w:rsidRPr="00FD1578">
        <w:rPr>
          <w:rFonts w:eastAsia="Times New Roman" w:cs="Times New Roman"/>
        </w:rPr>
        <w:t xml:space="preserve"> ir nepieciešams fiksēt valsts sociālo pabalstu un pensiju saņēmēju kontingenta prognozes koriģēto maksimāli pieļaujamo valsts budžeta izdevumu aprēķināšanas brīdī, tātad prognozes, saskaņā ar kurām, ir izstrādāts likumprojekts</w:t>
      </w:r>
      <w:r w:rsidR="005735FB">
        <w:rPr>
          <w:rFonts w:eastAsia="Times New Roman" w:cs="Times New Roman"/>
        </w:rPr>
        <w:t xml:space="preserve"> </w:t>
      </w:r>
      <w:r w:rsidR="00071293" w:rsidRPr="00FD1578">
        <w:rPr>
          <w:rFonts w:eastAsia="Times New Roman" w:cs="Times New Roman"/>
        </w:rPr>
        <w:t>“</w:t>
      </w:r>
      <w:r w:rsidRPr="00FD1578">
        <w:rPr>
          <w:rFonts w:eastAsia="Times New Roman" w:cs="Times New Roman"/>
        </w:rPr>
        <w:t>Par valsts budžetu 202</w:t>
      </w:r>
      <w:r w:rsidR="00D57548" w:rsidRPr="00FD1578">
        <w:rPr>
          <w:rFonts w:eastAsia="Times New Roman" w:cs="Times New Roman"/>
        </w:rPr>
        <w:t>5</w:t>
      </w:r>
      <w:r w:rsidRPr="00FD1578">
        <w:rPr>
          <w:rFonts w:eastAsia="Times New Roman" w:cs="Times New Roman"/>
        </w:rPr>
        <w:t>.</w:t>
      </w:r>
      <w:r w:rsidR="003C02EC" w:rsidRPr="00FD1578">
        <w:rPr>
          <w:rFonts w:eastAsia="Times New Roman" w:cs="Times New Roman"/>
        </w:rPr>
        <w:t xml:space="preserve"> </w:t>
      </w:r>
      <w:r w:rsidRPr="00FD1578">
        <w:rPr>
          <w:rFonts w:eastAsia="Times New Roman" w:cs="Times New Roman"/>
        </w:rPr>
        <w:t>gadam un budžeta ietvaru 202</w:t>
      </w:r>
      <w:r w:rsidR="00D57548" w:rsidRPr="00FD1578">
        <w:rPr>
          <w:rFonts w:eastAsia="Times New Roman" w:cs="Times New Roman"/>
        </w:rPr>
        <w:t>5</w:t>
      </w:r>
      <w:r w:rsidRPr="00FD1578">
        <w:rPr>
          <w:rFonts w:eastAsia="Times New Roman" w:cs="Times New Roman"/>
        </w:rPr>
        <w:t>., 202</w:t>
      </w:r>
      <w:r w:rsidR="00D57548" w:rsidRPr="00FD1578">
        <w:rPr>
          <w:rFonts w:eastAsia="Times New Roman" w:cs="Times New Roman"/>
        </w:rPr>
        <w:t>6</w:t>
      </w:r>
      <w:r w:rsidRPr="00FD1578">
        <w:rPr>
          <w:rFonts w:eastAsia="Times New Roman" w:cs="Times New Roman"/>
        </w:rPr>
        <w:t>. un 202</w:t>
      </w:r>
      <w:r w:rsidR="00D57548" w:rsidRPr="00FD1578">
        <w:rPr>
          <w:rFonts w:eastAsia="Times New Roman" w:cs="Times New Roman"/>
        </w:rPr>
        <w:t>7</w:t>
      </w:r>
      <w:r w:rsidRPr="00FD1578">
        <w:rPr>
          <w:rFonts w:eastAsia="Times New Roman" w:cs="Times New Roman"/>
        </w:rPr>
        <w:t>.</w:t>
      </w:r>
      <w:r w:rsidR="003C02EC" w:rsidRPr="00FD1578">
        <w:rPr>
          <w:rFonts w:eastAsia="Times New Roman" w:cs="Times New Roman"/>
        </w:rPr>
        <w:t xml:space="preserve"> </w:t>
      </w:r>
      <w:r w:rsidRPr="00FD1578">
        <w:rPr>
          <w:rFonts w:eastAsia="Times New Roman" w:cs="Times New Roman"/>
        </w:rPr>
        <w:t>gad</w:t>
      </w:r>
      <w:r w:rsidR="00D12940">
        <w:rPr>
          <w:rFonts w:eastAsia="Times New Roman" w:cs="Times New Roman"/>
        </w:rPr>
        <w:t>am</w:t>
      </w:r>
      <w:r w:rsidR="00071293" w:rsidRPr="00FD1578">
        <w:rPr>
          <w:rFonts w:eastAsia="Times New Roman" w:cs="Times New Roman"/>
        </w:rPr>
        <w:t xml:space="preserve">”. Līdz ar to šo </w:t>
      </w:r>
      <w:r w:rsidR="00071293" w:rsidRPr="00705ADF">
        <w:rPr>
          <w:rFonts w:eastAsia="Times New Roman" w:cs="Times New Roman"/>
        </w:rPr>
        <w:t>paskaidrojumu:</w:t>
      </w:r>
    </w:p>
    <w:p w14:paraId="07DAEDCA" w14:textId="6D7A80EE" w:rsidR="00071293" w:rsidRPr="002C253E" w:rsidRDefault="00193502" w:rsidP="008349F0">
      <w:pPr>
        <w:pStyle w:val="ListParagraph"/>
        <w:widowControl w:val="0"/>
        <w:numPr>
          <w:ilvl w:val="0"/>
          <w:numId w:val="2"/>
        </w:numPr>
        <w:tabs>
          <w:tab w:val="left" w:pos="720"/>
          <w:tab w:val="left" w:pos="851"/>
        </w:tabs>
        <w:spacing w:after="0"/>
        <w:rPr>
          <w:rFonts w:eastAsia="Times New Roman" w:cs="Times New Roman"/>
        </w:rPr>
      </w:pPr>
      <w:r w:rsidRPr="002C253E">
        <w:rPr>
          <w:rFonts w:eastAsia="Times New Roman" w:cs="Times New Roman"/>
        </w:rPr>
        <w:t>4</w:t>
      </w:r>
      <w:r w:rsidR="00973305" w:rsidRPr="002C253E">
        <w:rPr>
          <w:rFonts w:eastAsia="Times New Roman" w:cs="Times New Roman"/>
        </w:rPr>
        <w:t xml:space="preserve"> </w:t>
      </w:r>
      <w:r w:rsidR="00071293" w:rsidRPr="002C253E">
        <w:rPr>
          <w:rFonts w:eastAsia="Times New Roman" w:cs="Times New Roman"/>
        </w:rPr>
        <w:t>.pielikumā ir sniegta informācija par no Aizsardzības ministrijas pamatbudžeta programmas “Militārpersonu pensiju fonds” izmaksājamo izdienas pensiju saņēmēju prognozēm;</w:t>
      </w:r>
    </w:p>
    <w:p w14:paraId="74E11D9F" w14:textId="4196EA18" w:rsidR="00071293" w:rsidRPr="002C253E" w:rsidRDefault="00193502" w:rsidP="008349F0">
      <w:pPr>
        <w:pStyle w:val="ListParagraph"/>
        <w:widowControl w:val="0"/>
        <w:numPr>
          <w:ilvl w:val="0"/>
          <w:numId w:val="2"/>
        </w:numPr>
        <w:tabs>
          <w:tab w:val="left" w:pos="720"/>
          <w:tab w:val="left" w:pos="851"/>
        </w:tabs>
        <w:spacing w:after="0"/>
        <w:rPr>
          <w:rFonts w:eastAsia="Times New Roman" w:cs="Times New Roman"/>
        </w:rPr>
      </w:pPr>
      <w:r w:rsidRPr="002C253E">
        <w:rPr>
          <w:rFonts w:eastAsia="Times New Roman" w:cs="Times New Roman"/>
        </w:rPr>
        <w:t>5</w:t>
      </w:r>
      <w:r w:rsidR="00071293" w:rsidRPr="002C253E">
        <w:rPr>
          <w:rFonts w:eastAsia="Times New Roman" w:cs="Times New Roman"/>
        </w:rPr>
        <w:t>.</w:t>
      </w:r>
      <w:r w:rsidR="00973305" w:rsidRPr="002C253E">
        <w:rPr>
          <w:rFonts w:eastAsia="Times New Roman" w:cs="Times New Roman"/>
        </w:rPr>
        <w:t xml:space="preserve"> </w:t>
      </w:r>
      <w:r w:rsidR="00071293" w:rsidRPr="002C253E">
        <w:rPr>
          <w:rFonts w:eastAsia="Times New Roman" w:cs="Times New Roman"/>
        </w:rPr>
        <w:t xml:space="preserve">pielikumā </w:t>
      </w:r>
      <w:r w:rsidR="00973305" w:rsidRPr="002C253E">
        <w:rPr>
          <w:rFonts w:eastAsia="Times New Roman" w:cs="Times New Roman"/>
        </w:rPr>
        <w:t>ir sniegta informācija par no Labklājības ministrijas</w:t>
      </w:r>
      <w:r w:rsidR="00071293" w:rsidRPr="002C253E">
        <w:rPr>
          <w:rFonts w:eastAsia="Times New Roman" w:cs="Times New Roman"/>
        </w:rPr>
        <w:t xml:space="preserve"> pamatbudžeta izmaksājamo valsts sociālo pabalstu saņēmēju prognozēm; </w:t>
      </w:r>
    </w:p>
    <w:p w14:paraId="7B3A4249" w14:textId="17EEE312" w:rsidR="00071293" w:rsidRPr="002C253E" w:rsidRDefault="00193502" w:rsidP="008349F0">
      <w:pPr>
        <w:pStyle w:val="ListParagraph"/>
        <w:widowControl w:val="0"/>
        <w:numPr>
          <w:ilvl w:val="0"/>
          <w:numId w:val="2"/>
        </w:numPr>
        <w:tabs>
          <w:tab w:val="left" w:pos="720"/>
          <w:tab w:val="left" w:pos="851"/>
        </w:tabs>
        <w:spacing w:after="0"/>
        <w:rPr>
          <w:rFonts w:eastAsia="Times New Roman" w:cs="Times New Roman"/>
        </w:rPr>
      </w:pPr>
      <w:r w:rsidRPr="002C253E">
        <w:rPr>
          <w:rFonts w:eastAsia="Times New Roman" w:cs="Times New Roman"/>
        </w:rPr>
        <w:t>6</w:t>
      </w:r>
      <w:r w:rsidR="00071293" w:rsidRPr="002C253E">
        <w:rPr>
          <w:rFonts w:eastAsia="Times New Roman" w:cs="Times New Roman"/>
        </w:rPr>
        <w:t>.</w:t>
      </w:r>
      <w:r w:rsidR="00973305" w:rsidRPr="002C253E">
        <w:rPr>
          <w:rFonts w:eastAsia="Times New Roman" w:cs="Times New Roman"/>
        </w:rPr>
        <w:t xml:space="preserve"> </w:t>
      </w:r>
      <w:r w:rsidR="00071293" w:rsidRPr="002C253E">
        <w:rPr>
          <w:rFonts w:eastAsia="Times New Roman" w:cs="Times New Roman"/>
        </w:rPr>
        <w:t xml:space="preserve">pielikumā ir sniegta informācija par no </w:t>
      </w:r>
      <w:r w:rsidR="00973305" w:rsidRPr="002C253E">
        <w:rPr>
          <w:rFonts w:eastAsia="Times New Roman" w:cs="Times New Roman"/>
        </w:rPr>
        <w:t>Labklājības ministrijas</w:t>
      </w:r>
      <w:r w:rsidR="00071293" w:rsidRPr="002C253E">
        <w:rPr>
          <w:rFonts w:eastAsia="Times New Roman" w:cs="Times New Roman"/>
        </w:rPr>
        <w:t xml:space="preserve"> pamatbudžeta izmaksājamo izdienas pensiju saņēmēju prognozēm;</w:t>
      </w:r>
    </w:p>
    <w:p w14:paraId="050DEF85" w14:textId="21BDB18D" w:rsidR="00071293" w:rsidRPr="002C253E" w:rsidRDefault="00193502" w:rsidP="008349F0">
      <w:pPr>
        <w:pStyle w:val="ListParagraph"/>
        <w:widowControl w:val="0"/>
        <w:numPr>
          <w:ilvl w:val="0"/>
          <w:numId w:val="2"/>
        </w:numPr>
        <w:tabs>
          <w:tab w:val="left" w:pos="720"/>
          <w:tab w:val="left" w:pos="851"/>
        </w:tabs>
        <w:ind w:hanging="357"/>
        <w:rPr>
          <w:rFonts w:eastAsia="Times New Roman" w:cs="Times New Roman"/>
        </w:rPr>
      </w:pPr>
      <w:r w:rsidRPr="002C253E">
        <w:rPr>
          <w:rFonts w:eastAsia="Times New Roman" w:cs="Times New Roman"/>
        </w:rPr>
        <w:t>7</w:t>
      </w:r>
      <w:r w:rsidR="00071293" w:rsidRPr="002C253E">
        <w:rPr>
          <w:rFonts w:eastAsia="Times New Roman" w:cs="Times New Roman"/>
        </w:rPr>
        <w:t>.</w:t>
      </w:r>
      <w:r w:rsidR="00973305" w:rsidRPr="002C253E">
        <w:rPr>
          <w:rFonts w:eastAsia="Times New Roman" w:cs="Times New Roman"/>
        </w:rPr>
        <w:t xml:space="preserve"> </w:t>
      </w:r>
      <w:r w:rsidR="00071293" w:rsidRPr="002C253E">
        <w:rPr>
          <w:rFonts w:eastAsia="Times New Roman" w:cs="Times New Roman"/>
        </w:rPr>
        <w:t xml:space="preserve">pielikumā ir sniegta informācija par no </w:t>
      </w:r>
      <w:r w:rsidR="00973305" w:rsidRPr="002C253E">
        <w:rPr>
          <w:rFonts w:eastAsia="Times New Roman" w:cs="Times New Roman"/>
        </w:rPr>
        <w:t>Labklājības ministrijas</w:t>
      </w:r>
      <w:r w:rsidR="00071293" w:rsidRPr="002C253E">
        <w:rPr>
          <w:rFonts w:eastAsia="Times New Roman" w:cs="Times New Roman"/>
        </w:rPr>
        <w:t xml:space="preserve"> pamatbudžeta izmaksājamo piemaksu pie vecuma un invaliditātes pensijas saņēmēju prognozēm</w:t>
      </w:r>
      <w:r w:rsidR="009967E7" w:rsidRPr="002C253E">
        <w:rPr>
          <w:rFonts w:eastAsia="Times New Roman" w:cs="Times New Roman"/>
        </w:rPr>
        <w:t>.</w:t>
      </w:r>
    </w:p>
    <w:p w14:paraId="1FB5385C" w14:textId="6A2046E1" w:rsidR="005C63FF" w:rsidRPr="00FD1578" w:rsidRDefault="008364F3" w:rsidP="008349F0">
      <w:pPr>
        <w:widowControl w:val="0"/>
        <w:rPr>
          <w:rFonts w:eastAsia="Times New Roman" w:cs="Times New Roman"/>
        </w:rPr>
      </w:pPr>
      <w:r w:rsidRPr="00FD1578">
        <w:rPr>
          <w:rFonts w:eastAsia="Times New Roman" w:cs="Times New Roman"/>
        </w:rPr>
        <w:t>FDL</w:t>
      </w:r>
      <w:r w:rsidR="00071293" w:rsidRPr="00FD1578">
        <w:rPr>
          <w:rFonts w:eastAsia="Times New Roman" w:cs="Times New Roman"/>
        </w:rPr>
        <w:t xml:space="preserve"> 5.</w:t>
      </w:r>
      <w:r w:rsidR="00973305" w:rsidRPr="00FD1578">
        <w:rPr>
          <w:rFonts w:eastAsia="Times New Roman" w:cs="Times New Roman"/>
        </w:rPr>
        <w:t xml:space="preserve"> </w:t>
      </w:r>
      <w:r w:rsidR="00071293" w:rsidRPr="00FD1578">
        <w:rPr>
          <w:rFonts w:eastAsia="Times New Roman" w:cs="Times New Roman"/>
        </w:rPr>
        <w:t>panta pirmās daļas 2.</w:t>
      </w:r>
      <w:r w:rsidR="00973305" w:rsidRPr="00FD1578">
        <w:rPr>
          <w:rFonts w:eastAsia="Times New Roman" w:cs="Times New Roman"/>
        </w:rPr>
        <w:t xml:space="preserve"> </w:t>
      </w:r>
      <w:r w:rsidR="00071293" w:rsidRPr="00FD1578">
        <w:rPr>
          <w:rFonts w:eastAsia="Times New Roman" w:cs="Times New Roman"/>
        </w:rPr>
        <w:t>punkts nosaka, ka koriģētos maksimāli pieļaujamos valsts budžeta izdevumus precizē, ja rodas izmaiņas valsts speciālā budžeta izdevumos sakarā ar aktuālākām sociālās apdrošināšanas pakalpojumu saņēmēju kontingenta, kā arī pensiju un pabalstu vidējā apmēra prognozēm. Tādējādi ir nepieciešams fiksēt sociālās apdrošināšanas pakalpojumu saņēmēju kontingenta, kā arī pensiju un pabalstu vidējā apmēra prognozes koriģēto maksimāli pieļaujamo valsts budžeta izdevumu aprēķināšanas brīdī, tātad prognozes, saskaņā ar kurām ir izstrādāts likumprojekts “</w:t>
      </w:r>
      <w:r w:rsidRPr="00FD1578">
        <w:rPr>
          <w:rFonts w:eastAsia="Times New Roman" w:cs="Times New Roman"/>
        </w:rPr>
        <w:t>Par valsts budžetu 202</w:t>
      </w:r>
      <w:r w:rsidR="00D57548" w:rsidRPr="00FD1578">
        <w:rPr>
          <w:rFonts w:eastAsia="Times New Roman" w:cs="Times New Roman"/>
        </w:rPr>
        <w:t>5</w:t>
      </w:r>
      <w:r w:rsidRPr="00FD1578">
        <w:rPr>
          <w:rFonts w:eastAsia="Times New Roman" w:cs="Times New Roman"/>
        </w:rPr>
        <w:t>.</w:t>
      </w:r>
      <w:r w:rsidR="003C02EC" w:rsidRPr="00FD1578">
        <w:rPr>
          <w:rFonts w:eastAsia="Times New Roman" w:cs="Times New Roman"/>
        </w:rPr>
        <w:t xml:space="preserve"> </w:t>
      </w:r>
      <w:r w:rsidRPr="00FD1578">
        <w:rPr>
          <w:rFonts w:eastAsia="Times New Roman" w:cs="Times New Roman"/>
        </w:rPr>
        <w:t>gadam un budžeta ietvaru 202</w:t>
      </w:r>
      <w:r w:rsidR="00D57548" w:rsidRPr="00FD1578">
        <w:rPr>
          <w:rFonts w:eastAsia="Times New Roman" w:cs="Times New Roman"/>
        </w:rPr>
        <w:t>5</w:t>
      </w:r>
      <w:r w:rsidRPr="00FD1578">
        <w:rPr>
          <w:rFonts w:eastAsia="Times New Roman" w:cs="Times New Roman"/>
        </w:rPr>
        <w:t>., 202</w:t>
      </w:r>
      <w:r w:rsidR="00D57548" w:rsidRPr="00FD1578">
        <w:rPr>
          <w:rFonts w:eastAsia="Times New Roman" w:cs="Times New Roman"/>
        </w:rPr>
        <w:t>6</w:t>
      </w:r>
      <w:r w:rsidRPr="00FD1578">
        <w:rPr>
          <w:rFonts w:eastAsia="Times New Roman" w:cs="Times New Roman"/>
        </w:rPr>
        <w:t>. un 202</w:t>
      </w:r>
      <w:r w:rsidR="00D57548" w:rsidRPr="00FD1578">
        <w:rPr>
          <w:rFonts w:eastAsia="Times New Roman" w:cs="Times New Roman"/>
        </w:rPr>
        <w:t>7</w:t>
      </w:r>
      <w:r w:rsidRPr="00FD1578">
        <w:rPr>
          <w:rFonts w:eastAsia="Times New Roman" w:cs="Times New Roman"/>
        </w:rPr>
        <w:t>.</w:t>
      </w:r>
      <w:r w:rsidR="003C02EC" w:rsidRPr="00FD1578">
        <w:rPr>
          <w:rFonts w:eastAsia="Times New Roman" w:cs="Times New Roman"/>
        </w:rPr>
        <w:t xml:space="preserve"> </w:t>
      </w:r>
      <w:r w:rsidRPr="00FD1578">
        <w:rPr>
          <w:rFonts w:eastAsia="Times New Roman" w:cs="Times New Roman"/>
        </w:rPr>
        <w:t>gad</w:t>
      </w:r>
      <w:r w:rsidR="00D57548" w:rsidRPr="00FD1578">
        <w:rPr>
          <w:rFonts w:eastAsia="Times New Roman" w:cs="Times New Roman"/>
        </w:rPr>
        <w:t>a</w:t>
      </w:r>
      <w:r w:rsidRPr="00FD1578">
        <w:rPr>
          <w:rFonts w:eastAsia="Times New Roman" w:cs="Times New Roman"/>
        </w:rPr>
        <w:t>m</w:t>
      </w:r>
      <w:r w:rsidR="00071293" w:rsidRPr="00FD1578">
        <w:rPr>
          <w:rFonts w:eastAsia="Times New Roman" w:cs="Times New Roman"/>
        </w:rPr>
        <w:t xml:space="preserve">”. Šī informācija ir </w:t>
      </w:r>
      <w:r w:rsidR="00071293" w:rsidRPr="002C253E">
        <w:rPr>
          <w:rFonts w:eastAsia="Times New Roman" w:cs="Times New Roman"/>
        </w:rPr>
        <w:t xml:space="preserve">sniegta </w:t>
      </w:r>
      <w:r w:rsidR="009967E7" w:rsidRPr="002C253E">
        <w:rPr>
          <w:rFonts w:eastAsia="Times New Roman" w:cs="Times New Roman"/>
        </w:rPr>
        <w:t>8</w:t>
      </w:r>
      <w:r w:rsidR="00071293" w:rsidRPr="002C253E">
        <w:rPr>
          <w:rFonts w:eastAsia="Times New Roman" w:cs="Times New Roman"/>
        </w:rPr>
        <w:t>.</w:t>
      </w:r>
      <w:r w:rsidR="00973305" w:rsidRPr="002C253E">
        <w:rPr>
          <w:rFonts w:eastAsia="Times New Roman" w:cs="Times New Roman"/>
        </w:rPr>
        <w:t xml:space="preserve"> pielikumā.</w:t>
      </w:r>
    </w:p>
    <w:p w14:paraId="7AD444D0" w14:textId="77777777" w:rsidR="00B77280" w:rsidRDefault="00B77280" w:rsidP="00F62287">
      <w:pPr>
        <w:widowControl w:val="0"/>
        <w:ind w:firstLine="0"/>
        <w:rPr>
          <w:rFonts w:eastAsia="Times New Roman" w:cs="Times New Roman"/>
          <w:b/>
          <w:sz w:val="28"/>
          <w:szCs w:val="24"/>
        </w:rPr>
      </w:pPr>
    </w:p>
    <w:p w14:paraId="7AAC84F8" w14:textId="6BE2E767" w:rsidR="00775F9E" w:rsidRPr="00FD1578" w:rsidRDefault="00775F9E" w:rsidP="008349F0">
      <w:pPr>
        <w:widowControl w:val="0"/>
        <w:ind w:firstLine="0"/>
        <w:jc w:val="center"/>
        <w:rPr>
          <w:rFonts w:eastAsia="Times New Roman" w:cs="Times New Roman"/>
          <w:b/>
          <w:sz w:val="28"/>
          <w:szCs w:val="24"/>
        </w:rPr>
      </w:pPr>
      <w:r w:rsidRPr="00FD1578">
        <w:rPr>
          <w:rFonts w:eastAsia="Times New Roman" w:cs="Times New Roman"/>
          <w:b/>
          <w:sz w:val="28"/>
          <w:szCs w:val="24"/>
        </w:rPr>
        <w:lastRenderedPageBreak/>
        <w:t>Pasākumu finansēšana virs maksimāli pieļaujamiem valsts budžeta izdevumiem</w:t>
      </w:r>
    </w:p>
    <w:p w14:paraId="47762A82" w14:textId="77777777" w:rsidR="00775F9E" w:rsidRPr="00FD1578" w:rsidRDefault="00775F9E" w:rsidP="008349F0">
      <w:pPr>
        <w:widowControl w:val="0"/>
        <w:ind w:firstLine="709"/>
        <w:rPr>
          <w:rFonts w:eastAsia="Times New Roman" w:cs="Times New Roman"/>
        </w:rPr>
      </w:pPr>
      <w:r w:rsidRPr="00FD1578">
        <w:rPr>
          <w:rFonts w:eastAsia="Times New Roman" w:cs="Times New Roman"/>
        </w:rPr>
        <w:t>FDL 9. pants nosaka, ka:</w:t>
      </w:r>
    </w:p>
    <w:p w14:paraId="1B49A65B" w14:textId="60C1CD46" w:rsidR="00775F9E" w:rsidRPr="00FD1578" w:rsidRDefault="00775F9E" w:rsidP="008349F0">
      <w:pPr>
        <w:widowControl w:val="0"/>
        <w:ind w:firstLine="709"/>
        <w:rPr>
          <w:rFonts w:eastAsia="Times New Roman" w:cs="Times New Roman"/>
        </w:rPr>
      </w:pPr>
      <w:r w:rsidRPr="00FD1578">
        <w:rPr>
          <w:rFonts w:eastAsia="Times New Roman" w:cs="Times New Roman"/>
        </w:rPr>
        <w:t xml:space="preserve">(1) Ja </w:t>
      </w:r>
      <w:r w:rsidR="00801615" w:rsidRPr="00FD1578">
        <w:rPr>
          <w:rFonts w:eastAsia="Times New Roman" w:cs="Times New Roman"/>
        </w:rPr>
        <w:t>MK</w:t>
      </w:r>
      <w:r w:rsidRPr="00FD1578">
        <w:rPr>
          <w:rFonts w:eastAsia="Times New Roman" w:cs="Times New Roman"/>
        </w:rPr>
        <w:t xml:space="preserve"> iesniedz Saeimā izskatīšanai likumprojektu, kas izraisa ietvara likumā noteikto koriģēto maksimāli pieļaujamo valsts budžeta izdevumu pārsniegumu, kurš nav saistīts ar FDL 5.</w:t>
      </w:r>
      <w:r w:rsidR="0047535A" w:rsidRPr="00FD1578">
        <w:rPr>
          <w:rFonts w:eastAsia="Times New Roman" w:cs="Times New Roman"/>
        </w:rPr>
        <w:t xml:space="preserve"> </w:t>
      </w:r>
      <w:r w:rsidRPr="00FD1578">
        <w:rPr>
          <w:rFonts w:eastAsia="Times New Roman" w:cs="Times New Roman"/>
        </w:rPr>
        <w:t xml:space="preserve">panta pirmajā daļā minētajiem gadījumiem, vai kas izraisa ietvara likumā plānoto valsts budžeta ieņēmumu samazinājumu, </w:t>
      </w:r>
      <w:r w:rsidR="00801615" w:rsidRPr="00FD1578">
        <w:rPr>
          <w:rFonts w:eastAsia="Times New Roman" w:cs="Times New Roman"/>
        </w:rPr>
        <w:t>MK</w:t>
      </w:r>
      <w:r w:rsidRPr="00FD1578">
        <w:rPr>
          <w:rFonts w:eastAsia="Times New Roman" w:cs="Times New Roman"/>
        </w:rPr>
        <w:t xml:space="preserve"> vienlaikus iesniedz Saeimai arī likumprojektu vai likumprojektus, kas paredz izdevumu pieauguma vai ieņēmumu samazinājuma kompensēšanu. Kompensēšana notiek, palielinot ieņēmumus vai samazinot izdevumus.</w:t>
      </w:r>
    </w:p>
    <w:p w14:paraId="01EF17EC" w14:textId="51DC5A25" w:rsidR="00775F9E" w:rsidRPr="00FD1578" w:rsidRDefault="00775F9E" w:rsidP="008349F0">
      <w:pPr>
        <w:widowControl w:val="0"/>
        <w:ind w:firstLine="709"/>
        <w:rPr>
          <w:rFonts w:eastAsia="Times New Roman" w:cs="Times New Roman"/>
        </w:rPr>
      </w:pPr>
      <w:r w:rsidRPr="00FD1578">
        <w:rPr>
          <w:rFonts w:eastAsia="Times New Roman" w:cs="Times New Roman"/>
        </w:rPr>
        <w:t xml:space="preserve">(2) Ja </w:t>
      </w:r>
      <w:r w:rsidR="00801615" w:rsidRPr="00FD1578">
        <w:rPr>
          <w:rFonts w:eastAsia="Times New Roman" w:cs="Times New Roman"/>
        </w:rPr>
        <w:t>MK</w:t>
      </w:r>
      <w:r w:rsidRPr="00FD1578">
        <w:rPr>
          <w:rFonts w:eastAsia="Times New Roman" w:cs="Times New Roman"/>
        </w:rPr>
        <w:t xml:space="preserve"> pieņem normatīvo aktu, kas izraisa ietvara likumā noteikto koriģēto maksimāli pieļaujamo valsts budžeta izdevumu griestu pārsniegumu, kurš nav saistīts ar šā likuma 5.panta pirmajā daļā minētajiem gadījumiem, vai kas izraisa ietvara likumā plānoto valsts budžeta ieņēmumu samazinājumu, </w:t>
      </w:r>
      <w:r w:rsidR="00801615" w:rsidRPr="00FD1578">
        <w:rPr>
          <w:rFonts w:eastAsia="Times New Roman" w:cs="Times New Roman"/>
        </w:rPr>
        <w:t>MK</w:t>
      </w:r>
      <w:r w:rsidRPr="00FD1578">
        <w:rPr>
          <w:rFonts w:eastAsia="Times New Roman" w:cs="Times New Roman"/>
        </w:rPr>
        <w:t xml:space="preserve"> nodrošina, ka vienlaikus stājas spēkā arī tāds normatīvais akts vai tādi normatīvie akti, kas kompensē izdevumu pieaugumu vai ieņēmumu samazinājumu. Kompensēšana notiek, palielinot ieņēmumus vai samazinot izdevumus.</w:t>
      </w:r>
    </w:p>
    <w:p w14:paraId="7752532A" w14:textId="2D97A38B" w:rsidR="009967E7" w:rsidRPr="00FD1578" w:rsidRDefault="00775F9E" w:rsidP="008349F0">
      <w:pPr>
        <w:widowControl w:val="0"/>
        <w:ind w:firstLine="709"/>
        <w:rPr>
          <w:rFonts w:eastAsia="Times New Roman" w:cs="Times New Roman"/>
        </w:rPr>
      </w:pPr>
      <w:r w:rsidRPr="00FD1578">
        <w:rPr>
          <w:rFonts w:eastAsia="Times New Roman" w:cs="Times New Roman"/>
        </w:rPr>
        <w:t xml:space="preserve">Tā, kā fiskālās politikas stratēģija </w:t>
      </w:r>
      <w:r w:rsidR="009842B3" w:rsidRPr="00FD1578">
        <w:rPr>
          <w:rFonts w:eastAsia="Times New Roman" w:cs="Times New Roman"/>
        </w:rPr>
        <w:t xml:space="preserve">definē vienreizējos pasākumus un nosacījumu, ka attiecīgo pasākumu izdevumus </w:t>
      </w:r>
      <w:r w:rsidRPr="00FD1578">
        <w:rPr>
          <w:rFonts w:eastAsia="Times New Roman" w:cs="Times New Roman"/>
        </w:rPr>
        <w:t>budžeta izpildes gaitā var palielināt, palielinot attiecīgo apropriāciju, ja</w:t>
      </w:r>
      <w:r w:rsidRPr="00FD1578">
        <w:t xml:space="preserve"> </w:t>
      </w:r>
      <w:r w:rsidRPr="00FD1578">
        <w:rPr>
          <w:rFonts w:eastAsia="Times New Roman" w:cs="Times New Roman"/>
        </w:rPr>
        <w:t xml:space="preserve">ir pieņemts attiecīgs </w:t>
      </w:r>
      <w:r w:rsidR="00801615" w:rsidRPr="00FD1578">
        <w:rPr>
          <w:rFonts w:eastAsia="Times New Roman" w:cs="Times New Roman"/>
        </w:rPr>
        <w:t>MK</w:t>
      </w:r>
      <w:r w:rsidRPr="00FD1578">
        <w:rPr>
          <w:rFonts w:eastAsia="Times New Roman" w:cs="Times New Roman"/>
        </w:rPr>
        <w:t xml:space="preserve"> lēmums un Saeimas Budžeta un finanšu (nodokļu) komisija piecu darba dienu laikā no attiecīgās informācijas saņemšanas dienas ir to izskatījusi un nav iebildusi pret apropriācijas </w:t>
      </w:r>
      <w:r w:rsidRPr="003F3631">
        <w:rPr>
          <w:rFonts w:eastAsia="Times New Roman" w:cs="Times New Roman"/>
        </w:rPr>
        <w:t xml:space="preserve">palielinājumu, rodas pretruna starp šo normu un FDL 9. pantu. Lai novērstu minēto pretrunu </w:t>
      </w:r>
      <w:r w:rsidR="004A0F03" w:rsidRPr="003F3631">
        <w:rPr>
          <w:rFonts w:eastAsia="Times New Roman" w:cs="Times New Roman"/>
        </w:rPr>
        <w:t xml:space="preserve">šā likuma </w:t>
      </w:r>
      <w:r w:rsidR="009E57DD" w:rsidRPr="003F3631">
        <w:rPr>
          <w:rFonts w:eastAsia="Times New Roman" w:cs="Times New Roman"/>
        </w:rPr>
        <w:t>1</w:t>
      </w:r>
      <w:r w:rsidR="00F33707" w:rsidRPr="003F3631">
        <w:rPr>
          <w:rFonts w:eastAsia="Times New Roman" w:cs="Times New Roman"/>
        </w:rPr>
        <w:t>4</w:t>
      </w:r>
      <w:r w:rsidR="004A0F03" w:rsidRPr="003F3631">
        <w:rPr>
          <w:rFonts w:eastAsia="Times New Roman" w:cs="Times New Roman"/>
        </w:rPr>
        <w:t>. pantā</w:t>
      </w:r>
      <w:r w:rsidRPr="003F3631">
        <w:rPr>
          <w:rFonts w:eastAsia="Times New Roman" w:cs="Times New Roman"/>
        </w:rPr>
        <w:t xml:space="preserve"> tiek</w:t>
      </w:r>
      <w:r w:rsidRPr="00FD1578">
        <w:rPr>
          <w:rFonts w:eastAsia="Times New Roman" w:cs="Times New Roman"/>
        </w:rPr>
        <w:t xml:space="preserve"> noteikts, ka </w:t>
      </w:r>
      <w:r w:rsidR="00B06408" w:rsidRPr="00FD1578">
        <w:rPr>
          <w:rFonts w:eastAsia="Times New Roman" w:cs="Times New Roman"/>
        </w:rPr>
        <w:t>koriģētie maksimāli pieļaujamie izdevumi tiek precizēti atbilstoši izmaiņām vienreizējo izdevumu apjomā. Tas nozīmē, ka, ja ir nepieciešams palielināt apropriāciju vienreizējiem pasākumiem, tādā pašā apmērā tiek palielināti koriģētie maksimāli pieļaujamie valsts budžeta izdevumi. Analogi – ja vienreizējiem pasākumiem plānotie izdevumi tiek samazināti, attiecīgi tiek samazināt</w:t>
      </w:r>
      <w:r w:rsidR="00297746" w:rsidRPr="00FD1578">
        <w:rPr>
          <w:rFonts w:eastAsia="Times New Roman" w:cs="Times New Roman"/>
        </w:rPr>
        <w:t>i</w:t>
      </w:r>
      <w:r w:rsidR="00B06408" w:rsidRPr="00FD1578">
        <w:rPr>
          <w:rFonts w:eastAsia="Times New Roman" w:cs="Times New Roman"/>
        </w:rPr>
        <w:t xml:space="preserve"> koriģētie maksimāli pieļaujamie valsts budžeta izdevumi</w:t>
      </w:r>
      <w:r w:rsidRPr="00FD1578">
        <w:rPr>
          <w:rFonts w:eastAsia="Times New Roman" w:cs="Times New Roman"/>
        </w:rPr>
        <w:t>. Līdz ar to šī norma</w:t>
      </w:r>
      <w:r w:rsidR="00A479DE" w:rsidRPr="00FD1578">
        <w:rPr>
          <w:rFonts w:eastAsia="Times New Roman" w:cs="Times New Roman"/>
        </w:rPr>
        <w:t>,</w:t>
      </w:r>
      <w:r w:rsidRPr="00FD1578">
        <w:rPr>
          <w:rFonts w:eastAsia="Times New Roman" w:cs="Times New Roman"/>
        </w:rPr>
        <w:t xml:space="preserve"> kā jaunāka</w:t>
      </w:r>
      <w:r w:rsidR="00A479DE" w:rsidRPr="00FD1578">
        <w:rPr>
          <w:rFonts w:eastAsia="Times New Roman" w:cs="Times New Roman"/>
        </w:rPr>
        <w:t>,</w:t>
      </w:r>
      <w:r w:rsidRPr="00FD1578">
        <w:rPr>
          <w:rFonts w:eastAsia="Times New Roman" w:cs="Times New Roman"/>
        </w:rPr>
        <w:t xml:space="preserve"> atceļ FDL 9. panta nosacījumus attiecībā uz </w:t>
      </w:r>
      <w:r w:rsidR="009842B3" w:rsidRPr="00FD1578">
        <w:rPr>
          <w:rFonts w:eastAsia="Times New Roman" w:cs="Times New Roman"/>
        </w:rPr>
        <w:t>ar vienreizējiem pasākumiem saistīto</w:t>
      </w:r>
      <w:r w:rsidRPr="00FD1578">
        <w:rPr>
          <w:rFonts w:eastAsia="Times New Roman" w:cs="Times New Roman"/>
        </w:rPr>
        <w:t xml:space="preserve"> izdevumu pieaugumu.</w:t>
      </w:r>
    </w:p>
    <w:p w14:paraId="04FC4D10" w14:textId="77777777" w:rsidR="00297746" w:rsidRPr="00FD1578" w:rsidRDefault="00297746" w:rsidP="008349F0">
      <w:pPr>
        <w:widowControl w:val="0"/>
        <w:spacing w:after="0"/>
        <w:ind w:firstLine="709"/>
        <w:rPr>
          <w:rFonts w:eastAsia="Times New Roman" w:cs="Times New Roman"/>
          <w:highlight w:val="lightGray"/>
        </w:rPr>
      </w:pPr>
    </w:p>
    <w:p w14:paraId="7D4BBEFC" w14:textId="67B073AB" w:rsidR="000D4D00" w:rsidRPr="00FD1578" w:rsidRDefault="00D57DD6" w:rsidP="008349F0">
      <w:pPr>
        <w:pStyle w:val="Heading3"/>
        <w:numPr>
          <w:ilvl w:val="0"/>
          <w:numId w:val="0"/>
        </w:numPr>
        <w:spacing w:before="0"/>
      </w:pPr>
      <w:bookmarkStart w:id="52" w:name="_Toc179356083"/>
      <w:r w:rsidRPr="00FD1578">
        <w:t>2.1.3</w:t>
      </w:r>
      <w:r w:rsidR="00E8646E" w:rsidRPr="00FD1578">
        <w:t xml:space="preserve">. </w:t>
      </w:r>
      <w:r w:rsidR="00973305" w:rsidRPr="00FD1578">
        <w:t>Uzkrāto bilanču starpības</w:t>
      </w:r>
      <w:bookmarkEnd w:id="52"/>
    </w:p>
    <w:p w14:paraId="130B0532" w14:textId="05E25A49" w:rsidR="005612BA" w:rsidRPr="008D3E01" w:rsidRDefault="008364F3" w:rsidP="008349F0">
      <w:pPr>
        <w:widowControl w:val="0"/>
        <w:rPr>
          <w:rFonts w:eastAsia="Times New Roman" w:cs="Times New Roman"/>
          <w:color w:val="000000"/>
          <w:szCs w:val="20"/>
        </w:rPr>
      </w:pPr>
      <w:r w:rsidRPr="00FD1578">
        <w:rPr>
          <w:rFonts w:eastAsia="Times New Roman" w:cs="Times New Roman"/>
          <w:color w:val="000000"/>
          <w:szCs w:val="20"/>
        </w:rPr>
        <w:t>FDL</w:t>
      </w:r>
      <w:r w:rsidR="000D4D00" w:rsidRPr="00FD1578">
        <w:rPr>
          <w:rFonts w:eastAsia="Times New Roman" w:cs="Times New Roman"/>
          <w:color w:val="000000"/>
          <w:szCs w:val="20"/>
        </w:rPr>
        <w:t xml:space="preserve"> 11.</w:t>
      </w:r>
      <w:r w:rsidR="00F5298F" w:rsidRPr="00FD1578">
        <w:rPr>
          <w:rFonts w:eastAsia="Times New Roman" w:cs="Times New Roman"/>
          <w:color w:val="000000"/>
          <w:szCs w:val="20"/>
        </w:rPr>
        <w:t xml:space="preserve"> </w:t>
      </w:r>
      <w:r w:rsidR="000D4D00" w:rsidRPr="00FD1578">
        <w:rPr>
          <w:rFonts w:eastAsia="Times New Roman" w:cs="Times New Roman"/>
          <w:color w:val="000000"/>
          <w:szCs w:val="20"/>
        </w:rPr>
        <w:t xml:space="preserve">pants nosaka automātisko </w:t>
      </w:r>
      <w:proofErr w:type="spellStart"/>
      <w:r w:rsidR="000D4D00" w:rsidRPr="00FD1578">
        <w:rPr>
          <w:rFonts w:eastAsia="Times New Roman" w:cs="Times New Roman"/>
          <w:i/>
          <w:color w:val="000000"/>
          <w:szCs w:val="20"/>
        </w:rPr>
        <w:t>ex</w:t>
      </w:r>
      <w:proofErr w:type="spellEnd"/>
      <w:r w:rsidR="000D4D00" w:rsidRPr="00FD1578">
        <w:rPr>
          <w:rFonts w:eastAsia="Times New Roman" w:cs="Times New Roman"/>
          <w:i/>
          <w:color w:val="000000"/>
          <w:szCs w:val="20"/>
        </w:rPr>
        <w:t>-post</w:t>
      </w:r>
      <w:r w:rsidR="000D4D00" w:rsidRPr="00FD1578">
        <w:rPr>
          <w:rFonts w:eastAsia="Times New Roman" w:cs="Times New Roman"/>
          <w:color w:val="000000"/>
          <w:szCs w:val="20"/>
        </w:rPr>
        <w:t xml:space="preserve"> korekcijas mehānismu, t.i. minimālās plānojamās vispārējās valdības budžeta strukturālās bilances koriģēšanu, lai nodrošinātu to, ka iepriekšējo gadu faktiskās novirzes no bilances nosacījuma (</w:t>
      </w:r>
      <w:r w:rsidRPr="00FD1578">
        <w:rPr>
          <w:rFonts w:eastAsia="Times New Roman" w:cs="Times New Roman"/>
          <w:color w:val="000000"/>
          <w:szCs w:val="20"/>
        </w:rPr>
        <w:t>FDL</w:t>
      </w:r>
      <w:r w:rsidR="00F5298F" w:rsidRPr="00FD1578">
        <w:rPr>
          <w:rFonts w:eastAsia="Times New Roman" w:cs="Times New Roman"/>
          <w:color w:val="000000"/>
          <w:szCs w:val="20"/>
        </w:rPr>
        <w:t xml:space="preserve"> 10. p</w:t>
      </w:r>
      <w:r w:rsidR="000D4D00" w:rsidRPr="00FD1578">
        <w:rPr>
          <w:rFonts w:eastAsia="Times New Roman" w:cs="Times New Roman"/>
          <w:color w:val="000000"/>
          <w:szCs w:val="20"/>
        </w:rPr>
        <w:t>ants) neietekmē budžeta sabalansētību. Ja budžeta izpildes gaitā tiek konstatēts, ka uzkrātā faktisko strukturālo bilanču novirze no plānoto bilanču apmēra ir paslikt</w:t>
      </w:r>
      <w:r w:rsidR="00F5298F" w:rsidRPr="00FD1578">
        <w:rPr>
          <w:rFonts w:eastAsia="Times New Roman" w:cs="Times New Roman"/>
          <w:color w:val="000000"/>
          <w:szCs w:val="20"/>
        </w:rPr>
        <w:t xml:space="preserve">inājusies par vismaz 0,5% no </w:t>
      </w:r>
      <w:r w:rsidR="005B7C54" w:rsidRPr="00FD1578">
        <w:rPr>
          <w:rFonts w:eastAsia="Times New Roman" w:cs="Times New Roman"/>
          <w:color w:val="000000"/>
          <w:szCs w:val="20"/>
        </w:rPr>
        <w:t>IKP</w:t>
      </w:r>
      <w:r w:rsidR="00F5298F" w:rsidRPr="00FD1578">
        <w:rPr>
          <w:rFonts w:eastAsia="Times New Roman" w:cs="Times New Roman"/>
          <w:color w:val="000000"/>
          <w:szCs w:val="20"/>
        </w:rPr>
        <w:t xml:space="preserve">, nākamā vidēja termiņa budžeta likuma </w:t>
      </w:r>
      <w:r w:rsidR="000D4D00" w:rsidRPr="00FD1578">
        <w:rPr>
          <w:rFonts w:eastAsia="Times New Roman" w:cs="Times New Roman"/>
          <w:color w:val="000000"/>
          <w:szCs w:val="20"/>
        </w:rPr>
        <w:t>trešajā gadā vispārējās valdības budžeta strukturālās bilanc</w:t>
      </w:r>
      <w:r w:rsidR="00F5298F" w:rsidRPr="00FD1578">
        <w:rPr>
          <w:rFonts w:eastAsia="Times New Roman" w:cs="Times New Roman"/>
          <w:color w:val="000000"/>
          <w:szCs w:val="20"/>
        </w:rPr>
        <w:t xml:space="preserve">es mērķi nosaka par 0,5% no </w:t>
      </w:r>
      <w:r w:rsidR="00BB74C0" w:rsidRPr="00FD1578">
        <w:rPr>
          <w:rFonts w:eastAsia="Times New Roman" w:cs="Times New Roman"/>
          <w:color w:val="000000"/>
          <w:szCs w:val="20"/>
        </w:rPr>
        <w:t>IKP</w:t>
      </w:r>
      <w:r w:rsidR="00F5298F" w:rsidRPr="00FD1578">
        <w:rPr>
          <w:rFonts w:eastAsia="Times New Roman" w:cs="Times New Roman"/>
          <w:color w:val="000000"/>
          <w:szCs w:val="20"/>
        </w:rPr>
        <w:t xml:space="preserve"> </w:t>
      </w:r>
      <w:r w:rsidR="000D4D00" w:rsidRPr="00FD1578">
        <w:rPr>
          <w:rFonts w:eastAsia="Times New Roman" w:cs="Times New Roman"/>
          <w:color w:val="000000"/>
          <w:szCs w:val="20"/>
        </w:rPr>
        <w:t>lielāku. Lai novērtētu uzkrāto bilanču starpību, tika v</w:t>
      </w:r>
      <w:r w:rsidR="00EE5424" w:rsidRPr="00FD1578">
        <w:rPr>
          <w:rFonts w:eastAsia="Times New Roman" w:cs="Times New Roman"/>
          <w:color w:val="000000"/>
          <w:szCs w:val="20"/>
        </w:rPr>
        <w:t xml:space="preserve">eikti aprēķini, kas </w:t>
      </w:r>
      <w:r w:rsidR="00EE5424" w:rsidRPr="00D83C9B">
        <w:rPr>
          <w:rFonts w:eastAsia="Times New Roman" w:cs="Times New Roman"/>
          <w:color w:val="000000"/>
          <w:szCs w:val="20"/>
        </w:rPr>
        <w:t>attēloti 2.</w:t>
      </w:r>
      <w:r w:rsidR="005C63FF" w:rsidRPr="00D83C9B">
        <w:rPr>
          <w:rFonts w:eastAsia="Times New Roman" w:cs="Times New Roman"/>
          <w:color w:val="000000"/>
          <w:szCs w:val="20"/>
        </w:rPr>
        <w:t>1</w:t>
      </w:r>
      <w:r w:rsidR="00F067FC" w:rsidRPr="00D83C9B">
        <w:rPr>
          <w:rFonts w:eastAsia="Times New Roman" w:cs="Times New Roman"/>
          <w:color w:val="000000"/>
          <w:szCs w:val="20"/>
        </w:rPr>
        <w:t>7</w:t>
      </w:r>
      <w:r w:rsidR="000D4D00" w:rsidRPr="00D83C9B">
        <w:rPr>
          <w:rFonts w:eastAsia="Times New Roman" w:cs="Times New Roman"/>
          <w:color w:val="000000"/>
          <w:szCs w:val="20"/>
        </w:rPr>
        <w:t>.</w:t>
      </w:r>
      <w:r w:rsidR="00F5298F" w:rsidRPr="00D83C9B">
        <w:rPr>
          <w:rFonts w:eastAsia="Times New Roman" w:cs="Times New Roman"/>
          <w:color w:val="000000"/>
          <w:szCs w:val="20"/>
        </w:rPr>
        <w:t xml:space="preserve"> </w:t>
      </w:r>
      <w:r w:rsidR="000D4D00" w:rsidRPr="00D83C9B">
        <w:rPr>
          <w:rFonts w:eastAsia="Times New Roman" w:cs="Times New Roman"/>
          <w:color w:val="000000"/>
          <w:szCs w:val="20"/>
        </w:rPr>
        <w:t>tabulā</w:t>
      </w:r>
      <w:r w:rsidR="000D4D00" w:rsidRPr="00FD1578">
        <w:rPr>
          <w:rFonts w:eastAsia="Times New Roman" w:cs="Times New Roman"/>
          <w:color w:val="000000"/>
          <w:szCs w:val="20"/>
        </w:rPr>
        <w:t>.</w:t>
      </w:r>
      <w:r w:rsidR="00786F22">
        <w:rPr>
          <w:rFonts w:eastAsia="Times New Roman" w:cs="Times New Roman"/>
          <w:color w:val="000000"/>
          <w:szCs w:val="20"/>
        </w:rPr>
        <w:t xml:space="preserve"> Jāatzīmē, ka m</w:t>
      </w:r>
      <w:r w:rsidR="00786F22" w:rsidRPr="00786F22">
        <w:rPr>
          <w:rFonts w:eastAsia="Times New Roman" w:cs="Times New Roman"/>
          <w:color w:val="000000"/>
          <w:szCs w:val="20"/>
        </w:rPr>
        <w:t>inimālā plānojamā vispārējās valdības budžeta strukturālā bilance</w:t>
      </w:r>
      <w:r w:rsidR="00786F22">
        <w:rPr>
          <w:rFonts w:eastAsia="Times New Roman" w:cs="Times New Roman"/>
          <w:color w:val="000000"/>
          <w:szCs w:val="20"/>
        </w:rPr>
        <w:t xml:space="preserve"> (4. rinda) </w:t>
      </w:r>
      <w:r w:rsidR="008D3E01">
        <w:rPr>
          <w:rFonts w:eastAsia="Times New Roman" w:cs="Times New Roman"/>
          <w:color w:val="000000"/>
          <w:szCs w:val="20"/>
        </w:rPr>
        <w:t xml:space="preserve">2021. un 2022. gadā </w:t>
      </w:r>
      <w:r w:rsidR="00786F22">
        <w:rPr>
          <w:rFonts w:eastAsia="Times New Roman" w:cs="Times New Roman"/>
          <w:color w:val="000000"/>
          <w:szCs w:val="20"/>
        </w:rPr>
        <w:t xml:space="preserve">ir koriģēta, ņemot vērā </w:t>
      </w:r>
      <w:r w:rsidR="008D3E01">
        <w:rPr>
          <w:rFonts w:eastAsia="Times New Roman" w:cs="Times New Roman"/>
          <w:color w:val="000000"/>
          <w:szCs w:val="20"/>
        </w:rPr>
        <w:t xml:space="preserve">apstiprināto Covid-19 krīzes seku novēršanas atbalsta pasākumu fiskālo ietekmi 148,9 milj. </w:t>
      </w:r>
      <w:proofErr w:type="spellStart"/>
      <w:r w:rsidR="008D3E01" w:rsidRPr="006F1997">
        <w:rPr>
          <w:rFonts w:eastAsia="Times New Roman" w:cs="Times New Roman"/>
          <w:i/>
          <w:iCs/>
          <w:color w:val="000000"/>
          <w:szCs w:val="20"/>
        </w:rPr>
        <w:t>euro</w:t>
      </w:r>
      <w:proofErr w:type="spellEnd"/>
      <w:r w:rsidR="008D3E01">
        <w:rPr>
          <w:rFonts w:eastAsia="Times New Roman" w:cs="Times New Roman"/>
          <w:i/>
          <w:iCs/>
          <w:color w:val="000000"/>
          <w:szCs w:val="20"/>
        </w:rPr>
        <w:t xml:space="preserve"> </w:t>
      </w:r>
      <w:r w:rsidR="008D3E01">
        <w:rPr>
          <w:rFonts w:eastAsia="Times New Roman" w:cs="Times New Roman"/>
          <w:color w:val="000000"/>
          <w:szCs w:val="20"/>
        </w:rPr>
        <w:t xml:space="preserve">(0,4% no IKP) </w:t>
      </w:r>
      <w:r w:rsidR="008D3E01" w:rsidRPr="006F1997">
        <w:rPr>
          <w:rFonts w:eastAsia="Times New Roman" w:cs="Times New Roman"/>
          <w:color w:val="000000"/>
          <w:szCs w:val="20"/>
        </w:rPr>
        <w:t xml:space="preserve">un </w:t>
      </w:r>
      <w:r w:rsidR="008D3E01">
        <w:rPr>
          <w:rFonts w:eastAsia="Times New Roman" w:cs="Times New Roman"/>
          <w:color w:val="000000"/>
          <w:szCs w:val="20"/>
        </w:rPr>
        <w:t xml:space="preserve">263,2 milj. </w:t>
      </w:r>
      <w:proofErr w:type="spellStart"/>
      <w:r w:rsidR="008D3E01" w:rsidRPr="006F1997">
        <w:rPr>
          <w:rFonts w:eastAsia="Times New Roman" w:cs="Times New Roman"/>
          <w:i/>
          <w:iCs/>
          <w:color w:val="000000"/>
          <w:szCs w:val="20"/>
        </w:rPr>
        <w:t>euro</w:t>
      </w:r>
      <w:proofErr w:type="spellEnd"/>
      <w:r w:rsidR="008D3E01">
        <w:rPr>
          <w:rFonts w:eastAsia="Times New Roman" w:cs="Times New Roman"/>
          <w:i/>
          <w:iCs/>
          <w:color w:val="000000"/>
          <w:szCs w:val="20"/>
        </w:rPr>
        <w:t xml:space="preserve"> </w:t>
      </w:r>
      <w:r w:rsidR="008D3E01">
        <w:rPr>
          <w:rFonts w:eastAsia="Times New Roman" w:cs="Times New Roman"/>
          <w:color w:val="000000"/>
          <w:szCs w:val="20"/>
        </w:rPr>
        <w:t xml:space="preserve">(0,7% no IKP) attiecīgi. </w:t>
      </w:r>
    </w:p>
    <w:p w14:paraId="7FFCF3A5" w14:textId="77777777" w:rsidR="003F3631" w:rsidRDefault="003F3631" w:rsidP="008349F0">
      <w:pPr>
        <w:widowControl w:val="0"/>
        <w:jc w:val="right"/>
        <w:rPr>
          <w:rFonts w:eastAsia="Times New Roman" w:cs="Times New Roman"/>
          <w:b/>
          <w:i/>
          <w:color w:val="000000"/>
          <w:szCs w:val="20"/>
        </w:rPr>
      </w:pPr>
    </w:p>
    <w:p w14:paraId="1B08BE54" w14:textId="77777777" w:rsidR="003F3631" w:rsidRDefault="003F3631" w:rsidP="008349F0">
      <w:pPr>
        <w:widowControl w:val="0"/>
        <w:jc w:val="right"/>
        <w:rPr>
          <w:rFonts w:eastAsia="Times New Roman" w:cs="Times New Roman"/>
          <w:b/>
          <w:i/>
          <w:color w:val="000000"/>
          <w:szCs w:val="20"/>
        </w:rPr>
      </w:pPr>
    </w:p>
    <w:p w14:paraId="27D98CBA" w14:textId="77777777" w:rsidR="003F3631" w:rsidRDefault="003F3631" w:rsidP="008349F0">
      <w:pPr>
        <w:widowControl w:val="0"/>
        <w:jc w:val="right"/>
        <w:rPr>
          <w:rFonts w:eastAsia="Times New Roman" w:cs="Times New Roman"/>
          <w:b/>
          <w:i/>
          <w:color w:val="000000"/>
          <w:szCs w:val="20"/>
        </w:rPr>
      </w:pPr>
    </w:p>
    <w:p w14:paraId="0F427954" w14:textId="397A674B" w:rsidR="000D4D00" w:rsidRPr="006723F5" w:rsidRDefault="00EE5424" w:rsidP="008349F0">
      <w:pPr>
        <w:widowControl w:val="0"/>
        <w:jc w:val="right"/>
        <w:rPr>
          <w:rFonts w:eastAsia="Times New Roman" w:cs="Times New Roman"/>
          <w:b/>
          <w:i/>
          <w:color w:val="000000"/>
          <w:szCs w:val="20"/>
        </w:rPr>
      </w:pPr>
      <w:r w:rsidRPr="006F1997">
        <w:rPr>
          <w:rFonts w:eastAsia="Times New Roman" w:cs="Times New Roman"/>
          <w:b/>
          <w:i/>
          <w:color w:val="000000"/>
          <w:szCs w:val="20"/>
        </w:rPr>
        <w:t>2.</w:t>
      </w:r>
      <w:r w:rsidR="005C63FF" w:rsidRPr="006F1997">
        <w:rPr>
          <w:rFonts w:eastAsia="Times New Roman" w:cs="Times New Roman"/>
          <w:b/>
          <w:i/>
          <w:color w:val="000000"/>
          <w:szCs w:val="20"/>
        </w:rPr>
        <w:t>1</w:t>
      </w:r>
      <w:r w:rsidR="00F067FC" w:rsidRPr="006F1997">
        <w:rPr>
          <w:rFonts w:eastAsia="Times New Roman" w:cs="Times New Roman"/>
          <w:b/>
          <w:i/>
          <w:color w:val="000000"/>
          <w:szCs w:val="20"/>
        </w:rPr>
        <w:t>7</w:t>
      </w:r>
      <w:r w:rsidR="000D4D00" w:rsidRPr="006F1997">
        <w:rPr>
          <w:rFonts w:eastAsia="Times New Roman" w:cs="Times New Roman"/>
          <w:b/>
          <w:i/>
          <w:color w:val="000000"/>
          <w:szCs w:val="20"/>
        </w:rPr>
        <w:t>.</w:t>
      </w:r>
      <w:r w:rsidR="004614E3" w:rsidRPr="006723F5">
        <w:rPr>
          <w:rFonts w:eastAsia="Times New Roman" w:cs="Times New Roman"/>
          <w:b/>
          <w:i/>
          <w:color w:val="000000"/>
          <w:szCs w:val="20"/>
        </w:rPr>
        <w:t xml:space="preserve"> </w:t>
      </w:r>
      <w:r w:rsidR="000D4D00" w:rsidRPr="006723F5">
        <w:rPr>
          <w:rFonts w:eastAsia="Times New Roman" w:cs="Times New Roman"/>
          <w:b/>
          <w:i/>
          <w:color w:val="000000"/>
          <w:szCs w:val="20"/>
        </w:rPr>
        <w:t>tabula. Uzkrāto bilanču starpības aprēķins</w:t>
      </w:r>
    </w:p>
    <w:tbl>
      <w:tblPr>
        <w:tblStyle w:val="TableGrid10"/>
        <w:tblW w:w="9776" w:type="dxa"/>
        <w:jc w:val="center"/>
        <w:tblLayout w:type="fixed"/>
        <w:tblLook w:val="04A0" w:firstRow="1" w:lastRow="0" w:firstColumn="1" w:lastColumn="0" w:noHBand="0" w:noVBand="1"/>
      </w:tblPr>
      <w:tblGrid>
        <w:gridCol w:w="704"/>
        <w:gridCol w:w="1418"/>
        <w:gridCol w:w="680"/>
        <w:gridCol w:w="680"/>
        <w:gridCol w:w="680"/>
        <w:gridCol w:w="680"/>
        <w:gridCol w:w="680"/>
        <w:gridCol w:w="680"/>
        <w:gridCol w:w="680"/>
        <w:gridCol w:w="680"/>
        <w:gridCol w:w="680"/>
        <w:gridCol w:w="684"/>
        <w:gridCol w:w="850"/>
      </w:tblGrid>
      <w:tr w:rsidR="00F067FC" w:rsidRPr="006723F5" w14:paraId="73BBD78B" w14:textId="77777777" w:rsidTr="00D83C9B">
        <w:trPr>
          <w:trHeight w:val="294"/>
          <w:tblHeader/>
          <w:jc w:val="center"/>
        </w:trPr>
        <w:tc>
          <w:tcPr>
            <w:tcW w:w="704" w:type="dxa"/>
            <w:shd w:val="clear" w:color="auto" w:fill="BDD6EE" w:themeFill="accent1" w:themeFillTint="66"/>
            <w:vAlign w:val="center"/>
            <w:hideMark/>
          </w:tcPr>
          <w:p w14:paraId="039DB47F" w14:textId="0713C606" w:rsidR="00F067FC" w:rsidRPr="00D83C9B" w:rsidRDefault="00F067FC" w:rsidP="00D83C9B">
            <w:pPr>
              <w:ind w:firstLine="0"/>
              <w:jc w:val="center"/>
              <w:rPr>
                <w:rFonts w:cs="Times New Roman"/>
                <w:b/>
                <w:bCs/>
                <w:i/>
                <w:iCs/>
                <w:color w:val="000000" w:themeColor="text1"/>
                <w:sz w:val="16"/>
                <w:szCs w:val="16"/>
              </w:rPr>
            </w:pPr>
          </w:p>
        </w:tc>
        <w:tc>
          <w:tcPr>
            <w:tcW w:w="1418" w:type="dxa"/>
            <w:shd w:val="clear" w:color="auto" w:fill="BDD6EE" w:themeFill="accent1" w:themeFillTint="66"/>
            <w:vAlign w:val="center"/>
            <w:hideMark/>
          </w:tcPr>
          <w:p w14:paraId="54220D2E" w14:textId="1CA08676" w:rsidR="00F067FC" w:rsidRPr="00D83C9B" w:rsidRDefault="00F067FC" w:rsidP="00D83C9B">
            <w:pPr>
              <w:ind w:firstLine="0"/>
              <w:jc w:val="center"/>
              <w:rPr>
                <w:rFonts w:cs="Times New Roman"/>
                <w:b/>
                <w:bCs/>
                <w:color w:val="000000" w:themeColor="text1"/>
                <w:sz w:val="18"/>
                <w:szCs w:val="18"/>
              </w:rPr>
            </w:pPr>
          </w:p>
        </w:tc>
        <w:tc>
          <w:tcPr>
            <w:tcW w:w="680" w:type="dxa"/>
            <w:shd w:val="clear" w:color="auto" w:fill="BDD6EE" w:themeFill="accent1" w:themeFillTint="66"/>
            <w:vAlign w:val="center"/>
            <w:hideMark/>
          </w:tcPr>
          <w:p w14:paraId="39607B86"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2013</w:t>
            </w:r>
          </w:p>
        </w:tc>
        <w:tc>
          <w:tcPr>
            <w:tcW w:w="680" w:type="dxa"/>
            <w:shd w:val="clear" w:color="auto" w:fill="BDD6EE" w:themeFill="accent1" w:themeFillTint="66"/>
            <w:vAlign w:val="center"/>
            <w:hideMark/>
          </w:tcPr>
          <w:p w14:paraId="456F870A"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2014</w:t>
            </w:r>
          </w:p>
        </w:tc>
        <w:tc>
          <w:tcPr>
            <w:tcW w:w="680" w:type="dxa"/>
            <w:shd w:val="clear" w:color="auto" w:fill="BDD6EE" w:themeFill="accent1" w:themeFillTint="66"/>
            <w:vAlign w:val="center"/>
            <w:hideMark/>
          </w:tcPr>
          <w:p w14:paraId="629C6FC9"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2015</w:t>
            </w:r>
          </w:p>
        </w:tc>
        <w:tc>
          <w:tcPr>
            <w:tcW w:w="680" w:type="dxa"/>
            <w:shd w:val="clear" w:color="auto" w:fill="BDD6EE" w:themeFill="accent1" w:themeFillTint="66"/>
            <w:vAlign w:val="center"/>
            <w:hideMark/>
          </w:tcPr>
          <w:p w14:paraId="2679541A"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2016</w:t>
            </w:r>
          </w:p>
        </w:tc>
        <w:tc>
          <w:tcPr>
            <w:tcW w:w="680" w:type="dxa"/>
            <w:shd w:val="clear" w:color="auto" w:fill="BDD6EE" w:themeFill="accent1" w:themeFillTint="66"/>
            <w:vAlign w:val="center"/>
            <w:hideMark/>
          </w:tcPr>
          <w:p w14:paraId="179C3A5F"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2017</w:t>
            </w:r>
          </w:p>
        </w:tc>
        <w:tc>
          <w:tcPr>
            <w:tcW w:w="680" w:type="dxa"/>
            <w:shd w:val="clear" w:color="auto" w:fill="BDD6EE" w:themeFill="accent1" w:themeFillTint="66"/>
            <w:vAlign w:val="center"/>
            <w:hideMark/>
          </w:tcPr>
          <w:p w14:paraId="5F780894"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2018</w:t>
            </w:r>
          </w:p>
        </w:tc>
        <w:tc>
          <w:tcPr>
            <w:tcW w:w="680" w:type="dxa"/>
            <w:shd w:val="clear" w:color="auto" w:fill="BDD6EE" w:themeFill="accent1" w:themeFillTint="66"/>
            <w:vAlign w:val="center"/>
            <w:hideMark/>
          </w:tcPr>
          <w:p w14:paraId="1AEE0D34"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2019</w:t>
            </w:r>
          </w:p>
        </w:tc>
        <w:tc>
          <w:tcPr>
            <w:tcW w:w="680" w:type="dxa"/>
            <w:shd w:val="clear" w:color="auto" w:fill="BDD6EE" w:themeFill="accent1" w:themeFillTint="66"/>
            <w:vAlign w:val="center"/>
            <w:hideMark/>
          </w:tcPr>
          <w:p w14:paraId="397D4BE6"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2020</w:t>
            </w:r>
          </w:p>
        </w:tc>
        <w:tc>
          <w:tcPr>
            <w:tcW w:w="680" w:type="dxa"/>
            <w:shd w:val="clear" w:color="auto" w:fill="BDD6EE" w:themeFill="accent1" w:themeFillTint="66"/>
            <w:vAlign w:val="center"/>
          </w:tcPr>
          <w:p w14:paraId="16D57F63"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2021</w:t>
            </w:r>
          </w:p>
        </w:tc>
        <w:tc>
          <w:tcPr>
            <w:tcW w:w="684" w:type="dxa"/>
            <w:shd w:val="clear" w:color="auto" w:fill="BDD6EE" w:themeFill="accent1" w:themeFillTint="66"/>
            <w:vAlign w:val="center"/>
          </w:tcPr>
          <w:p w14:paraId="1784C1B9"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2022</w:t>
            </w:r>
          </w:p>
        </w:tc>
        <w:tc>
          <w:tcPr>
            <w:tcW w:w="850" w:type="dxa"/>
            <w:shd w:val="clear" w:color="auto" w:fill="BDD6EE" w:themeFill="accent1" w:themeFillTint="66"/>
            <w:vAlign w:val="center"/>
          </w:tcPr>
          <w:p w14:paraId="5B0897FE" w14:textId="77777777" w:rsidR="00F067FC" w:rsidRPr="00D83C9B" w:rsidRDefault="00F067FC" w:rsidP="00D83C9B">
            <w:pPr>
              <w:ind w:firstLine="0"/>
              <w:jc w:val="center"/>
              <w:rPr>
                <w:rFonts w:cs="Times New Roman"/>
                <w:b/>
                <w:bCs/>
                <w:color w:val="000000" w:themeColor="text1"/>
                <w:sz w:val="18"/>
                <w:szCs w:val="18"/>
              </w:rPr>
            </w:pPr>
            <w:r w:rsidRPr="00D83C9B">
              <w:rPr>
                <w:rFonts w:cs="Times New Roman"/>
                <w:b/>
                <w:bCs/>
                <w:color w:val="000000" w:themeColor="text1"/>
                <w:sz w:val="18"/>
                <w:szCs w:val="18"/>
              </w:rPr>
              <w:t>2023</w:t>
            </w:r>
          </w:p>
        </w:tc>
      </w:tr>
      <w:tr w:rsidR="00786F22" w:rsidRPr="006723F5" w14:paraId="25B07FC6" w14:textId="77777777" w:rsidTr="00D83C9B">
        <w:trPr>
          <w:trHeight w:val="248"/>
          <w:jc w:val="center"/>
        </w:trPr>
        <w:tc>
          <w:tcPr>
            <w:tcW w:w="704" w:type="dxa"/>
            <w:hideMark/>
          </w:tcPr>
          <w:p w14:paraId="0848DB66" w14:textId="77777777" w:rsidR="00786F22" w:rsidRPr="006F1997" w:rsidRDefault="00786F22" w:rsidP="008349F0">
            <w:pPr>
              <w:ind w:firstLine="0"/>
              <w:jc w:val="right"/>
              <w:rPr>
                <w:rFonts w:cs="Times New Roman"/>
                <w:i/>
                <w:iCs/>
                <w:color w:val="000000" w:themeColor="text1"/>
                <w:sz w:val="16"/>
                <w:szCs w:val="16"/>
              </w:rPr>
            </w:pPr>
            <w:r w:rsidRPr="006F1997">
              <w:rPr>
                <w:rFonts w:cs="Times New Roman"/>
                <w:i/>
                <w:iCs/>
                <w:color w:val="000000" w:themeColor="text1"/>
                <w:sz w:val="16"/>
                <w:szCs w:val="16"/>
              </w:rPr>
              <w:t>1</w:t>
            </w:r>
          </w:p>
        </w:tc>
        <w:tc>
          <w:tcPr>
            <w:tcW w:w="1418" w:type="dxa"/>
            <w:hideMark/>
          </w:tcPr>
          <w:p w14:paraId="6E157ABE" w14:textId="77777777" w:rsidR="00786F22" w:rsidRPr="006F1997" w:rsidRDefault="00786F22" w:rsidP="008349F0">
            <w:pPr>
              <w:ind w:firstLine="0"/>
              <w:rPr>
                <w:rFonts w:cs="Times New Roman"/>
                <w:color w:val="000000" w:themeColor="text1"/>
                <w:sz w:val="18"/>
                <w:szCs w:val="18"/>
              </w:rPr>
            </w:pPr>
            <w:r w:rsidRPr="006F1997">
              <w:rPr>
                <w:rFonts w:cs="Times New Roman"/>
                <w:color w:val="000000" w:themeColor="text1"/>
                <w:sz w:val="18"/>
                <w:szCs w:val="18"/>
              </w:rPr>
              <w:t xml:space="preserve">IKP (faktiskajās cenās), milj. </w:t>
            </w:r>
            <w:proofErr w:type="spellStart"/>
            <w:r w:rsidRPr="006F1997">
              <w:rPr>
                <w:rFonts w:cs="Times New Roman"/>
                <w:i/>
                <w:iCs/>
                <w:color w:val="000000" w:themeColor="text1"/>
                <w:sz w:val="18"/>
                <w:szCs w:val="18"/>
              </w:rPr>
              <w:t>euro</w:t>
            </w:r>
            <w:proofErr w:type="spellEnd"/>
          </w:p>
        </w:tc>
        <w:tc>
          <w:tcPr>
            <w:tcW w:w="680" w:type="dxa"/>
          </w:tcPr>
          <w:p w14:paraId="4912CF0C" w14:textId="4458DD21" w:rsidR="00786F22" w:rsidRPr="006F1997" w:rsidRDefault="00786F22" w:rsidP="008349F0">
            <w:pPr>
              <w:ind w:firstLine="0"/>
              <w:jc w:val="center"/>
              <w:rPr>
                <w:rFonts w:cs="Times New Roman"/>
                <w:sz w:val="16"/>
                <w:szCs w:val="16"/>
              </w:rPr>
            </w:pPr>
            <w:r w:rsidRPr="006F1997">
              <w:rPr>
                <w:sz w:val="16"/>
                <w:szCs w:val="16"/>
              </w:rPr>
              <w:t>22 749</w:t>
            </w:r>
          </w:p>
        </w:tc>
        <w:tc>
          <w:tcPr>
            <w:tcW w:w="680" w:type="dxa"/>
          </w:tcPr>
          <w:p w14:paraId="719DDB4B" w14:textId="1E66B9EC" w:rsidR="00786F22" w:rsidRPr="006F1997" w:rsidRDefault="00786F22" w:rsidP="008349F0">
            <w:pPr>
              <w:ind w:firstLine="0"/>
              <w:jc w:val="center"/>
              <w:rPr>
                <w:rFonts w:cs="Times New Roman"/>
                <w:sz w:val="16"/>
                <w:szCs w:val="16"/>
              </w:rPr>
            </w:pPr>
            <w:r w:rsidRPr="006F1997">
              <w:rPr>
                <w:sz w:val="16"/>
                <w:szCs w:val="16"/>
              </w:rPr>
              <w:t>23 626</w:t>
            </w:r>
          </w:p>
        </w:tc>
        <w:tc>
          <w:tcPr>
            <w:tcW w:w="680" w:type="dxa"/>
          </w:tcPr>
          <w:p w14:paraId="4FF2C794" w14:textId="4134FA38" w:rsidR="00786F22" w:rsidRPr="006F1997" w:rsidRDefault="00786F22" w:rsidP="008349F0">
            <w:pPr>
              <w:ind w:firstLine="0"/>
              <w:jc w:val="center"/>
              <w:rPr>
                <w:rFonts w:cs="Times New Roman"/>
                <w:sz w:val="16"/>
                <w:szCs w:val="16"/>
              </w:rPr>
            </w:pPr>
            <w:r w:rsidRPr="006F1997">
              <w:rPr>
                <w:sz w:val="16"/>
                <w:szCs w:val="16"/>
              </w:rPr>
              <w:t>24 572</w:t>
            </w:r>
          </w:p>
        </w:tc>
        <w:tc>
          <w:tcPr>
            <w:tcW w:w="680" w:type="dxa"/>
          </w:tcPr>
          <w:p w14:paraId="2FDF5202" w14:textId="57D883CE" w:rsidR="00786F22" w:rsidRPr="006F1997" w:rsidRDefault="00786F22" w:rsidP="008349F0">
            <w:pPr>
              <w:ind w:firstLine="0"/>
              <w:jc w:val="center"/>
              <w:rPr>
                <w:rFonts w:cs="Times New Roman"/>
                <w:sz w:val="16"/>
                <w:szCs w:val="16"/>
              </w:rPr>
            </w:pPr>
            <w:r w:rsidRPr="006F1997">
              <w:rPr>
                <w:sz w:val="16"/>
                <w:szCs w:val="16"/>
              </w:rPr>
              <w:t>25 371</w:t>
            </w:r>
          </w:p>
        </w:tc>
        <w:tc>
          <w:tcPr>
            <w:tcW w:w="680" w:type="dxa"/>
          </w:tcPr>
          <w:p w14:paraId="2559D704" w14:textId="23455AB1" w:rsidR="00786F22" w:rsidRPr="006F1997" w:rsidRDefault="00786F22" w:rsidP="008349F0">
            <w:pPr>
              <w:ind w:firstLine="0"/>
              <w:jc w:val="center"/>
              <w:rPr>
                <w:rFonts w:cs="Times New Roman"/>
                <w:sz w:val="16"/>
                <w:szCs w:val="16"/>
              </w:rPr>
            </w:pPr>
            <w:r w:rsidRPr="006F1997">
              <w:rPr>
                <w:sz w:val="16"/>
                <w:szCs w:val="16"/>
              </w:rPr>
              <w:t>26 984</w:t>
            </w:r>
          </w:p>
        </w:tc>
        <w:tc>
          <w:tcPr>
            <w:tcW w:w="680" w:type="dxa"/>
          </w:tcPr>
          <w:p w14:paraId="029A8874" w14:textId="6FF50D56" w:rsidR="00786F22" w:rsidRPr="006F1997" w:rsidRDefault="00786F22" w:rsidP="008349F0">
            <w:pPr>
              <w:ind w:firstLine="0"/>
              <w:jc w:val="center"/>
              <w:rPr>
                <w:rFonts w:cs="Times New Roman"/>
                <w:sz w:val="16"/>
                <w:szCs w:val="16"/>
              </w:rPr>
            </w:pPr>
            <w:r w:rsidRPr="006F1997">
              <w:rPr>
                <w:sz w:val="16"/>
                <w:szCs w:val="16"/>
              </w:rPr>
              <w:t>29 154</w:t>
            </w:r>
          </w:p>
        </w:tc>
        <w:tc>
          <w:tcPr>
            <w:tcW w:w="680" w:type="dxa"/>
          </w:tcPr>
          <w:p w14:paraId="7D716F00" w14:textId="0735E3AE" w:rsidR="00786F22" w:rsidRPr="006F1997" w:rsidRDefault="00786F22" w:rsidP="008349F0">
            <w:pPr>
              <w:ind w:firstLine="0"/>
              <w:jc w:val="center"/>
              <w:rPr>
                <w:rFonts w:cs="Times New Roman"/>
                <w:sz w:val="16"/>
                <w:szCs w:val="16"/>
              </w:rPr>
            </w:pPr>
            <w:r w:rsidRPr="006F1997">
              <w:rPr>
                <w:sz w:val="16"/>
                <w:szCs w:val="16"/>
              </w:rPr>
              <w:t>30 573</w:t>
            </w:r>
          </w:p>
        </w:tc>
        <w:tc>
          <w:tcPr>
            <w:tcW w:w="680" w:type="dxa"/>
          </w:tcPr>
          <w:p w14:paraId="03BC614C" w14:textId="7845318C" w:rsidR="00786F22" w:rsidRPr="006F1997" w:rsidRDefault="00786F22" w:rsidP="008349F0">
            <w:pPr>
              <w:ind w:firstLine="0"/>
              <w:jc w:val="center"/>
              <w:rPr>
                <w:rFonts w:cs="Times New Roman"/>
                <w:sz w:val="16"/>
                <w:szCs w:val="16"/>
              </w:rPr>
            </w:pPr>
            <w:r w:rsidRPr="006F1997">
              <w:rPr>
                <w:sz w:val="16"/>
                <w:szCs w:val="16"/>
              </w:rPr>
              <w:t>30 109</w:t>
            </w:r>
          </w:p>
        </w:tc>
        <w:tc>
          <w:tcPr>
            <w:tcW w:w="680" w:type="dxa"/>
          </w:tcPr>
          <w:p w14:paraId="6CED4240" w14:textId="7D1E4B66" w:rsidR="00786F22" w:rsidRPr="006F1997" w:rsidRDefault="00786F22" w:rsidP="008349F0">
            <w:pPr>
              <w:ind w:firstLine="0"/>
              <w:jc w:val="center"/>
              <w:rPr>
                <w:rFonts w:cs="Times New Roman"/>
                <w:sz w:val="16"/>
                <w:szCs w:val="16"/>
              </w:rPr>
            </w:pPr>
            <w:r w:rsidRPr="006F1997">
              <w:rPr>
                <w:sz w:val="16"/>
                <w:szCs w:val="16"/>
              </w:rPr>
              <w:t>33 349</w:t>
            </w:r>
          </w:p>
        </w:tc>
        <w:tc>
          <w:tcPr>
            <w:tcW w:w="684" w:type="dxa"/>
          </w:tcPr>
          <w:p w14:paraId="65138071" w14:textId="5A406E9F" w:rsidR="00786F22" w:rsidRPr="006F1997" w:rsidRDefault="00786F22" w:rsidP="008349F0">
            <w:pPr>
              <w:ind w:firstLine="0"/>
              <w:jc w:val="center"/>
              <w:rPr>
                <w:rFonts w:cs="Times New Roman"/>
                <w:sz w:val="16"/>
                <w:szCs w:val="16"/>
              </w:rPr>
            </w:pPr>
            <w:r w:rsidRPr="006F1997">
              <w:rPr>
                <w:sz w:val="16"/>
                <w:szCs w:val="16"/>
              </w:rPr>
              <w:t>38 386</w:t>
            </w:r>
          </w:p>
        </w:tc>
        <w:tc>
          <w:tcPr>
            <w:tcW w:w="850" w:type="dxa"/>
          </w:tcPr>
          <w:p w14:paraId="38335E2C" w14:textId="503280DD" w:rsidR="00786F22" w:rsidRPr="006F1997" w:rsidRDefault="00786F22" w:rsidP="008349F0">
            <w:pPr>
              <w:ind w:firstLine="0"/>
              <w:jc w:val="center"/>
              <w:rPr>
                <w:rFonts w:cs="Times New Roman"/>
                <w:sz w:val="16"/>
                <w:szCs w:val="16"/>
              </w:rPr>
            </w:pPr>
            <w:r w:rsidRPr="006F1997">
              <w:rPr>
                <w:sz w:val="16"/>
                <w:szCs w:val="16"/>
              </w:rPr>
              <w:t>40 348</w:t>
            </w:r>
          </w:p>
        </w:tc>
      </w:tr>
      <w:tr w:rsidR="00786F22" w:rsidRPr="006723F5" w14:paraId="5877FC28" w14:textId="77777777" w:rsidTr="00D83C9B">
        <w:trPr>
          <w:trHeight w:val="680"/>
          <w:jc w:val="center"/>
        </w:trPr>
        <w:tc>
          <w:tcPr>
            <w:tcW w:w="704" w:type="dxa"/>
            <w:hideMark/>
          </w:tcPr>
          <w:p w14:paraId="7F2294D6"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2</w:t>
            </w:r>
          </w:p>
        </w:tc>
        <w:tc>
          <w:tcPr>
            <w:tcW w:w="1418" w:type="dxa"/>
            <w:hideMark/>
          </w:tcPr>
          <w:p w14:paraId="6CB4C1A3" w14:textId="77777777" w:rsidR="00786F22" w:rsidRPr="006F1997" w:rsidRDefault="00786F22" w:rsidP="008349F0">
            <w:pPr>
              <w:ind w:firstLine="0"/>
              <w:rPr>
                <w:rFonts w:cs="Times New Roman"/>
                <w:sz w:val="18"/>
                <w:szCs w:val="18"/>
              </w:rPr>
            </w:pPr>
            <w:r w:rsidRPr="006F1997">
              <w:rPr>
                <w:rFonts w:cs="Times New Roman"/>
                <w:sz w:val="18"/>
                <w:szCs w:val="18"/>
              </w:rPr>
              <w:t>Faktiskā vispārējās valdības budžeta strukturālā bilance, % no IKP</w:t>
            </w:r>
          </w:p>
        </w:tc>
        <w:tc>
          <w:tcPr>
            <w:tcW w:w="680" w:type="dxa"/>
          </w:tcPr>
          <w:p w14:paraId="6D7579A1" w14:textId="6883BDEE" w:rsidR="00786F22" w:rsidRPr="006F1997" w:rsidRDefault="00786F22" w:rsidP="008349F0">
            <w:pPr>
              <w:ind w:firstLine="0"/>
              <w:jc w:val="center"/>
              <w:rPr>
                <w:rFonts w:cs="Times New Roman"/>
                <w:b/>
                <w:bCs/>
                <w:sz w:val="16"/>
                <w:szCs w:val="16"/>
              </w:rPr>
            </w:pPr>
            <w:r w:rsidRPr="006F1997">
              <w:rPr>
                <w:b/>
                <w:bCs/>
                <w:color w:val="000000"/>
                <w:sz w:val="16"/>
                <w:szCs w:val="16"/>
              </w:rPr>
              <w:t>-0,4</w:t>
            </w:r>
          </w:p>
        </w:tc>
        <w:tc>
          <w:tcPr>
            <w:tcW w:w="680" w:type="dxa"/>
          </w:tcPr>
          <w:p w14:paraId="4EC81996" w14:textId="211A3638" w:rsidR="00786F22" w:rsidRPr="006F1997" w:rsidRDefault="00786F22" w:rsidP="008349F0">
            <w:pPr>
              <w:ind w:firstLine="0"/>
              <w:jc w:val="center"/>
              <w:rPr>
                <w:rFonts w:cs="Times New Roman"/>
                <w:b/>
                <w:bCs/>
                <w:sz w:val="16"/>
                <w:szCs w:val="16"/>
              </w:rPr>
            </w:pPr>
            <w:r w:rsidRPr="006F1997">
              <w:rPr>
                <w:b/>
                <w:bCs/>
                <w:color w:val="000000"/>
                <w:sz w:val="16"/>
                <w:szCs w:val="16"/>
              </w:rPr>
              <w:t>-1,1</w:t>
            </w:r>
          </w:p>
        </w:tc>
        <w:tc>
          <w:tcPr>
            <w:tcW w:w="680" w:type="dxa"/>
          </w:tcPr>
          <w:p w14:paraId="6D8A7252" w14:textId="059EC542" w:rsidR="00786F22" w:rsidRPr="006F1997" w:rsidRDefault="00786F22" w:rsidP="008349F0">
            <w:pPr>
              <w:ind w:firstLine="0"/>
              <w:jc w:val="center"/>
              <w:rPr>
                <w:rFonts w:cs="Times New Roman"/>
                <w:b/>
                <w:bCs/>
                <w:sz w:val="16"/>
                <w:szCs w:val="16"/>
              </w:rPr>
            </w:pPr>
            <w:r w:rsidRPr="006F1997">
              <w:rPr>
                <w:b/>
                <w:bCs/>
                <w:color w:val="000000"/>
                <w:sz w:val="16"/>
                <w:szCs w:val="16"/>
              </w:rPr>
              <w:t>-1,7</w:t>
            </w:r>
          </w:p>
        </w:tc>
        <w:tc>
          <w:tcPr>
            <w:tcW w:w="680" w:type="dxa"/>
          </w:tcPr>
          <w:p w14:paraId="7350A407" w14:textId="37023052" w:rsidR="00786F22" w:rsidRPr="006F1997" w:rsidRDefault="00786F22" w:rsidP="008349F0">
            <w:pPr>
              <w:ind w:firstLine="0"/>
              <w:jc w:val="center"/>
              <w:rPr>
                <w:rFonts w:cs="Times New Roman"/>
                <w:b/>
                <w:bCs/>
                <w:sz w:val="16"/>
                <w:szCs w:val="16"/>
              </w:rPr>
            </w:pPr>
            <w:r w:rsidRPr="006F1997">
              <w:rPr>
                <w:b/>
                <w:bCs/>
                <w:color w:val="000000"/>
                <w:sz w:val="16"/>
                <w:szCs w:val="16"/>
              </w:rPr>
              <w:t>-0,6</w:t>
            </w:r>
          </w:p>
        </w:tc>
        <w:tc>
          <w:tcPr>
            <w:tcW w:w="680" w:type="dxa"/>
          </w:tcPr>
          <w:p w14:paraId="77B1A4A3" w14:textId="6A048E3B" w:rsidR="00786F22" w:rsidRPr="006F1997" w:rsidRDefault="00786F22" w:rsidP="008349F0">
            <w:pPr>
              <w:ind w:firstLine="0"/>
              <w:jc w:val="center"/>
              <w:rPr>
                <w:rFonts w:cs="Times New Roman"/>
                <w:b/>
                <w:bCs/>
                <w:sz w:val="16"/>
                <w:szCs w:val="16"/>
              </w:rPr>
            </w:pPr>
            <w:r w:rsidRPr="006F1997">
              <w:rPr>
                <w:b/>
                <w:bCs/>
                <w:color w:val="000000"/>
                <w:sz w:val="16"/>
                <w:szCs w:val="16"/>
              </w:rPr>
              <w:t>-1,3</w:t>
            </w:r>
          </w:p>
        </w:tc>
        <w:tc>
          <w:tcPr>
            <w:tcW w:w="680" w:type="dxa"/>
          </w:tcPr>
          <w:p w14:paraId="75060A68" w14:textId="4BD16279" w:rsidR="00786F22" w:rsidRPr="006F1997" w:rsidRDefault="00786F22" w:rsidP="008349F0">
            <w:pPr>
              <w:ind w:firstLine="0"/>
              <w:jc w:val="center"/>
              <w:rPr>
                <w:rFonts w:cs="Times New Roman"/>
                <w:b/>
                <w:bCs/>
                <w:sz w:val="16"/>
                <w:szCs w:val="16"/>
              </w:rPr>
            </w:pPr>
            <w:r w:rsidRPr="006F1997">
              <w:rPr>
                <w:b/>
                <w:bCs/>
                <w:color w:val="000000"/>
                <w:sz w:val="16"/>
                <w:szCs w:val="16"/>
              </w:rPr>
              <w:t>-2,4</w:t>
            </w:r>
          </w:p>
        </w:tc>
        <w:tc>
          <w:tcPr>
            <w:tcW w:w="680" w:type="dxa"/>
          </w:tcPr>
          <w:p w14:paraId="03CA281A" w14:textId="2673E31B" w:rsidR="00786F22" w:rsidRPr="006F1997" w:rsidRDefault="00786F22" w:rsidP="008349F0">
            <w:pPr>
              <w:ind w:firstLine="0"/>
              <w:jc w:val="center"/>
              <w:rPr>
                <w:rFonts w:cs="Times New Roman"/>
                <w:b/>
                <w:bCs/>
                <w:sz w:val="16"/>
                <w:szCs w:val="16"/>
              </w:rPr>
            </w:pPr>
            <w:r w:rsidRPr="006F1997">
              <w:rPr>
                <w:b/>
                <w:bCs/>
                <w:color w:val="000000"/>
                <w:sz w:val="16"/>
                <w:szCs w:val="16"/>
              </w:rPr>
              <w:t>-1,0</w:t>
            </w:r>
          </w:p>
        </w:tc>
        <w:tc>
          <w:tcPr>
            <w:tcW w:w="680" w:type="dxa"/>
          </w:tcPr>
          <w:p w14:paraId="7D712BB5" w14:textId="46DC4FD6" w:rsidR="00786F22" w:rsidRPr="006F1997" w:rsidRDefault="00786F22" w:rsidP="008349F0">
            <w:pPr>
              <w:ind w:firstLine="0"/>
              <w:jc w:val="center"/>
              <w:rPr>
                <w:rFonts w:cs="Times New Roman"/>
                <w:b/>
                <w:bCs/>
                <w:sz w:val="16"/>
                <w:szCs w:val="16"/>
              </w:rPr>
            </w:pPr>
            <w:r w:rsidRPr="006F1997">
              <w:rPr>
                <w:b/>
                <w:bCs/>
                <w:color w:val="000000"/>
                <w:sz w:val="16"/>
                <w:szCs w:val="16"/>
              </w:rPr>
              <w:t>0,3</w:t>
            </w:r>
          </w:p>
        </w:tc>
        <w:tc>
          <w:tcPr>
            <w:tcW w:w="680" w:type="dxa"/>
          </w:tcPr>
          <w:p w14:paraId="79A6BCC8" w14:textId="6537E4ED" w:rsidR="00786F22" w:rsidRPr="006F1997" w:rsidRDefault="00786F22" w:rsidP="008349F0">
            <w:pPr>
              <w:ind w:firstLine="0"/>
              <w:jc w:val="center"/>
              <w:rPr>
                <w:rFonts w:cs="Times New Roman"/>
                <w:b/>
                <w:bCs/>
                <w:sz w:val="16"/>
                <w:szCs w:val="16"/>
              </w:rPr>
            </w:pPr>
            <w:r w:rsidRPr="006F1997">
              <w:rPr>
                <w:b/>
                <w:bCs/>
                <w:color w:val="000000"/>
                <w:sz w:val="16"/>
                <w:szCs w:val="16"/>
              </w:rPr>
              <w:t>-1,3</w:t>
            </w:r>
          </w:p>
        </w:tc>
        <w:tc>
          <w:tcPr>
            <w:tcW w:w="684" w:type="dxa"/>
          </w:tcPr>
          <w:p w14:paraId="0CA53294" w14:textId="2C56421F" w:rsidR="00786F22" w:rsidRPr="006F1997" w:rsidRDefault="00786F22" w:rsidP="008349F0">
            <w:pPr>
              <w:ind w:firstLine="0"/>
              <w:jc w:val="center"/>
              <w:rPr>
                <w:rFonts w:cs="Times New Roman"/>
                <w:b/>
                <w:bCs/>
                <w:sz w:val="16"/>
                <w:szCs w:val="16"/>
              </w:rPr>
            </w:pPr>
            <w:r w:rsidRPr="006F1997">
              <w:rPr>
                <w:b/>
                <w:bCs/>
                <w:color w:val="000000"/>
                <w:sz w:val="16"/>
                <w:szCs w:val="16"/>
              </w:rPr>
              <w:t>-0,3</w:t>
            </w:r>
          </w:p>
        </w:tc>
        <w:tc>
          <w:tcPr>
            <w:tcW w:w="850" w:type="dxa"/>
          </w:tcPr>
          <w:p w14:paraId="38921D3A" w14:textId="38D84C9C" w:rsidR="00786F22" w:rsidRPr="006F1997" w:rsidRDefault="00786F22" w:rsidP="008349F0">
            <w:pPr>
              <w:ind w:firstLine="0"/>
              <w:jc w:val="center"/>
              <w:rPr>
                <w:rFonts w:cs="Times New Roman"/>
                <w:b/>
                <w:bCs/>
                <w:sz w:val="16"/>
                <w:szCs w:val="16"/>
              </w:rPr>
            </w:pPr>
            <w:r w:rsidRPr="006F1997">
              <w:rPr>
                <w:b/>
                <w:bCs/>
                <w:color w:val="000000"/>
                <w:sz w:val="16"/>
                <w:szCs w:val="16"/>
              </w:rPr>
              <w:t>0,2</w:t>
            </w:r>
          </w:p>
        </w:tc>
      </w:tr>
      <w:tr w:rsidR="00786F22" w:rsidRPr="006723F5" w14:paraId="454444A6" w14:textId="77777777" w:rsidTr="00D83C9B">
        <w:trPr>
          <w:trHeight w:val="686"/>
          <w:jc w:val="center"/>
        </w:trPr>
        <w:tc>
          <w:tcPr>
            <w:tcW w:w="704" w:type="dxa"/>
            <w:hideMark/>
          </w:tcPr>
          <w:p w14:paraId="0E116C51"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3.</w:t>
            </w:r>
          </w:p>
          <w:p w14:paraId="4D751479"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(1.×2.)</w:t>
            </w:r>
          </w:p>
        </w:tc>
        <w:tc>
          <w:tcPr>
            <w:tcW w:w="1418" w:type="dxa"/>
            <w:hideMark/>
          </w:tcPr>
          <w:p w14:paraId="1F9F56E0" w14:textId="77777777" w:rsidR="00786F22" w:rsidRPr="006F1997" w:rsidRDefault="00786F22" w:rsidP="008349F0">
            <w:pPr>
              <w:ind w:firstLine="0"/>
              <w:rPr>
                <w:rFonts w:cs="Times New Roman"/>
                <w:sz w:val="18"/>
                <w:szCs w:val="18"/>
              </w:rPr>
            </w:pPr>
            <w:r w:rsidRPr="006F1997">
              <w:rPr>
                <w:rFonts w:cs="Times New Roman"/>
                <w:sz w:val="18"/>
                <w:szCs w:val="18"/>
              </w:rPr>
              <w:t xml:space="preserve">Faktiskā vispārējās valdības budžeta strukturālā bilance, milj. </w:t>
            </w:r>
            <w:proofErr w:type="spellStart"/>
            <w:r w:rsidRPr="006F1997">
              <w:rPr>
                <w:rFonts w:cs="Times New Roman"/>
                <w:i/>
                <w:iCs/>
                <w:sz w:val="18"/>
                <w:szCs w:val="18"/>
              </w:rPr>
              <w:t>euro</w:t>
            </w:r>
            <w:proofErr w:type="spellEnd"/>
          </w:p>
        </w:tc>
        <w:tc>
          <w:tcPr>
            <w:tcW w:w="680" w:type="dxa"/>
          </w:tcPr>
          <w:p w14:paraId="3ED49EF3" w14:textId="66117ECF" w:rsidR="00786F22" w:rsidRPr="006F1997" w:rsidRDefault="00786F22" w:rsidP="008349F0">
            <w:pPr>
              <w:ind w:firstLine="0"/>
              <w:jc w:val="center"/>
              <w:rPr>
                <w:rFonts w:cs="Times New Roman"/>
                <w:sz w:val="16"/>
                <w:szCs w:val="16"/>
              </w:rPr>
            </w:pPr>
            <w:r w:rsidRPr="006F1997">
              <w:rPr>
                <w:color w:val="000000"/>
                <w:sz w:val="16"/>
                <w:szCs w:val="16"/>
              </w:rPr>
              <w:t>-80,9</w:t>
            </w:r>
          </w:p>
        </w:tc>
        <w:tc>
          <w:tcPr>
            <w:tcW w:w="680" w:type="dxa"/>
          </w:tcPr>
          <w:p w14:paraId="7DE2A65E" w14:textId="2174EC57" w:rsidR="00786F22" w:rsidRPr="006F1997" w:rsidRDefault="00786F22" w:rsidP="008349F0">
            <w:pPr>
              <w:ind w:firstLine="0"/>
              <w:jc w:val="center"/>
              <w:rPr>
                <w:rFonts w:cs="Times New Roman"/>
                <w:sz w:val="16"/>
                <w:szCs w:val="16"/>
              </w:rPr>
            </w:pPr>
            <w:r w:rsidRPr="006F1997">
              <w:rPr>
                <w:color w:val="000000"/>
                <w:sz w:val="16"/>
                <w:szCs w:val="16"/>
              </w:rPr>
              <w:t>-252,7</w:t>
            </w:r>
          </w:p>
        </w:tc>
        <w:tc>
          <w:tcPr>
            <w:tcW w:w="680" w:type="dxa"/>
          </w:tcPr>
          <w:p w14:paraId="7B155909" w14:textId="443CAB5B" w:rsidR="00786F22" w:rsidRPr="006F1997" w:rsidRDefault="00786F22" w:rsidP="008349F0">
            <w:pPr>
              <w:ind w:firstLine="0"/>
              <w:jc w:val="center"/>
              <w:rPr>
                <w:rFonts w:cs="Times New Roman"/>
                <w:sz w:val="16"/>
                <w:szCs w:val="16"/>
              </w:rPr>
            </w:pPr>
            <w:r w:rsidRPr="006F1997">
              <w:rPr>
                <w:color w:val="000000"/>
                <w:sz w:val="16"/>
                <w:szCs w:val="16"/>
              </w:rPr>
              <w:t>-411,2</w:t>
            </w:r>
          </w:p>
        </w:tc>
        <w:tc>
          <w:tcPr>
            <w:tcW w:w="680" w:type="dxa"/>
          </w:tcPr>
          <w:p w14:paraId="7D0595E4" w14:textId="1DF80EA1" w:rsidR="00786F22" w:rsidRPr="006F1997" w:rsidRDefault="00786F22" w:rsidP="008349F0">
            <w:pPr>
              <w:ind w:firstLine="0"/>
              <w:jc w:val="center"/>
              <w:rPr>
                <w:rFonts w:cs="Times New Roman"/>
                <w:sz w:val="16"/>
                <w:szCs w:val="16"/>
              </w:rPr>
            </w:pPr>
            <w:r w:rsidRPr="006F1997">
              <w:rPr>
                <w:color w:val="000000"/>
                <w:sz w:val="16"/>
                <w:szCs w:val="16"/>
              </w:rPr>
              <w:t>-162,3</w:t>
            </w:r>
          </w:p>
        </w:tc>
        <w:tc>
          <w:tcPr>
            <w:tcW w:w="680" w:type="dxa"/>
          </w:tcPr>
          <w:p w14:paraId="5A54541F" w14:textId="5055EF82" w:rsidR="00786F22" w:rsidRPr="006F1997" w:rsidRDefault="00786F22" w:rsidP="008349F0">
            <w:pPr>
              <w:ind w:firstLine="0"/>
              <w:jc w:val="center"/>
              <w:rPr>
                <w:rFonts w:cs="Times New Roman"/>
                <w:sz w:val="16"/>
                <w:szCs w:val="16"/>
              </w:rPr>
            </w:pPr>
            <w:r w:rsidRPr="006F1997">
              <w:rPr>
                <w:color w:val="000000"/>
                <w:sz w:val="16"/>
                <w:szCs w:val="16"/>
              </w:rPr>
              <w:t>-363,1</w:t>
            </w:r>
          </w:p>
        </w:tc>
        <w:tc>
          <w:tcPr>
            <w:tcW w:w="680" w:type="dxa"/>
          </w:tcPr>
          <w:p w14:paraId="702C12AF" w14:textId="0BD230D6" w:rsidR="00786F22" w:rsidRPr="006F1997" w:rsidRDefault="00786F22" w:rsidP="008349F0">
            <w:pPr>
              <w:ind w:firstLine="0"/>
              <w:jc w:val="center"/>
              <w:rPr>
                <w:rFonts w:cs="Times New Roman"/>
                <w:sz w:val="16"/>
                <w:szCs w:val="16"/>
              </w:rPr>
            </w:pPr>
            <w:r w:rsidRPr="006F1997">
              <w:rPr>
                <w:color w:val="000000"/>
                <w:sz w:val="16"/>
                <w:szCs w:val="16"/>
              </w:rPr>
              <w:t>-695,1</w:t>
            </w:r>
          </w:p>
        </w:tc>
        <w:tc>
          <w:tcPr>
            <w:tcW w:w="680" w:type="dxa"/>
          </w:tcPr>
          <w:p w14:paraId="65D5B337" w14:textId="61136F5F" w:rsidR="00786F22" w:rsidRPr="006F1997" w:rsidRDefault="00786F22" w:rsidP="008349F0">
            <w:pPr>
              <w:ind w:firstLine="0"/>
              <w:jc w:val="center"/>
              <w:rPr>
                <w:rFonts w:cs="Times New Roman"/>
                <w:sz w:val="16"/>
                <w:szCs w:val="16"/>
              </w:rPr>
            </w:pPr>
            <w:r w:rsidRPr="006F1997">
              <w:rPr>
                <w:color w:val="000000"/>
                <w:sz w:val="16"/>
                <w:szCs w:val="16"/>
              </w:rPr>
              <w:t>-308,3</w:t>
            </w:r>
          </w:p>
        </w:tc>
        <w:tc>
          <w:tcPr>
            <w:tcW w:w="680" w:type="dxa"/>
          </w:tcPr>
          <w:p w14:paraId="524937B2" w14:textId="41A47963" w:rsidR="00786F22" w:rsidRPr="006F1997" w:rsidRDefault="00786F22" w:rsidP="008349F0">
            <w:pPr>
              <w:ind w:firstLine="0"/>
              <w:jc w:val="center"/>
              <w:rPr>
                <w:rFonts w:cs="Times New Roman"/>
                <w:sz w:val="16"/>
                <w:szCs w:val="16"/>
              </w:rPr>
            </w:pPr>
            <w:r w:rsidRPr="006F1997">
              <w:rPr>
                <w:color w:val="000000"/>
                <w:sz w:val="16"/>
                <w:szCs w:val="16"/>
              </w:rPr>
              <w:t>82,8</w:t>
            </w:r>
          </w:p>
        </w:tc>
        <w:tc>
          <w:tcPr>
            <w:tcW w:w="680" w:type="dxa"/>
          </w:tcPr>
          <w:p w14:paraId="5DEA8506" w14:textId="7D8E5608" w:rsidR="00786F22" w:rsidRPr="006F1997" w:rsidRDefault="00786F22" w:rsidP="008349F0">
            <w:pPr>
              <w:ind w:firstLine="0"/>
              <w:jc w:val="center"/>
              <w:rPr>
                <w:rFonts w:cs="Times New Roman"/>
                <w:sz w:val="16"/>
                <w:szCs w:val="16"/>
              </w:rPr>
            </w:pPr>
            <w:r w:rsidRPr="006F1997">
              <w:rPr>
                <w:color w:val="000000"/>
                <w:sz w:val="16"/>
                <w:szCs w:val="16"/>
              </w:rPr>
              <w:t>-445,7</w:t>
            </w:r>
          </w:p>
        </w:tc>
        <w:tc>
          <w:tcPr>
            <w:tcW w:w="684" w:type="dxa"/>
          </w:tcPr>
          <w:p w14:paraId="08FE1D76" w14:textId="58877514" w:rsidR="00786F22" w:rsidRPr="006F1997" w:rsidRDefault="00786F22" w:rsidP="008349F0">
            <w:pPr>
              <w:ind w:firstLine="0"/>
              <w:jc w:val="center"/>
              <w:rPr>
                <w:rFonts w:cs="Times New Roman"/>
                <w:sz w:val="16"/>
                <w:szCs w:val="16"/>
              </w:rPr>
            </w:pPr>
            <w:r w:rsidRPr="006F1997">
              <w:rPr>
                <w:color w:val="000000"/>
                <w:sz w:val="16"/>
                <w:szCs w:val="16"/>
              </w:rPr>
              <w:t>-121,1</w:t>
            </w:r>
          </w:p>
        </w:tc>
        <w:tc>
          <w:tcPr>
            <w:tcW w:w="850" w:type="dxa"/>
          </w:tcPr>
          <w:p w14:paraId="17BCE906" w14:textId="5FA369FD" w:rsidR="00786F22" w:rsidRPr="006F1997" w:rsidRDefault="00786F22" w:rsidP="008349F0">
            <w:pPr>
              <w:ind w:firstLine="0"/>
              <w:jc w:val="center"/>
              <w:rPr>
                <w:rFonts w:cs="Times New Roman"/>
                <w:sz w:val="16"/>
                <w:szCs w:val="16"/>
              </w:rPr>
            </w:pPr>
            <w:r w:rsidRPr="006F1997">
              <w:rPr>
                <w:color w:val="000000"/>
                <w:sz w:val="16"/>
                <w:szCs w:val="16"/>
              </w:rPr>
              <w:t>81,8</w:t>
            </w:r>
          </w:p>
        </w:tc>
      </w:tr>
      <w:tr w:rsidR="00786F22" w:rsidRPr="006723F5" w14:paraId="5F34A59C" w14:textId="77777777" w:rsidTr="00D83C9B">
        <w:trPr>
          <w:trHeight w:val="686"/>
          <w:jc w:val="center"/>
        </w:trPr>
        <w:tc>
          <w:tcPr>
            <w:tcW w:w="704" w:type="dxa"/>
            <w:hideMark/>
          </w:tcPr>
          <w:p w14:paraId="670A7A5B" w14:textId="77777777" w:rsidR="00786F22" w:rsidRPr="006723F5" w:rsidRDefault="00786F22" w:rsidP="008349F0">
            <w:pPr>
              <w:ind w:firstLine="0"/>
              <w:jc w:val="right"/>
              <w:rPr>
                <w:rFonts w:cs="Times New Roman"/>
                <w:i/>
                <w:iCs/>
                <w:sz w:val="16"/>
                <w:szCs w:val="16"/>
              </w:rPr>
            </w:pPr>
            <w:r w:rsidRPr="006723F5">
              <w:rPr>
                <w:rFonts w:cs="Times New Roman"/>
                <w:i/>
                <w:iCs/>
                <w:sz w:val="16"/>
                <w:szCs w:val="16"/>
              </w:rPr>
              <w:t>4</w:t>
            </w:r>
          </w:p>
        </w:tc>
        <w:tc>
          <w:tcPr>
            <w:tcW w:w="1418" w:type="dxa"/>
            <w:hideMark/>
          </w:tcPr>
          <w:p w14:paraId="1804DE09" w14:textId="77777777" w:rsidR="00786F22" w:rsidRPr="006723F5" w:rsidRDefault="00786F22" w:rsidP="008349F0">
            <w:pPr>
              <w:ind w:firstLine="0"/>
              <w:rPr>
                <w:rFonts w:cs="Times New Roman"/>
                <w:sz w:val="18"/>
                <w:szCs w:val="18"/>
              </w:rPr>
            </w:pPr>
            <w:r w:rsidRPr="006723F5">
              <w:rPr>
                <w:rFonts w:cs="Times New Roman"/>
                <w:sz w:val="18"/>
                <w:szCs w:val="18"/>
              </w:rPr>
              <w:t>Minimālā plānojamā vispārējās valdības budžeta strukturālā bilance, % no IKP</w:t>
            </w:r>
          </w:p>
        </w:tc>
        <w:tc>
          <w:tcPr>
            <w:tcW w:w="680" w:type="dxa"/>
          </w:tcPr>
          <w:p w14:paraId="0DC6C51B" w14:textId="771EFCFA" w:rsidR="00786F22" w:rsidRPr="006723F5" w:rsidRDefault="00786F22" w:rsidP="008349F0">
            <w:pPr>
              <w:ind w:firstLine="0"/>
              <w:jc w:val="center"/>
              <w:rPr>
                <w:rFonts w:cs="Times New Roman"/>
                <w:b/>
                <w:bCs/>
                <w:sz w:val="16"/>
                <w:szCs w:val="16"/>
              </w:rPr>
            </w:pPr>
            <w:r w:rsidRPr="006723F5">
              <w:rPr>
                <w:rFonts w:cs="Times New Roman"/>
                <w:sz w:val="16"/>
                <w:szCs w:val="16"/>
              </w:rPr>
              <w:t>-1,3</w:t>
            </w:r>
          </w:p>
        </w:tc>
        <w:tc>
          <w:tcPr>
            <w:tcW w:w="680" w:type="dxa"/>
          </w:tcPr>
          <w:p w14:paraId="1D845B60" w14:textId="27B70AF2" w:rsidR="00786F22" w:rsidRPr="006723F5" w:rsidRDefault="00786F22" w:rsidP="008349F0">
            <w:pPr>
              <w:ind w:firstLine="0"/>
              <w:jc w:val="center"/>
              <w:rPr>
                <w:rFonts w:cs="Times New Roman"/>
                <w:b/>
                <w:bCs/>
                <w:sz w:val="16"/>
                <w:szCs w:val="16"/>
              </w:rPr>
            </w:pPr>
            <w:r w:rsidRPr="006723F5">
              <w:rPr>
                <w:rFonts w:cs="Times New Roman"/>
                <w:sz w:val="16"/>
                <w:szCs w:val="16"/>
              </w:rPr>
              <w:t>-1,0</w:t>
            </w:r>
          </w:p>
        </w:tc>
        <w:tc>
          <w:tcPr>
            <w:tcW w:w="680" w:type="dxa"/>
          </w:tcPr>
          <w:p w14:paraId="79B23F0C" w14:textId="681785E2" w:rsidR="00786F22" w:rsidRPr="006723F5" w:rsidRDefault="00786F22" w:rsidP="008349F0">
            <w:pPr>
              <w:ind w:firstLine="0"/>
              <w:jc w:val="center"/>
              <w:rPr>
                <w:rFonts w:cs="Times New Roman"/>
                <w:b/>
                <w:bCs/>
                <w:sz w:val="16"/>
                <w:szCs w:val="16"/>
              </w:rPr>
            </w:pPr>
            <w:r w:rsidRPr="006723F5">
              <w:rPr>
                <w:rFonts w:cs="Times New Roman"/>
                <w:sz w:val="16"/>
                <w:szCs w:val="16"/>
              </w:rPr>
              <w:t>-1,0</w:t>
            </w:r>
          </w:p>
        </w:tc>
        <w:tc>
          <w:tcPr>
            <w:tcW w:w="680" w:type="dxa"/>
          </w:tcPr>
          <w:p w14:paraId="4629B302" w14:textId="2AF3950B" w:rsidR="00786F22" w:rsidRPr="006723F5" w:rsidRDefault="00786F22" w:rsidP="008349F0">
            <w:pPr>
              <w:ind w:firstLine="0"/>
              <w:jc w:val="center"/>
              <w:rPr>
                <w:rFonts w:cs="Times New Roman"/>
                <w:b/>
                <w:bCs/>
                <w:sz w:val="16"/>
                <w:szCs w:val="16"/>
              </w:rPr>
            </w:pPr>
            <w:r w:rsidRPr="006723F5">
              <w:rPr>
                <w:rFonts w:cs="Times New Roman"/>
                <w:sz w:val="16"/>
                <w:szCs w:val="16"/>
              </w:rPr>
              <w:t>-0,9</w:t>
            </w:r>
          </w:p>
        </w:tc>
        <w:tc>
          <w:tcPr>
            <w:tcW w:w="680" w:type="dxa"/>
          </w:tcPr>
          <w:p w14:paraId="48C5331C" w14:textId="2B3A53AC" w:rsidR="00786F22" w:rsidRPr="006723F5" w:rsidRDefault="00786F22" w:rsidP="008349F0">
            <w:pPr>
              <w:ind w:firstLine="0"/>
              <w:jc w:val="center"/>
              <w:rPr>
                <w:rFonts w:cs="Times New Roman"/>
                <w:b/>
                <w:bCs/>
                <w:sz w:val="16"/>
                <w:szCs w:val="16"/>
              </w:rPr>
            </w:pPr>
            <w:r w:rsidRPr="006723F5">
              <w:rPr>
                <w:rFonts w:cs="Times New Roman"/>
                <w:sz w:val="16"/>
                <w:szCs w:val="16"/>
              </w:rPr>
              <w:t>-1,0</w:t>
            </w:r>
          </w:p>
        </w:tc>
        <w:tc>
          <w:tcPr>
            <w:tcW w:w="680" w:type="dxa"/>
          </w:tcPr>
          <w:p w14:paraId="50469BC7" w14:textId="1EF35A65" w:rsidR="00786F22" w:rsidRPr="006723F5" w:rsidRDefault="00786F22" w:rsidP="008349F0">
            <w:pPr>
              <w:ind w:firstLine="0"/>
              <w:jc w:val="center"/>
              <w:rPr>
                <w:rFonts w:cs="Times New Roman"/>
                <w:b/>
                <w:bCs/>
                <w:sz w:val="16"/>
                <w:szCs w:val="16"/>
              </w:rPr>
            </w:pPr>
            <w:r w:rsidRPr="006723F5">
              <w:rPr>
                <w:rFonts w:cs="Times New Roman"/>
                <w:sz w:val="16"/>
                <w:szCs w:val="16"/>
              </w:rPr>
              <w:t>-1,2</w:t>
            </w:r>
          </w:p>
        </w:tc>
        <w:tc>
          <w:tcPr>
            <w:tcW w:w="680" w:type="dxa"/>
          </w:tcPr>
          <w:p w14:paraId="3FD2FCA2" w14:textId="7B87F31F" w:rsidR="00786F22" w:rsidRPr="006723F5" w:rsidRDefault="00786F22" w:rsidP="008349F0">
            <w:pPr>
              <w:ind w:firstLine="0"/>
              <w:jc w:val="center"/>
              <w:rPr>
                <w:rFonts w:cs="Times New Roman"/>
                <w:b/>
                <w:bCs/>
                <w:sz w:val="16"/>
                <w:szCs w:val="16"/>
              </w:rPr>
            </w:pPr>
            <w:r w:rsidRPr="006723F5">
              <w:rPr>
                <w:rFonts w:cs="Times New Roman"/>
                <w:sz w:val="16"/>
                <w:szCs w:val="16"/>
              </w:rPr>
              <w:t>-0,6</w:t>
            </w:r>
          </w:p>
        </w:tc>
        <w:tc>
          <w:tcPr>
            <w:tcW w:w="680" w:type="dxa"/>
          </w:tcPr>
          <w:p w14:paraId="1C329670" w14:textId="2AB4D295" w:rsidR="00786F22" w:rsidRPr="006723F5" w:rsidRDefault="00786F22" w:rsidP="008349F0">
            <w:pPr>
              <w:ind w:firstLine="0"/>
              <w:jc w:val="center"/>
              <w:rPr>
                <w:rFonts w:cs="Times New Roman"/>
                <w:b/>
                <w:bCs/>
                <w:sz w:val="16"/>
                <w:szCs w:val="16"/>
              </w:rPr>
            </w:pPr>
            <w:r w:rsidRPr="006723F5">
              <w:rPr>
                <w:rFonts w:cs="Times New Roman"/>
                <w:sz w:val="16"/>
                <w:szCs w:val="16"/>
              </w:rPr>
              <w:t>-0,5</w:t>
            </w:r>
          </w:p>
        </w:tc>
        <w:tc>
          <w:tcPr>
            <w:tcW w:w="680" w:type="dxa"/>
          </w:tcPr>
          <w:p w14:paraId="5BC21A62" w14:textId="7DB8D20A" w:rsidR="00786F22" w:rsidRPr="006723F5" w:rsidRDefault="00786F22" w:rsidP="008349F0">
            <w:pPr>
              <w:ind w:firstLine="0"/>
              <w:jc w:val="center"/>
              <w:rPr>
                <w:rFonts w:cs="Times New Roman"/>
                <w:b/>
                <w:bCs/>
                <w:sz w:val="16"/>
                <w:szCs w:val="16"/>
              </w:rPr>
            </w:pPr>
            <w:r w:rsidRPr="006723F5">
              <w:rPr>
                <w:rFonts w:cs="Times New Roman"/>
                <w:sz w:val="16"/>
                <w:szCs w:val="16"/>
              </w:rPr>
              <w:t>-1,6</w:t>
            </w:r>
          </w:p>
        </w:tc>
        <w:tc>
          <w:tcPr>
            <w:tcW w:w="684" w:type="dxa"/>
          </w:tcPr>
          <w:p w14:paraId="407AF752" w14:textId="3A2BE0BB" w:rsidR="00786F22" w:rsidRPr="006723F5" w:rsidRDefault="00786F22" w:rsidP="008349F0">
            <w:pPr>
              <w:ind w:firstLine="0"/>
              <w:jc w:val="center"/>
              <w:rPr>
                <w:rFonts w:cs="Times New Roman"/>
                <w:b/>
                <w:bCs/>
                <w:sz w:val="16"/>
                <w:szCs w:val="16"/>
              </w:rPr>
            </w:pPr>
            <w:r w:rsidRPr="006723F5">
              <w:rPr>
                <w:rFonts w:cs="Times New Roman"/>
                <w:sz w:val="16"/>
                <w:szCs w:val="16"/>
              </w:rPr>
              <w:t>-4,0</w:t>
            </w:r>
          </w:p>
        </w:tc>
        <w:tc>
          <w:tcPr>
            <w:tcW w:w="850" w:type="dxa"/>
          </w:tcPr>
          <w:p w14:paraId="486ED6D6" w14:textId="2AF60372" w:rsidR="00786F22" w:rsidRPr="006723F5" w:rsidRDefault="00786F22" w:rsidP="008349F0">
            <w:pPr>
              <w:ind w:firstLine="0"/>
              <w:jc w:val="center"/>
              <w:rPr>
                <w:rFonts w:cs="Times New Roman"/>
                <w:b/>
                <w:bCs/>
                <w:sz w:val="16"/>
                <w:szCs w:val="16"/>
              </w:rPr>
            </w:pPr>
            <w:r w:rsidRPr="006723F5">
              <w:rPr>
                <w:rFonts w:cs="Times New Roman"/>
                <w:sz w:val="16"/>
                <w:szCs w:val="16"/>
              </w:rPr>
              <w:t>-0,5</w:t>
            </w:r>
          </w:p>
        </w:tc>
      </w:tr>
      <w:tr w:rsidR="00786F22" w:rsidRPr="006723F5" w14:paraId="6B1E0CD4" w14:textId="77777777" w:rsidTr="00D83C9B">
        <w:trPr>
          <w:trHeight w:val="686"/>
          <w:jc w:val="center"/>
        </w:trPr>
        <w:tc>
          <w:tcPr>
            <w:tcW w:w="704" w:type="dxa"/>
            <w:hideMark/>
          </w:tcPr>
          <w:p w14:paraId="01C231A9"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5.</w:t>
            </w:r>
          </w:p>
          <w:p w14:paraId="11F7C7A9"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(1.×4.)</w:t>
            </w:r>
          </w:p>
        </w:tc>
        <w:tc>
          <w:tcPr>
            <w:tcW w:w="1418" w:type="dxa"/>
            <w:hideMark/>
          </w:tcPr>
          <w:p w14:paraId="69B358C4" w14:textId="77777777" w:rsidR="00786F22" w:rsidRPr="006F1997" w:rsidRDefault="00786F22" w:rsidP="008349F0">
            <w:pPr>
              <w:ind w:firstLine="0"/>
              <w:rPr>
                <w:rFonts w:cs="Times New Roman"/>
                <w:sz w:val="18"/>
                <w:szCs w:val="18"/>
              </w:rPr>
            </w:pPr>
            <w:r w:rsidRPr="006F1997">
              <w:rPr>
                <w:rFonts w:cs="Times New Roman"/>
                <w:sz w:val="18"/>
                <w:szCs w:val="18"/>
              </w:rPr>
              <w:t xml:space="preserve">Minimālā plānojamā vispārējās valdības budžeta strukturālā bilance, milj. </w:t>
            </w:r>
            <w:proofErr w:type="spellStart"/>
            <w:r w:rsidRPr="006F1997">
              <w:rPr>
                <w:rFonts w:cs="Times New Roman"/>
                <w:i/>
                <w:iCs/>
                <w:sz w:val="18"/>
                <w:szCs w:val="18"/>
              </w:rPr>
              <w:t>euro</w:t>
            </w:r>
            <w:proofErr w:type="spellEnd"/>
          </w:p>
        </w:tc>
        <w:tc>
          <w:tcPr>
            <w:tcW w:w="680" w:type="dxa"/>
          </w:tcPr>
          <w:p w14:paraId="206134CA" w14:textId="77E408E0" w:rsidR="00786F22" w:rsidRPr="006F1997" w:rsidRDefault="00786F22" w:rsidP="008349F0">
            <w:pPr>
              <w:ind w:firstLine="0"/>
              <w:jc w:val="center"/>
              <w:rPr>
                <w:rFonts w:cs="Times New Roman"/>
                <w:sz w:val="16"/>
                <w:szCs w:val="16"/>
              </w:rPr>
            </w:pPr>
            <w:r w:rsidRPr="006F1997">
              <w:rPr>
                <w:color w:val="000000"/>
                <w:sz w:val="16"/>
                <w:szCs w:val="16"/>
              </w:rPr>
              <w:t>-295,7</w:t>
            </w:r>
          </w:p>
        </w:tc>
        <w:tc>
          <w:tcPr>
            <w:tcW w:w="680" w:type="dxa"/>
          </w:tcPr>
          <w:p w14:paraId="4C32FE34" w14:textId="0235747C" w:rsidR="00786F22" w:rsidRPr="006F1997" w:rsidRDefault="00786F22" w:rsidP="008349F0">
            <w:pPr>
              <w:ind w:firstLine="0"/>
              <w:jc w:val="center"/>
              <w:rPr>
                <w:rFonts w:cs="Times New Roman"/>
                <w:sz w:val="16"/>
                <w:szCs w:val="16"/>
              </w:rPr>
            </w:pPr>
            <w:r w:rsidRPr="006F1997">
              <w:rPr>
                <w:color w:val="000000"/>
                <w:sz w:val="16"/>
                <w:szCs w:val="16"/>
              </w:rPr>
              <w:t>-236,3</w:t>
            </w:r>
          </w:p>
        </w:tc>
        <w:tc>
          <w:tcPr>
            <w:tcW w:w="680" w:type="dxa"/>
          </w:tcPr>
          <w:p w14:paraId="5B4EDC0B" w14:textId="65686BEC" w:rsidR="00786F22" w:rsidRPr="006F1997" w:rsidRDefault="00786F22" w:rsidP="008349F0">
            <w:pPr>
              <w:ind w:firstLine="0"/>
              <w:jc w:val="center"/>
              <w:rPr>
                <w:rFonts w:cs="Times New Roman"/>
                <w:sz w:val="16"/>
                <w:szCs w:val="16"/>
              </w:rPr>
            </w:pPr>
            <w:r w:rsidRPr="006F1997">
              <w:rPr>
                <w:color w:val="000000"/>
                <w:sz w:val="16"/>
                <w:szCs w:val="16"/>
              </w:rPr>
              <w:t>-245,7</w:t>
            </w:r>
          </w:p>
        </w:tc>
        <w:tc>
          <w:tcPr>
            <w:tcW w:w="680" w:type="dxa"/>
          </w:tcPr>
          <w:p w14:paraId="7B5C72F3" w14:textId="72012615" w:rsidR="00786F22" w:rsidRPr="006F1997" w:rsidRDefault="00786F22" w:rsidP="008349F0">
            <w:pPr>
              <w:ind w:firstLine="0"/>
              <w:jc w:val="center"/>
              <w:rPr>
                <w:rFonts w:cs="Times New Roman"/>
                <w:sz w:val="16"/>
                <w:szCs w:val="16"/>
              </w:rPr>
            </w:pPr>
            <w:r w:rsidRPr="006F1997">
              <w:rPr>
                <w:color w:val="000000"/>
                <w:sz w:val="16"/>
                <w:szCs w:val="16"/>
              </w:rPr>
              <w:t>-228,3</w:t>
            </w:r>
          </w:p>
        </w:tc>
        <w:tc>
          <w:tcPr>
            <w:tcW w:w="680" w:type="dxa"/>
          </w:tcPr>
          <w:p w14:paraId="24B2D621" w14:textId="31D00272" w:rsidR="00786F22" w:rsidRPr="006F1997" w:rsidRDefault="00786F22" w:rsidP="008349F0">
            <w:pPr>
              <w:ind w:firstLine="0"/>
              <w:jc w:val="center"/>
              <w:rPr>
                <w:rFonts w:cs="Times New Roman"/>
                <w:sz w:val="16"/>
                <w:szCs w:val="16"/>
              </w:rPr>
            </w:pPr>
            <w:r w:rsidRPr="006F1997">
              <w:rPr>
                <w:color w:val="000000"/>
                <w:sz w:val="16"/>
                <w:szCs w:val="16"/>
              </w:rPr>
              <w:t>-269,8</w:t>
            </w:r>
          </w:p>
        </w:tc>
        <w:tc>
          <w:tcPr>
            <w:tcW w:w="680" w:type="dxa"/>
          </w:tcPr>
          <w:p w14:paraId="7BCD8195" w14:textId="2854F618" w:rsidR="00786F22" w:rsidRPr="006F1997" w:rsidRDefault="00786F22" w:rsidP="008349F0">
            <w:pPr>
              <w:ind w:firstLine="0"/>
              <w:jc w:val="center"/>
              <w:rPr>
                <w:rFonts w:cs="Times New Roman"/>
                <w:sz w:val="16"/>
                <w:szCs w:val="16"/>
              </w:rPr>
            </w:pPr>
            <w:r w:rsidRPr="006F1997">
              <w:rPr>
                <w:color w:val="000000"/>
                <w:sz w:val="16"/>
                <w:szCs w:val="16"/>
              </w:rPr>
              <w:t>-349,8</w:t>
            </w:r>
          </w:p>
        </w:tc>
        <w:tc>
          <w:tcPr>
            <w:tcW w:w="680" w:type="dxa"/>
          </w:tcPr>
          <w:p w14:paraId="15F129EB" w14:textId="6DBF08D6" w:rsidR="00786F22" w:rsidRPr="006F1997" w:rsidRDefault="00786F22" w:rsidP="008349F0">
            <w:pPr>
              <w:ind w:firstLine="0"/>
              <w:jc w:val="center"/>
              <w:rPr>
                <w:rFonts w:cs="Times New Roman"/>
                <w:sz w:val="16"/>
                <w:szCs w:val="16"/>
              </w:rPr>
            </w:pPr>
            <w:r w:rsidRPr="006F1997">
              <w:rPr>
                <w:color w:val="000000"/>
                <w:sz w:val="16"/>
                <w:szCs w:val="16"/>
              </w:rPr>
              <w:t>-173,2</w:t>
            </w:r>
          </w:p>
        </w:tc>
        <w:tc>
          <w:tcPr>
            <w:tcW w:w="680" w:type="dxa"/>
          </w:tcPr>
          <w:p w14:paraId="5FE1C85A" w14:textId="26EBBF44" w:rsidR="00786F22" w:rsidRPr="006F1997" w:rsidRDefault="00786F22" w:rsidP="008349F0">
            <w:pPr>
              <w:ind w:firstLine="0"/>
              <w:jc w:val="center"/>
              <w:rPr>
                <w:rFonts w:cs="Times New Roman"/>
                <w:sz w:val="16"/>
                <w:szCs w:val="16"/>
              </w:rPr>
            </w:pPr>
            <w:r w:rsidRPr="006F1997">
              <w:rPr>
                <w:color w:val="000000"/>
                <w:sz w:val="16"/>
                <w:szCs w:val="16"/>
              </w:rPr>
              <w:t>-140,0</w:t>
            </w:r>
          </w:p>
        </w:tc>
        <w:tc>
          <w:tcPr>
            <w:tcW w:w="680" w:type="dxa"/>
          </w:tcPr>
          <w:p w14:paraId="73D0166F" w14:textId="28FC6C7B" w:rsidR="00786F22" w:rsidRPr="006F1997" w:rsidRDefault="00786F22" w:rsidP="008349F0">
            <w:pPr>
              <w:ind w:firstLine="0"/>
              <w:jc w:val="center"/>
              <w:rPr>
                <w:rFonts w:cs="Times New Roman"/>
                <w:sz w:val="16"/>
                <w:szCs w:val="16"/>
              </w:rPr>
            </w:pPr>
            <w:r w:rsidRPr="006F1997">
              <w:rPr>
                <w:color w:val="000000"/>
                <w:sz w:val="16"/>
                <w:szCs w:val="16"/>
              </w:rPr>
              <w:t>-537,2</w:t>
            </w:r>
          </w:p>
        </w:tc>
        <w:tc>
          <w:tcPr>
            <w:tcW w:w="684" w:type="dxa"/>
          </w:tcPr>
          <w:p w14:paraId="10F99631" w14:textId="76DA75C2" w:rsidR="00786F22" w:rsidRPr="006F1997" w:rsidRDefault="00786F22" w:rsidP="008349F0">
            <w:pPr>
              <w:ind w:firstLine="0"/>
              <w:jc w:val="center"/>
              <w:rPr>
                <w:rFonts w:cs="Times New Roman"/>
                <w:sz w:val="16"/>
                <w:szCs w:val="16"/>
              </w:rPr>
            </w:pPr>
            <w:r w:rsidRPr="006F1997">
              <w:rPr>
                <w:color w:val="000000"/>
                <w:sz w:val="16"/>
                <w:szCs w:val="16"/>
              </w:rPr>
              <w:t>-1 541,0</w:t>
            </w:r>
          </w:p>
        </w:tc>
        <w:tc>
          <w:tcPr>
            <w:tcW w:w="850" w:type="dxa"/>
          </w:tcPr>
          <w:p w14:paraId="52037EA3" w14:textId="55090390" w:rsidR="00786F22" w:rsidRPr="006F1997" w:rsidRDefault="00786F22" w:rsidP="008349F0">
            <w:pPr>
              <w:ind w:firstLine="0"/>
              <w:jc w:val="center"/>
              <w:rPr>
                <w:rFonts w:cs="Times New Roman"/>
                <w:sz w:val="16"/>
                <w:szCs w:val="16"/>
              </w:rPr>
            </w:pPr>
            <w:r w:rsidRPr="006F1997">
              <w:rPr>
                <w:color w:val="000000"/>
                <w:sz w:val="16"/>
                <w:szCs w:val="16"/>
              </w:rPr>
              <w:t>-201,7</w:t>
            </w:r>
          </w:p>
        </w:tc>
      </w:tr>
      <w:tr w:rsidR="00786F22" w:rsidRPr="006723F5" w14:paraId="05E064E2" w14:textId="77777777" w:rsidTr="00D83C9B">
        <w:trPr>
          <w:trHeight w:val="460"/>
          <w:jc w:val="center"/>
        </w:trPr>
        <w:tc>
          <w:tcPr>
            <w:tcW w:w="704" w:type="dxa"/>
            <w:hideMark/>
          </w:tcPr>
          <w:p w14:paraId="7ADF0424"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6.</w:t>
            </w:r>
          </w:p>
          <w:p w14:paraId="58AEE545"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(3.-5.)</w:t>
            </w:r>
          </w:p>
        </w:tc>
        <w:tc>
          <w:tcPr>
            <w:tcW w:w="1418" w:type="dxa"/>
            <w:hideMark/>
          </w:tcPr>
          <w:p w14:paraId="489E5C36" w14:textId="77777777" w:rsidR="00786F22" w:rsidRPr="006F1997" w:rsidRDefault="00786F22" w:rsidP="008349F0">
            <w:pPr>
              <w:ind w:firstLine="0"/>
              <w:rPr>
                <w:rFonts w:cs="Times New Roman"/>
                <w:sz w:val="18"/>
                <w:szCs w:val="18"/>
              </w:rPr>
            </w:pPr>
            <w:r w:rsidRPr="006F1997">
              <w:rPr>
                <w:rFonts w:cs="Times New Roman"/>
                <w:sz w:val="18"/>
                <w:szCs w:val="18"/>
              </w:rPr>
              <w:t xml:space="preserve">Saimnieciskā gada bilanču starpība, milj. </w:t>
            </w:r>
            <w:proofErr w:type="spellStart"/>
            <w:r w:rsidRPr="006F1997">
              <w:rPr>
                <w:rFonts w:cs="Times New Roman"/>
                <w:i/>
                <w:iCs/>
                <w:sz w:val="18"/>
                <w:szCs w:val="18"/>
              </w:rPr>
              <w:t>euro</w:t>
            </w:r>
            <w:proofErr w:type="spellEnd"/>
            <w:r w:rsidRPr="006F1997">
              <w:rPr>
                <w:rFonts w:cs="Times New Roman"/>
                <w:sz w:val="18"/>
                <w:szCs w:val="18"/>
              </w:rPr>
              <w:t xml:space="preserve"> </w:t>
            </w:r>
          </w:p>
        </w:tc>
        <w:tc>
          <w:tcPr>
            <w:tcW w:w="680" w:type="dxa"/>
          </w:tcPr>
          <w:p w14:paraId="7E445CC7" w14:textId="40F1BB69" w:rsidR="00786F22" w:rsidRPr="006F1997" w:rsidRDefault="00786F22" w:rsidP="008349F0">
            <w:pPr>
              <w:ind w:firstLine="0"/>
              <w:jc w:val="center"/>
              <w:rPr>
                <w:rFonts w:cs="Times New Roman"/>
                <w:sz w:val="16"/>
                <w:szCs w:val="16"/>
              </w:rPr>
            </w:pPr>
            <w:r w:rsidRPr="006F1997">
              <w:rPr>
                <w:color w:val="000000"/>
                <w:sz w:val="16"/>
                <w:szCs w:val="16"/>
              </w:rPr>
              <w:t>214,8</w:t>
            </w:r>
          </w:p>
        </w:tc>
        <w:tc>
          <w:tcPr>
            <w:tcW w:w="680" w:type="dxa"/>
          </w:tcPr>
          <w:p w14:paraId="1FA84458" w14:textId="14AF86C9" w:rsidR="00786F22" w:rsidRPr="006F1997" w:rsidRDefault="00786F22" w:rsidP="008349F0">
            <w:pPr>
              <w:ind w:firstLine="0"/>
              <w:jc w:val="center"/>
              <w:rPr>
                <w:rFonts w:cs="Times New Roman"/>
                <w:sz w:val="16"/>
                <w:szCs w:val="16"/>
              </w:rPr>
            </w:pPr>
            <w:r w:rsidRPr="006F1997">
              <w:rPr>
                <w:color w:val="000000"/>
                <w:sz w:val="16"/>
                <w:szCs w:val="16"/>
              </w:rPr>
              <w:t>-16,5</w:t>
            </w:r>
          </w:p>
        </w:tc>
        <w:tc>
          <w:tcPr>
            <w:tcW w:w="680" w:type="dxa"/>
          </w:tcPr>
          <w:p w14:paraId="155295CD" w14:textId="582E7FD6" w:rsidR="00786F22" w:rsidRPr="006F1997" w:rsidRDefault="00786F22" w:rsidP="008349F0">
            <w:pPr>
              <w:ind w:firstLine="0"/>
              <w:jc w:val="center"/>
              <w:rPr>
                <w:rFonts w:cs="Times New Roman"/>
                <w:sz w:val="16"/>
                <w:szCs w:val="16"/>
              </w:rPr>
            </w:pPr>
            <w:r w:rsidRPr="006F1997">
              <w:rPr>
                <w:color w:val="000000"/>
                <w:sz w:val="16"/>
                <w:szCs w:val="16"/>
              </w:rPr>
              <w:t>-165,5</w:t>
            </w:r>
          </w:p>
        </w:tc>
        <w:tc>
          <w:tcPr>
            <w:tcW w:w="680" w:type="dxa"/>
          </w:tcPr>
          <w:p w14:paraId="1C4984EF" w14:textId="0AEB2CDB" w:rsidR="00786F22" w:rsidRPr="006F1997" w:rsidRDefault="00786F22" w:rsidP="008349F0">
            <w:pPr>
              <w:ind w:firstLine="0"/>
              <w:jc w:val="center"/>
              <w:rPr>
                <w:rFonts w:cs="Times New Roman"/>
                <w:sz w:val="16"/>
                <w:szCs w:val="16"/>
              </w:rPr>
            </w:pPr>
            <w:r w:rsidRPr="006F1997">
              <w:rPr>
                <w:color w:val="000000"/>
                <w:sz w:val="16"/>
                <w:szCs w:val="16"/>
              </w:rPr>
              <w:t>66,1</w:t>
            </w:r>
          </w:p>
        </w:tc>
        <w:tc>
          <w:tcPr>
            <w:tcW w:w="680" w:type="dxa"/>
          </w:tcPr>
          <w:p w14:paraId="4B7D85C9" w14:textId="35C82A83" w:rsidR="00786F22" w:rsidRPr="006F1997" w:rsidRDefault="00786F22" w:rsidP="008349F0">
            <w:pPr>
              <w:ind w:firstLine="0"/>
              <w:jc w:val="center"/>
              <w:rPr>
                <w:rFonts w:cs="Times New Roman"/>
                <w:sz w:val="16"/>
                <w:szCs w:val="16"/>
              </w:rPr>
            </w:pPr>
            <w:r w:rsidRPr="006F1997">
              <w:rPr>
                <w:color w:val="000000"/>
                <w:sz w:val="16"/>
                <w:szCs w:val="16"/>
              </w:rPr>
              <w:t>-93,3</w:t>
            </w:r>
          </w:p>
        </w:tc>
        <w:tc>
          <w:tcPr>
            <w:tcW w:w="680" w:type="dxa"/>
          </w:tcPr>
          <w:p w14:paraId="29825C5E" w14:textId="112AD36B" w:rsidR="00786F22" w:rsidRPr="006F1997" w:rsidRDefault="00786F22" w:rsidP="008349F0">
            <w:pPr>
              <w:ind w:firstLine="0"/>
              <w:jc w:val="center"/>
              <w:rPr>
                <w:rFonts w:cs="Times New Roman"/>
                <w:sz w:val="16"/>
                <w:szCs w:val="16"/>
              </w:rPr>
            </w:pPr>
            <w:r w:rsidRPr="006F1997">
              <w:rPr>
                <w:color w:val="000000"/>
                <w:sz w:val="16"/>
                <w:szCs w:val="16"/>
              </w:rPr>
              <w:t>-345,2</w:t>
            </w:r>
          </w:p>
        </w:tc>
        <w:tc>
          <w:tcPr>
            <w:tcW w:w="680" w:type="dxa"/>
          </w:tcPr>
          <w:p w14:paraId="091E4EA7" w14:textId="32FD7A0D" w:rsidR="00786F22" w:rsidRPr="006F1997" w:rsidRDefault="00786F22" w:rsidP="008349F0">
            <w:pPr>
              <w:ind w:firstLine="0"/>
              <w:jc w:val="center"/>
              <w:rPr>
                <w:rFonts w:cs="Times New Roman"/>
                <w:sz w:val="16"/>
                <w:szCs w:val="16"/>
              </w:rPr>
            </w:pPr>
            <w:r w:rsidRPr="006F1997">
              <w:rPr>
                <w:color w:val="000000"/>
                <w:sz w:val="16"/>
                <w:szCs w:val="16"/>
              </w:rPr>
              <w:t>-135,0</w:t>
            </w:r>
          </w:p>
        </w:tc>
        <w:tc>
          <w:tcPr>
            <w:tcW w:w="680" w:type="dxa"/>
          </w:tcPr>
          <w:p w14:paraId="6ABC219A" w14:textId="19DD8CFA" w:rsidR="00786F22" w:rsidRPr="006F1997" w:rsidRDefault="00786F22" w:rsidP="008349F0">
            <w:pPr>
              <w:ind w:firstLine="0"/>
              <w:jc w:val="center"/>
              <w:rPr>
                <w:rFonts w:cs="Times New Roman"/>
                <w:sz w:val="16"/>
                <w:szCs w:val="16"/>
              </w:rPr>
            </w:pPr>
            <w:r w:rsidRPr="006F1997">
              <w:rPr>
                <w:color w:val="000000"/>
                <w:sz w:val="16"/>
                <w:szCs w:val="16"/>
              </w:rPr>
              <w:t>222,8</w:t>
            </w:r>
          </w:p>
        </w:tc>
        <w:tc>
          <w:tcPr>
            <w:tcW w:w="680" w:type="dxa"/>
          </w:tcPr>
          <w:p w14:paraId="4E61EEFB" w14:textId="1E44B4EA" w:rsidR="00786F22" w:rsidRPr="006F1997" w:rsidRDefault="00786F22" w:rsidP="008349F0">
            <w:pPr>
              <w:ind w:firstLine="0"/>
              <w:jc w:val="center"/>
              <w:rPr>
                <w:rFonts w:cs="Times New Roman"/>
                <w:sz w:val="16"/>
                <w:szCs w:val="16"/>
              </w:rPr>
            </w:pPr>
            <w:r w:rsidRPr="006F1997">
              <w:rPr>
                <w:color w:val="000000"/>
                <w:sz w:val="16"/>
                <w:szCs w:val="16"/>
              </w:rPr>
              <w:t>91,4</w:t>
            </w:r>
          </w:p>
        </w:tc>
        <w:tc>
          <w:tcPr>
            <w:tcW w:w="684" w:type="dxa"/>
          </w:tcPr>
          <w:p w14:paraId="1E19EB74" w14:textId="5E8C1227" w:rsidR="00786F22" w:rsidRPr="006F1997" w:rsidRDefault="00786F22" w:rsidP="008349F0">
            <w:pPr>
              <w:ind w:firstLine="0"/>
              <w:jc w:val="center"/>
              <w:rPr>
                <w:rFonts w:cs="Times New Roman"/>
                <w:sz w:val="16"/>
                <w:szCs w:val="16"/>
              </w:rPr>
            </w:pPr>
            <w:r w:rsidRPr="006F1997">
              <w:rPr>
                <w:color w:val="000000"/>
                <w:sz w:val="16"/>
                <w:szCs w:val="16"/>
              </w:rPr>
              <w:t>1 419,9</w:t>
            </w:r>
          </w:p>
        </w:tc>
        <w:tc>
          <w:tcPr>
            <w:tcW w:w="850" w:type="dxa"/>
          </w:tcPr>
          <w:p w14:paraId="636A7391" w14:textId="7EAC26CF" w:rsidR="00786F22" w:rsidRPr="006F1997" w:rsidRDefault="00786F22" w:rsidP="008349F0">
            <w:pPr>
              <w:ind w:firstLine="0"/>
              <w:jc w:val="center"/>
              <w:rPr>
                <w:rFonts w:cs="Times New Roman"/>
                <w:sz w:val="16"/>
                <w:szCs w:val="16"/>
              </w:rPr>
            </w:pPr>
            <w:r w:rsidRPr="006F1997">
              <w:rPr>
                <w:color w:val="000000"/>
                <w:sz w:val="16"/>
                <w:szCs w:val="16"/>
              </w:rPr>
              <w:t>283,5</w:t>
            </w:r>
          </w:p>
        </w:tc>
      </w:tr>
      <w:tr w:rsidR="00786F22" w:rsidRPr="006723F5" w14:paraId="4892DEF3" w14:textId="77777777" w:rsidTr="00D83C9B">
        <w:trPr>
          <w:trHeight w:val="460"/>
          <w:jc w:val="center"/>
        </w:trPr>
        <w:tc>
          <w:tcPr>
            <w:tcW w:w="704" w:type="dxa"/>
            <w:hideMark/>
          </w:tcPr>
          <w:p w14:paraId="0C8AF876"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7.</w:t>
            </w:r>
          </w:p>
          <w:p w14:paraId="4A6A8FD9"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((6.:1.)</w:t>
            </w:r>
          </w:p>
          <w:p w14:paraId="751D4E85"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×100)</w:t>
            </w:r>
          </w:p>
        </w:tc>
        <w:tc>
          <w:tcPr>
            <w:tcW w:w="1418" w:type="dxa"/>
            <w:hideMark/>
          </w:tcPr>
          <w:p w14:paraId="005A4A98" w14:textId="77777777" w:rsidR="00786F22" w:rsidRPr="006F1997" w:rsidRDefault="00786F22" w:rsidP="008349F0">
            <w:pPr>
              <w:ind w:firstLine="0"/>
              <w:rPr>
                <w:rFonts w:cs="Times New Roman"/>
                <w:sz w:val="18"/>
                <w:szCs w:val="18"/>
              </w:rPr>
            </w:pPr>
            <w:r w:rsidRPr="006F1997">
              <w:rPr>
                <w:rFonts w:cs="Times New Roman"/>
                <w:sz w:val="18"/>
                <w:szCs w:val="18"/>
              </w:rPr>
              <w:t>Saimnieciskā gada bilanču starpība, % no IKP</w:t>
            </w:r>
          </w:p>
        </w:tc>
        <w:tc>
          <w:tcPr>
            <w:tcW w:w="680" w:type="dxa"/>
          </w:tcPr>
          <w:p w14:paraId="22EC4984" w14:textId="0AA65331" w:rsidR="00786F22" w:rsidRPr="006F1997" w:rsidRDefault="00786F22" w:rsidP="008349F0">
            <w:pPr>
              <w:ind w:firstLine="0"/>
              <w:jc w:val="center"/>
              <w:rPr>
                <w:rFonts w:cs="Times New Roman"/>
                <w:b/>
                <w:bCs/>
                <w:sz w:val="16"/>
                <w:szCs w:val="16"/>
              </w:rPr>
            </w:pPr>
            <w:r w:rsidRPr="006F1997">
              <w:rPr>
                <w:b/>
                <w:bCs/>
                <w:color w:val="000000"/>
                <w:sz w:val="16"/>
                <w:szCs w:val="16"/>
              </w:rPr>
              <w:t>0,9</w:t>
            </w:r>
          </w:p>
        </w:tc>
        <w:tc>
          <w:tcPr>
            <w:tcW w:w="680" w:type="dxa"/>
          </w:tcPr>
          <w:p w14:paraId="5DCD0B71" w14:textId="29D2429D" w:rsidR="00786F22" w:rsidRPr="006F1997" w:rsidRDefault="00786F22" w:rsidP="008349F0">
            <w:pPr>
              <w:ind w:firstLine="0"/>
              <w:jc w:val="center"/>
              <w:rPr>
                <w:rFonts w:cs="Times New Roman"/>
                <w:b/>
                <w:bCs/>
                <w:sz w:val="16"/>
                <w:szCs w:val="16"/>
              </w:rPr>
            </w:pPr>
            <w:r w:rsidRPr="006F1997">
              <w:rPr>
                <w:b/>
                <w:bCs/>
                <w:color w:val="000000"/>
                <w:sz w:val="16"/>
                <w:szCs w:val="16"/>
              </w:rPr>
              <w:t>-0,1</w:t>
            </w:r>
          </w:p>
        </w:tc>
        <w:tc>
          <w:tcPr>
            <w:tcW w:w="680" w:type="dxa"/>
          </w:tcPr>
          <w:p w14:paraId="1E3CE903" w14:textId="02524347" w:rsidR="00786F22" w:rsidRPr="006F1997" w:rsidRDefault="00786F22" w:rsidP="008349F0">
            <w:pPr>
              <w:ind w:firstLine="0"/>
              <w:jc w:val="center"/>
              <w:rPr>
                <w:rFonts w:cs="Times New Roman"/>
                <w:b/>
                <w:bCs/>
                <w:sz w:val="16"/>
                <w:szCs w:val="16"/>
              </w:rPr>
            </w:pPr>
            <w:r w:rsidRPr="006F1997">
              <w:rPr>
                <w:b/>
                <w:bCs/>
                <w:color w:val="000000"/>
                <w:sz w:val="16"/>
                <w:szCs w:val="16"/>
              </w:rPr>
              <w:t>-0,7</w:t>
            </w:r>
          </w:p>
        </w:tc>
        <w:tc>
          <w:tcPr>
            <w:tcW w:w="680" w:type="dxa"/>
          </w:tcPr>
          <w:p w14:paraId="21C3CE57" w14:textId="28EB9DC9" w:rsidR="00786F22" w:rsidRPr="006F1997" w:rsidRDefault="00786F22" w:rsidP="008349F0">
            <w:pPr>
              <w:ind w:firstLine="0"/>
              <w:jc w:val="center"/>
              <w:rPr>
                <w:rFonts w:cs="Times New Roman"/>
                <w:b/>
                <w:bCs/>
                <w:sz w:val="16"/>
                <w:szCs w:val="16"/>
              </w:rPr>
            </w:pPr>
            <w:r w:rsidRPr="006F1997">
              <w:rPr>
                <w:b/>
                <w:bCs/>
                <w:color w:val="000000"/>
                <w:sz w:val="16"/>
                <w:szCs w:val="16"/>
              </w:rPr>
              <w:t>0,3</w:t>
            </w:r>
          </w:p>
        </w:tc>
        <w:tc>
          <w:tcPr>
            <w:tcW w:w="680" w:type="dxa"/>
          </w:tcPr>
          <w:p w14:paraId="6FCFA68F" w14:textId="7210FB31" w:rsidR="00786F22" w:rsidRPr="006F1997" w:rsidRDefault="00786F22" w:rsidP="008349F0">
            <w:pPr>
              <w:ind w:firstLine="0"/>
              <w:jc w:val="center"/>
              <w:rPr>
                <w:rFonts w:cs="Times New Roman"/>
                <w:b/>
                <w:bCs/>
                <w:sz w:val="16"/>
                <w:szCs w:val="16"/>
              </w:rPr>
            </w:pPr>
            <w:r w:rsidRPr="006F1997">
              <w:rPr>
                <w:b/>
                <w:bCs/>
                <w:color w:val="000000"/>
                <w:sz w:val="16"/>
                <w:szCs w:val="16"/>
              </w:rPr>
              <w:t>-0,3</w:t>
            </w:r>
          </w:p>
        </w:tc>
        <w:tc>
          <w:tcPr>
            <w:tcW w:w="680" w:type="dxa"/>
          </w:tcPr>
          <w:p w14:paraId="0C35BCAE" w14:textId="1081691C" w:rsidR="00786F22" w:rsidRPr="006F1997" w:rsidRDefault="00786F22" w:rsidP="008349F0">
            <w:pPr>
              <w:ind w:firstLine="0"/>
              <w:jc w:val="center"/>
              <w:rPr>
                <w:rFonts w:cs="Times New Roman"/>
                <w:b/>
                <w:bCs/>
                <w:sz w:val="16"/>
                <w:szCs w:val="16"/>
              </w:rPr>
            </w:pPr>
            <w:r w:rsidRPr="006F1997">
              <w:rPr>
                <w:b/>
                <w:bCs/>
                <w:color w:val="000000"/>
                <w:sz w:val="16"/>
                <w:szCs w:val="16"/>
              </w:rPr>
              <w:t>-1,2</w:t>
            </w:r>
          </w:p>
        </w:tc>
        <w:tc>
          <w:tcPr>
            <w:tcW w:w="680" w:type="dxa"/>
          </w:tcPr>
          <w:p w14:paraId="04941517" w14:textId="4FAA16A3" w:rsidR="00786F22" w:rsidRPr="006F1997" w:rsidRDefault="00786F22" w:rsidP="008349F0">
            <w:pPr>
              <w:ind w:firstLine="0"/>
              <w:jc w:val="center"/>
              <w:rPr>
                <w:rFonts w:cs="Times New Roman"/>
                <w:b/>
                <w:bCs/>
                <w:sz w:val="16"/>
                <w:szCs w:val="16"/>
              </w:rPr>
            </w:pPr>
            <w:r w:rsidRPr="006F1997">
              <w:rPr>
                <w:b/>
                <w:bCs/>
                <w:color w:val="000000"/>
                <w:sz w:val="16"/>
                <w:szCs w:val="16"/>
              </w:rPr>
              <w:t>-0,4</w:t>
            </w:r>
          </w:p>
        </w:tc>
        <w:tc>
          <w:tcPr>
            <w:tcW w:w="680" w:type="dxa"/>
          </w:tcPr>
          <w:p w14:paraId="3FF9B779" w14:textId="0CB6A2AB" w:rsidR="00786F22" w:rsidRPr="006F1997" w:rsidRDefault="00786F22" w:rsidP="008349F0">
            <w:pPr>
              <w:ind w:firstLine="0"/>
              <w:jc w:val="center"/>
              <w:rPr>
                <w:rFonts w:cs="Times New Roman"/>
                <w:b/>
                <w:bCs/>
                <w:sz w:val="16"/>
                <w:szCs w:val="16"/>
              </w:rPr>
            </w:pPr>
            <w:r w:rsidRPr="006F1997">
              <w:rPr>
                <w:b/>
                <w:bCs/>
                <w:color w:val="000000"/>
                <w:sz w:val="16"/>
                <w:szCs w:val="16"/>
              </w:rPr>
              <w:t>0,7</w:t>
            </w:r>
          </w:p>
        </w:tc>
        <w:tc>
          <w:tcPr>
            <w:tcW w:w="680" w:type="dxa"/>
          </w:tcPr>
          <w:p w14:paraId="6A00658F" w14:textId="65C0903A" w:rsidR="00786F22" w:rsidRPr="006F1997" w:rsidRDefault="00786F22" w:rsidP="008349F0">
            <w:pPr>
              <w:ind w:firstLine="0"/>
              <w:jc w:val="center"/>
              <w:rPr>
                <w:rFonts w:cs="Times New Roman"/>
                <w:b/>
                <w:bCs/>
                <w:sz w:val="16"/>
                <w:szCs w:val="16"/>
              </w:rPr>
            </w:pPr>
            <w:r w:rsidRPr="006F1997">
              <w:rPr>
                <w:b/>
                <w:bCs/>
                <w:color w:val="000000"/>
                <w:sz w:val="16"/>
                <w:szCs w:val="16"/>
              </w:rPr>
              <w:t>0,3</w:t>
            </w:r>
          </w:p>
        </w:tc>
        <w:tc>
          <w:tcPr>
            <w:tcW w:w="684" w:type="dxa"/>
          </w:tcPr>
          <w:p w14:paraId="2C451F87" w14:textId="0661DC15" w:rsidR="00786F22" w:rsidRPr="006F1997" w:rsidRDefault="00786F22" w:rsidP="008349F0">
            <w:pPr>
              <w:ind w:firstLine="0"/>
              <w:jc w:val="center"/>
              <w:rPr>
                <w:rFonts w:cs="Times New Roman"/>
                <w:b/>
                <w:bCs/>
                <w:sz w:val="16"/>
                <w:szCs w:val="16"/>
              </w:rPr>
            </w:pPr>
            <w:r w:rsidRPr="006F1997">
              <w:rPr>
                <w:b/>
                <w:bCs/>
                <w:color w:val="000000"/>
                <w:sz w:val="16"/>
                <w:szCs w:val="16"/>
              </w:rPr>
              <w:t>3,7</w:t>
            </w:r>
          </w:p>
        </w:tc>
        <w:tc>
          <w:tcPr>
            <w:tcW w:w="850" w:type="dxa"/>
          </w:tcPr>
          <w:p w14:paraId="72D74C31" w14:textId="6BA710DF" w:rsidR="00786F22" w:rsidRPr="006F1997" w:rsidRDefault="00786F22" w:rsidP="008349F0">
            <w:pPr>
              <w:ind w:firstLine="0"/>
              <w:jc w:val="center"/>
              <w:rPr>
                <w:rFonts w:cs="Times New Roman"/>
                <w:b/>
                <w:bCs/>
                <w:sz w:val="16"/>
                <w:szCs w:val="16"/>
              </w:rPr>
            </w:pPr>
            <w:r w:rsidRPr="006F1997">
              <w:rPr>
                <w:b/>
                <w:bCs/>
                <w:color w:val="000000"/>
                <w:sz w:val="16"/>
                <w:szCs w:val="16"/>
              </w:rPr>
              <w:t>0,7</w:t>
            </w:r>
          </w:p>
        </w:tc>
      </w:tr>
      <w:tr w:rsidR="00786F22" w:rsidRPr="006723F5" w14:paraId="3EEA1BF4" w14:textId="77777777" w:rsidTr="00D83C9B">
        <w:trPr>
          <w:trHeight w:val="460"/>
          <w:jc w:val="center"/>
        </w:trPr>
        <w:tc>
          <w:tcPr>
            <w:tcW w:w="704" w:type="dxa"/>
            <w:hideMark/>
          </w:tcPr>
          <w:p w14:paraId="457FE087"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8.</w:t>
            </w:r>
          </w:p>
          <w:p w14:paraId="55D5631F"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(Σ(6.))</w:t>
            </w:r>
          </w:p>
        </w:tc>
        <w:tc>
          <w:tcPr>
            <w:tcW w:w="1418" w:type="dxa"/>
            <w:hideMark/>
          </w:tcPr>
          <w:p w14:paraId="7648926C" w14:textId="77777777" w:rsidR="00786F22" w:rsidRPr="006F1997" w:rsidRDefault="00786F22" w:rsidP="008349F0">
            <w:pPr>
              <w:ind w:firstLine="0"/>
              <w:rPr>
                <w:rFonts w:cs="Times New Roman"/>
                <w:sz w:val="18"/>
                <w:szCs w:val="18"/>
              </w:rPr>
            </w:pPr>
            <w:r w:rsidRPr="006F1997">
              <w:rPr>
                <w:rFonts w:cs="Times New Roman"/>
                <w:sz w:val="18"/>
                <w:szCs w:val="18"/>
              </w:rPr>
              <w:t xml:space="preserve">Uzkrāto bilanču starpības summa (kumulatīvi), milj. </w:t>
            </w:r>
            <w:proofErr w:type="spellStart"/>
            <w:r w:rsidRPr="006F1997">
              <w:rPr>
                <w:rFonts w:cs="Times New Roman"/>
                <w:i/>
                <w:iCs/>
                <w:sz w:val="18"/>
                <w:szCs w:val="18"/>
              </w:rPr>
              <w:t>euro</w:t>
            </w:r>
            <w:proofErr w:type="spellEnd"/>
            <w:r w:rsidRPr="006F1997">
              <w:rPr>
                <w:rFonts w:cs="Times New Roman"/>
                <w:i/>
                <w:iCs/>
                <w:sz w:val="18"/>
                <w:szCs w:val="18"/>
              </w:rPr>
              <w:t xml:space="preserve"> </w:t>
            </w:r>
          </w:p>
        </w:tc>
        <w:tc>
          <w:tcPr>
            <w:tcW w:w="680" w:type="dxa"/>
          </w:tcPr>
          <w:p w14:paraId="5926243B" w14:textId="775D20FD" w:rsidR="00786F22" w:rsidRPr="006F1997" w:rsidRDefault="00786F22" w:rsidP="008349F0">
            <w:pPr>
              <w:ind w:firstLine="0"/>
              <w:jc w:val="center"/>
              <w:rPr>
                <w:rFonts w:cs="Times New Roman"/>
                <w:sz w:val="16"/>
                <w:szCs w:val="16"/>
              </w:rPr>
            </w:pPr>
            <w:r w:rsidRPr="006F1997">
              <w:rPr>
                <w:color w:val="000000"/>
                <w:sz w:val="16"/>
                <w:szCs w:val="16"/>
              </w:rPr>
              <w:t>214,8</w:t>
            </w:r>
          </w:p>
        </w:tc>
        <w:tc>
          <w:tcPr>
            <w:tcW w:w="680" w:type="dxa"/>
          </w:tcPr>
          <w:p w14:paraId="2748D3F6" w14:textId="4AC7700A" w:rsidR="00786F22" w:rsidRPr="006F1997" w:rsidRDefault="00786F22" w:rsidP="008349F0">
            <w:pPr>
              <w:ind w:firstLine="0"/>
              <w:jc w:val="center"/>
              <w:rPr>
                <w:rFonts w:cs="Times New Roman"/>
                <w:sz w:val="16"/>
                <w:szCs w:val="16"/>
              </w:rPr>
            </w:pPr>
            <w:r w:rsidRPr="006F1997">
              <w:rPr>
                <w:color w:val="000000"/>
                <w:sz w:val="16"/>
                <w:szCs w:val="16"/>
              </w:rPr>
              <w:t>198,3</w:t>
            </w:r>
          </w:p>
        </w:tc>
        <w:tc>
          <w:tcPr>
            <w:tcW w:w="680" w:type="dxa"/>
          </w:tcPr>
          <w:p w14:paraId="2FF846C1" w14:textId="602207AC" w:rsidR="00786F22" w:rsidRPr="006F1997" w:rsidRDefault="00786F22" w:rsidP="008349F0">
            <w:pPr>
              <w:ind w:firstLine="0"/>
              <w:jc w:val="center"/>
              <w:rPr>
                <w:rFonts w:cs="Times New Roman"/>
                <w:sz w:val="16"/>
                <w:szCs w:val="16"/>
              </w:rPr>
            </w:pPr>
            <w:r w:rsidRPr="006F1997">
              <w:rPr>
                <w:color w:val="000000"/>
                <w:sz w:val="16"/>
                <w:szCs w:val="16"/>
              </w:rPr>
              <w:t>32,9</w:t>
            </w:r>
          </w:p>
        </w:tc>
        <w:tc>
          <w:tcPr>
            <w:tcW w:w="680" w:type="dxa"/>
          </w:tcPr>
          <w:p w14:paraId="62BF3167" w14:textId="148D3BBC" w:rsidR="00786F22" w:rsidRPr="006F1997" w:rsidRDefault="00786F22" w:rsidP="008349F0">
            <w:pPr>
              <w:ind w:firstLine="0"/>
              <w:jc w:val="center"/>
              <w:rPr>
                <w:rFonts w:cs="Times New Roman"/>
                <w:sz w:val="16"/>
                <w:szCs w:val="16"/>
              </w:rPr>
            </w:pPr>
            <w:r w:rsidRPr="006F1997">
              <w:rPr>
                <w:color w:val="000000"/>
                <w:sz w:val="16"/>
                <w:szCs w:val="16"/>
              </w:rPr>
              <w:t>98,9</w:t>
            </w:r>
          </w:p>
        </w:tc>
        <w:tc>
          <w:tcPr>
            <w:tcW w:w="680" w:type="dxa"/>
          </w:tcPr>
          <w:p w14:paraId="5BD72DB5" w14:textId="09396481" w:rsidR="00786F22" w:rsidRPr="006F1997" w:rsidRDefault="00786F22" w:rsidP="008349F0">
            <w:pPr>
              <w:ind w:firstLine="0"/>
              <w:jc w:val="center"/>
              <w:rPr>
                <w:rFonts w:cs="Times New Roman"/>
                <w:sz w:val="16"/>
                <w:szCs w:val="16"/>
              </w:rPr>
            </w:pPr>
            <w:r w:rsidRPr="006F1997">
              <w:rPr>
                <w:color w:val="000000"/>
                <w:sz w:val="16"/>
                <w:szCs w:val="16"/>
              </w:rPr>
              <w:t>5,7</w:t>
            </w:r>
          </w:p>
        </w:tc>
        <w:tc>
          <w:tcPr>
            <w:tcW w:w="680" w:type="dxa"/>
          </w:tcPr>
          <w:p w14:paraId="69016B2B" w14:textId="79D16E18" w:rsidR="00786F22" w:rsidRPr="006F1997" w:rsidRDefault="00786F22" w:rsidP="008349F0">
            <w:pPr>
              <w:ind w:firstLine="0"/>
              <w:jc w:val="center"/>
              <w:rPr>
                <w:rFonts w:cs="Times New Roman"/>
                <w:sz w:val="16"/>
                <w:szCs w:val="16"/>
              </w:rPr>
            </w:pPr>
            <w:r w:rsidRPr="006F1997">
              <w:rPr>
                <w:color w:val="000000"/>
                <w:sz w:val="16"/>
                <w:szCs w:val="16"/>
              </w:rPr>
              <w:t>-339,6</w:t>
            </w:r>
          </w:p>
        </w:tc>
        <w:tc>
          <w:tcPr>
            <w:tcW w:w="680" w:type="dxa"/>
          </w:tcPr>
          <w:p w14:paraId="76793878" w14:textId="769A3ADE" w:rsidR="00786F22" w:rsidRPr="006F1997" w:rsidRDefault="00786F22" w:rsidP="008349F0">
            <w:pPr>
              <w:ind w:firstLine="0"/>
              <w:jc w:val="center"/>
              <w:rPr>
                <w:rFonts w:cs="Times New Roman"/>
                <w:sz w:val="16"/>
                <w:szCs w:val="16"/>
              </w:rPr>
            </w:pPr>
            <w:r w:rsidRPr="006F1997">
              <w:rPr>
                <w:color w:val="000000"/>
                <w:sz w:val="16"/>
                <w:szCs w:val="16"/>
              </w:rPr>
              <w:t>-474,6</w:t>
            </w:r>
          </w:p>
        </w:tc>
        <w:tc>
          <w:tcPr>
            <w:tcW w:w="680" w:type="dxa"/>
          </w:tcPr>
          <w:p w14:paraId="23784A5B" w14:textId="1250FFDB" w:rsidR="00786F22" w:rsidRPr="006F1997" w:rsidRDefault="00786F22" w:rsidP="008349F0">
            <w:pPr>
              <w:ind w:firstLine="0"/>
              <w:jc w:val="center"/>
              <w:rPr>
                <w:rFonts w:cs="Times New Roman"/>
                <w:sz w:val="16"/>
                <w:szCs w:val="16"/>
              </w:rPr>
            </w:pPr>
            <w:r w:rsidRPr="006F1997">
              <w:rPr>
                <w:color w:val="000000"/>
                <w:sz w:val="16"/>
                <w:szCs w:val="16"/>
              </w:rPr>
              <w:t>-251,8</w:t>
            </w:r>
          </w:p>
        </w:tc>
        <w:tc>
          <w:tcPr>
            <w:tcW w:w="680" w:type="dxa"/>
          </w:tcPr>
          <w:p w14:paraId="58C95B26" w14:textId="4071E10E" w:rsidR="00786F22" w:rsidRPr="006F1997" w:rsidRDefault="00786F22" w:rsidP="008349F0">
            <w:pPr>
              <w:ind w:firstLine="0"/>
              <w:jc w:val="center"/>
              <w:rPr>
                <w:rFonts w:cs="Times New Roman"/>
                <w:sz w:val="16"/>
                <w:szCs w:val="16"/>
              </w:rPr>
            </w:pPr>
            <w:r w:rsidRPr="006F1997">
              <w:rPr>
                <w:color w:val="000000"/>
                <w:sz w:val="16"/>
                <w:szCs w:val="16"/>
              </w:rPr>
              <w:t>-160,4</w:t>
            </w:r>
          </w:p>
        </w:tc>
        <w:tc>
          <w:tcPr>
            <w:tcW w:w="684" w:type="dxa"/>
          </w:tcPr>
          <w:p w14:paraId="3FBAB5B1" w14:textId="6BD3BB16" w:rsidR="00786F22" w:rsidRPr="006F1997" w:rsidRDefault="00786F22" w:rsidP="008349F0">
            <w:pPr>
              <w:ind w:firstLine="0"/>
              <w:jc w:val="center"/>
              <w:rPr>
                <w:rFonts w:cs="Times New Roman"/>
                <w:sz w:val="16"/>
                <w:szCs w:val="16"/>
              </w:rPr>
            </w:pPr>
            <w:r w:rsidRPr="006F1997">
              <w:rPr>
                <w:color w:val="000000"/>
                <w:sz w:val="16"/>
                <w:szCs w:val="16"/>
              </w:rPr>
              <w:t>1 259,5</w:t>
            </w:r>
          </w:p>
        </w:tc>
        <w:tc>
          <w:tcPr>
            <w:tcW w:w="850" w:type="dxa"/>
          </w:tcPr>
          <w:p w14:paraId="78D92EEC" w14:textId="69E103E6" w:rsidR="00786F22" w:rsidRPr="006F1997" w:rsidRDefault="00786F22" w:rsidP="008349F0">
            <w:pPr>
              <w:ind w:firstLine="0"/>
              <w:jc w:val="center"/>
              <w:rPr>
                <w:rFonts w:cs="Times New Roman"/>
                <w:sz w:val="16"/>
                <w:szCs w:val="16"/>
              </w:rPr>
            </w:pPr>
            <w:r w:rsidRPr="006F1997">
              <w:rPr>
                <w:color w:val="000000"/>
                <w:sz w:val="16"/>
                <w:szCs w:val="16"/>
              </w:rPr>
              <w:t>1 543,0</w:t>
            </w:r>
          </w:p>
        </w:tc>
      </w:tr>
      <w:tr w:rsidR="00786F22" w:rsidRPr="006723F5" w14:paraId="12903835" w14:textId="77777777" w:rsidTr="00D83C9B">
        <w:trPr>
          <w:trHeight w:val="374"/>
          <w:jc w:val="center"/>
        </w:trPr>
        <w:tc>
          <w:tcPr>
            <w:tcW w:w="704" w:type="dxa"/>
            <w:hideMark/>
          </w:tcPr>
          <w:p w14:paraId="363F422C"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9.</w:t>
            </w:r>
          </w:p>
          <w:p w14:paraId="33DA665B"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((8./1.)</w:t>
            </w:r>
          </w:p>
          <w:p w14:paraId="5C9578C3"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×100)</w:t>
            </w:r>
          </w:p>
        </w:tc>
        <w:tc>
          <w:tcPr>
            <w:tcW w:w="1418" w:type="dxa"/>
            <w:hideMark/>
          </w:tcPr>
          <w:p w14:paraId="6D46CA85" w14:textId="77777777" w:rsidR="00786F22" w:rsidRPr="006F1997" w:rsidRDefault="00786F22" w:rsidP="008349F0">
            <w:pPr>
              <w:ind w:firstLine="0"/>
              <w:rPr>
                <w:rFonts w:cs="Times New Roman"/>
                <w:sz w:val="18"/>
                <w:szCs w:val="18"/>
              </w:rPr>
            </w:pPr>
            <w:r w:rsidRPr="006F1997">
              <w:rPr>
                <w:rFonts w:cs="Times New Roman"/>
                <w:sz w:val="18"/>
                <w:szCs w:val="18"/>
              </w:rPr>
              <w:t>Uzkrāto bilanču starpības summa, % no IKP</w:t>
            </w:r>
          </w:p>
        </w:tc>
        <w:tc>
          <w:tcPr>
            <w:tcW w:w="680" w:type="dxa"/>
          </w:tcPr>
          <w:p w14:paraId="4FD44FEB" w14:textId="09488976" w:rsidR="00786F22" w:rsidRPr="006F1997" w:rsidRDefault="00786F22" w:rsidP="008349F0">
            <w:pPr>
              <w:ind w:firstLine="0"/>
              <w:jc w:val="center"/>
              <w:rPr>
                <w:rFonts w:cs="Times New Roman"/>
                <w:sz w:val="16"/>
                <w:szCs w:val="16"/>
              </w:rPr>
            </w:pPr>
            <w:r w:rsidRPr="006F1997">
              <w:rPr>
                <w:b/>
                <w:bCs/>
                <w:sz w:val="16"/>
                <w:szCs w:val="16"/>
              </w:rPr>
              <w:t>0,9</w:t>
            </w:r>
          </w:p>
        </w:tc>
        <w:tc>
          <w:tcPr>
            <w:tcW w:w="680" w:type="dxa"/>
          </w:tcPr>
          <w:p w14:paraId="1F0AD11A" w14:textId="65EDE1E6" w:rsidR="00786F22" w:rsidRPr="006F1997" w:rsidRDefault="00786F22" w:rsidP="008349F0">
            <w:pPr>
              <w:ind w:firstLine="0"/>
              <w:jc w:val="center"/>
              <w:rPr>
                <w:rFonts w:cs="Times New Roman"/>
                <w:sz w:val="16"/>
                <w:szCs w:val="16"/>
              </w:rPr>
            </w:pPr>
            <w:r w:rsidRPr="006F1997">
              <w:rPr>
                <w:b/>
                <w:bCs/>
                <w:sz w:val="16"/>
                <w:szCs w:val="16"/>
              </w:rPr>
              <w:t>0,8</w:t>
            </w:r>
          </w:p>
        </w:tc>
        <w:tc>
          <w:tcPr>
            <w:tcW w:w="680" w:type="dxa"/>
          </w:tcPr>
          <w:p w14:paraId="7D04870B" w14:textId="4590826D" w:rsidR="00786F22" w:rsidRPr="006F1997" w:rsidRDefault="00786F22" w:rsidP="008349F0">
            <w:pPr>
              <w:ind w:firstLine="0"/>
              <w:jc w:val="center"/>
              <w:rPr>
                <w:rFonts w:cs="Times New Roman"/>
                <w:sz w:val="16"/>
                <w:szCs w:val="16"/>
              </w:rPr>
            </w:pPr>
            <w:r w:rsidRPr="006F1997">
              <w:rPr>
                <w:b/>
                <w:bCs/>
                <w:sz w:val="16"/>
                <w:szCs w:val="16"/>
              </w:rPr>
              <w:t>0,1</w:t>
            </w:r>
          </w:p>
        </w:tc>
        <w:tc>
          <w:tcPr>
            <w:tcW w:w="680" w:type="dxa"/>
          </w:tcPr>
          <w:p w14:paraId="31BD9E78" w14:textId="2E3B463D" w:rsidR="00786F22" w:rsidRPr="006F1997" w:rsidRDefault="00786F22" w:rsidP="008349F0">
            <w:pPr>
              <w:ind w:firstLine="0"/>
              <w:jc w:val="center"/>
              <w:rPr>
                <w:rFonts w:cs="Times New Roman"/>
                <w:sz w:val="16"/>
                <w:szCs w:val="16"/>
              </w:rPr>
            </w:pPr>
            <w:r w:rsidRPr="006F1997">
              <w:rPr>
                <w:b/>
                <w:bCs/>
                <w:sz w:val="16"/>
                <w:szCs w:val="16"/>
              </w:rPr>
              <w:t>0,4</w:t>
            </w:r>
          </w:p>
        </w:tc>
        <w:tc>
          <w:tcPr>
            <w:tcW w:w="680" w:type="dxa"/>
          </w:tcPr>
          <w:p w14:paraId="5275239B" w14:textId="397E3526" w:rsidR="00786F22" w:rsidRPr="006F1997" w:rsidRDefault="00786F22" w:rsidP="008349F0">
            <w:pPr>
              <w:ind w:firstLine="0"/>
              <w:jc w:val="center"/>
              <w:rPr>
                <w:rFonts w:cs="Times New Roman"/>
                <w:sz w:val="16"/>
                <w:szCs w:val="16"/>
              </w:rPr>
            </w:pPr>
            <w:r w:rsidRPr="006F1997">
              <w:rPr>
                <w:b/>
                <w:bCs/>
                <w:sz w:val="16"/>
                <w:szCs w:val="16"/>
              </w:rPr>
              <w:t>0,0</w:t>
            </w:r>
          </w:p>
        </w:tc>
        <w:tc>
          <w:tcPr>
            <w:tcW w:w="680" w:type="dxa"/>
          </w:tcPr>
          <w:p w14:paraId="72E3CC1E" w14:textId="3610CB4D" w:rsidR="00786F22" w:rsidRPr="006F1997" w:rsidRDefault="00786F22" w:rsidP="008349F0">
            <w:pPr>
              <w:ind w:firstLine="0"/>
              <w:jc w:val="center"/>
              <w:rPr>
                <w:rFonts w:cs="Times New Roman"/>
                <w:sz w:val="16"/>
                <w:szCs w:val="16"/>
              </w:rPr>
            </w:pPr>
            <w:r w:rsidRPr="006F1997">
              <w:rPr>
                <w:b/>
                <w:bCs/>
                <w:sz w:val="16"/>
                <w:szCs w:val="16"/>
              </w:rPr>
              <w:t>-1,2</w:t>
            </w:r>
          </w:p>
        </w:tc>
        <w:tc>
          <w:tcPr>
            <w:tcW w:w="680" w:type="dxa"/>
          </w:tcPr>
          <w:p w14:paraId="281AA0CC" w14:textId="6F049687" w:rsidR="00786F22" w:rsidRPr="006F1997" w:rsidRDefault="00786F22" w:rsidP="008349F0">
            <w:pPr>
              <w:ind w:firstLine="0"/>
              <w:jc w:val="center"/>
              <w:rPr>
                <w:rFonts w:cs="Times New Roman"/>
                <w:sz w:val="16"/>
                <w:szCs w:val="16"/>
              </w:rPr>
            </w:pPr>
            <w:r w:rsidRPr="006F1997">
              <w:rPr>
                <w:b/>
                <w:bCs/>
                <w:sz w:val="16"/>
                <w:szCs w:val="16"/>
              </w:rPr>
              <w:t>-1,6</w:t>
            </w:r>
          </w:p>
        </w:tc>
        <w:tc>
          <w:tcPr>
            <w:tcW w:w="680" w:type="dxa"/>
          </w:tcPr>
          <w:p w14:paraId="20977C5E" w14:textId="669E3224" w:rsidR="00786F22" w:rsidRPr="006F1997" w:rsidRDefault="00786F22" w:rsidP="008349F0">
            <w:pPr>
              <w:ind w:firstLine="0"/>
              <w:jc w:val="center"/>
              <w:rPr>
                <w:rFonts w:cs="Times New Roman"/>
                <w:sz w:val="16"/>
                <w:szCs w:val="16"/>
              </w:rPr>
            </w:pPr>
            <w:r w:rsidRPr="006F1997">
              <w:rPr>
                <w:b/>
                <w:bCs/>
                <w:sz w:val="16"/>
                <w:szCs w:val="16"/>
              </w:rPr>
              <w:t>-0,8</w:t>
            </w:r>
          </w:p>
        </w:tc>
        <w:tc>
          <w:tcPr>
            <w:tcW w:w="680" w:type="dxa"/>
          </w:tcPr>
          <w:p w14:paraId="6E8AD5D9" w14:textId="0604298D" w:rsidR="00786F22" w:rsidRPr="006F1997" w:rsidRDefault="00786F22" w:rsidP="008349F0">
            <w:pPr>
              <w:ind w:firstLine="0"/>
              <w:jc w:val="center"/>
              <w:rPr>
                <w:rFonts w:cs="Times New Roman"/>
                <w:sz w:val="16"/>
                <w:szCs w:val="16"/>
              </w:rPr>
            </w:pPr>
            <w:r w:rsidRPr="006F1997">
              <w:rPr>
                <w:b/>
                <w:bCs/>
                <w:sz w:val="16"/>
                <w:szCs w:val="16"/>
              </w:rPr>
              <w:t>-0,5</w:t>
            </w:r>
          </w:p>
        </w:tc>
        <w:tc>
          <w:tcPr>
            <w:tcW w:w="684" w:type="dxa"/>
          </w:tcPr>
          <w:p w14:paraId="5F3ACC68" w14:textId="64BC1A02" w:rsidR="00786F22" w:rsidRPr="006F1997" w:rsidRDefault="00786F22" w:rsidP="008349F0">
            <w:pPr>
              <w:ind w:firstLine="0"/>
              <w:jc w:val="center"/>
              <w:rPr>
                <w:rFonts w:cs="Times New Roman"/>
                <w:sz w:val="16"/>
                <w:szCs w:val="16"/>
              </w:rPr>
            </w:pPr>
            <w:r w:rsidRPr="006F1997">
              <w:rPr>
                <w:b/>
                <w:bCs/>
                <w:sz w:val="16"/>
                <w:szCs w:val="16"/>
              </w:rPr>
              <w:t>3,3</w:t>
            </w:r>
          </w:p>
        </w:tc>
        <w:tc>
          <w:tcPr>
            <w:tcW w:w="850" w:type="dxa"/>
          </w:tcPr>
          <w:p w14:paraId="6DC0A53E" w14:textId="5BC22ECD" w:rsidR="00786F22" w:rsidRPr="006F1997" w:rsidRDefault="00786F22" w:rsidP="008349F0">
            <w:pPr>
              <w:ind w:firstLine="0"/>
              <w:jc w:val="center"/>
              <w:rPr>
                <w:rFonts w:cs="Times New Roman"/>
                <w:b/>
                <w:bCs/>
                <w:sz w:val="16"/>
                <w:szCs w:val="16"/>
              </w:rPr>
            </w:pPr>
            <w:r w:rsidRPr="006F1997">
              <w:rPr>
                <w:b/>
                <w:bCs/>
                <w:sz w:val="16"/>
                <w:szCs w:val="16"/>
              </w:rPr>
              <w:t>3,8</w:t>
            </w:r>
          </w:p>
        </w:tc>
      </w:tr>
      <w:tr w:rsidR="00786F22" w:rsidRPr="008D3E01" w14:paraId="5EBA1599" w14:textId="77777777" w:rsidTr="00D83C9B">
        <w:trPr>
          <w:trHeight w:val="460"/>
          <w:jc w:val="center"/>
        </w:trPr>
        <w:tc>
          <w:tcPr>
            <w:tcW w:w="704" w:type="dxa"/>
            <w:hideMark/>
          </w:tcPr>
          <w:p w14:paraId="41C90652"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10</w:t>
            </w:r>
          </w:p>
        </w:tc>
        <w:tc>
          <w:tcPr>
            <w:tcW w:w="1418" w:type="dxa"/>
            <w:hideMark/>
          </w:tcPr>
          <w:p w14:paraId="5804530D" w14:textId="77777777" w:rsidR="00786F22" w:rsidRPr="006F1997" w:rsidRDefault="00786F22" w:rsidP="008349F0">
            <w:pPr>
              <w:ind w:firstLine="0"/>
              <w:rPr>
                <w:rFonts w:cs="Times New Roman"/>
                <w:sz w:val="18"/>
                <w:szCs w:val="18"/>
              </w:rPr>
            </w:pPr>
            <w:r w:rsidRPr="006F1997">
              <w:rPr>
                <w:rFonts w:cs="Times New Roman"/>
                <w:sz w:val="18"/>
                <w:szCs w:val="18"/>
              </w:rPr>
              <w:t xml:space="preserve">FDL 11. panta nosacījums, % no IKP </w:t>
            </w:r>
          </w:p>
        </w:tc>
        <w:tc>
          <w:tcPr>
            <w:tcW w:w="680" w:type="dxa"/>
          </w:tcPr>
          <w:p w14:paraId="38F2FCB4" w14:textId="38B1D619"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680" w:type="dxa"/>
          </w:tcPr>
          <w:p w14:paraId="5CD55D35" w14:textId="1A61987D"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680" w:type="dxa"/>
          </w:tcPr>
          <w:p w14:paraId="00658F9A" w14:textId="6B59DD43"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680" w:type="dxa"/>
          </w:tcPr>
          <w:p w14:paraId="5342B626" w14:textId="12121318"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680" w:type="dxa"/>
          </w:tcPr>
          <w:p w14:paraId="4152BA48" w14:textId="5A733080"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680" w:type="dxa"/>
          </w:tcPr>
          <w:p w14:paraId="1DC1224B" w14:textId="421F9303"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680" w:type="dxa"/>
          </w:tcPr>
          <w:p w14:paraId="154D4B53" w14:textId="2AE82C10"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680" w:type="dxa"/>
          </w:tcPr>
          <w:p w14:paraId="514F6BD8" w14:textId="7A31B0EF"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680" w:type="dxa"/>
          </w:tcPr>
          <w:p w14:paraId="6EE91C40" w14:textId="4C4DF99F"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684" w:type="dxa"/>
          </w:tcPr>
          <w:p w14:paraId="7FEDBAD5" w14:textId="6C2BCE93"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c>
          <w:tcPr>
            <w:tcW w:w="850" w:type="dxa"/>
          </w:tcPr>
          <w:p w14:paraId="5E2579AF" w14:textId="0FF6A80C" w:rsidR="00786F22" w:rsidRPr="006F1997" w:rsidRDefault="00786F22" w:rsidP="008349F0">
            <w:pPr>
              <w:ind w:firstLine="0"/>
              <w:jc w:val="center"/>
              <w:rPr>
                <w:rFonts w:cs="Times New Roman"/>
                <w:b/>
                <w:bCs/>
                <w:sz w:val="16"/>
                <w:szCs w:val="16"/>
              </w:rPr>
            </w:pPr>
            <w:r w:rsidRPr="006F1997">
              <w:rPr>
                <w:rFonts w:cs="Times New Roman"/>
                <w:sz w:val="16"/>
                <w:szCs w:val="16"/>
              </w:rPr>
              <w:t>-0,5</w:t>
            </w:r>
          </w:p>
        </w:tc>
      </w:tr>
      <w:tr w:rsidR="00786F22" w:rsidRPr="00FD1578" w14:paraId="65DC3868" w14:textId="77777777" w:rsidTr="00D83C9B">
        <w:trPr>
          <w:trHeight w:val="137"/>
          <w:jc w:val="center"/>
        </w:trPr>
        <w:tc>
          <w:tcPr>
            <w:tcW w:w="704" w:type="dxa"/>
            <w:hideMark/>
          </w:tcPr>
          <w:p w14:paraId="23DB856C" w14:textId="77777777" w:rsidR="00786F22" w:rsidRPr="006F1997" w:rsidRDefault="00786F22" w:rsidP="008349F0">
            <w:pPr>
              <w:ind w:firstLine="0"/>
              <w:jc w:val="right"/>
              <w:rPr>
                <w:rFonts w:cs="Times New Roman"/>
                <w:i/>
                <w:iCs/>
                <w:sz w:val="16"/>
                <w:szCs w:val="16"/>
              </w:rPr>
            </w:pPr>
            <w:r w:rsidRPr="006F1997">
              <w:rPr>
                <w:rFonts w:cs="Times New Roman"/>
                <w:i/>
                <w:iCs/>
                <w:sz w:val="16"/>
                <w:szCs w:val="16"/>
              </w:rPr>
              <w:t>11</w:t>
            </w:r>
          </w:p>
        </w:tc>
        <w:tc>
          <w:tcPr>
            <w:tcW w:w="1418" w:type="dxa"/>
            <w:hideMark/>
          </w:tcPr>
          <w:p w14:paraId="379A36DC" w14:textId="77777777" w:rsidR="00786F22" w:rsidRPr="006F1997" w:rsidRDefault="00786F22" w:rsidP="008349F0">
            <w:pPr>
              <w:ind w:firstLine="0"/>
              <w:rPr>
                <w:rFonts w:cs="Times New Roman"/>
                <w:sz w:val="18"/>
                <w:szCs w:val="18"/>
              </w:rPr>
            </w:pPr>
            <w:r w:rsidRPr="006F1997">
              <w:rPr>
                <w:rFonts w:cs="Times New Roman"/>
                <w:sz w:val="18"/>
                <w:szCs w:val="18"/>
              </w:rPr>
              <w:t>Ir jākoriģē, ja 9.&lt;10.</w:t>
            </w:r>
          </w:p>
        </w:tc>
        <w:tc>
          <w:tcPr>
            <w:tcW w:w="680" w:type="dxa"/>
          </w:tcPr>
          <w:p w14:paraId="3237595C" w14:textId="20480EEA" w:rsidR="00786F22" w:rsidRPr="006F1997" w:rsidRDefault="00786F22" w:rsidP="008349F0">
            <w:pPr>
              <w:ind w:firstLine="0"/>
              <w:jc w:val="center"/>
              <w:rPr>
                <w:rFonts w:cs="Times New Roman"/>
                <w:sz w:val="16"/>
                <w:szCs w:val="16"/>
              </w:rPr>
            </w:pPr>
            <w:r w:rsidRPr="008D3E01">
              <w:rPr>
                <w:rFonts w:ascii="Calibri" w:hAnsi="Calibri" w:cs="Calibri"/>
                <w:color w:val="000000"/>
                <w:sz w:val="22"/>
              </w:rPr>
              <w:t> </w:t>
            </w:r>
          </w:p>
        </w:tc>
        <w:tc>
          <w:tcPr>
            <w:tcW w:w="680" w:type="dxa"/>
          </w:tcPr>
          <w:p w14:paraId="106BE42F" w14:textId="0770DE02" w:rsidR="00786F22" w:rsidRPr="006F1997" w:rsidRDefault="00786F22" w:rsidP="008349F0">
            <w:pPr>
              <w:ind w:firstLine="0"/>
              <w:jc w:val="center"/>
              <w:rPr>
                <w:rFonts w:cs="Times New Roman"/>
                <w:sz w:val="16"/>
                <w:szCs w:val="16"/>
              </w:rPr>
            </w:pPr>
            <w:r w:rsidRPr="008D3E01">
              <w:rPr>
                <w:rFonts w:ascii="Calibri" w:hAnsi="Calibri" w:cs="Calibri"/>
                <w:color w:val="000000"/>
                <w:sz w:val="22"/>
              </w:rPr>
              <w:t> </w:t>
            </w:r>
          </w:p>
        </w:tc>
        <w:tc>
          <w:tcPr>
            <w:tcW w:w="680" w:type="dxa"/>
          </w:tcPr>
          <w:p w14:paraId="161D96AD" w14:textId="1001B2A5" w:rsidR="00786F22" w:rsidRPr="006F1997" w:rsidRDefault="00786F22" w:rsidP="008349F0">
            <w:pPr>
              <w:ind w:firstLine="0"/>
              <w:jc w:val="center"/>
              <w:rPr>
                <w:rFonts w:cs="Times New Roman"/>
                <w:sz w:val="16"/>
                <w:szCs w:val="16"/>
              </w:rPr>
            </w:pPr>
            <w:r w:rsidRPr="008D3E01">
              <w:rPr>
                <w:rFonts w:ascii="Calibri" w:hAnsi="Calibri" w:cs="Calibri"/>
                <w:color w:val="000000"/>
                <w:sz w:val="22"/>
              </w:rPr>
              <w:t> </w:t>
            </w:r>
          </w:p>
        </w:tc>
        <w:tc>
          <w:tcPr>
            <w:tcW w:w="680" w:type="dxa"/>
          </w:tcPr>
          <w:p w14:paraId="082A15C9" w14:textId="2C2F1519" w:rsidR="00786F22" w:rsidRPr="006F1997" w:rsidRDefault="00786F22" w:rsidP="008349F0">
            <w:pPr>
              <w:ind w:firstLine="0"/>
              <w:jc w:val="center"/>
              <w:rPr>
                <w:rFonts w:cs="Times New Roman"/>
                <w:sz w:val="16"/>
                <w:szCs w:val="16"/>
              </w:rPr>
            </w:pPr>
            <w:r w:rsidRPr="008D3E01">
              <w:rPr>
                <w:rFonts w:ascii="Calibri" w:hAnsi="Calibri" w:cs="Calibri"/>
                <w:color w:val="000000"/>
                <w:sz w:val="22"/>
              </w:rPr>
              <w:t> </w:t>
            </w:r>
          </w:p>
        </w:tc>
        <w:tc>
          <w:tcPr>
            <w:tcW w:w="680" w:type="dxa"/>
          </w:tcPr>
          <w:p w14:paraId="51927691" w14:textId="2549198E" w:rsidR="00786F22" w:rsidRPr="006F1997" w:rsidRDefault="00786F22" w:rsidP="008349F0">
            <w:pPr>
              <w:ind w:firstLine="0"/>
              <w:jc w:val="center"/>
              <w:rPr>
                <w:rFonts w:cs="Times New Roman"/>
                <w:sz w:val="16"/>
                <w:szCs w:val="16"/>
              </w:rPr>
            </w:pPr>
            <w:r w:rsidRPr="008D3E01">
              <w:rPr>
                <w:rFonts w:ascii="Calibri" w:hAnsi="Calibri" w:cs="Calibri"/>
                <w:color w:val="000000"/>
                <w:sz w:val="22"/>
              </w:rPr>
              <w:t> </w:t>
            </w:r>
          </w:p>
        </w:tc>
        <w:tc>
          <w:tcPr>
            <w:tcW w:w="680" w:type="dxa"/>
          </w:tcPr>
          <w:p w14:paraId="7ADB7B81" w14:textId="00661C47" w:rsidR="00786F22" w:rsidRPr="006F1997" w:rsidRDefault="00786F22" w:rsidP="008349F0">
            <w:pPr>
              <w:ind w:firstLine="0"/>
              <w:jc w:val="center"/>
              <w:rPr>
                <w:rFonts w:cs="Times New Roman"/>
                <w:sz w:val="16"/>
                <w:szCs w:val="16"/>
              </w:rPr>
            </w:pPr>
            <w:r w:rsidRPr="008D3E01">
              <w:rPr>
                <w:rFonts w:ascii="Calibri" w:hAnsi="Calibri" w:cs="Calibri"/>
                <w:color w:val="000000"/>
                <w:sz w:val="22"/>
              </w:rPr>
              <w:t> </w:t>
            </w:r>
          </w:p>
        </w:tc>
        <w:tc>
          <w:tcPr>
            <w:tcW w:w="680" w:type="dxa"/>
          </w:tcPr>
          <w:p w14:paraId="511DF41B" w14:textId="68579267" w:rsidR="00786F22" w:rsidRPr="006F1997" w:rsidRDefault="00786F22" w:rsidP="008349F0">
            <w:pPr>
              <w:ind w:firstLine="0"/>
              <w:jc w:val="center"/>
              <w:rPr>
                <w:rFonts w:cs="Times New Roman"/>
                <w:b/>
                <w:bCs/>
                <w:sz w:val="16"/>
                <w:szCs w:val="16"/>
              </w:rPr>
            </w:pPr>
            <w:r w:rsidRPr="008D3E01">
              <w:rPr>
                <w:b/>
                <w:bCs/>
                <w:sz w:val="18"/>
                <w:szCs w:val="18"/>
              </w:rPr>
              <w:t> </w:t>
            </w:r>
          </w:p>
        </w:tc>
        <w:tc>
          <w:tcPr>
            <w:tcW w:w="680" w:type="dxa"/>
          </w:tcPr>
          <w:p w14:paraId="052A8D8C" w14:textId="0298659F" w:rsidR="00786F22" w:rsidRPr="006F1997" w:rsidRDefault="00786F22" w:rsidP="008349F0">
            <w:pPr>
              <w:ind w:firstLine="0"/>
              <w:jc w:val="center"/>
              <w:rPr>
                <w:rFonts w:cs="Times New Roman"/>
                <w:b/>
                <w:bCs/>
                <w:sz w:val="16"/>
                <w:szCs w:val="16"/>
              </w:rPr>
            </w:pPr>
            <w:r w:rsidRPr="008D3E01">
              <w:rPr>
                <w:b/>
                <w:bCs/>
                <w:sz w:val="18"/>
                <w:szCs w:val="18"/>
              </w:rPr>
              <w:t> </w:t>
            </w:r>
          </w:p>
        </w:tc>
        <w:tc>
          <w:tcPr>
            <w:tcW w:w="680" w:type="dxa"/>
          </w:tcPr>
          <w:p w14:paraId="4C84F040" w14:textId="2B7F2B5A" w:rsidR="00786F22" w:rsidRPr="006F1997" w:rsidRDefault="00786F22" w:rsidP="008349F0">
            <w:pPr>
              <w:ind w:firstLine="0"/>
              <w:jc w:val="center"/>
              <w:rPr>
                <w:rFonts w:cs="Times New Roman"/>
                <w:b/>
                <w:bCs/>
                <w:sz w:val="16"/>
                <w:szCs w:val="16"/>
              </w:rPr>
            </w:pPr>
            <w:r w:rsidRPr="008D3E01">
              <w:rPr>
                <w:b/>
                <w:bCs/>
                <w:sz w:val="18"/>
                <w:szCs w:val="18"/>
              </w:rPr>
              <w:t> </w:t>
            </w:r>
          </w:p>
        </w:tc>
        <w:tc>
          <w:tcPr>
            <w:tcW w:w="684" w:type="dxa"/>
          </w:tcPr>
          <w:p w14:paraId="2301B087" w14:textId="48AEE414" w:rsidR="00786F22" w:rsidRPr="006F1997" w:rsidRDefault="00786F22" w:rsidP="008349F0">
            <w:pPr>
              <w:ind w:firstLine="0"/>
              <w:jc w:val="center"/>
              <w:rPr>
                <w:rFonts w:cs="Times New Roman"/>
                <w:b/>
                <w:bCs/>
                <w:sz w:val="16"/>
                <w:szCs w:val="16"/>
              </w:rPr>
            </w:pPr>
            <w:r w:rsidRPr="008D3E01">
              <w:rPr>
                <w:b/>
                <w:bCs/>
                <w:sz w:val="18"/>
                <w:szCs w:val="18"/>
              </w:rPr>
              <w:t> </w:t>
            </w:r>
          </w:p>
        </w:tc>
        <w:tc>
          <w:tcPr>
            <w:tcW w:w="850" w:type="dxa"/>
          </w:tcPr>
          <w:p w14:paraId="12DDE664" w14:textId="6790D681" w:rsidR="00786F22" w:rsidRPr="00FD1578" w:rsidRDefault="00786F22" w:rsidP="008349F0">
            <w:pPr>
              <w:ind w:firstLine="0"/>
              <w:jc w:val="center"/>
              <w:rPr>
                <w:rFonts w:cs="Times New Roman"/>
                <w:b/>
                <w:bCs/>
                <w:sz w:val="16"/>
                <w:szCs w:val="16"/>
              </w:rPr>
            </w:pPr>
            <w:r w:rsidRPr="006F1997">
              <w:rPr>
                <w:rFonts w:cs="Times New Roman"/>
                <w:sz w:val="16"/>
                <w:szCs w:val="16"/>
              </w:rPr>
              <w:t>Nav jākoriģē</w:t>
            </w:r>
          </w:p>
        </w:tc>
      </w:tr>
    </w:tbl>
    <w:p w14:paraId="29B8517B" w14:textId="77777777" w:rsidR="005B7C54" w:rsidRPr="00FD1578" w:rsidRDefault="005B7C54" w:rsidP="00D83C9B">
      <w:pPr>
        <w:spacing w:after="0"/>
        <w:ind w:firstLine="0"/>
        <w:rPr>
          <w:rFonts w:eastAsia="Times New Roman" w:cs="Times New Roman"/>
          <w:szCs w:val="24"/>
          <w:highlight w:val="lightGray"/>
        </w:rPr>
      </w:pPr>
    </w:p>
    <w:p w14:paraId="3E80CC31" w14:textId="171D1B28" w:rsidR="000D4D00" w:rsidRPr="00FD1578" w:rsidRDefault="00555C2A" w:rsidP="008349F0">
      <w:pPr>
        <w:rPr>
          <w:rFonts w:eastAsia="Times New Roman" w:cs="Times New Roman"/>
          <w:szCs w:val="24"/>
        </w:rPr>
      </w:pPr>
      <w:r w:rsidRPr="00FD1578">
        <w:rPr>
          <w:rFonts w:eastAsia="Times New Roman" w:cs="Times New Roman"/>
          <w:szCs w:val="24"/>
        </w:rPr>
        <w:t>Salīdzinot ar likumu “</w:t>
      </w:r>
      <w:r w:rsidR="00DD4247" w:rsidRPr="00FD1578">
        <w:rPr>
          <w:rFonts w:eastAsia="Times New Roman" w:cs="Times New Roman"/>
          <w:szCs w:val="24"/>
        </w:rPr>
        <w:t>Par valsts budžetu 202</w:t>
      </w:r>
      <w:r w:rsidR="00F067FC" w:rsidRPr="00FD1578">
        <w:rPr>
          <w:rFonts w:eastAsia="Times New Roman" w:cs="Times New Roman"/>
          <w:szCs w:val="24"/>
        </w:rPr>
        <w:t>4</w:t>
      </w:r>
      <w:r w:rsidR="00DD4247" w:rsidRPr="00FD1578">
        <w:rPr>
          <w:rFonts w:eastAsia="Times New Roman" w:cs="Times New Roman"/>
          <w:szCs w:val="24"/>
        </w:rPr>
        <w:t>. gadam un budžeta ietvaru 202</w:t>
      </w:r>
      <w:r w:rsidR="00F067FC" w:rsidRPr="00FD1578">
        <w:rPr>
          <w:rFonts w:eastAsia="Times New Roman" w:cs="Times New Roman"/>
          <w:szCs w:val="24"/>
        </w:rPr>
        <w:t>4</w:t>
      </w:r>
      <w:r w:rsidR="00DD4247" w:rsidRPr="00FD1578">
        <w:rPr>
          <w:rFonts w:eastAsia="Times New Roman" w:cs="Times New Roman"/>
          <w:szCs w:val="24"/>
        </w:rPr>
        <w:t>., 202</w:t>
      </w:r>
      <w:r w:rsidR="00F067FC" w:rsidRPr="00FD1578">
        <w:rPr>
          <w:rFonts w:eastAsia="Times New Roman" w:cs="Times New Roman"/>
          <w:szCs w:val="24"/>
        </w:rPr>
        <w:t>5</w:t>
      </w:r>
      <w:r w:rsidR="00DD4247" w:rsidRPr="00FD1578">
        <w:rPr>
          <w:rFonts w:eastAsia="Times New Roman" w:cs="Times New Roman"/>
          <w:szCs w:val="24"/>
        </w:rPr>
        <w:t>. un 202</w:t>
      </w:r>
      <w:r w:rsidR="00F067FC" w:rsidRPr="00FD1578">
        <w:rPr>
          <w:rFonts w:eastAsia="Times New Roman" w:cs="Times New Roman"/>
          <w:szCs w:val="24"/>
        </w:rPr>
        <w:t>6</w:t>
      </w:r>
      <w:r w:rsidR="00DD4247" w:rsidRPr="00FD1578">
        <w:rPr>
          <w:rFonts w:eastAsia="Times New Roman" w:cs="Times New Roman"/>
          <w:szCs w:val="24"/>
        </w:rPr>
        <w:t>. gad</w:t>
      </w:r>
      <w:r w:rsidR="00F067FC" w:rsidRPr="00FD1578">
        <w:rPr>
          <w:rFonts w:eastAsia="Times New Roman" w:cs="Times New Roman"/>
          <w:szCs w:val="24"/>
        </w:rPr>
        <w:t>a</w:t>
      </w:r>
      <w:r w:rsidR="00DD4247" w:rsidRPr="00FD1578">
        <w:rPr>
          <w:rFonts w:eastAsia="Times New Roman" w:cs="Times New Roman"/>
          <w:szCs w:val="24"/>
        </w:rPr>
        <w:t>m”</w:t>
      </w:r>
      <w:r w:rsidR="000D4D00" w:rsidRPr="00FD1578">
        <w:rPr>
          <w:rFonts w:eastAsia="Times New Roman" w:cs="Times New Roman"/>
          <w:szCs w:val="24"/>
        </w:rPr>
        <w:t xml:space="preserve"> tika precizēti vispārējās valdības strukturālās bilances faktiskie rādītāji visā apskatāmajā laika periodā. Izmaiņas sk</w:t>
      </w:r>
      <w:r w:rsidRPr="00FD1578">
        <w:rPr>
          <w:rFonts w:eastAsia="Times New Roman" w:cs="Times New Roman"/>
          <w:szCs w:val="24"/>
        </w:rPr>
        <w:t xml:space="preserve">aidrojamas gan ar potenciāla </w:t>
      </w:r>
      <w:r w:rsidR="00BB74C0" w:rsidRPr="00FD1578">
        <w:rPr>
          <w:rFonts w:eastAsia="Times New Roman" w:cs="Times New Roman"/>
          <w:szCs w:val="24"/>
        </w:rPr>
        <w:t>IKP</w:t>
      </w:r>
      <w:r w:rsidR="000D4D00" w:rsidRPr="00FD1578">
        <w:rPr>
          <w:rFonts w:eastAsia="Times New Roman" w:cs="Times New Roman"/>
          <w:szCs w:val="24"/>
        </w:rPr>
        <w:t xml:space="preserve"> pārskatīšanu</w:t>
      </w:r>
      <w:r w:rsidRPr="00FD1578">
        <w:rPr>
          <w:rFonts w:eastAsia="Times New Roman" w:cs="Times New Roman"/>
          <w:szCs w:val="24"/>
        </w:rPr>
        <w:t xml:space="preserve"> no </w:t>
      </w:r>
      <w:r w:rsidR="005B7C54" w:rsidRPr="00FD1578">
        <w:rPr>
          <w:rFonts w:eastAsia="Times New Roman" w:cs="Times New Roman"/>
          <w:szCs w:val="24"/>
        </w:rPr>
        <w:t>FM</w:t>
      </w:r>
      <w:r w:rsidR="000D4D00" w:rsidRPr="00FD1578">
        <w:rPr>
          <w:rFonts w:eastAsia="Times New Roman" w:cs="Times New Roman"/>
          <w:szCs w:val="24"/>
        </w:rPr>
        <w:t xml:space="preserve"> puses, gan ar faktisko </w:t>
      </w:r>
      <w:r w:rsidR="00096F2A" w:rsidRPr="00FD1578">
        <w:rPr>
          <w:rFonts w:eastAsia="Times New Roman" w:cs="Times New Roman"/>
          <w:szCs w:val="24"/>
        </w:rPr>
        <w:t>IKP</w:t>
      </w:r>
      <w:r w:rsidRPr="00FD1578">
        <w:rPr>
          <w:rFonts w:eastAsia="Times New Roman" w:cs="Times New Roman"/>
          <w:szCs w:val="24"/>
        </w:rPr>
        <w:t xml:space="preserve"> datu korekciju, ko veic </w:t>
      </w:r>
      <w:r w:rsidR="005B7C54" w:rsidRPr="00FD1578">
        <w:rPr>
          <w:rFonts w:eastAsia="Times New Roman" w:cs="Times New Roman"/>
          <w:szCs w:val="24"/>
        </w:rPr>
        <w:t>CSP</w:t>
      </w:r>
      <w:r w:rsidR="000D4D00" w:rsidRPr="00FD1578">
        <w:rPr>
          <w:rFonts w:eastAsia="Times New Roman" w:cs="Times New Roman"/>
          <w:szCs w:val="24"/>
        </w:rPr>
        <w:t>, kas ietekmēja cikliskās komponentes rādītājus un līdz ar to arī vispārējās valdības strukturālo bil</w:t>
      </w:r>
      <w:r w:rsidRPr="00FD1578">
        <w:rPr>
          <w:rFonts w:eastAsia="Times New Roman" w:cs="Times New Roman"/>
          <w:szCs w:val="24"/>
        </w:rPr>
        <w:t xml:space="preserve">anci. Rezultātā, </w:t>
      </w:r>
      <w:r w:rsidR="00F067FC" w:rsidRPr="00FD1578">
        <w:rPr>
          <w:rFonts w:eastAsia="Times New Roman" w:cs="Times New Roman"/>
          <w:szCs w:val="24"/>
        </w:rPr>
        <w:t>sa</w:t>
      </w:r>
      <w:r w:rsidRPr="00FD1578">
        <w:rPr>
          <w:rFonts w:eastAsia="Times New Roman" w:cs="Times New Roman"/>
          <w:szCs w:val="24"/>
        </w:rPr>
        <w:t>gatavojot likumprojektu “</w:t>
      </w:r>
      <w:r w:rsidR="007D1798" w:rsidRPr="00FD1578">
        <w:t>Par valsts budžetu 202</w:t>
      </w:r>
      <w:r w:rsidR="00F067FC" w:rsidRPr="00FD1578">
        <w:t>5</w:t>
      </w:r>
      <w:r w:rsidR="007D1798" w:rsidRPr="00FD1578">
        <w:t>.</w:t>
      </w:r>
      <w:r w:rsidR="00811382" w:rsidRPr="00FD1578">
        <w:t xml:space="preserve"> </w:t>
      </w:r>
      <w:r w:rsidR="007D1798" w:rsidRPr="00FD1578">
        <w:t>gadam un budžeta ietvaru 202</w:t>
      </w:r>
      <w:r w:rsidR="00F067FC" w:rsidRPr="00FD1578">
        <w:t>5</w:t>
      </w:r>
      <w:r w:rsidR="007D1798" w:rsidRPr="00FD1578">
        <w:t>., 202</w:t>
      </w:r>
      <w:r w:rsidR="00F067FC" w:rsidRPr="00FD1578">
        <w:t>6</w:t>
      </w:r>
      <w:r w:rsidR="007D1798" w:rsidRPr="00FD1578">
        <w:t>. un 202</w:t>
      </w:r>
      <w:r w:rsidR="00F067FC" w:rsidRPr="00FD1578">
        <w:t>7</w:t>
      </w:r>
      <w:r w:rsidR="007D1798" w:rsidRPr="00FD1578">
        <w:t>.</w:t>
      </w:r>
      <w:r w:rsidR="00811382" w:rsidRPr="00FD1578">
        <w:t xml:space="preserve"> </w:t>
      </w:r>
      <w:r w:rsidR="007D1798" w:rsidRPr="00FD1578">
        <w:lastRenderedPageBreak/>
        <w:t>gad</w:t>
      </w:r>
      <w:r w:rsidR="00F067FC" w:rsidRPr="00FD1578">
        <w:t>a</w:t>
      </w:r>
      <w:r w:rsidR="007D1798" w:rsidRPr="00FD1578">
        <w:t>m</w:t>
      </w:r>
      <w:r w:rsidRPr="00FD1578">
        <w:rPr>
          <w:rFonts w:eastAsia="Times New Roman" w:cs="Times New Roman"/>
          <w:szCs w:val="24"/>
        </w:rPr>
        <w:t xml:space="preserve">” tika </w:t>
      </w:r>
      <w:r w:rsidR="000D4D00" w:rsidRPr="00FD1578">
        <w:rPr>
          <w:rFonts w:eastAsia="Times New Roman" w:cs="Times New Roman"/>
          <w:szCs w:val="24"/>
        </w:rPr>
        <w:t xml:space="preserve">secināts, ka </w:t>
      </w:r>
      <w:r w:rsidR="00E029BE" w:rsidRPr="00FD1578">
        <w:rPr>
          <w:rFonts w:eastAsia="Times New Roman" w:cs="Times New Roman"/>
          <w:szCs w:val="24"/>
        </w:rPr>
        <w:t xml:space="preserve">tikai </w:t>
      </w:r>
      <w:r w:rsidR="006F1997">
        <w:rPr>
          <w:rFonts w:eastAsia="Times New Roman" w:cs="Times New Roman"/>
          <w:szCs w:val="24"/>
        </w:rPr>
        <w:t xml:space="preserve">2018., </w:t>
      </w:r>
      <w:r w:rsidR="00E029BE" w:rsidRPr="006F1997">
        <w:rPr>
          <w:rFonts w:eastAsia="Times New Roman" w:cs="Times New Roman"/>
          <w:szCs w:val="24"/>
        </w:rPr>
        <w:t>2019</w:t>
      </w:r>
      <w:r w:rsidR="00DD4247" w:rsidRPr="006F1997">
        <w:rPr>
          <w:rFonts w:eastAsia="Times New Roman" w:cs="Times New Roman"/>
          <w:szCs w:val="24"/>
        </w:rPr>
        <w:t>.</w:t>
      </w:r>
      <w:r w:rsidR="00E029BE" w:rsidRPr="006F1997">
        <w:rPr>
          <w:rFonts w:eastAsia="Times New Roman" w:cs="Times New Roman"/>
          <w:szCs w:val="24"/>
        </w:rPr>
        <w:t xml:space="preserve"> un 2020.</w:t>
      </w:r>
      <w:r w:rsidR="00811382" w:rsidRPr="006F1997">
        <w:rPr>
          <w:rFonts w:eastAsia="Times New Roman" w:cs="Times New Roman"/>
          <w:szCs w:val="24"/>
        </w:rPr>
        <w:t xml:space="preserve"> </w:t>
      </w:r>
      <w:r w:rsidR="00E029BE" w:rsidRPr="006F1997">
        <w:rPr>
          <w:rFonts w:eastAsia="Times New Roman" w:cs="Times New Roman"/>
          <w:szCs w:val="24"/>
        </w:rPr>
        <w:t>gadā</w:t>
      </w:r>
      <w:r w:rsidR="000D4D00" w:rsidRPr="006F1997">
        <w:rPr>
          <w:rFonts w:eastAsia="Times New Roman" w:cs="Times New Roman"/>
          <w:szCs w:val="24"/>
        </w:rPr>
        <w:t xml:space="preserve"> uzkrāto bilanču starpības summa pārsniedz pieļaujamo kritēriju.</w:t>
      </w:r>
      <w:r w:rsidR="000D4D00" w:rsidRPr="00FD1578">
        <w:rPr>
          <w:rFonts w:eastAsia="Times New Roman" w:cs="Times New Roman"/>
          <w:szCs w:val="24"/>
        </w:rPr>
        <w:t xml:space="preserve"> </w:t>
      </w:r>
    </w:p>
    <w:p w14:paraId="6E2644F2" w14:textId="51ED938D" w:rsidR="000D4D00" w:rsidRPr="00FD1578" w:rsidRDefault="00555C2A" w:rsidP="008349F0">
      <w:pPr>
        <w:widowControl w:val="0"/>
        <w:rPr>
          <w:rFonts w:eastAsia="Times New Roman" w:cs="Times New Roman"/>
          <w:szCs w:val="24"/>
        </w:rPr>
      </w:pPr>
      <w:r w:rsidRPr="00FD1578">
        <w:rPr>
          <w:rFonts w:eastAsia="Times New Roman" w:cs="Times New Roman"/>
          <w:szCs w:val="24"/>
        </w:rPr>
        <w:t>Atbilstoši</w:t>
      </w:r>
      <w:r w:rsidR="005735FB">
        <w:rPr>
          <w:rFonts w:eastAsia="Times New Roman" w:cs="Times New Roman"/>
          <w:szCs w:val="24"/>
        </w:rPr>
        <w:t xml:space="preserve"> </w:t>
      </w:r>
      <w:r w:rsidR="00E029BE" w:rsidRPr="00FD1578">
        <w:rPr>
          <w:rFonts w:eastAsia="Times New Roman" w:cs="Times New Roman"/>
          <w:szCs w:val="24"/>
        </w:rPr>
        <w:t>FDL</w:t>
      </w:r>
      <w:r w:rsidR="000D4D00" w:rsidRPr="00FD1578">
        <w:rPr>
          <w:rFonts w:eastAsia="Times New Roman" w:cs="Times New Roman"/>
          <w:szCs w:val="24"/>
        </w:rPr>
        <w:t xml:space="preserve"> 11.</w:t>
      </w:r>
      <w:r w:rsidRPr="00FD1578">
        <w:rPr>
          <w:rFonts w:eastAsia="Times New Roman" w:cs="Times New Roman"/>
          <w:szCs w:val="24"/>
        </w:rPr>
        <w:t xml:space="preserve"> </w:t>
      </w:r>
      <w:r w:rsidR="000D4D00" w:rsidRPr="00FD1578">
        <w:rPr>
          <w:rFonts w:eastAsia="Times New Roman" w:cs="Times New Roman"/>
          <w:szCs w:val="24"/>
        </w:rPr>
        <w:t xml:space="preserve">panta ceturtajam punktam, minimālo plānojamo vispārējās valdības budžeta strukturālo bilanci koriģē, ja uzkrāto bilanču starpību summa pārsniedz robežvērtību ietvara likumprojekta sagatavošanas gadā. Uz pašreizējo brīdi pēdējais gads, par kuru ir pieejami faktiskie statistikas dati par nominālo budžeta bilanci ir </w:t>
      </w:r>
      <w:r w:rsidR="00E029BE" w:rsidRPr="00FD1578">
        <w:rPr>
          <w:rFonts w:eastAsia="Times New Roman" w:cs="Times New Roman"/>
          <w:szCs w:val="24"/>
        </w:rPr>
        <w:t>202</w:t>
      </w:r>
      <w:r w:rsidR="00F067FC" w:rsidRPr="00FD1578">
        <w:rPr>
          <w:rFonts w:eastAsia="Times New Roman" w:cs="Times New Roman"/>
          <w:szCs w:val="24"/>
        </w:rPr>
        <w:t>3</w:t>
      </w:r>
      <w:r w:rsidR="000D4D00" w:rsidRPr="00FD1578">
        <w:rPr>
          <w:rFonts w:eastAsia="Times New Roman" w:cs="Times New Roman"/>
          <w:szCs w:val="24"/>
        </w:rPr>
        <w:t>.</w:t>
      </w:r>
      <w:r w:rsidRPr="00FD1578">
        <w:rPr>
          <w:rFonts w:eastAsia="Times New Roman" w:cs="Times New Roman"/>
          <w:szCs w:val="24"/>
        </w:rPr>
        <w:t xml:space="preserve"> </w:t>
      </w:r>
      <w:r w:rsidR="000D4D00" w:rsidRPr="00FD1578">
        <w:rPr>
          <w:rFonts w:eastAsia="Times New Roman" w:cs="Times New Roman"/>
          <w:szCs w:val="24"/>
        </w:rPr>
        <w:t xml:space="preserve">gads, kas attiecīgi tālāk tiek izmantots kā references gads nosacījuma pārbaudei. </w:t>
      </w:r>
      <w:r w:rsidR="005B0C58" w:rsidRPr="00FD1578">
        <w:rPr>
          <w:rFonts w:eastAsia="Times New Roman" w:cs="Times New Roman"/>
          <w:szCs w:val="24"/>
        </w:rPr>
        <w:t>Ņ</w:t>
      </w:r>
      <w:r w:rsidR="000D4D00" w:rsidRPr="00FD1578">
        <w:rPr>
          <w:rFonts w:eastAsia="Times New Roman" w:cs="Times New Roman"/>
          <w:szCs w:val="24"/>
        </w:rPr>
        <w:t>emot vērā statistisko informāciju par vispārējās valdība</w:t>
      </w:r>
      <w:r w:rsidRPr="00FD1578">
        <w:rPr>
          <w:rFonts w:eastAsia="Times New Roman" w:cs="Times New Roman"/>
          <w:szCs w:val="24"/>
        </w:rPr>
        <w:t>s budžeta nominālo bilanci un F</w:t>
      </w:r>
      <w:r w:rsidR="005B7C54" w:rsidRPr="00FD1578">
        <w:rPr>
          <w:rFonts w:eastAsia="Times New Roman" w:cs="Times New Roman"/>
          <w:szCs w:val="24"/>
        </w:rPr>
        <w:t>M</w:t>
      </w:r>
      <w:r w:rsidR="000D4D00" w:rsidRPr="00FD1578">
        <w:rPr>
          <w:rFonts w:eastAsia="Times New Roman" w:cs="Times New Roman"/>
          <w:szCs w:val="24"/>
        </w:rPr>
        <w:t xml:space="preserve"> izlaižu starpības novērtējumu, uzkrāto bilan</w:t>
      </w:r>
      <w:r w:rsidRPr="00FD1578">
        <w:rPr>
          <w:rFonts w:eastAsia="Times New Roman" w:cs="Times New Roman"/>
          <w:szCs w:val="24"/>
        </w:rPr>
        <w:t xml:space="preserve">ču starpību summa </w:t>
      </w:r>
      <w:r w:rsidR="005B0C58" w:rsidRPr="00FD1578">
        <w:rPr>
          <w:rFonts w:eastAsia="Times New Roman" w:cs="Times New Roman"/>
          <w:szCs w:val="24"/>
        </w:rPr>
        <w:t>202</w:t>
      </w:r>
      <w:r w:rsidR="00F067FC" w:rsidRPr="00FD1578">
        <w:rPr>
          <w:rFonts w:eastAsia="Times New Roman" w:cs="Times New Roman"/>
          <w:szCs w:val="24"/>
        </w:rPr>
        <w:t>3</w:t>
      </w:r>
      <w:r w:rsidR="005B0C58" w:rsidRPr="00FD1578">
        <w:rPr>
          <w:rFonts w:eastAsia="Times New Roman" w:cs="Times New Roman"/>
          <w:szCs w:val="24"/>
        </w:rPr>
        <w:t>.</w:t>
      </w:r>
      <w:r w:rsidR="00811382" w:rsidRPr="00FD1578">
        <w:rPr>
          <w:rFonts w:eastAsia="Times New Roman" w:cs="Times New Roman"/>
          <w:szCs w:val="24"/>
        </w:rPr>
        <w:t xml:space="preserve"> </w:t>
      </w:r>
      <w:r w:rsidR="005B0C58" w:rsidRPr="00FD1578">
        <w:rPr>
          <w:rFonts w:eastAsia="Times New Roman" w:cs="Times New Roman"/>
          <w:szCs w:val="24"/>
        </w:rPr>
        <w:t xml:space="preserve">gadā </w:t>
      </w:r>
      <w:r w:rsidR="00E029BE" w:rsidRPr="00FD1578">
        <w:rPr>
          <w:rFonts w:eastAsia="Times New Roman" w:cs="Times New Roman"/>
          <w:szCs w:val="24"/>
        </w:rPr>
        <w:t>ne</w:t>
      </w:r>
      <w:r w:rsidRPr="00FD1578">
        <w:rPr>
          <w:rFonts w:eastAsia="Times New Roman" w:cs="Times New Roman"/>
          <w:szCs w:val="24"/>
        </w:rPr>
        <w:t>pārsniedz</w:t>
      </w:r>
      <w:r w:rsidR="005735FB">
        <w:rPr>
          <w:rFonts w:eastAsia="Times New Roman" w:cs="Times New Roman"/>
          <w:szCs w:val="24"/>
        </w:rPr>
        <w:t xml:space="preserve"> </w:t>
      </w:r>
      <w:r w:rsidR="00E029BE" w:rsidRPr="006F1997">
        <w:rPr>
          <w:rFonts w:eastAsia="Times New Roman" w:cs="Times New Roman"/>
          <w:szCs w:val="24"/>
        </w:rPr>
        <w:t>FDL</w:t>
      </w:r>
      <w:r w:rsidRPr="006F1997">
        <w:rPr>
          <w:rFonts w:eastAsia="Times New Roman" w:cs="Times New Roman"/>
          <w:szCs w:val="24"/>
        </w:rPr>
        <w:t xml:space="preserve"> </w:t>
      </w:r>
      <w:r w:rsidR="000D4D00" w:rsidRPr="006F1997">
        <w:rPr>
          <w:rFonts w:eastAsia="Times New Roman" w:cs="Times New Roman"/>
          <w:szCs w:val="24"/>
        </w:rPr>
        <w:t>noteikto</w:t>
      </w:r>
      <w:r w:rsidRPr="006F1997">
        <w:rPr>
          <w:rFonts w:eastAsia="Times New Roman" w:cs="Times New Roman"/>
          <w:szCs w:val="24"/>
        </w:rPr>
        <w:t xml:space="preserve"> robežvērtību </w:t>
      </w:r>
      <w:r w:rsidR="005B0C58" w:rsidRPr="006F1997">
        <w:rPr>
          <w:rFonts w:eastAsia="Times New Roman" w:cs="Times New Roman"/>
          <w:szCs w:val="24"/>
        </w:rPr>
        <w:t xml:space="preserve">-0,5% no IKP </w:t>
      </w:r>
      <w:r w:rsidRPr="006F1997">
        <w:rPr>
          <w:rFonts w:eastAsia="Times New Roman" w:cs="Times New Roman"/>
          <w:szCs w:val="24"/>
        </w:rPr>
        <w:t>un ir</w:t>
      </w:r>
      <w:r w:rsidR="00E029BE" w:rsidRPr="006F1997">
        <w:rPr>
          <w:rFonts w:eastAsia="Times New Roman" w:cs="Times New Roman"/>
          <w:szCs w:val="24"/>
        </w:rPr>
        <w:t xml:space="preserve"> </w:t>
      </w:r>
      <w:r w:rsidR="006F1997" w:rsidRPr="006F1997">
        <w:rPr>
          <w:rFonts w:eastAsia="Times New Roman" w:cs="Times New Roman"/>
          <w:szCs w:val="24"/>
        </w:rPr>
        <w:t>3,8</w:t>
      </w:r>
      <w:r w:rsidRPr="006F1997">
        <w:rPr>
          <w:rFonts w:eastAsia="Times New Roman" w:cs="Times New Roman"/>
          <w:szCs w:val="24"/>
        </w:rPr>
        <w:t xml:space="preserve">% </w:t>
      </w:r>
      <w:r w:rsidR="00096F2A" w:rsidRPr="006F1997">
        <w:rPr>
          <w:rFonts w:eastAsia="Times New Roman" w:cs="Times New Roman"/>
          <w:szCs w:val="24"/>
        </w:rPr>
        <w:t>IKP</w:t>
      </w:r>
      <w:r w:rsidRPr="006F1997">
        <w:rPr>
          <w:rFonts w:eastAsia="Times New Roman" w:cs="Times New Roman"/>
          <w:szCs w:val="24"/>
        </w:rPr>
        <w:t xml:space="preserve">, tādējādi </w:t>
      </w:r>
      <w:r w:rsidR="00E029BE" w:rsidRPr="006F1997">
        <w:rPr>
          <w:rFonts w:eastAsia="Times New Roman" w:cs="Times New Roman"/>
          <w:szCs w:val="24"/>
        </w:rPr>
        <w:t>nav</w:t>
      </w:r>
      <w:r w:rsidR="000D4D00" w:rsidRPr="006F1997">
        <w:rPr>
          <w:rFonts w:eastAsia="Times New Roman" w:cs="Times New Roman"/>
          <w:szCs w:val="24"/>
        </w:rPr>
        <w:t xml:space="preserve"> jāveic strukturālās bilances mērķa korekcijas.</w:t>
      </w:r>
      <w:r w:rsidR="000D4D00" w:rsidRPr="00FD1578">
        <w:rPr>
          <w:rFonts w:eastAsia="Times New Roman" w:cs="Times New Roman"/>
          <w:szCs w:val="24"/>
        </w:rPr>
        <w:t xml:space="preserve"> </w:t>
      </w:r>
    </w:p>
    <w:p w14:paraId="44378E11" w14:textId="347D311F" w:rsidR="000D4D00" w:rsidRPr="00FD1578" w:rsidRDefault="00D57DD6" w:rsidP="008349F0">
      <w:pPr>
        <w:pStyle w:val="Heading3"/>
        <w:numPr>
          <w:ilvl w:val="0"/>
          <w:numId w:val="0"/>
        </w:numPr>
        <w:ind w:left="426"/>
      </w:pPr>
      <w:bookmarkStart w:id="53" w:name="_Toc179356084"/>
      <w:r w:rsidRPr="00FD1578">
        <w:t>2.1.4</w:t>
      </w:r>
      <w:r w:rsidR="00E8646E" w:rsidRPr="00FD1578">
        <w:t xml:space="preserve">. </w:t>
      </w:r>
      <w:r w:rsidR="000548A5" w:rsidRPr="00FD1578">
        <w:t xml:space="preserve">Vidēja termiņa strukturālās budžeta </w:t>
      </w:r>
      <w:r w:rsidR="007A5D9E" w:rsidRPr="00FD1578">
        <w:t xml:space="preserve">bilances </w:t>
      </w:r>
      <w:r w:rsidR="000548A5" w:rsidRPr="00FD1578">
        <w:t>mēr</w:t>
      </w:r>
      <w:r w:rsidR="007A5D9E" w:rsidRPr="00FD1578">
        <w:t>ķu salīdzinājums</w:t>
      </w:r>
      <w:bookmarkEnd w:id="53"/>
    </w:p>
    <w:p w14:paraId="7DAFD079" w14:textId="4AD503BC" w:rsidR="001529EE" w:rsidRPr="00D83C9B" w:rsidRDefault="001529EE" w:rsidP="008349F0">
      <w:pPr>
        <w:widowControl w:val="0"/>
        <w:ind w:firstLine="709"/>
        <w:rPr>
          <w:rFonts w:eastAsia="Times New Roman" w:cs="Times New Roman"/>
          <w:color w:val="000000"/>
        </w:rPr>
      </w:pPr>
      <w:r w:rsidRPr="00FD1578">
        <w:rPr>
          <w:rFonts w:eastAsia="Times New Roman" w:cs="Times New Roman"/>
        </w:rPr>
        <w:t>FDL fiskālo nosacījumu piemērošana jāskata kontekstā ar izmaiņām ES fiskālajos noteikumos</w:t>
      </w:r>
      <w:r w:rsidR="00F50E99" w:rsidRPr="00FD1578">
        <w:rPr>
          <w:rFonts w:eastAsia="Times New Roman" w:cs="Times New Roman"/>
        </w:rPr>
        <w:t xml:space="preserve"> un ar </w:t>
      </w:r>
      <w:r w:rsidR="00F50E99" w:rsidRPr="00FD1578">
        <w:rPr>
          <w:rFonts w:eastAsia="Calibri" w:cs="Times New Roman"/>
          <w:bCs/>
          <w:color w:val="000000"/>
        </w:rPr>
        <w:t xml:space="preserve">FDL pieļaujamā strukturālā deficīta paaugstināšanu no 0,5% no IKP uz 1% </w:t>
      </w:r>
      <w:r w:rsidR="00F50E99" w:rsidRPr="00D83C9B">
        <w:rPr>
          <w:rFonts w:eastAsia="Calibri" w:cs="Times New Roman"/>
          <w:bCs/>
          <w:color w:val="000000"/>
        </w:rPr>
        <w:t>no IKP.</w:t>
      </w:r>
    </w:p>
    <w:p w14:paraId="5FDBD8D0" w14:textId="30E6446B" w:rsidR="00AC4A0B" w:rsidRPr="00D83C9B" w:rsidRDefault="00666D52" w:rsidP="008349F0">
      <w:pPr>
        <w:widowControl w:val="0"/>
        <w:ind w:firstLine="709"/>
        <w:rPr>
          <w:rFonts w:eastAsia="Times New Roman" w:cs="Times New Roman"/>
          <w:color w:val="000000"/>
        </w:rPr>
      </w:pPr>
      <w:r w:rsidRPr="00D83C9B">
        <w:rPr>
          <w:rFonts w:eastAsia="Times New Roman" w:cs="Times New Roman"/>
          <w:color w:val="000000"/>
        </w:rPr>
        <w:t>2.</w:t>
      </w:r>
      <w:r w:rsidR="005C63FF" w:rsidRPr="00D83C9B">
        <w:rPr>
          <w:rFonts w:eastAsia="Times New Roman" w:cs="Times New Roman"/>
          <w:color w:val="000000"/>
        </w:rPr>
        <w:t>1</w:t>
      </w:r>
      <w:r w:rsidR="009E398A" w:rsidRPr="00D83C9B">
        <w:rPr>
          <w:rFonts w:eastAsia="Times New Roman" w:cs="Times New Roman"/>
          <w:color w:val="000000"/>
        </w:rPr>
        <w:t>8</w:t>
      </w:r>
      <w:r w:rsidR="000D4D00" w:rsidRPr="00D83C9B">
        <w:rPr>
          <w:rFonts w:eastAsia="Times New Roman" w:cs="Times New Roman"/>
          <w:color w:val="000000"/>
        </w:rPr>
        <w:t>.</w:t>
      </w:r>
      <w:r w:rsidRPr="00D83C9B">
        <w:rPr>
          <w:rFonts w:eastAsia="Times New Roman" w:cs="Times New Roman"/>
          <w:color w:val="000000"/>
        </w:rPr>
        <w:t xml:space="preserve"> </w:t>
      </w:r>
      <w:r w:rsidR="000D4D00" w:rsidRPr="00D83C9B">
        <w:rPr>
          <w:rFonts w:eastAsia="Times New Roman" w:cs="Times New Roman"/>
          <w:color w:val="000000"/>
        </w:rPr>
        <w:t>tabulā</w:t>
      </w:r>
      <w:r w:rsidR="000D4D00" w:rsidRPr="00FD1578">
        <w:rPr>
          <w:rFonts w:eastAsia="Times New Roman" w:cs="Times New Roman"/>
          <w:color w:val="000000"/>
        </w:rPr>
        <w:t xml:space="preserve"> ir atspoguļots salīdzinājums</w:t>
      </w:r>
      <w:r w:rsidR="00744046" w:rsidRPr="00FD1578">
        <w:rPr>
          <w:rFonts w:eastAsia="Times New Roman" w:cs="Times New Roman"/>
          <w:color w:val="000000"/>
        </w:rPr>
        <w:t xml:space="preserve"> starp likumā “</w:t>
      </w:r>
      <w:r w:rsidR="003D51C1" w:rsidRPr="00FD1578">
        <w:rPr>
          <w:rFonts w:eastAsia="Times New Roman" w:cs="Times New Roman"/>
          <w:color w:val="000000"/>
        </w:rPr>
        <w:t>Par valsts budžetu 202</w:t>
      </w:r>
      <w:r w:rsidR="001529EE" w:rsidRPr="00FD1578">
        <w:rPr>
          <w:rFonts w:eastAsia="Times New Roman" w:cs="Times New Roman"/>
          <w:color w:val="000000"/>
        </w:rPr>
        <w:t>4</w:t>
      </w:r>
      <w:r w:rsidR="003D51C1" w:rsidRPr="00FD1578">
        <w:rPr>
          <w:rFonts w:eastAsia="Times New Roman" w:cs="Times New Roman"/>
          <w:color w:val="000000"/>
        </w:rPr>
        <w:t>. gadam un budžeta ietvaru 202</w:t>
      </w:r>
      <w:r w:rsidR="001529EE" w:rsidRPr="00FD1578">
        <w:rPr>
          <w:rFonts w:eastAsia="Times New Roman" w:cs="Times New Roman"/>
          <w:color w:val="000000"/>
        </w:rPr>
        <w:t>4</w:t>
      </w:r>
      <w:r w:rsidR="003D51C1" w:rsidRPr="00FD1578">
        <w:rPr>
          <w:rFonts w:eastAsia="Times New Roman" w:cs="Times New Roman"/>
          <w:color w:val="000000"/>
        </w:rPr>
        <w:t>., 202</w:t>
      </w:r>
      <w:r w:rsidR="001529EE" w:rsidRPr="00FD1578">
        <w:rPr>
          <w:rFonts w:eastAsia="Times New Roman" w:cs="Times New Roman"/>
          <w:color w:val="000000"/>
        </w:rPr>
        <w:t>5</w:t>
      </w:r>
      <w:r w:rsidR="003D51C1" w:rsidRPr="00FD1578">
        <w:rPr>
          <w:rFonts w:eastAsia="Times New Roman" w:cs="Times New Roman"/>
          <w:color w:val="000000"/>
        </w:rPr>
        <w:t>. un 202</w:t>
      </w:r>
      <w:r w:rsidR="001529EE" w:rsidRPr="00FD1578">
        <w:rPr>
          <w:rFonts w:eastAsia="Times New Roman" w:cs="Times New Roman"/>
          <w:color w:val="000000"/>
        </w:rPr>
        <w:t>6</w:t>
      </w:r>
      <w:r w:rsidR="003D51C1" w:rsidRPr="00FD1578">
        <w:rPr>
          <w:rFonts w:eastAsia="Times New Roman" w:cs="Times New Roman"/>
          <w:color w:val="000000"/>
        </w:rPr>
        <w:t>. gadam</w:t>
      </w:r>
      <w:r w:rsidR="00744046" w:rsidRPr="00FD1578">
        <w:rPr>
          <w:rFonts w:eastAsia="Times New Roman" w:cs="Times New Roman"/>
          <w:szCs w:val="24"/>
        </w:rPr>
        <w:t>”</w:t>
      </w:r>
      <w:r w:rsidR="000D4D00" w:rsidRPr="00FD1578">
        <w:rPr>
          <w:rFonts w:eastAsia="Times New Roman" w:cs="Times New Roman"/>
          <w:szCs w:val="24"/>
        </w:rPr>
        <w:t xml:space="preserve"> </w:t>
      </w:r>
      <w:r w:rsidR="00744046" w:rsidRPr="00FD1578">
        <w:rPr>
          <w:rFonts w:eastAsia="Times New Roman" w:cs="Times New Roman"/>
          <w:color w:val="000000"/>
        </w:rPr>
        <w:t>un likum</w:t>
      </w:r>
      <w:r w:rsidR="005B0C58" w:rsidRPr="00FD1578">
        <w:rPr>
          <w:rFonts w:eastAsia="Times New Roman" w:cs="Times New Roman"/>
          <w:color w:val="000000"/>
        </w:rPr>
        <w:t>projektā</w:t>
      </w:r>
      <w:r w:rsidR="005735FB">
        <w:rPr>
          <w:rFonts w:eastAsia="Times New Roman" w:cs="Times New Roman"/>
          <w:color w:val="000000"/>
        </w:rPr>
        <w:t xml:space="preserve"> </w:t>
      </w:r>
      <w:r w:rsidR="00744046" w:rsidRPr="00FD1578">
        <w:rPr>
          <w:rFonts w:eastAsia="Times New Roman" w:cs="Times New Roman"/>
          <w:color w:val="000000"/>
        </w:rPr>
        <w:t>“</w:t>
      </w:r>
      <w:r w:rsidR="005B0C58" w:rsidRPr="00FD1578">
        <w:rPr>
          <w:rFonts w:eastAsia="Times New Roman" w:cs="Times New Roman"/>
          <w:color w:val="000000"/>
        </w:rPr>
        <w:t>Par valsts budžetu 202</w:t>
      </w:r>
      <w:r w:rsidR="001529EE" w:rsidRPr="00FD1578">
        <w:rPr>
          <w:rFonts w:eastAsia="Times New Roman" w:cs="Times New Roman"/>
          <w:color w:val="000000"/>
        </w:rPr>
        <w:t>5</w:t>
      </w:r>
      <w:r w:rsidR="005B0C58" w:rsidRPr="00FD1578">
        <w:rPr>
          <w:rFonts w:eastAsia="Times New Roman" w:cs="Times New Roman"/>
          <w:color w:val="000000"/>
        </w:rPr>
        <w:t>.</w:t>
      </w:r>
      <w:r w:rsidR="00811382" w:rsidRPr="00FD1578">
        <w:rPr>
          <w:rFonts w:eastAsia="Times New Roman" w:cs="Times New Roman"/>
          <w:color w:val="000000"/>
        </w:rPr>
        <w:t xml:space="preserve"> </w:t>
      </w:r>
      <w:r w:rsidR="005B0C58" w:rsidRPr="00FD1578">
        <w:rPr>
          <w:rFonts w:eastAsia="Times New Roman" w:cs="Times New Roman"/>
          <w:color w:val="000000"/>
        </w:rPr>
        <w:t>gadam un budžeta ietvaru 202</w:t>
      </w:r>
      <w:r w:rsidR="001529EE" w:rsidRPr="00FD1578">
        <w:rPr>
          <w:rFonts w:eastAsia="Times New Roman" w:cs="Times New Roman"/>
          <w:color w:val="000000"/>
        </w:rPr>
        <w:t>5</w:t>
      </w:r>
      <w:r w:rsidR="005B0C58" w:rsidRPr="00FD1578">
        <w:rPr>
          <w:rFonts w:eastAsia="Times New Roman" w:cs="Times New Roman"/>
          <w:color w:val="000000"/>
        </w:rPr>
        <w:t>., 202</w:t>
      </w:r>
      <w:r w:rsidR="001529EE" w:rsidRPr="00FD1578">
        <w:rPr>
          <w:rFonts w:eastAsia="Times New Roman" w:cs="Times New Roman"/>
          <w:color w:val="000000"/>
        </w:rPr>
        <w:t>6</w:t>
      </w:r>
      <w:r w:rsidR="005B0C58" w:rsidRPr="00FD1578">
        <w:rPr>
          <w:rFonts w:eastAsia="Times New Roman" w:cs="Times New Roman"/>
          <w:color w:val="000000"/>
        </w:rPr>
        <w:t>. un 202</w:t>
      </w:r>
      <w:r w:rsidR="001529EE" w:rsidRPr="00FD1578">
        <w:rPr>
          <w:rFonts w:eastAsia="Times New Roman" w:cs="Times New Roman"/>
          <w:color w:val="000000"/>
        </w:rPr>
        <w:t>7</w:t>
      </w:r>
      <w:r w:rsidR="005B0C58" w:rsidRPr="00FD1578">
        <w:rPr>
          <w:rFonts w:eastAsia="Times New Roman" w:cs="Times New Roman"/>
          <w:color w:val="000000"/>
        </w:rPr>
        <w:t>.</w:t>
      </w:r>
      <w:r w:rsidR="00811382" w:rsidRPr="00FD1578">
        <w:rPr>
          <w:rFonts w:eastAsia="Times New Roman" w:cs="Times New Roman"/>
          <w:color w:val="000000"/>
        </w:rPr>
        <w:t xml:space="preserve"> </w:t>
      </w:r>
      <w:r w:rsidR="005B0C58" w:rsidRPr="00FD1578">
        <w:rPr>
          <w:rFonts w:eastAsia="Times New Roman" w:cs="Times New Roman"/>
          <w:color w:val="000000"/>
        </w:rPr>
        <w:t>gad</w:t>
      </w:r>
      <w:r w:rsidR="00C8209A" w:rsidRPr="00FD1578">
        <w:rPr>
          <w:rFonts w:eastAsia="Times New Roman" w:cs="Times New Roman"/>
          <w:color w:val="000000"/>
        </w:rPr>
        <w:t>am</w:t>
      </w:r>
      <w:r w:rsidR="005B0C58" w:rsidRPr="00FD1578">
        <w:rPr>
          <w:rFonts w:eastAsia="Times New Roman" w:cs="Times New Roman"/>
          <w:color w:val="000000"/>
        </w:rPr>
        <w:t>”</w:t>
      </w:r>
      <w:r w:rsidR="000D4D00" w:rsidRPr="00FD1578">
        <w:rPr>
          <w:rFonts w:eastAsia="Times New Roman" w:cs="Times New Roman"/>
          <w:szCs w:val="24"/>
        </w:rPr>
        <w:t xml:space="preserve"> </w:t>
      </w:r>
      <w:r w:rsidR="000D4D00" w:rsidRPr="00FD1578">
        <w:rPr>
          <w:rFonts w:eastAsia="Times New Roman" w:cs="Times New Roman"/>
          <w:color w:val="000000"/>
        </w:rPr>
        <w:t>noteiktajiem vispārējās valdības</w:t>
      </w:r>
      <w:r w:rsidR="00811E00" w:rsidRPr="00FD1578">
        <w:rPr>
          <w:rFonts w:eastAsia="Times New Roman" w:cs="Times New Roman"/>
          <w:color w:val="000000"/>
        </w:rPr>
        <w:t xml:space="preserve"> </w:t>
      </w:r>
      <w:r w:rsidR="00811E00" w:rsidRPr="00D83C9B">
        <w:rPr>
          <w:rFonts w:eastAsia="Times New Roman" w:cs="Times New Roman"/>
          <w:color w:val="000000"/>
        </w:rPr>
        <w:t>strukturālās bilances mērķiem.</w:t>
      </w:r>
    </w:p>
    <w:p w14:paraId="2BB27C75" w14:textId="636BC80A" w:rsidR="000D4D00" w:rsidRPr="00FD1578" w:rsidRDefault="004614E3" w:rsidP="008349F0">
      <w:pPr>
        <w:widowControl w:val="0"/>
        <w:ind w:left="1559" w:firstLine="0"/>
        <w:jc w:val="right"/>
        <w:rPr>
          <w:rFonts w:eastAsia="Times New Roman" w:cs="Times New Roman"/>
          <w:b/>
          <w:i/>
          <w:color w:val="000000"/>
        </w:rPr>
      </w:pPr>
      <w:r w:rsidRPr="00D83C9B">
        <w:rPr>
          <w:rFonts w:eastAsia="Times New Roman" w:cs="Times New Roman"/>
          <w:b/>
          <w:i/>
          <w:color w:val="000000"/>
        </w:rPr>
        <w:t>2.</w:t>
      </w:r>
      <w:r w:rsidR="005C63FF" w:rsidRPr="00D83C9B">
        <w:rPr>
          <w:rFonts w:eastAsia="Times New Roman" w:cs="Times New Roman"/>
          <w:b/>
          <w:i/>
          <w:color w:val="000000"/>
        </w:rPr>
        <w:t>1</w:t>
      </w:r>
      <w:r w:rsidR="009E398A" w:rsidRPr="00D83C9B">
        <w:rPr>
          <w:rFonts w:eastAsia="Times New Roman" w:cs="Times New Roman"/>
          <w:b/>
          <w:i/>
          <w:color w:val="000000"/>
        </w:rPr>
        <w:t>8</w:t>
      </w:r>
      <w:r w:rsidR="000D4D00" w:rsidRPr="00D83C9B">
        <w:rPr>
          <w:rFonts w:eastAsia="Times New Roman" w:cs="Times New Roman"/>
          <w:b/>
          <w:i/>
          <w:color w:val="000000"/>
        </w:rPr>
        <w:t>.</w:t>
      </w:r>
      <w:r w:rsidR="00744046" w:rsidRPr="00D83C9B">
        <w:rPr>
          <w:rFonts w:eastAsia="Times New Roman" w:cs="Times New Roman"/>
          <w:b/>
          <w:i/>
          <w:color w:val="000000"/>
        </w:rPr>
        <w:t xml:space="preserve"> </w:t>
      </w:r>
      <w:r w:rsidR="000D4D00" w:rsidRPr="00D83C9B">
        <w:rPr>
          <w:rFonts w:eastAsia="Times New Roman" w:cs="Times New Roman"/>
          <w:b/>
          <w:i/>
          <w:color w:val="000000"/>
        </w:rPr>
        <w:t>tabula. Vispārējās valdības budžeta</w:t>
      </w:r>
      <w:r w:rsidR="00886A0C" w:rsidRPr="00D83C9B">
        <w:rPr>
          <w:rFonts w:eastAsia="Times New Roman" w:cs="Times New Roman"/>
          <w:b/>
          <w:i/>
          <w:color w:val="000000"/>
        </w:rPr>
        <w:t xml:space="preserve"> mērķu salīdzinājums starp vidēja termiņa</w:t>
      </w:r>
      <w:r w:rsidR="00886A0C" w:rsidRPr="00FD1578">
        <w:rPr>
          <w:rFonts w:eastAsia="Times New Roman" w:cs="Times New Roman"/>
          <w:b/>
          <w:i/>
          <w:color w:val="000000"/>
        </w:rPr>
        <w:t xml:space="preserve"> budžeta ietvaru</w:t>
      </w:r>
      <w:r w:rsidR="000D4D00" w:rsidRPr="00FD1578">
        <w:rPr>
          <w:rFonts w:eastAsia="Times New Roman" w:cs="Times New Roman"/>
          <w:b/>
          <w:i/>
          <w:color w:val="000000"/>
        </w:rPr>
        <w:t xml:space="preserve"> </w:t>
      </w:r>
      <w:r w:rsidR="00902165" w:rsidRPr="00FD1578">
        <w:rPr>
          <w:rFonts w:eastAsia="Times New Roman" w:cs="Times New Roman"/>
          <w:b/>
          <w:i/>
          <w:color w:val="000000"/>
        </w:rPr>
        <w:t>202</w:t>
      </w:r>
      <w:r w:rsidR="001529EE" w:rsidRPr="00FD1578">
        <w:rPr>
          <w:rFonts w:eastAsia="Times New Roman" w:cs="Times New Roman"/>
          <w:b/>
          <w:i/>
          <w:color w:val="000000"/>
        </w:rPr>
        <w:t>4</w:t>
      </w:r>
      <w:r w:rsidR="000D4D00" w:rsidRPr="00FD1578">
        <w:rPr>
          <w:rFonts w:eastAsia="Times New Roman" w:cs="Times New Roman"/>
          <w:b/>
          <w:i/>
          <w:color w:val="000000"/>
        </w:rPr>
        <w:t xml:space="preserve">., </w:t>
      </w:r>
      <w:r w:rsidR="00902165" w:rsidRPr="00FD1578">
        <w:rPr>
          <w:rFonts w:eastAsia="Times New Roman" w:cs="Times New Roman"/>
          <w:b/>
          <w:i/>
          <w:color w:val="000000"/>
        </w:rPr>
        <w:t>202</w:t>
      </w:r>
      <w:r w:rsidR="001529EE" w:rsidRPr="00FD1578">
        <w:rPr>
          <w:rFonts w:eastAsia="Times New Roman" w:cs="Times New Roman"/>
          <w:b/>
          <w:i/>
          <w:color w:val="000000"/>
        </w:rPr>
        <w:t>5</w:t>
      </w:r>
      <w:r w:rsidR="000D4D00" w:rsidRPr="00FD1578">
        <w:rPr>
          <w:rFonts w:eastAsia="Times New Roman" w:cs="Times New Roman"/>
          <w:b/>
          <w:i/>
          <w:color w:val="000000"/>
        </w:rPr>
        <w:t xml:space="preserve">. un </w:t>
      </w:r>
      <w:r w:rsidR="00902165" w:rsidRPr="00FD1578">
        <w:rPr>
          <w:rFonts w:eastAsia="Times New Roman" w:cs="Times New Roman"/>
          <w:b/>
          <w:i/>
          <w:color w:val="000000"/>
        </w:rPr>
        <w:t>202</w:t>
      </w:r>
      <w:r w:rsidR="001529EE" w:rsidRPr="00FD1578">
        <w:rPr>
          <w:rFonts w:eastAsia="Times New Roman" w:cs="Times New Roman"/>
          <w:b/>
          <w:i/>
          <w:color w:val="000000"/>
        </w:rPr>
        <w:t>6</w:t>
      </w:r>
      <w:r w:rsidR="000D4D00" w:rsidRPr="00FD1578">
        <w:rPr>
          <w:rFonts w:eastAsia="Times New Roman" w:cs="Times New Roman"/>
          <w:b/>
          <w:i/>
          <w:color w:val="000000"/>
        </w:rPr>
        <w:t>.</w:t>
      </w:r>
      <w:r w:rsidR="002B2F86" w:rsidRPr="00FD1578">
        <w:rPr>
          <w:rFonts w:eastAsia="Times New Roman" w:cs="Times New Roman"/>
          <w:b/>
          <w:i/>
          <w:color w:val="000000"/>
        </w:rPr>
        <w:t xml:space="preserve"> </w:t>
      </w:r>
      <w:r w:rsidR="000D4D00" w:rsidRPr="00FD1578">
        <w:rPr>
          <w:rFonts w:eastAsia="Times New Roman" w:cs="Times New Roman"/>
          <w:b/>
          <w:i/>
          <w:color w:val="000000"/>
        </w:rPr>
        <w:t xml:space="preserve">gadam un </w:t>
      </w:r>
      <w:r w:rsidR="00886A0C" w:rsidRPr="00FD1578">
        <w:rPr>
          <w:rFonts w:eastAsia="Times New Roman" w:cs="Times New Roman"/>
          <w:b/>
          <w:i/>
          <w:color w:val="000000"/>
        </w:rPr>
        <w:t>vidēja termiņa budžeta ietvaru</w:t>
      </w:r>
      <w:r w:rsidR="000D4D00" w:rsidRPr="00FD1578">
        <w:rPr>
          <w:rFonts w:eastAsia="Times New Roman" w:cs="Times New Roman"/>
          <w:b/>
          <w:i/>
          <w:color w:val="000000"/>
        </w:rPr>
        <w:t xml:space="preserve"> </w:t>
      </w:r>
      <w:r w:rsidR="00902165" w:rsidRPr="00FD1578">
        <w:rPr>
          <w:rFonts w:eastAsia="Times New Roman" w:cs="Times New Roman"/>
          <w:b/>
          <w:i/>
          <w:color w:val="000000"/>
        </w:rPr>
        <w:t>202</w:t>
      </w:r>
      <w:r w:rsidR="001529EE" w:rsidRPr="00FD1578">
        <w:rPr>
          <w:rFonts w:eastAsia="Times New Roman" w:cs="Times New Roman"/>
          <w:b/>
          <w:i/>
          <w:color w:val="000000"/>
        </w:rPr>
        <w:t>5</w:t>
      </w:r>
      <w:r w:rsidR="000D4D00" w:rsidRPr="00FD1578">
        <w:rPr>
          <w:rFonts w:eastAsia="Times New Roman" w:cs="Times New Roman"/>
          <w:b/>
          <w:i/>
          <w:color w:val="000000"/>
        </w:rPr>
        <w:t xml:space="preserve">., </w:t>
      </w:r>
      <w:r w:rsidR="00902165" w:rsidRPr="00FD1578">
        <w:rPr>
          <w:rFonts w:eastAsia="Times New Roman" w:cs="Times New Roman"/>
          <w:b/>
          <w:i/>
          <w:color w:val="000000"/>
        </w:rPr>
        <w:t>202</w:t>
      </w:r>
      <w:r w:rsidR="001529EE" w:rsidRPr="00FD1578">
        <w:rPr>
          <w:rFonts w:eastAsia="Times New Roman" w:cs="Times New Roman"/>
          <w:b/>
          <w:i/>
          <w:color w:val="000000"/>
        </w:rPr>
        <w:t>6</w:t>
      </w:r>
      <w:r w:rsidR="000D4D00" w:rsidRPr="00FD1578">
        <w:rPr>
          <w:rFonts w:eastAsia="Times New Roman" w:cs="Times New Roman"/>
          <w:b/>
          <w:i/>
          <w:color w:val="000000"/>
        </w:rPr>
        <w:t xml:space="preserve">. un </w:t>
      </w:r>
      <w:r w:rsidR="00902165" w:rsidRPr="00FD1578">
        <w:rPr>
          <w:rFonts w:eastAsia="Times New Roman" w:cs="Times New Roman"/>
          <w:b/>
          <w:i/>
          <w:color w:val="000000"/>
        </w:rPr>
        <w:t>202</w:t>
      </w:r>
      <w:r w:rsidR="001529EE" w:rsidRPr="00FD1578">
        <w:rPr>
          <w:rFonts w:eastAsia="Times New Roman" w:cs="Times New Roman"/>
          <w:b/>
          <w:i/>
          <w:color w:val="000000"/>
        </w:rPr>
        <w:t>7</w:t>
      </w:r>
      <w:r w:rsidR="000D4D00" w:rsidRPr="00FD1578">
        <w:rPr>
          <w:rFonts w:eastAsia="Times New Roman" w:cs="Times New Roman"/>
          <w:b/>
          <w:i/>
          <w:color w:val="000000"/>
        </w:rPr>
        <w:t>.</w:t>
      </w:r>
      <w:r w:rsidRPr="00FD1578">
        <w:rPr>
          <w:rFonts w:eastAsia="Times New Roman" w:cs="Times New Roman"/>
          <w:b/>
          <w:i/>
          <w:color w:val="000000"/>
        </w:rPr>
        <w:t xml:space="preserve"> </w:t>
      </w:r>
      <w:r w:rsidR="000D4D00" w:rsidRPr="00FD1578">
        <w:rPr>
          <w:rFonts w:eastAsia="Times New Roman" w:cs="Times New Roman"/>
          <w:b/>
          <w:i/>
          <w:color w:val="000000"/>
        </w:rPr>
        <w:t>gadam</w:t>
      </w:r>
    </w:p>
    <w:tbl>
      <w:tblPr>
        <w:tblW w:w="0" w:type="auto"/>
        <w:jc w:val="center"/>
        <w:tblCellMar>
          <w:left w:w="10" w:type="dxa"/>
          <w:right w:w="10" w:type="dxa"/>
        </w:tblCellMar>
        <w:tblLook w:val="0000" w:firstRow="0" w:lastRow="0" w:firstColumn="0" w:lastColumn="0" w:noHBand="0" w:noVBand="0"/>
      </w:tblPr>
      <w:tblGrid>
        <w:gridCol w:w="1429"/>
        <w:gridCol w:w="1539"/>
        <w:gridCol w:w="1703"/>
        <w:gridCol w:w="1539"/>
        <w:gridCol w:w="1856"/>
        <w:gridCol w:w="995"/>
      </w:tblGrid>
      <w:tr w:rsidR="000D4D00" w:rsidRPr="00FD1578" w14:paraId="0E635C25" w14:textId="77777777" w:rsidTr="00D83C9B">
        <w:trPr>
          <w:jc w:val="center"/>
        </w:trPr>
        <w:tc>
          <w:tcPr>
            <w:tcW w:w="0" w:type="auto"/>
            <w:vMerge w:val="restart"/>
            <w:tcBorders>
              <w:top w:val="single" w:sz="4" w:space="0" w:color="000000"/>
              <w:left w:val="single" w:sz="4" w:space="0" w:color="000000"/>
              <w:bottom w:val="single" w:sz="12" w:space="0" w:color="9CC2E5"/>
              <w:right w:val="single" w:sz="4" w:space="0" w:color="000000"/>
            </w:tcBorders>
            <w:shd w:val="clear" w:color="000000" w:fill="BDD6EE"/>
            <w:tcMar>
              <w:left w:w="108" w:type="dxa"/>
              <w:right w:w="108" w:type="dxa"/>
            </w:tcMar>
            <w:vAlign w:val="center"/>
          </w:tcPr>
          <w:p w14:paraId="795D5457" w14:textId="364D3A5E" w:rsidR="000D4D00" w:rsidRPr="00D83C9B" w:rsidRDefault="00D83C9B" w:rsidP="00D83C9B">
            <w:pPr>
              <w:widowControl w:val="0"/>
              <w:ind w:firstLine="0"/>
              <w:jc w:val="center"/>
              <w:rPr>
                <w:rFonts w:eastAsia="Calibri" w:cs="Times New Roman"/>
              </w:rPr>
            </w:pPr>
            <w:r w:rsidRPr="00D83C9B">
              <w:rPr>
                <w:rFonts w:eastAsia="Calibri" w:cs="Times New Roman"/>
                <w:sz w:val="20"/>
                <w:szCs w:val="18"/>
              </w:rPr>
              <w:t>Gads</w:t>
            </w:r>
          </w:p>
        </w:tc>
        <w:tc>
          <w:tcPr>
            <w:tcW w:w="0" w:type="auto"/>
            <w:gridSpan w:val="2"/>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0C798485" w14:textId="6E381C58" w:rsidR="000D4D00" w:rsidRPr="00FD1578" w:rsidRDefault="00255306" w:rsidP="008349F0">
            <w:pPr>
              <w:widowControl w:val="0"/>
              <w:ind w:firstLine="0"/>
              <w:jc w:val="center"/>
            </w:pPr>
            <w:r w:rsidRPr="00FD1578">
              <w:rPr>
                <w:rFonts w:eastAsia="Times New Roman" w:cs="Times New Roman"/>
                <w:b/>
                <w:color w:val="000000"/>
                <w:sz w:val="20"/>
              </w:rPr>
              <w:t xml:space="preserve">Vidēja termiņa budžeta ietvars </w:t>
            </w:r>
            <w:r w:rsidR="000D4D00" w:rsidRPr="00FD1578">
              <w:rPr>
                <w:rFonts w:eastAsia="Times New Roman" w:cs="Times New Roman"/>
                <w:b/>
                <w:color w:val="000000"/>
                <w:sz w:val="20"/>
              </w:rPr>
              <w:t>202</w:t>
            </w:r>
            <w:r w:rsidR="001529EE" w:rsidRPr="00FD1578">
              <w:rPr>
                <w:rFonts w:eastAsia="Times New Roman" w:cs="Times New Roman"/>
                <w:b/>
                <w:color w:val="000000"/>
                <w:sz w:val="20"/>
              </w:rPr>
              <w:t>4</w:t>
            </w:r>
            <w:r w:rsidR="000D4D00" w:rsidRPr="00FD1578">
              <w:rPr>
                <w:rFonts w:eastAsia="Times New Roman" w:cs="Times New Roman"/>
                <w:b/>
                <w:color w:val="000000"/>
                <w:sz w:val="20"/>
              </w:rPr>
              <w:t>-</w:t>
            </w:r>
            <w:r w:rsidR="005B0C58" w:rsidRPr="00FD1578">
              <w:rPr>
                <w:rFonts w:eastAsia="Times New Roman" w:cs="Times New Roman"/>
                <w:b/>
                <w:color w:val="000000"/>
                <w:sz w:val="20"/>
              </w:rPr>
              <w:t>202</w:t>
            </w:r>
            <w:r w:rsidR="001529EE" w:rsidRPr="00FD1578">
              <w:rPr>
                <w:rFonts w:eastAsia="Times New Roman" w:cs="Times New Roman"/>
                <w:b/>
                <w:color w:val="000000"/>
                <w:sz w:val="20"/>
              </w:rPr>
              <w:t>6</w:t>
            </w:r>
          </w:p>
        </w:tc>
        <w:tc>
          <w:tcPr>
            <w:tcW w:w="0" w:type="auto"/>
            <w:gridSpan w:val="2"/>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2F6EF408" w14:textId="77777777" w:rsidR="003D51C1" w:rsidRPr="00FD1578" w:rsidRDefault="00255306" w:rsidP="008349F0">
            <w:pPr>
              <w:widowControl w:val="0"/>
              <w:spacing w:after="0"/>
              <w:ind w:firstLine="0"/>
              <w:jc w:val="center"/>
              <w:rPr>
                <w:rFonts w:eastAsia="Times New Roman" w:cs="Times New Roman"/>
                <w:b/>
                <w:color w:val="000000"/>
                <w:sz w:val="20"/>
              </w:rPr>
            </w:pPr>
            <w:r w:rsidRPr="00FD1578">
              <w:rPr>
                <w:rFonts w:eastAsia="Times New Roman" w:cs="Times New Roman"/>
                <w:b/>
                <w:color w:val="000000"/>
                <w:sz w:val="20"/>
              </w:rPr>
              <w:t>Vidēja termiņa budžeta ietvar</w:t>
            </w:r>
            <w:r w:rsidR="00902165" w:rsidRPr="00FD1578">
              <w:rPr>
                <w:rFonts w:eastAsia="Times New Roman" w:cs="Times New Roman"/>
                <w:b/>
                <w:color w:val="000000"/>
                <w:sz w:val="20"/>
              </w:rPr>
              <w:t>s</w:t>
            </w:r>
            <w:r w:rsidRPr="00FD1578">
              <w:rPr>
                <w:rFonts w:eastAsia="Times New Roman" w:cs="Times New Roman"/>
                <w:b/>
                <w:color w:val="000000"/>
                <w:sz w:val="20"/>
              </w:rPr>
              <w:t xml:space="preserve"> </w:t>
            </w:r>
          </w:p>
          <w:p w14:paraId="2CDD9FFC" w14:textId="3508407B" w:rsidR="000D4D00" w:rsidRPr="00FD1578" w:rsidRDefault="000D4D00" w:rsidP="008349F0">
            <w:pPr>
              <w:widowControl w:val="0"/>
              <w:spacing w:after="0"/>
              <w:ind w:firstLine="0"/>
              <w:jc w:val="center"/>
            </w:pPr>
            <w:r w:rsidRPr="00FD1578">
              <w:rPr>
                <w:rFonts w:eastAsia="Times New Roman" w:cs="Times New Roman"/>
                <w:b/>
                <w:color w:val="000000"/>
                <w:sz w:val="20"/>
              </w:rPr>
              <w:t>202</w:t>
            </w:r>
            <w:r w:rsidR="001529EE" w:rsidRPr="00FD1578">
              <w:rPr>
                <w:rFonts w:eastAsia="Times New Roman" w:cs="Times New Roman"/>
                <w:b/>
                <w:color w:val="000000"/>
                <w:sz w:val="20"/>
              </w:rPr>
              <w:t>5</w:t>
            </w:r>
            <w:r w:rsidRPr="00FD1578">
              <w:rPr>
                <w:rFonts w:eastAsia="Times New Roman" w:cs="Times New Roman"/>
                <w:b/>
                <w:color w:val="000000"/>
                <w:sz w:val="20"/>
              </w:rPr>
              <w:t>-202</w:t>
            </w:r>
            <w:r w:rsidR="001529EE" w:rsidRPr="00FD1578">
              <w:rPr>
                <w:rFonts w:eastAsia="Times New Roman" w:cs="Times New Roman"/>
                <w:b/>
                <w:color w:val="000000"/>
                <w:sz w:val="20"/>
              </w:rPr>
              <w:t>7</w:t>
            </w:r>
          </w:p>
        </w:tc>
        <w:tc>
          <w:tcPr>
            <w:tcW w:w="0" w:type="auto"/>
            <w:vMerge w:val="restart"/>
            <w:tcBorders>
              <w:top w:val="single" w:sz="4" w:space="0" w:color="000000"/>
              <w:left w:val="single" w:sz="4" w:space="0" w:color="000000"/>
              <w:bottom w:val="single" w:sz="12" w:space="0" w:color="9CC2E5"/>
              <w:right w:val="single" w:sz="4" w:space="0" w:color="000000"/>
            </w:tcBorders>
            <w:shd w:val="clear" w:color="000000" w:fill="BDD6EE"/>
            <w:tcMar>
              <w:left w:w="108" w:type="dxa"/>
              <w:right w:w="108" w:type="dxa"/>
            </w:tcMar>
            <w:vAlign w:val="center"/>
          </w:tcPr>
          <w:p w14:paraId="4D4F4CD4" w14:textId="77777777" w:rsidR="000D4D00" w:rsidRPr="00FD1578" w:rsidRDefault="000D4D00" w:rsidP="008349F0">
            <w:pPr>
              <w:widowControl w:val="0"/>
              <w:ind w:firstLine="0"/>
              <w:jc w:val="center"/>
              <w:rPr>
                <w:rFonts w:eastAsia="Times New Roman" w:cs="Times New Roman"/>
                <w:b/>
                <w:color w:val="000000"/>
                <w:sz w:val="20"/>
              </w:rPr>
            </w:pPr>
            <w:r w:rsidRPr="00FD1578">
              <w:rPr>
                <w:rFonts w:eastAsia="Times New Roman" w:cs="Times New Roman"/>
                <w:b/>
                <w:color w:val="000000"/>
                <w:sz w:val="20"/>
              </w:rPr>
              <w:t>Starpība</w:t>
            </w:r>
          </w:p>
          <w:p w14:paraId="76434963" w14:textId="77777777" w:rsidR="000D4D00" w:rsidRPr="00FD1578" w:rsidRDefault="000D4D00" w:rsidP="008349F0">
            <w:pPr>
              <w:widowControl w:val="0"/>
              <w:ind w:firstLine="0"/>
              <w:jc w:val="center"/>
            </w:pPr>
            <w:r w:rsidRPr="00FD1578">
              <w:rPr>
                <w:rFonts w:eastAsia="Times New Roman" w:cs="Times New Roman"/>
                <w:b/>
                <w:color w:val="000000"/>
                <w:sz w:val="20"/>
              </w:rPr>
              <w:t>(3)=(2)-(1)</w:t>
            </w:r>
          </w:p>
        </w:tc>
      </w:tr>
      <w:tr w:rsidR="000D4D00" w:rsidRPr="00FD1578" w14:paraId="2B6C05D6" w14:textId="77777777" w:rsidTr="00D83C9B">
        <w:trPr>
          <w:jc w:val="center"/>
        </w:trPr>
        <w:tc>
          <w:tcPr>
            <w:tcW w:w="0" w:type="auto"/>
            <w:vMerge/>
            <w:tcBorders>
              <w:top w:val="single" w:sz="4" w:space="0" w:color="000000"/>
              <w:left w:val="single" w:sz="4" w:space="0" w:color="000000"/>
              <w:bottom w:val="single" w:sz="12" w:space="0" w:color="9CC2E5"/>
              <w:right w:val="single" w:sz="4" w:space="0" w:color="000000"/>
            </w:tcBorders>
            <w:shd w:val="clear" w:color="000000" w:fill="BDD6EE"/>
            <w:tcMar>
              <w:left w:w="108" w:type="dxa"/>
              <w:right w:w="108" w:type="dxa"/>
            </w:tcMar>
            <w:vAlign w:val="center"/>
          </w:tcPr>
          <w:p w14:paraId="14D2B09D" w14:textId="77777777" w:rsidR="000D4D00" w:rsidRPr="00FD1578" w:rsidRDefault="000D4D00" w:rsidP="008349F0">
            <w:pPr>
              <w:rPr>
                <w:rFonts w:ascii="Calibri" w:eastAsia="Calibri" w:hAnsi="Calibri" w:cs="Calibri"/>
              </w:rPr>
            </w:pPr>
          </w:p>
        </w:tc>
        <w:tc>
          <w:tcPr>
            <w:tcW w:w="0" w:type="auto"/>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71CE4136" w14:textId="77777777" w:rsidR="000D4D00" w:rsidRPr="00FD1578" w:rsidRDefault="000D4D00" w:rsidP="008349F0">
            <w:pPr>
              <w:widowControl w:val="0"/>
              <w:ind w:firstLine="28"/>
              <w:jc w:val="center"/>
              <w:rPr>
                <w:rFonts w:eastAsia="Times New Roman" w:cs="Times New Roman"/>
                <w:color w:val="000000"/>
                <w:sz w:val="20"/>
              </w:rPr>
            </w:pPr>
            <w:r w:rsidRPr="00FD1578">
              <w:rPr>
                <w:rFonts w:eastAsia="Times New Roman" w:cs="Times New Roman"/>
                <w:color w:val="000000"/>
                <w:sz w:val="20"/>
              </w:rPr>
              <w:t>Strukturālās bilances mērķis</w:t>
            </w:r>
          </w:p>
          <w:p w14:paraId="10A8AE14" w14:textId="77777777" w:rsidR="000D4D00" w:rsidRPr="00FD1578" w:rsidRDefault="000D4D00" w:rsidP="008349F0">
            <w:pPr>
              <w:widowControl w:val="0"/>
              <w:ind w:firstLine="28"/>
              <w:jc w:val="center"/>
            </w:pPr>
            <w:r w:rsidRPr="00FD1578">
              <w:rPr>
                <w:rFonts w:eastAsia="Times New Roman" w:cs="Times New Roman"/>
                <w:color w:val="000000"/>
                <w:sz w:val="20"/>
              </w:rPr>
              <w:t>(1)</w:t>
            </w:r>
          </w:p>
        </w:tc>
        <w:tc>
          <w:tcPr>
            <w:tcW w:w="0" w:type="auto"/>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322AF9AD" w14:textId="77777777" w:rsidR="000D4D00" w:rsidRPr="00FD1578" w:rsidRDefault="000D4D00" w:rsidP="008349F0">
            <w:pPr>
              <w:widowControl w:val="0"/>
              <w:ind w:firstLine="28"/>
              <w:jc w:val="center"/>
            </w:pPr>
            <w:r w:rsidRPr="00FD1578">
              <w:rPr>
                <w:rFonts w:eastAsia="Times New Roman" w:cs="Times New Roman"/>
                <w:color w:val="000000"/>
                <w:sz w:val="20"/>
              </w:rPr>
              <w:t>Noteicošais fiskālais nosacījums</w:t>
            </w:r>
          </w:p>
        </w:tc>
        <w:tc>
          <w:tcPr>
            <w:tcW w:w="0" w:type="auto"/>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35B93578" w14:textId="77777777" w:rsidR="000D4D00" w:rsidRPr="00FD1578" w:rsidRDefault="000D4D00" w:rsidP="008349F0">
            <w:pPr>
              <w:widowControl w:val="0"/>
              <w:ind w:firstLine="28"/>
              <w:jc w:val="center"/>
              <w:rPr>
                <w:rFonts w:eastAsia="Times New Roman" w:cs="Times New Roman"/>
                <w:color w:val="000000"/>
                <w:sz w:val="20"/>
              </w:rPr>
            </w:pPr>
            <w:r w:rsidRPr="00FD1578">
              <w:rPr>
                <w:rFonts w:eastAsia="Times New Roman" w:cs="Times New Roman"/>
                <w:color w:val="000000"/>
                <w:sz w:val="20"/>
              </w:rPr>
              <w:t>Strukturālās bilances mērķis</w:t>
            </w:r>
          </w:p>
          <w:p w14:paraId="1D450B59" w14:textId="77777777" w:rsidR="000D4D00" w:rsidRPr="00FD1578" w:rsidRDefault="000D4D00" w:rsidP="008349F0">
            <w:pPr>
              <w:widowControl w:val="0"/>
              <w:ind w:firstLine="28"/>
              <w:jc w:val="center"/>
            </w:pPr>
            <w:r w:rsidRPr="00FD1578">
              <w:rPr>
                <w:rFonts w:eastAsia="Times New Roman" w:cs="Times New Roman"/>
                <w:color w:val="000000"/>
                <w:sz w:val="20"/>
              </w:rPr>
              <w:t>(2)</w:t>
            </w:r>
          </w:p>
        </w:tc>
        <w:tc>
          <w:tcPr>
            <w:tcW w:w="0" w:type="auto"/>
            <w:tcBorders>
              <w:top w:val="single" w:sz="4" w:space="0" w:color="000000"/>
              <w:left w:val="single" w:sz="4" w:space="0" w:color="000000"/>
              <w:bottom w:val="single" w:sz="4" w:space="0" w:color="000000"/>
              <w:right w:val="single" w:sz="4" w:space="0" w:color="000000"/>
            </w:tcBorders>
            <w:shd w:val="clear" w:color="000000" w:fill="BDD6EE"/>
            <w:tcMar>
              <w:left w:w="108" w:type="dxa"/>
              <w:right w:w="108" w:type="dxa"/>
            </w:tcMar>
            <w:vAlign w:val="center"/>
          </w:tcPr>
          <w:p w14:paraId="7CD10522" w14:textId="77777777" w:rsidR="000D4D00" w:rsidRPr="00FD1578" w:rsidRDefault="000D4D00" w:rsidP="008349F0">
            <w:pPr>
              <w:widowControl w:val="0"/>
              <w:ind w:firstLine="28"/>
              <w:jc w:val="center"/>
            </w:pPr>
            <w:r w:rsidRPr="00FD1578">
              <w:rPr>
                <w:rFonts w:eastAsia="Times New Roman" w:cs="Times New Roman"/>
                <w:color w:val="000000"/>
                <w:sz w:val="20"/>
              </w:rPr>
              <w:t>Noteicošais fiskālais nosacījums</w:t>
            </w:r>
          </w:p>
        </w:tc>
        <w:tc>
          <w:tcPr>
            <w:tcW w:w="0" w:type="auto"/>
            <w:vMerge/>
            <w:tcBorders>
              <w:top w:val="single" w:sz="4" w:space="0" w:color="000000"/>
              <w:left w:val="single" w:sz="4" w:space="0" w:color="000000"/>
              <w:bottom w:val="single" w:sz="12" w:space="0" w:color="9CC2E5"/>
              <w:right w:val="single" w:sz="4" w:space="0" w:color="000000"/>
            </w:tcBorders>
            <w:shd w:val="clear" w:color="000000" w:fill="BDD6EE"/>
            <w:tcMar>
              <w:left w:w="108" w:type="dxa"/>
              <w:right w:w="108" w:type="dxa"/>
            </w:tcMar>
            <w:vAlign w:val="center"/>
          </w:tcPr>
          <w:p w14:paraId="79BEE534" w14:textId="77777777" w:rsidR="000D4D00" w:rsidRPr="00FD1578" w:rsidRDefault="000D4D00" w:rsidP="008349F0"/>
        </w:tc>
      </w:tr>
      <w:tr w:rsidR="000D4D00" w:rsidRPr="00FD1578" w14:paraId="269B262B" w14:textId="77777777" w:rsidTr="00D83C9B">
        <w:trPr>
          <w:trHeight w:val="429"/>
          <w:jc w:val="center"/>
        </w:trPr>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4DFC9459" w14:textId="5FF1551D" w:rsidR="000D4D00" w:rsidRPr="00FD1578" w:rsidRDefault="000D4D00" w:rsidP="008349F0">
            <w:pPr>
              <w:widowControl w:val="0"/>
              <w:ind w:firstLine="0"/>
              <w:jc w:val="center"/>
              <w:rPr>
                <w:rFonts w:eastAsia="Times New Roman" w:cs="Times New Roman"/>
                <w:b/>
                <w:color w:val="000000"/>
                <w:sz w:val="20"/>
              </w:rPr>
            </w:pPr>
            <w:r w:rsidRPr="00FD1578">
              <w:rPr>
                <w:rFonts w:eastAsia="Times New Roman" w:cs="Times New Roman"/>
                <w:b/>
                <w:color w:val="000000"/>
                <w:sz w:val="20"/>
              </w:rPr>
              <w:t>202</w:t>
            </w:r>
            <w:r w:rsidR="001529EE" w:rsidRPr="00FD1578">
              <w:rPr>
                <w:rFonts w:eastAsia="Times New Roman" w:cs="Times New Roman"/>
                <w:b/>
                <w:color w:val="000000"/>
                <w:sz w:val="20"/>
              </w:rPr>
              <w:t>4</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6DD3EFE6" w14:textId="7709A527" w:rsidR="000D4D00" w:rsidRPr="00FD1578" w:rsidRDefault="003B2ACB" w:rsidP="008349F0">
            <w:pPr>
              <w:widowControl w:val="0"/>
              <w:ind w:firstLine="28"/>
              <w:jc w:val="center"/>
              <w:rPr>
                <w:rFonts w:eastAsia="Times New Roman" w:cs="Times New Roman"/>
                <w:color w:val="000000"/>
                <w:sz w:val="20"/>
              </w:rPr>
            </w:pPr>
            <w:r w:rsidRPr="00FD1578">
              <w:rPr>
                <w:rFonts w:eastAsia="Times New Roman" w:cs="Times New Roman"/>
                <w:color w:val="000000"/>
                <w:sz w:val="20"/>
              </w:rPr>
              <w:t>-0,5</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76A73506" w14:textId="31BD8666" w:rsidR="000D4D00" w:rsidRPr="00FD1578" w:rsidRDefault="00F50E99" w:rsidP="008349F0">
            <w:pPr>
              <w:widowControl w:val="0"/>
              <w:ind w:firstLine="28"/>
              <w:jc w:val="center"/>
              <w:rPr>
                <w:rFonts w:eastAsia="Times New Roman" w:cs="Times New Roman"/>
                <w:color w:val="000000"/>
                <w:sz w:val="20"/>
              </w:rPr>
            </w:pPr>
            <w:r w:rsidRPr="00FD1578">
              <w:rPr>
                <w:rFonts w:eastAsia="Times New Roman" w:cs="Times New Roman"/>
                <w:color w:val="000000"/>
                <w:sz w:val="20"/>
              </w:rPr>
              <w:t>FDL strukturālās b</w:t>
            </w:r>
            <w:r w:rsidR="000D4D00" w:rsidRPr="00FD1578">
              <w:rPr>
                <w:rFonts w:eastAsia="Times New Roman" w:cs="Times New Roman"/>
                <w:color w:val="000000"/>
                <w:sz w:val="20"/>
              </w:rPr>
              <w:t>ilances nosacījums</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07AA2BBB" w14:textId="1CD2635F" w:rsidR="000D4D00" w:rsidRPr="00FD1578" w:rsidRDefault="003B2ACB" w:rsidP="008349F0">
            <w:pPr>
              <w:widowControl w:val="0"/>
              <w:ind w:firstLine="28"/>
              <w:jc w:val="center"/>
              <w:rPr>
                <w:rFonts w:eastAsia="Times New Roman" w:cs="Times New Roman"/>
                <w:color w:val="000000"/>
                <w:sz w:val="20"/>
              </w:rPr>
            </w:pPr>
            <w:r w:rsidRPr="00FD1578">
              <w:rPr>
                <w:rFonts w:eastAsia="Times New Roman" w:cs="Times New Roman"/>
                <w:color w:val="000000"/>
                <w:sz w:val="20"/>
              </w:rPr>
              <w:t>x</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265C64D9" w14:textId="44EA4783" w:rsidR="000D4D00" w:rsidRPr="00FD1578" w:rsidRDefault="003B2ACB" w:rsidP="008349F0">
            <w:pPr>
              <w:widowControl w:val="0"/>
              <w:ind w:firstLine="28"/>
              <w:jc w:val="center"/>
              <w:rPr>
                <w:rFonts w:eastAsia="Times New Roman" w:cs="Times New Roman"/>
                <w:color w:val="000000"/>
                <w:sz w:val="20"/>
              </w:rPr>
            </w:pPr>
            <w:r w:rsidRPr="00FD1578">
              <w:rPr>
                <w:rFonts w:eastAsia="Times New Roman" w:cs="Times New Roman"/>
                <w:color w:val="000000"/>
                <w:sz w:val="20"/>
              </w:rPr>
              <w:t>x</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4195B059" w14:textId="6AC650C4" w:rsidR="000D4D00" w:rsidRPr="00FD1578" w:rsidRDefault="000D4D00" w:rsidP="008349F0">
            <w:pPr>
              <w:widowControl w:val="0"/>
              <w:ind w:right="29" w:firstLine="0"/>
              <w:jc w:val="center"/>
              <w:rPr>
                <w:rFonts w:eastAsia="Times New Roman" w:cs="Times New Roman"/>
                <w:color w:val="000000"/>
                <w:sz w:val="20"/>
              </w:rPr>
            </w:pPr>
          </w:p>
        </w:tc>
      </w:tr>
      <w:tr w:rsidR="000D4D00" w:rsidRPr="00FD1578" w14:paraId="7A7D6EDC" w14:textId="77777777" w:rsidTr="00D83C9B">
        <w:trPr>
          <w:trHeight w:val="429"/>
          <w:jc w:val="center"/>
        </w:trPr>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2913FF50" w14:textId="6CD46F93" w:rsidR="000D4D00" w:rsidRPr="00FD1578" w:rsidRDefault="000D4D00" w:rsidP="008349F0">
            <w:pPr>
              <w:widowControl w:val="0"/>
              <w:ind w:firstLine="0"/>
              <w:jc w:val="center"/>
              <w:rPr>
                <w:rFonts w:eastAsia="Times New Roman" w:cs="Times New Roman"/>
                <w:b/>
                <w:color w:val="000000"/>
                <w:sz w:val="20"/>
              </w:rPr>
            </w:pPr>
            <w:r w:rsidRPr="00FD1578">
              <w:rPr>
                <w:rFonts w:eastAsia="Times New Roman" w:cs="Times New Roman"/>
                <w:b/>
                <w:color w:val="000000"/>
                <w:sz w:val="20"/>
              </w:rPr>
              <w:t>202</w:t>
            </w:r>
            <w:r w:rsidR="001529EE" w:rsidRPr="00FD1578">
              <w:rPr>
                <w:rFonts w:eastAsia="Times New Roman" w:cs="Times New Roman"/>
                <w:b/>
                <w:color w:val="000000"/>
                <w:sz w:val="20"/>
              </w:rPr>
              <w:t>5</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7F3662AC" w14:textId="3E9772CD" w:rsidR="000D4D00" w:rsidRPr="00FD1578" w:rsidRDefault="003B2ACB" w:rsidP="008349F0">
            <w:pPr>
              <w:widowControl w:val="0"/>
              <w:ind w:firstLine="28"/>
              <w:jc w:val="center"/>
              <w:rPr>
                <w:rFonts w:eastAsia="Times New Roman" w:cs="Times New Roman"/>
                <w:color w:val="000000"/>
                <w:sz w:val="20"/>
              </w:rPr>
            </w:pPr>
            <w:r w:rsidRPr="00FD1578">
              <w:rPr>
                <w:rFonts w:eastAsia="Times New Roman" w:cs="Times New Roman"/>
                <w:color w:val="000000"/>
                <w:sz w:val="20"/>
              </w:rPr>
              <w:t>-0,5</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64744CAE" w14:textId="61368EC3" w:rsidR="000D4D00" w:rsidRPr="00FD1578" w:rsidRDefault="00F50E99" w:rsidP="008349F0">
            <w:pPr>
              <w:widowControl w:val="0"/>
              <w:ind w:firstLine="28"/>
              <w:jc w:val="center"/>
              <w:rPr>
                <w:rFonts w:eastAsia="Times New Roman" w:cs="Times New Roman"/>
                <w:color w:val="000000"/>
                <w:sz w:val="20"/>
              </w:rPr>
            </w:pPr>
            <w:r w:rsidRPr="00FD1578">
              <w:rPr>
                <w:rFonts w:eastAsia="Times New Roman" w:cs="Times New Roman"/>
                <w:color w:val="000000"/>
                <w:sz w:val="20"/>
              </w:rPr>
              <w:t>FDL strukturālās bilances nosacījums</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5CAE9423" w14:textId="43A45F96" w:rsidR="000D4D00" w:rsidRPr="00A835E7" w:rsidRDefault="0018367D" w:rsidP="008349F0">
            <w:pPr>
              <w:widowControl w:val="0"/>
              <w:ind w:firstLine="28"/>
              <w:jc w:val="center"/>
              <w:rPr>
                <w:rFonts w:eastAsia="Times New Roman" w:cs="Times New Roman"/>
                <w:color w:val="000000"/>
                <w:sz w:val="20"/>
              </w:rPr>
            </w:pPr>
            <w:r w:rsidRPr="00A835E7">
              <w:rPr>
                <w:rFonts w:eastAsia="Times New Roman" w:cs="Times New Roman"/>
                <w:color w:val="000000"/>
                <w:sz w:val="20"/>
              </w:rPr>
              <w:t>-</w:t>
            </w:r>
            <w:r w:rsidR="00902165" w:rsidRPr="00A835E7">
              <w:rPr>
                <w:rFonts w:eastAsia="Times New Roman" w:cs="Times New Roman"/>
                <w:color w:val="000000"/>
                <w:sz w:val="20"/>
              </w:rPr>
              <w:t>0,</w:t>
            </w:r>
            <w:r w:rsidR="00A835E7" w:rsidRPr="00A835E7">
              <w:rPr>
                <w:rFonts w:eastAsia="Times New Roman" w:cs="Times New Roman"/>
                <w:color w:val="000000"/>
                <w:sz w:val="20"/>
              </w:rPr>
              <w:t>82</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3075F641" w14:textId="458EB59A" w:rsidR="000D4D00" w:rsidRPr="006A3169" w:rsidRDefault="00490B79" w:rsidP="008349F0">
            <w:pPr>
              <w:widowControl w:val="0"/>
              <w:ind w:firstLine="28"/>
              <w:jc w:val="center"/>
              <w:rPr>
                <w:rFonts w:eastAsia="Times New Roman" w:cs="Times New Roman"/>
                <w:color w:val="000000"/>
                <w:sz w:val="20"/>
                <w:szCs w:val="20"/>
              </w:rPr>
            </w:pPr>
            <w:r w:rsidRPr="006A3169">
              <w:rPr>
                <w:rFonts w:eastAsia="Times New Roman" w:cs="Times New Roman"/>
                <w:color w:val="000000"/>
                <w:sz w:val="20"/>
                <w:szCs w:val="20"/>
              </w:rPr>
              <w:t>ES strukturālās primārās bilances nosacījums</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3874F8E6" w14:textId="058E550F" w:rsidR="000D4D00" w:rsidRPr="00A835E7" w:rsidRDefault="001529EE" w:rsidP="008349F0">
            <w:pPr>
              <w:widowControl w:val="0"/>
              <w:ind w:right="29" w:firstLine="23"/>
              <w:jc w:val="center"/>
              <w:rPr>
                <w:rFonts w:eastAsia="Times New Roman" w:cs="Times New Roman"/>
                <w:color w:val="000000"/>
                <w:sz w:val="20"/>
              </w:rPr>
            </w:pPr>
            <w:r w:rsidRPr="00A835E7">
              <w:rPr>
                <w:rFonts w:eastAsia="Times New Roman" w:cs="Times New Roman"/>
                <w:color w:val="000000"/>
                <w:sz w:val="20"/>
              </w:rPr>
              <w:t>0,</w:t>
            </w:r>
            <w:r w:rsidR="00A835E7" w:rsidRPr="00A835E7">
              <w:rPr>
                <w:rFonts w:eastAsia="Times New Roman" w:cs="Times New Roman"/>
                <w:color w:val="000000"/>
                <w:sz w:val="20"/>
              </w:rPr>
              <w:t>32</w:t>
            </w:r>
          </w:p>
        </w:tc>
      </w:tr>
      <w:tr w:rsidR="006A3169" w:rsidRPr="00FD1578" w14:paraId="5E5A68D0" w14:textId="77777777" w:rsidTr="00065825">
        <w:trPr>
          <w:trHeight w:val="429"/>
          <w:jc w:val="center"/>
        </w:trPr>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1A462963" w14:textId="4092217E" w:rsidR="006A3169" w:rsidRPr="00FD1578" w:rsidRDefault="006A3169" w:rsidP="006A3169">
            <w:pPr>
              <w:widowControl w:val="0"/>
              <w:ind w:firstLine="0"/>
              <w:jc w:val="center"/>
              <w:rPr>
                <w:rFonts w:eastAsia="Times New Roman" w:cs="Times New Roman"/>
                <w:b/>
                <w:color w:val="000000"/>
                <w:sz w:val="20"/>
              </w:rPr>
            </w:pPr>
            <w:r w:rsidRPr="00FD1578">
              <w:rPr>
                <w:rFonts w:eastAsia="Times New Roman" w:cs="Times New Roman"/>
                <w:b/>
                <w:color w:val="000000"/>
                <w:sz w:val="20"/>
              </w:rPr>
              <w:t>2026</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10AE8A51" w14:textId="1CF64A86" w:rsidR="006A3169" w:rsidRPr="00FD1578" w:rsidRDefault="006A3169" w:rsidP="006A3169">
            <w:pPr>
              <w:widowControl w:val="0"/>
              <w:ind w:firstLine="28"/>
              <w:jc w:val="center"/>
              <w:rPr>
                <w:rFonts w:eastAsia="Times New Roman" w:cs="Times New Roman"/>
                <w:color w:val="000000"/>
                <w:sz w:val="20"/>
              </w:rPr>
            </w:pPr>
            <w:r w:rsidRPr="00FD1578">
              <w:rPr>
                <w:rFonts w:eastAsia="Times New Roman" w:cs="Times New Roman"/>
                <w:color w:val="000000"/>
                <w:sz w:val="20"/>
              </w:rPr>
              <w:t>-0,5</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12FD069E" w14:textId="483F24EC" w:rsidR="006A3169" w:rsidRPr="00FD1578" w:rsidRDefault="006A3169" w:rsidP="006A3169">
            <w:pPr>
              <w:widowControl w:val="0"/>
              <w:ind w:firstLine="28"/>
              <w:jc w:val="center"/>
              <w:rPr>
                <w:rFonts w:eastAsia="Times New Roman" w:cs="Times New Roman"/>
                <w:color w:val="000000"/>
                <w:sz w:val="20"/>
              </w:rPr>
            </w:pPr>
            <w:r w:rsidRPr="00FD1578">
              <w:rPr>
                <w:rFonts w:eastAsia="Times New Roman" w:cs="Times New Roman"/>
                <w:color w:val="000000"/>
                <w:sz w:val="20"/>
              </w:rPr>
              <w:t>FDL strukturālās bilances nosacījums</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0FF38FED" w14:textId="4B2A0220" w:rsidR="006A3169" w:rsidRPr="00A835E7" w:rsidRDefault="006A3169" w:rsidP="006A3169">
            <w:pPr>
              <w:widowControl w:val="0"/>
              <w:ind w:firstLine="28"/>
              <w:jc w:val="center"/>
              <w:rPr>
                <w:rFonts w:eastAsia="Times New Roman" w:cs="Times New Roman"/>
                <w:color w:val="000000"/>
                <w:sz w:val="20"/>
              </w:rPr>
            </w:pPr>
            <w:r w:rsidRPr="00A835E7">
              <w:rPr>
                <w:rFonts w:eastAsia="Times New Roman" w:cs="Times New Roman"/>
                <w:color w:val="000000"/>
                <w:sz w:val="20"/>
              </w:rPr>
              <w:t>-0,75</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tcPr>
          <w:p w14:paraId="0DE5373D" w14:textId="5C4F2231" w:rsidR="006A3169" w:rsidRPr="006A3169" w:rsidRDefault="006A3169" w:rsidP="006A3169">
            <w:pPr>
              <w:widowControl w:val="0"/>
              <w:ind w:firstLine="28"/>
              <w:jc w:val="center"/>
              <w:rPr>
                <w:rFonts w:eastAsia="Times New Roman" w:cs="Times New Roman"/>
                <w:color w:val="000000"/>
                <w:sz w:val="20"/>
                <w:szCs w:val="20"/>
              </w:rPr>
            </w:pPr>
            <w:r w:rsidRPr="006A3169">
              <w:rPr>
                <w:sz w:val="20"/>
                <w:szCs w:val="20"/>
              </w:rPr>
              <w:t>ES izdevumu pieauguma nosacījums</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2D84E538" w14:textId="05A090BA" w:rsidR="006A3169" w:rsidRPr="00A835E7" w:rsidRDefault="006A3169" w:rsidP="006A3169">
            <w:pPr>
              <w:widowControl w:val="0"/>
              <w:ind w:right="29" w:firstLine="0"/>
              <w:jc w:val="center"/>
              <w:rPr>
                <w:rFonts w:eastAsia="Times New Roman" w:cs="Times New Roman"/>
                <w:color w:val="000000"/>
                <w:sz w:val="20"/>
              </w:rPr>
            </w:pPr>
            <w:r w:rsidRPr="00A835E7">
              <w:rPr>
                <w:rFonts w:eastAsia="Times New Roman" w:cs="Times New Roman"/>
                <w:color w:val="000000"/>
                <w:sz w:val="20"/>
              </w:rPr>
              <w:t>0,25</w:t>
            </w:r>
          </w:p>
        </w:tc>
      </w:tr>
      <w:tr w:rsidR="006A3169" w:rsidRPr="00FD1578" w14:paraId="5C380CC2" w14:textId="77777777" w:rsidTr="00065825">
        <w:trPr>
          <w:trHeight w:val="429"/>
          <w:jc w:val="center"/>
        </w:trPr>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6BCB7DCD" w14:textId="5D3EAAF5" w:rsidR="006A3169" w:rsidRPr="00FD1578" w:rsidRDefault="006A3169" w:rsidP="006A3169">
            <w:pPr>
              <w:widowControl w:val="0"/>
              <w:ind w:firstLine="0"/>
              <w:jc w:val="center"/>
              <w:rPr>
                <w:rFonts w:eastAsia="Times New Roman" w:cs="Times New Roman"/>
                <w:b/>
                <w:color w:val="000000"/>
                <w:sz w:val="20"/>
              </w:rPr>
            </w:pPr>
            <w:r w:rsidRPr="00FD1578">
              <w:rPr>
                <w:rFonts w:eastAsia="Times New Roman" w:cs="Times New Roman"/>
                <w:b/>
                <w:color w:val="000000"/>
                <w:sz w:val="20"/>
              </w:rPr>
              <w:t>2027</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78A61EC0" w14:textId="3A37D33A" w:rsidR="006A3169" w:rsidRPr="00FD1578" w:rsidRDefault="006A3169" w:rsidP="006A3169">
            <w:pPr>
              <w:widowControl w:val="0"/>
              <w:ind w:firstLine="28"/>
              <w:jc w:val="center"/>
              <w:rPr>
                <w:rFonts w:eastAsia="Times New Roman" w:cs="Times New Roman"/>
                <w:color w:val="000000"/>
                <w:sz w:val="20"/>
              </w:rPr>
            </w:pPr>
            <w:r w:rsidRPr="00FD1578">
              <w:rPr>
                <w:rFonts w:eastAsia="Times New Roman" w:cs="Times New Roman"/>
                <w:color w:val="000000"/>
                <w:sz w:val="20"/>
              </w:rPr>
              <w:t>x</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17F6A091" w14:textId="0AAF24E0" w:rsidR="006A3169" w:rsidRPr="00FD1578" w:rsidRDefault="006A3169" w:rsidP="006A3169">
            <w:pPr>
              <w:widowControl w:val="0"/>
              <w:ind w:firstLine="28"/>
              <w:jc w:val="center"/>
              <w:rPr>
                <w:rFonts w:eastAsia="Times New Roman" w:cs="Times New Roman"/>
                <w:color w:val="000000"/>
                <w:sz w:val="20"/>
              </w:rPr>
            </w:pPr>
            <w:r w:rsidRPr="00FD1578">
              <w:rPr>
                <w:rFonts w:eastAsia="Times New Roman" w:cs="Times New Roman"/>
                <w:color w:val="000000"/>
                <w:sz w:val="20"/>
              </w:rPr>
              <w:t>x</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6B7A950B" w14:textId="4EB7A223" w:rsidR="006A3169" w:rsidRPr="00A835E7" w:rsidRDefault="006A3169" w:rsidP="006A3169">
            <w:pPr>
              <w:widowControl w:val="0"/>
              <w:ind w:firstLine="28"/>
              <w:jc w:val="center"/>
              <w:rPr>
                <w:rFonts w:eastAsia="Times New Roman" w:cs="Times New Roman"/>
                <w:color w:val="000000"/>
                <w:sz w:val="20"/>
              </w:rPr>
            </w:pPr>
            <w:r w:rsidRPr="00A835E7">
              <w:rPr>
                <w:rFonts w:eastAsia="Times New Roman" w:cs="Times New Roman"/>
                <w:color w:val="000000"/>
                <w:sz w:val="20"/>
              </w:rPr>
              <w:t>-0,79</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tcPr>
          <w:p w14:paraId="58B4B3F1" w14:textId="34534BE2" w:rsidR="006A3169" w:rsidRPr="006A3169" w:rsidRDefault="006A3169" w:rsidP="006A3169">
            <w:pPr>
              <w:widowControl w:val="0"/>
              <w:ind w:firstLine="28"/>
              <w:jc w:val="center"/>
              <w:rPr>
                <w:rFonts w:eastAsia="Times New Roman" w:cs="Times New Roman"/>
                <w:color w:val="000000"/>
                <w:sz w:val="20"/>
                <w:szCs w:val="20"/>
              </w:rPr>
            </w:pPr>
            <w:r w:rsidRPr="006A3169">
              <w:rPr>
                <w:sz w:val="20"/>
                <w:szCs w:val="20"/>
              </w:rPr>
              <w:t>ES izdevumu pieauguma nosacījums</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27680296" w14:textId="0A96D2DD" w:rsidR="006A3169" w:rsidRPr="00A835E7" w:rsidRDefault="006A3169" w:rsidP="006A3169">
            <w:pPr>
              <w:widowControl w:val="0"/>
              <w:ind w:right="29" w:firstLine="0"/>
              <w:jc w:val="center"/>
              <w:rPr>
                <w:rFonts w:eastAsia="Times New Roman" w:cs="Times New Roman"/>
                <w:color w:val="000000"/>
                <w:sz w:val="20"/>
              </w:rPr>
            </w:pPr>
            <w:r w:rsidRPr="00A835E7">
              <w:rPr>
                <w:rFonts w:eastAsia="Times New Roman" w:cs="Times New Roman"/>
                <w:color w:val="000000"/>
                <w:sz w:val="20"/>
              </w:rPr>
              <w:t>x</w:t>
            </w:r>
          </w:p>
        </w:tc>
      </w:tr>
      <w:tr w:rsidR="006A3169" w:rsidRPr="00FD1578" w14:paraId="2CF7D045" w14:textId="77777777" w:rsidTr="00065825">
        <w:trPr>
          <w:trHeight w:val="429"/>
          <w:jc w:val="center"/>
        </w:trPr>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46098667" w14:textId="4AADDD20" w:rsidR="006A3169" w:rsidRPr="00FD1578" w:rsidRDefault="006A3169" w:rsidP="006A3169">
            <w:pPr>
              <w:widowControl w:val="0"/>
              <w:ind w:firstLine="0"/>
              <w:jc w:val="center"/>
              <w:rPr>
                <w:rFonts w:eastAsia="Times New Roman" w:cs="Times New Roman"/>
                <w:b/>
                <w:color w:val="000000"/>
                <w:sz w:val="20"/>
              </w:rPr>
            </w:pPr>
            <w:r w:rsidRPr="00FD1578">
              <w:rPr>
                <w:rFonts w:eastAsia="Times New Roman" w:cs="Times New Roman"/>
                <w:b/>
                <w:color w:val="000000"/>
                <w:sz w:val="20"/>
              </w:rPr>
              <w:t>2028 (informatīvi)</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76760A83" w14:textId="77777777" w:rsidR="006A3169" w:rsidRPr="00FD1578" w:rsidRDefault="006A3169" w:rsidP="006A3169">
            <w:pPr>
              <w:widowControl w:val="0"/>
              <w:ind w:firstLine="28"/>
              <w:jc w:val="center"/>
              <w:rPr>
                <w:rFonts w:eastAsia="Times New Roman" w:cs="Times New Roman"/>
                <w:color w:val="000000"/>
                <w:sz w:val="20"/>
              </w:rPr>
            </w:pP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297E2F6A" w14:textId="77777777" w:rsidR="006A3169" w:rsidRPr="00FD1578" w:rsidRDefault="006A3169" w:rsidP="006A3169">
            <w:pPr>
              <w:widowControl w:val="0"/>
              <w:ind w:firstLine="28"/>
              <w:jc w:val="center"/>
              <w:rPr>
                <w:rFonts w:eastAsia="Times New Roman" w:cs="Times New Roman"/>
                <w:color w:val="000000"/>
                <w:sz w:val="20"/>
              </w:rPr>
            </w:pP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68EDB7AB" w14:textId="4BDF29C4" w:rsidR="006A3169" w:rsidRPr="00A835E7" w:rsidRDefault="006A3169" w:rsidP="006A3169">
            <w:pPr>
              <w:widowControl w:val="0"/>
              <w:ind w:firstLine="28"/>
              <w:jc w:val="center"/>
              <w:rPr>
                <w:rFonts w:eastAsia="Times New Roman" w:cs="Times New Roman"/>
                <w:color w:val="000000"/>
                <w:sz w:val="20"/>
              </w:rPr>
            </w:pPr>
            <w:r w:rsidRPr="00A835E7">
              <w:rPr>
                <w:rFonts w:eastAsia="Times New Roman" w:cs="Times New Roman"/>
                <w:color w:val="000000"/>
                <w:sz w:val="20"/>
              </w:rPr>
              <w:t>-0,93</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tcPr>
          <w:p w14:paraId="02AC03E0" w14:textId="6F3899D6" w:rsidR="006A3169" w:rsidRPr="006A3169" w:rsidRDefault="006A3169" w:rsidP="006A3169">
            <w:pPr>
              <w:widowControl w:val="0"/>
              <w:ind w:firstLine="28"/>
              <w:jc w:val="center"/>
              <w:rPr>
                <w:rFonts w:eastAsia="Times New Roman" w:cs="Times New Roman"/>
                <w:color w:val="000000"/>
                <w:sz w:val="20"/>
                <w:szCs w:val="20"/>
              </w:rPr>
            </w:pPr>
            <w:r w:rsidRPr="006A3169">
              <w:rPr>
                <w:sz w:val="20"/>
                <w:szCs w:val="20"/>
              </w:rPr>
              <w:t>ES izdevumu pieauguma nosacījums</w:t>
            </w:r>
          </w:p>
        </w:tc>
        <w:tc>
          <w:tcPr>
            <w:tcW w:w="0" w:type="auto"/>
            <w:tcBorders>
              <w:top w:val="single" w:sz="4" w:space="0" w:color="000000"/>
              <w:left w:val="single" w:sz="4" w:space="0" w:color="000000"/>
              <w:bottom w:val="single" w:sz="4" w:space="0" w:color="000000"/>
              <w:right w:val="single" w:sz="4" w:space="0" w:color="000000"/>
            </w:tcBorders>
            <w:shd w:val="clear" w:color="000000" w:fill="auto"/>
            <w:tcMar>
              <w:left w:w="108" w:type="dxa"/>
              <w:right w:w="108" w:type="dxa"/>
            </w:tcMar>
            <w:vAlign w:val="center"/>
          </w:tcPr>
          <w:p w14:paraId="1C1D594E" w14:textId="5D1E7EFB" w:rsidR="006A3169" w:rsidRPr="00A835E7" w:rsidRDefault="006A3169" w:rsidP="006A3169">
            <w:pPr>
              <w:widowControl w:val="0"/>
              <w:ind w:right="29" w:firstLine="0"/>
              <w:jc w:val="center"/>
              <w:rPr>
                <w:rFonts w:eastAsia="Times New Roman" w:cs="Times New Roman"/>
                <w:color w:val="000000"/>
                <w:sz w:val="20"/>
              </w:rPr>
            </w:pPr>
            <w:r w:rsidRPr="00A835E7">
              <w:rPr>
                <w:rFonts w:eastAsia="Times New Roman" w:cs="Times New Roman"/>
                <w:color w:val="000000"/>
                <w:sz w:val="20"/>
              </w:rPr>
              <w:t>x</w:t>
            </w:r>
          </w:p>
        </w:tc>
      </w:tr>
    </w:tbl>
    <w:p w14:paraId="2111554F" w14:textId="75FA4E7A" w:rsidR="007F305B" w:rsidRPr="00FD1578" w:rsidRDefault="00D57DD6" w:rsidP="008349F0">
      <w:pPr>
        <w:pStyle w:val="Heading3"/>
        <w:numPr>
          <w:ilvl w:val="0"/>
          <w:numId w:val="0"/>
        </w:numPr>
        <w:ind w:left="426"/>
      </w:pPr>
      <w:bookmarkStart w:id="54" w:name="_Toc179356085"/>
      <w:r w:rsidRPr="00FD1578">
        <w:lastRenderedPageBreak/>
        <w:t>2.1.5</w:t>
      </w:r>
      <w:r w:rsidR="00E8646E" w:rsidRPr="00FD1578">
        <w:t xml:space="preserve">. </w:t>
      </w:r>
      <w:r w:rsidR="007F305B" w:rsidRPr="00FD1578">
        <w:t>Vispārējās valdības sektorā klasif</w:t>
      </w:r>
      <w:r w:rsidR="005715BC" w:rsidRPr="00FD1578">
        <w:t>icēto kapitālsabiedrību faktiskā ietekme</w:t>
      </w:r>
      <w:r w:rsidR="007F305B" w:rsidRPr="00FD1578">
        <w:t xml:space="preserve"> uz vispārējās valdības budžeta bilanci un parādu</w:t>
      </w:r>
      <w:bookmarkEnd w:id="54"/>
    </w:p>
    <w:p w14:paraId="58C21657" w14:textId="2BBD8EA2" w:rsidR="0052019B" w:rsidRPr="00250E42" w:rsidRDefault="00EB7D26" w:rsidP="008349F0">
      <w:r w:rsidRPr="00FD1578">
        <w:t>Likumprojekt</w:t>
      </w:r>
      <w:r w:rsidR="00096F2A" w:rsidRPr="00FD1578">
        <w:t>a</w:t>
      </w:r>
      <w:r w:rsidRPr="00FD1578">
        <w:t xml:space="preserve"> “</w:t>
      </w:r>
      <w:r w:rsidR="00322105" w:rsidRPr="00FD1578">
        <w:t>Par valsts budžetu 202</w:t>
      </w:r>
      <w:r w:rsidR="00661CB9" w:rsidRPr="00FD1578">
        <w:t>5</w:t>
      </w:r>
      <w:r w:rsidR="00322105" w:rsidRPr="00FD1578">
        <w:t>.</w:t>
      </w:r>
      <w:r w:rsidR="00096F2A" w:rsidRPr="00FD1578">
        <w:t xml:space="preserve"> </w:t>
      </w:r>
      <w:r w:rsidR="00322105" w:rsidRPr="00FD1578">
        <w:t>gadam un budžeta ietvaru 202</w:t>
      </w:r>
      <w:r w:rsidR="00661CB9" w:rsidRPr="00FD1578">
        <w:t>5</w:t>
      </w:r>
      <w:r w:rsidR="00322105" w:rsidRPr="00FD1578">
        <w:t>., 202</w:t>
      </w:r>
      <w:r w:rsidR="00661CB9" w:rsidRPr="00FD1578">
        <w:t>6</w:t>
      </w:r>
      <w:r w:rsidR="00322105" w:rsidRPr="00FD1578">
        <w:t>. un 202</w:t>
      </w:r>
      <w:r w:rsidR="00661CB9" w:rsidRPr="00FD1578">
        <w:t>7</w:t>
      </w:r>
      <w:r w:rsidR="00322105" w:rsidRPr="00422E4A">
        <w:t>.</w:t>
      </w:r>
      <w:r w:rsidR="00096F2A" w:rsidRPr="00422E4A">
        <w:t xml:space="preserve"> </w:t>
      </w:r>
      <w:r w:rsidR="00322105" w:rsidRPr="00422E4A">
        <w:t>gad</w:t>
      </w:r>
      <w:r w:rsidR="00C8209A" w:rsidRPr="00422E4A">
        <w:t>am</w:t>
      </w:r>
      <w:r w:rsidRPr="00422E4A">
        <w:t xml:space="preserve">” </w:t>
      </w:r>
      <w:r w:rsidR="00096F2A" w:rsidRPr="00422E4A">
        <w:t>21. pantā</w:t>
      </w:r>
      <w:r w:rsidR="00117F48" w:rsidRPr="00422E4A">
        <w:t xml:space="preserve"> </w:t>
      </w:r>
      <w:r w:rsidRPr="00422E4A">
        <w:t>ir noteikts, ka informācija par vispārējās valdības sektorā iekļauto kapitālsabiedrību faktisko</w:t>
      </w:r>
      <w:r w:rsidR="005A53E8" w:rsidRPr="00422E4A">
        <w:t xml:space="preserve"> </w:t>
      </w:r>
      <w:r w:rsidRPr="00422E4A">
        <w:t>un prognozēto</w:t>
      </w:r>
      <w:r w:rsidRPr="00FD1578">
        <w:t xml:space="preserve"> ietekmi uz vispārējās valdības izdevumiem, ieņēmumiem, budžeta bilanci un parādu ir publiski pieejama un </w:t>
      </w:r>
      <w:r w:rsidR="005B7C54" w:rsidRPr="00FD1578">
        <w:t>FM</w:t>
      </w:r>
      <w:r w:rsidRPr="00FD1578">
        <w:t xml:space="preserve"> to iekļauj likuma paskaidrojumos. Informācija par vispārējā valdības sektorā iekļauto kapitālsabiedrību faktisko ietekmi uz vispārējās valdības neto aizdevumiem vai aizņēmumiem (B.9) un parādu 20</w:t>
      </w:r>
      <w:r w:rsidR="005A53E8" w:rsidRPr="00FD1578">
        <w:t>2</w:t>
      </w:r>
      <w:r w:rsidR="00661CB9" w:rsidRPr="00FD1578">
        <w:t>1</w:t>
      </w:r>
      <w:r w:rsidRPr="00FD1578">
        <w:t>., 20</w:t>
      </w:r>
      <w:r w:rsidR="00322105" w:rsidRPr="00FD1578">
        <w:t>2</w:t>
      </w:r>
      <w:r w:rsidR="00661CB9" w:rsidRPr="00FD1578">
        <w:t>2</w:t>
      </w:r>
      <w:r w:rsidRPr="00FD1578">
        <w:t>. un 202</w:t>
      </w:r>
      <w:r w:rsidR="00661CB9" w:rsidRPr="00FD1578">
        <w:t>3</w:t>
      </w:r>
      <w:r w:rsidRPr="00FD1578">
        <w:t xml:space="preserve">. gadā tiek atspoguļota </w:t>
      </w:r>
      <w:r w:rsidR="00322105" w:rsidRPr="00FD1578">
        <w:t>1</w:t>
      </w:r>
      <w:r w:rsidRPr="00FD1578">
        <w:t>.</w:t>
      </w:r>
      <w:r w:rsidR="002B2F86" w:rsidRPr="00FD1578">
        <w:t xml:space="preserve"> </w:t>
      </w:r>
      <w:r w:rsidRPr="00FD1578">
        <w:t>pielikumā. Informācija par vispārējās valdības sektorā iekļauto kapitālsabiedrību prognozēto ietekmi vispārējās valdības neto aizdevumiem vai</w:t>
      </w:r>
      <w:r w:rsidR="005735FB">
        <w:t xml:space="preserve"> </w:t>
      </w:r>
      <w:r w:rsidRPr="00FD1578">
        <w:t xml:space="preserve">aizņēmumiem (B.9) </w:t>
      </w:r>
      <w:r w:rsidR="00322105" w:rsidRPr="00FD1578">
        <w:t>202</w:t>
      </w:r>
      <w:r w:rsidR="00661CB9" w:rsidRPr="00FD1578">
        <w:t>5</w:t>
      </w:r>
      <w:r w:rsidRPr="00FD1578">
        <w:t xml:space="preserve">., </w:t>
      </w:r>
      <w:r w:rsidR="00322105" w:rsidRPr="00FD1578">
        <w:t>202</w:t>
      </w:r>
      <w:r w:rsidR="00661CB9" w:rsidRPr="00FD1578">
        <w:t>6</w:t>
      </w:r>
      <w:r w:rsidRPr="00FD1578">
        <w:t xml:space="preserve">. un </w:t>
      </w:r>
      <w:r w:rsidR="00322105" w:rsidRPr="00FD1578">
        <w:t>202</w:t>
      </w:r>
      <w:r w:rsidR="00661CB9" w:rsidRPr="00FD1578">
        <w:t>7</w:t>
      </w:r>
      <w:r w:rsidRPr="00FD1578">
        <w:t xml:space="preserve">. gadā atrodama 2. pielikumā, un informācija par vispārējās valdības sektorā iekļauto kapitālsabiedrību prognozēto ietekmi uz vispārējās valdības </w:t>
      </w:r>
      <w:r w:rsidRPr="00250E42">
        <w:t xml:space="preserve">parādu </w:t>
      </w:r>
      <w:r w:rsidR="00322105" w:rsidRPr="00250E42">
        <w:t>202</w:t>
      </w:r>
      <w:r w:rsidR="00661CB9" w:rsidRPr="00250E42">
        <w:t>5</w:t>
      </w:r>
      <w:r w:rsidRPr="00250E42">
        <w:t xml:space="preserve">., </w:t>
      </w:r>
      <w:r w:rsidR="00322105" w:rsidRPr="00250E42">
        <w:t>202</w:t>
      </w:r>
      <w:r w:rsidR="00661CB9" w:rsidRPr="00250E42">
        <w:t>6</w:t>
      </w:r>
      <w:r w:rsidRPr="00250E42">
        <w:t xml:space="preserve">. un </w:t>
      </w:r>
      <w:r w:rsidR="00322105" w:rsidRPr="00250E42">
        <w:t>202</w:t>
      </w:r>
      <w:r w:rsidR="00661CB9" w:rsidRPr="00250E42">
        <w:t>7</w:t>
      </w:r>
      <w:r w:rsidRPr="00250E42">
        <w:t>. gadā atrodama 3. pielikumā.</w:t>
      </w:r>
    </w:p>
    <w:p w14:paraId="10D09C2C" w14:textId="4D6BF033" w:rsidR="00322C7C" w:rsidRPr="00892340" w:rsidRDefault="00DD5211" w:rsidP="008349F0">
      <w:pPr>
        <w:pStyle w:val="Heading2"/>
      </w:pPr>
      <w:bookmarkStart w:id="55" w:name="_Toc179356086"/>
      <w:r w:rsidRPr="00250E42">
        <w:t>2</w:t>
      </w:r>
      <w:r w:rsidRPr="00892340">
        <w:t xml:space="preserve">.2. </w:t>
      </w:r>
      <w:r w:rsidR="000548A5" w:rsidRPr="00892340">
        <w:t xml:space="preserve">Vispārējās valdības budžeta </w:t>
      </w:r>
      <w:r w:rsidR="004E6359" w:rsidRPr="00892340">
        <w:t>galvenie fiskālie rādītāji</w:t>
      </w:r>
      <w:bookmarkEnd w:id="55"/>
    </w:p>
    <w:p w14:paraId="09389F70" w14:textId="301C49C4" w:rsidR="003F3FCD" w:rsidRPr="00892340" w:rsidRDefault="005D361F" w:rsidP="008349F0">
      <w:pPr>
        <w:pStyle w:val="Heading3"/>
        <w:numPr>
          <w:ilvl w:val="0"/>
          <w:numId w:val="0"/>
        </w:numPr>
      </w:pPr>
      <w:bookmarkStart w:id="56" w:name="_Toc179356087"/>
      <w:r w:rsidRPr="00892340">
        <w:t xml:space="preserve">2.2.1. </w:t>
      </w:r>
      <w:r w:rsidR="000548A5" w:rsidRPr="00892340">
        <w:t>Vispārējās valdības budžeta struktūra</w:t>
      </w:r>
      <w:bookmarkEnd w:id="56"/>
    </w:p>
    <w:p w14:paraId="2ADACD9B" w14:textId="77777777" w:rsidR="00250E42" w:rsidRPr="00892340" w:rsidRDefault="00250E42" w:rsidP="00250E42">
      <w:pPr>
        <w:spacing w:before="240"/>
        <w:rPr>
          <w:rFonts w:eastAsia="Times New Roman" w:cs="Times New Roman"/>
          <w:szCs w:val="28"/>
          <w:lang w:eastAsia="en-US"/>
        </w:rPr>
      </w:pPr>
      <w:r w:rsidRPr="00892340">
        <w:rPr>
          <w:rFonts w:eastAsia="Times New Roman" w:cs="Times New Roman"/>
          <w:szCs w:val="28"/>
          <w:lang w:eastAsia="en-US"/>
        </w:rPr>
        <w:t>ES dalībvalstīs makroekonomisko rādītāju un publisko finanšu statistiku uzskaita atbilstoši vienotai un harmonizētai metodoloģijai – Eiropas nacionālo un reģionālo kontu sistēmai (turpmāk – EKS)</w:t>
      </w:r>
      <w:r w:rsidRPr="00892340">
        <w:rPr>
          <w:rFonts w:eastAsia="Times New Roman" w:cs="Times New Roman"/>
          <w:szCs w:val="28"/>
          <w:vertAlign w:val="superscript"/>
          <w:lang w:eastAsia="en-US"/>
        </w:rPr>
        <w:footnoteReference w:id="23"/>
      </w:r>
      <w:r w:rsidRPr="00892340">
        <w:rPr>
          <w:rFonts w:eastAsia="Times New Roman" w:cs="Times New Roman"/>
          <w:szCs w:val="28"/>
          <w:lang w:eastAsia="en-US"/>
        </w:rPr>
        <w:t>. 2014. gada septembrī ES tika ieviesta pārskatītā un atjaunotā EKS 2010, savukārt līdz tam nacionālo kontu sistēmas aprēķinos lietoja EKS 95, kas balstījās uz ANO 1993. gadā pieņemtajām nacionālo kontu sistēmas metodoloģijas rekomendācijām.</w:t>
      </w:r>
    </w:p>
    <w:p w14:paraId="270E7F83" w14:textId="77777777" w:rsidR="00250E42" w:rsidRPr="00892340" w:rsidRDefault="00250E42" w:rsidP="00250E42">
      <w:pPr>
        <w:rPr>
          <w:rFonts w:eastAsia="Times New Roman" w:cs="Times New Roman"/>
          <w:szCs w:val="28"/>
          <w:lang w:eastAsia="en-US"/>
        </w:rPr>
      </w:pPr>
      <w:r w:rsidRPr="00892340">
        <w:rPr>
          <w:rFonts w:eastAsia="Times New Roman" w:cs="Times New Roman"/>
          <w:szCs w:val="28"/>
          <w:lang w:eastAsia="en-US"/>
        </w:rPr>
        <w:t>EKS ir starptautiski atzīts gan vispārēju ekonomikas procesu, gan atsevišķu ekonomikas sektoru, piemēram, valdības finanšu uzskaites standarts. EKS piemēro Māstrihtas kritēriju izpildes novērtēšanai, un tā ir ES fiskālās pārvaldības pamatā.</w:t>
      </w:r>
    </w:p>
    <w:p w14:paraId="723E9403" w14:textId="77777777" w:rsidR="00250E42" w:rsidRPr="00892340" w:rsidRDefault="00250E42" w:rsidP="00250E42">
      <w:pPr>
        <w:rPr>
          <w:rFonts w:eastAsia="Times New Roman" w:cs="Times New Roman"/>
          <w:szCs w:val="28"/>
          <w:lang w:eastAsia="en-US"/>
        </w:rPr>
      </w:pPr>
      <w:r w:rsidRPr="00892340">
        <w:rPr>
          <w:rFonts w:eastAsia="Times New Roman" w:cs="Times New Roman"/>
          <w:szCs w:val="28"/>
          <w:lang w:eastAsia="en-US"/>
        </w:rPr>
        <w:t>Ja Latvijā publisko finanšu vadībai izmanto naudas plūsmā balstītu nacionālo metodoloģiju, tad EKS mērķis ir, ievērojot detalizētus metodiskus nosacījumus, transformēt naudas plūsmas ieņēmumus un izdevumus uz EKS ieņēmumiem un izdevumiem. Tādējādi arī budžeta deficītu vai pārpalikumu var izteikt kā:</w:t>
      </w:r>
    </w:p>
    <w:p w14:paraId="65C1259B" w14:textId="77777777" w:rsidR="00250E42" w:rsidRPr="00892340" w:rsidRDefault="00250E42" w:rsidP="00250E42">
      <w:pPr>
        <w:numPr>
          <w:ilvl w:val="0"/>
          <w:numId w:val="6"/>
        </w:numPr>
        <w:rPr>
          <w:rFonts w:eastAsia="Times New Roman" w:cs="Times New Roman"/>
          <w:szCs w:val="28"/>
          <w:lang w:eastAsia="en-US"/>
        </w:rPr>
      </w:pPr>
      <w:r w:rsidRPr="00892340">
        <w:rPr>
          <w:rFonts w:eastAsia="Times New Roman" w:cs="Times New Roman"/>
          <w:szCs w:val="28"/>
          <w:lang w:eastAsia="en-US"/>
        </w:rPr>
        <w:t>konsolidētā kopbudžeta bilanci (nacionālā metodoloģija) vai</w:t>
      </w:r>
    </w:p>
    <w:p w14:paraId="3DCCA884" w14:textId="3DE6CC46" w:rsidR="00250E42" w:rsidRPr="00892340" w:rsidRDefault="00250E42" w:rsidP="00250E42">
      <w:pPr>
        <w:numPr>
          <w:ilvl w:val="0"/>
          <w:numId w:val="6"/>
        </w:numPr>
        <w:rPr>
          <w:rFonts w:eastAsia="Times New Roman" w:cs="Times New Roman"/>
          <w:szCs w:val="28"/>
          <w:lang w:eastAsia="en-US"/>
        </w:rPr>
      </w:pPr>
      <w:r w:rsidRPr="00892340">
        <w:rPr>
          <w:rFonts w:eastAsia="Times New Roman" w:cs="Times New Roman"/>
          <w:szCs w:val="28"/>
          <w:lang w:eastAsia="en-US"/>
        </w:rPr>
        <w:t>vispārējās valdības budžeta bilanci (EKS metodoloģija).</w:t>
      </w:r>
    </w:p>
    <w:p w14:paraId="1D0027B9" w14:textId="75A5D329" w:rsidR="00250E42" w:rsidRPr="00892340" w:rsidRDefault="00250E42" w:rsidP="00250E42">
      <w:pPr>
        <w:spacing w:before="60"/>
        <w:ind w:firstLine="0"/>
        <w:jc w:val="center"/>
        <w:rPr>
          <w:rFonts w:eastAsia="Times New Roman" w:cs="Times New Roman"/>
          <w:b/>
          <w:i/>
          <w:szCs w:val="24"/>
          <w:lang w:eastAsia="en-US"/>
        </w:rPr>
      </w:pPr>
      <w:r w:rsidRPr="00892340">
        <w:rPr>
          <w:rFonts w:eastAsia="Times New Roman" w:cs="Times New Roman"/>
          <w:b/>
          <w:i/>
          <w:noProof/>
          <w:szCs w:val="24"/>
          <w:lang w:eastAsia="en-US"/>
        </w:rPr>
        <w:lastRenderedPageBreak/>
        <w:drawing>
          <wp:inline distT="0" distB="0" distL="0" distR="0" wp14:anchorId="4BF5897D" wp14:editId="44A47EEB">
            <wp:extent cx="5157470" cy="3243580"/>
            <wp:effectExtent l="0" t="0" r="5080" b="0"/>
            <wp:docPr id="1573467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57470" cy="3243580"/>
                    </a:xfrm>
                    <a:prstGeom prst="rect">
                      <a:avLst/>
                    </a:prstGeom>
                    <a:noFill/>
                  </pic:spPr>
                </pic:pic>
              </a:graphicData>
            </a:graphic>
          </wp:inline>
        </w:drawing>
      </w:r>
    </w:p>
    <w:p w14:paraId="6F69976F" w14:textId="4F09542A" w:rsidR="00250E42" w:rsidRPr="00892340" w:rsidRDefault="00250E42" w:rsidP="00250E42">
      <w:pPr>
        <w:spacing w:before="60"/>
        <w:ind w:firstLine="0"/>
        <w:jc w:val="center"/>
        <w:rPr>
          <w:rFonts w:eastAsia="Times New Roman" w:cs="Times New Roman"/>
          <w:b/>
          <w:i/>
          <w:szCs w:val="24"/>
          <w:lang w:eastAsia="en-US"/>
        </w:rPr>
      </w:pPr>
      <w:r w:rsidRPr="00892340">
        <w:rPr>
          <w:rFonts w:eastAsia="Times New Roman" w:cs="Times New Roman"/>
          <w:b/>
          <w:i/>
          <w:szCs w:val="24"/>
          <w:lang w:eastAsia="en-US"/>
        </w:rPr>
        <w:t>2.1.</w:t>
      </w:r>
      <w:r w:rsidR="00892340" w:rsidRPr="00892340">
        <w:rPr>
          <w:rFonts w:eastAsia="Times New Roman" w:cs="Times New Roman"/>
          <w:b/>
          <w:i/>
          <w:szCs w:val="24"/>
          <w:lang w:eastAsia="en-US"/>
        </w:rPr>
        <w:t xml:space="preserve"> </w:t>
      </w:r>
      <w:r w:rsidRPr="00892340">
        <w:rPr>
          <w:rFonts w:eastAsia="Times New Roman" w:cs="Times New Roman"/>
          <w:b/>
          <w:i/>
          <w:szCs w:val="24"/>
          <w:lang w:eastAsia="en-US"/>
        </w:rPr>
        <w:t>att. Vispārējās valdības budžeta struktūra (S130000)</w:t>
      </w:r>
    </w:p>
    <w:p w14:paraId="7B527D5E" w14:textId="77777777" w:rsidR="00892340" w:rsidRPr="00892340" w:rsidRDefault="00892340" w:rsidP="00892340">
      <w:pPr>
        <w:spacing w:after="0"/>
        <w:rPr>
          <w:rFonts w:eastAsia="Times New Roman" w:cs="Times New Roman"/>
          <w:szCs w:val="28"/>
          <w:lang w:eastAsia="en-US"/>
        </w:rPr>
      </w:pPr>
    </w:p>
    <w:p w14:paraId="40E3621A" w14:textId="3387C9B9" w:rsidR="00250E42" w:rsidRPr="00892340" w:rsidRDefault="00250E42" w:rsidP="00892340">
      <w:pPr>
        <w:rPr>
          <w:rFonts w:eastAsia="Times New Roman" w:cs="Times New Roman"/>
          <w:szCs w:val="28"/>
          <w:lang w:eastAsia="en-US"/>
        </w:rPr>
      </w:pPr>
      <w:r w:rsidRPr="00892340">
        <w:rPr>
          <w:rFonts w:eastAsia="Times New Roman" w:cs="Times New Roman"/>
          <w:szCs w:val="28"/>
          <w:lang w:eastAsia="en-US"/>
        </w:rPr>
        <w:t>Lai nodrošinātu pāreju no nacionālās uzskaites kopbudžeta uz vienoto EKS standartu, konsolidētā kopbudžeta bilancei piemēro EKS korekcijas, kas sevī ietver uzskaites metodoloģijas atšķirības. Būtiskākās EKS publisko finanšu statistikas metodoloģijas atšķirības salīdzinājumā ar nacionālo metodoloģiju ir šādas:</w:t>
      </w:r>
    </w:p>
    <w:p w14:paraId="6E37651F" w14:textId="77777777" w:rsidR="00250E42" w:rsidRPr="00892340" w:rsidRDefault="00250E42" w:rsidP="00250E42">
      <w:pPr>
        <w:numPr>
          <w:ilvl w:val="0"/>
          <w:numId w:val="7"/>
        </w:numPr>
        <w:ind w:hanging="357"/>
        <w:rPr>
          <w:rFonts w:eastAsia="Times New Roman" w:cs="Times New Roman"/>
          <w:szCs w:val="28"/>
          <w:lang w:eastAsia="en-US"/>
        </w:rPr>
      </w:pPr>
      <w:r w:rsidRPr="00892340">
        <w:rPr>
          <w:rFonts w:eastAsia="Times New Roman" w:cs="Times New Roman"/>
          <w:szCs w:val="28"/>
          <w:lang w:eastAsia="en-US"/>
        </w:rPr>
        <w:t>EKS uzskaites pamatā ir uzkrājuma princips, savukārt nacionālajā budžeta vadībā ievēro naudas plūsmas principu;</w:t>
      </w:r>
    </w:p>
    <w:p w14:paraId="5E2F42C2" w14:textId="77777777" w:rsidR="00250E42" w:rsidRPr="00892340" w:rsidRDefault="00250E42" w:rsidP="00250E42">
      <w:pPr>
        <w:numPr>
          <w:ilvl w:val="0"/>
          <w:numId w:val="7"/>
        </w:numPr>
        <w:ind w:hanging="357"/>
        <w:rPr>
          <w:rFonts w:eastAsia="Times New Roman" w:cs="Times New Roman"/>
          <w:noProof/>
          <w:szCs w:val="28"/>
          <w:lang w:eastAsia="en-US"/>
        </w:rPr>
      </w:pPr>
      <w:r w:rsidRPr="00892340">
        <w:rPr>
          <w:rFonts w:eastAsia="Times New Roman" w:cs="Times New Roman"/>
          <w:noProof/>
          <w:szCs w:val="28"/>
          <w:lang w:eastAsia="en-US"/>
        </w:rPr>
        <w:t xml:space="preserve">nacionālajā uzskaitē </w:t>
      </w:r>
      <w:r w:rsidRPr="00892340">
        <w:rPr>
          <w:rFonts w:eastAsia="Times New Roman" w:cs="Times New Roman"/>
          <w:szCs w:val="28"/>
          <w:lang w:eastAsia="en-US"/>
        </w:rPr>
        <w:t xml:space="preserve">atsevišķu veidu finanšu darījumi (aizdevumi u.tml.) EKS izpratnē var būt </w:t>
      </w:r>
      <w:r w:rsidRPr="00892340">
        <w:rPr>
          <w:rFonts w:eastAsia="Times New Roman" w:cs="Times New Roman"/>
          <w:noProof/>
          <w:szCs w:val="28"/>
          <w:lang w:eastAsia="en-US"/>
        </w:rPr>
        <w:t>nefinanšu darījumi, attiecīgi ietekmējot budžeta izdevumus;</w:t>
      </w:r>
    </w:p>
    <w:p w14:paraId="5620E6EA" w14:textId="77777777" w:rsidR="00250E42" w:rsidRPr="00892340" w:rsidRDefault="00250E42" w:rsidP="00250E42">
      <w:pPr>
        <w:numPr>
          <w:ilvl w:val="0"/>
          <w:numId w:val="7"/>
        </w:numPr>
        <w:ind w:hanging="357"/>
        <w:rPr>
          <w:rFonts w:eastAsia="Times New Roman" w:cs="Times New Roman"/>
          <w:szCs w:val="28"/>
          <w:lang w:eastAsia="en-US"/>
        </w:rPr>
      </w:pPr>
      <w:r w:rsidRPr="00892340">
        <w:rPr>
          <w:rFonts w:eastAsia="Times New Roman" w:cs="Times New Roman"/>
          <w:noProof/>
          <w:szCs w:val="28"/>
          <w:lang w:eastAsia="en-US"/>
        </w:rPr>
        <w:t>EKS ir plašāks sektorālais</w:t>
      </w:r>
      <w:r w:rsidRPr="00892340">
        <w:rPr>
          <w:rFonts w:eastAsia="Times New Roman" w:cs="Times New Roman"/>
          <w:szCs w:val="28"/>
          <w:lang w:eastAsia="en-US"/>
        </w:rPr>
        <w:t xml:space="preserve"> tvērums – tas ir attiecināms uz visu vispārējās valdības institucionālo sektoru, tajā skaitā uz valsts vai pašvaldību kontrolētām un finansētām komercsabiedrībām, taču nacionālā budžeta uzskaite aptver vien tipiskās budžeta iestādes</w:t>
      </w:r>
      <w:r w:rsidRPr="00892340">
        <w:rPr>
          <w:rStyle w:val="FootnoteReference"/>
          <w:rFonts w:eastAsia="Times New Roman" w:cs="Times New Roman"/>
          <w:szCs w:val="28"/>
          <w:lang w:eastAsia="en-US"/>
        </w:rPr>
        <w:footnoteReference w:id="24"/>
      </w:r>
      <w:r w:rsidRPr="00892340">
        <w:rPr>
          <w:rFonts w:eastAsia="Times New Roman" w:cs="Times New Roman"/>
          <w:szCs w:val="28"/>
          <w:lang w:eastAsia="en-US"/>
        </w:rPr>
        <w:t>.</w:t>
      </w:r>
    </w:p>
    <w:p w14:paraId="47478210" w14:textId="77777777" w:rsidR="00250E42" w:rsidRPr="00892340" w:rsidRDefault="00250E42" w:rsidP="00250E42">
      <w:pPr>
        <w:rPr>
          <w:rFonts w:eastAsia="Times New Roman" w:cs="Times New Roman"/>
          <w:szCs w:val="28"/>
          <w:lang w:eastAsia="en-US"/>
        </w:rPr>
      </w:pPr>
      <w:r w:rsidRPr="00892340">
        <w:rPr>
          <w:rFonts w:eastAsia="Times New Roman" w:cs="Times New Roman"/>
          <w:szCs w:val="28"/>
          <w:lang w:eastAsia="en-US"/>
        </w:rPr>
        <w:t>Valsts finanšu uzskaiti atbilstoši EKS metodoloģijai Latvijā veic CSP. Savukārt FM izstrādā vispārējās valdības budžeta prognozes, ievērojot CSP izmantoto EKS metodiku, tādējādi nodrošinot prognozēto rādītāju metodoloģisku atbilstību vienotajiem EKS pamatprincipiem.</w:t>
      </w:r>
    </w:p>
    <w:p w14:paraId="1D557E99" w14:textId="77777777" w:rsidR="00250E42" w:rsidRPr="00D64F4A" w:rsidRDefault="00250E42" w:rsidP="00250E42">
      <w:pPr>
        <w:rPr>
          <w:rFonts w:eastAsia="Times New Roman" w:cs="Times New Roman"/>
          <w:szCs w:val="28"/>
          <w:lang w:eastAsia="en-US"/>
        </w:rPr>
      </w:pPr>
      <w:r w:rsidRPr="00892340">
        <w:rPr>
          <w:rFonts w:eastAsia="Times New Roman" w:cs="Times New Roman"/>
          <w:szCs w:val="28"/>
          <w:lang w:eastAsia="en-US"/>
        </w:rPr>
        <w:t>FM, veidojot vispārējās valdības budžeta bilances prognozes, veic pieklasificēto valsts un pašvaldību komersantu aptauju. Aptaujās tiek apkopota informācija par visu vispārējās valdības sektorā ietilpstošo valsts un pēc apgrozījuma lielāko pašvaldību komersantu plānoto saimniecisko darbību. Apkopotā informācija ļauj FM aprēķināt šo komersantu saimnieciskās darbības rezultāta ietekmi uz vispārējās valdības budžeta bilanci.</w:t>
      </w:r>
    </w:p>
    <w:p w14:paraId="54FCAB8B" w14:textId="25998ADF" w:rsidR="003F3FCD" w:rsidRPr="00854F1A" w:rsidRDefault="006C030A" w:rsidP="008349F0">
      <w:pPr>
        <w:pStyle w:val="Heading3"/>
        <w:numPr>
          <w:ilvl w:val="0"/>
          <w:numId w:val="0"/>
        </w:numPr>
      </w:pPr>
      <w:bookmarkStart w:id="57" w:name="_Toc179356088"/>
      <w:r w:rsidRPr="00854F1A">
        <w:lastRenderedPageBreak/>
        <w:t xml:space="preserve">2.2.2. </w:t>
      </w:r>
      <w:r w:rsidR="000548A5" w:rsidRPr="00854F1A">
        <w:t>Vispārējās valdības budžeta bilance</w:t>
      </w:r>
      <w:bookmarkEnd w:id="57"/>
    </w:p>
    <w:p w14:paraId="32AC38DA" w14:textId="684860CF" w:rsidR="00854F1A" w:rsidRPr="00854F1A" w:rsidRDefault="00854F1A" w:rsidP="00854F1A">
      <w:pPr>
        <w:rPr>
          <w:rFonts w:eastAsia="Times New Roman" w:cs="Times New Roman"/>
          <w:szCs w:val="28"/>
          <w:lang w:eastAsia="en-US"/>
        </w:rPr>
      </w:pPr>
      <w:bookmarkStart w:id="58" w:name="_Hlk83887434"/>
      <w:r>
        <w:rPr>
          <w:rFonts w:eastAsia="Times New Roman" w:cs="Times New Roman"/>
          <w:szCs w:val="28"/>
          <w:lang w:eastAsia="en-US"/>
        </w:rPr>
        <w:t>MK</w:t>
      </w:r>
      <w:r w:rsidRPr="00854F1A">
        <w:rPr>
          <w:rFonts w:eastAsia="Times New Roman" w:cs="Times New Roman"/>
          <w:szCs w:val="28"/>
          <w:lang w:eastAsia="en-US"/>
        </w:rPr>
        <w:t xml:space="preserve"> 2024. gada 20. augusta sēdē tika izskatīts </w:t>
      </w:r>
      <w:r w:rsidR="005D05A7">
        <w:rPr>
          <w:rFonts w:eastAsia="Times New Roman" w:cs="Times New Roman"/>
          <w:szCs w:val="28"/>
          <w:lang w:eastAsia="en-US"/>
        </w:rPr>
        <w:t>FM</w:t>
      </w:r>
      <w:r w:rsidRPr="00854F1A">
        <w:rPr>
          <w:rFonts w:eastAsia="Times New Roman" w:cs="Times New Roman"/>
          <w:szCs w:val="28"/>
          <w:lang w:eastAsia="en-US"/>
        </w:rPr>
        <w:t xml:space="preserve"> sagatavotais informatīvais ziņojums “Par makroekonomisko rādītāju, ieņēmumu un vispārējās valdības budžeta bilances prognozēm 2025., 2026., 2027. un 2028. gadā”, kurā tika iekļautas vispārējās valdības budžeta prognozes vidējam termiņam pie nemainīgas politikas. Prognozes tika sagatavotas, par pamatu ņemot budžeta izpildi 2024. gada sešos mēnešos un 2024. gada jūlijā aktualizētās ieņēmumu un izdevumu prognozes atbilstoši jūnijā atjaunotajam makroekonomiskās attīstības scenārijam, kā arī ņemot vērā vispārējās valdības komersantu jūnijā-jūlijā iesniegtās prognozes par to saimnieciskās un finanšu darbības rezultāta ietekmi uz bilanci, kā arī pašvaldību un citu atvasināto publisko personu budžetu iespējamo attīstību turpmākajos gados.</w:t>
      </w:r>
    </w:p>
    <w:p w14:paraId="140DDD0A" w14:textId="658B9B16" w:rsidR="00854F1A" w:rsidRPr="00854F1A" w:rsidRDefault="005D05A7" w:rsidP="00854F1A">
      <w:pPr>
        <w:rPr>
          <w:color w:val="000000" w:themeColor="text1"/>
        </w:rPr>
      </w:pPr>
      <w:r>
        <w:rPr>
          <w:color w:val="000000" w:themeColor="text1"/>
        </w:rPr>
        <w:t>FM</w:t>
      </w:r>
      <w:r w:rsidR="00854F1A" w:rsidRPr="00854F1A">
        <w:rPr>
          <w:color w:val="000000" w:themeColor="text1"/>
        </w:rPr>
        <w:t xml:space="preserve"> 2024. gada oktobrī ir aktualizējusi vispārējās valdības budžeta bilances, ņemot vērā valdības pieņemtos lēmumus septembrī-oktobrī attiecībā uz nodokļu politikas izmaiņām un prioritārajiem pasākumiem, galvenokārt novirzot papildu finansējumu ar valsts drošību saistītajiem prioritārajiem pasākumiem. </w:t>
      </w:r>
    </w:p>
    <w:p w14:paraId="72E573F0" w14:textId="6DB84C26" w:rsidR="00854F1A" w:rsidRPr="00854F1A" w:rsidRDefault="00854F1A" w:rsidP="00854F1A">
      <w:pPr>
        <w:rPr>
          <w:color w:val="000000" w:themeColor="text1"/>
        </w:rPr>
      </w:pPr>
      <w:r w:rsidRPr="00854F1A">
        <w:rPr>
          <w:color w:val="000000" w:themeColor="text1"/>
        </w:rPr>
        <w:t xml:space="preserve">Atbilstoši FM novērtējumam </w:t>
      </w:r>
      <w:r w:rsidRPr="00854F1A">
        <w:rPr>
          <w:b/>
          <w:bCs/>
          <w:color w:val="000000" w:themeColor="text1"/>
        </w:rPr>
        <w:t>vispārējās valdības budžeta deficīts 2024. gadā sasniegs 2,6% no IKP</w:t>
      </w:r>
      <w:r w:rsidRPr="00854F1A">
        <w:rPr>
          <w:color w:val="000000" w:themeColor="text1"/>
        </w:rPr>
        <w:t xml:space="preserve">, un tas ir par 0,3 </w:t>
      </w:r>
      <w:proofErr w:type="spellStart"/>
      <w:r w:rsidRPr="00854F1A">
        <w:rPr>
          <w:color w:val="000000" w:themeColor="text1"/>
        </w:rPr>
        <w:t>p</w:t>
      </w:r>
      <w:r w:rsidR="005D05A7">
        <w:rPr>
          <w:color w:val="000000" w:themeColor="text1"/>
        </w:rPr>
        <w:t>p</w:t>
      </w:r>
      <w:proofErr w:type="spellEnd"/>
      <w:r w:rsidRPr="00854F1A">
        <w:rPr>
          <w:color w:val="000000" w:themeColor="text1"/>
        </w:rPr>
        <w:t xml:space="preserve"> zemāks nekā tika prognozēts 2024. gada aprīļa sākumā, izstrādājot Stabilitātes programmu 2024.-2028. gadam, un par 0,2 </w:t>
      </w:r>
      <w:proofErr w:type="spellStart"/>
      <w:r w:rsidRPr="00854F1A">
        <w:rPr>
          <w:color w:val="000000" w:themeColor="text1"/>
        </w:rPr>
        <w:t>p</w:t>
      </w:r>
      <w:r w:rsidR="005D05A7">
        <w:rPr>
          <w:color w:val="000000" w:themeColor="text1"/>
        </w:rPr>
        <w:t>p</w:t>
      </w:r>
      <w:proofErr w:type="spellEnd"/>
      <w:r w:rsidR="005D05A7">
        <w:rPr>
          <w:color w:val="000000" w:themeColor="text1"/>
        </w:rPr>
        <w:t xml:space="preserve"> </w:t>
      </w:r>
      <w:r w:rsidRPr="00854F1A">
        <w:rPr>
          <w:color w:val="000000" w:themeColor="text1"/>
        </w:rPr>
        <w:t>zemāks kā pieļaujamais vispārējās valdības budžeta deficīts, kas noteikts likumā “Par valsts budžetu 2024. gadam un budžeta ietvaru 2024., 2025. un 2026. gadam”.</w:t>
      </w:r>
    </w:p>
    <w:p w14:paraId="679DBDF0" w14:textId="1B2FA413" w:rsidR="00854F1A" w:rsidRPr="00854F1A" w:rsidRDefault="00854F1A" w:rsidP="00854F1A">
      <w:pPr>
        <w:rPr>
          <w:color w:val="000000" w:themeColor="text1"/>
        </w:rPr>
      </w:pPr>
      <w:r w:rsidRPr="00854F1A">
        <w:rPr>
          <w:color w:val="000000" w:themeColor="text1"/>
        </w:rPr>
        <w:t xml:space="preserve">Salīdzinot ar apstiprināto budžetu, 2024. gadā tiek prognozēti mazāki izdevumi un attiecīgi nacionālais līdzfinansējums </w:t>
      </w:r>
      <w:r w:rsidR="00F87D38">
        <w:rPr>
          <w:color w:val="000000" w:themeColor="text1"/>
        </w:rPr>
        <w:t>ĀFP</w:t>
      </w:r>
      <w:r w:rsidRPr="00854F1A">
        <w:rPr>
          <w:color w:val="000000" w:themeColor="text1"/>
        </w:rPr>
        <w:t xml:space="preserve"> projektiem, ņemot vērā iepriekšējā plānošanas perioda noslēgšanos un lēnāku jaunā plānošanas perioda Kohēzijas politikas fondu un </w:t>
      </w:r>
      <w:r w:rsidR="005D05A7" w:rsidRPr="005D05A7">
        <w:rPr>
          <w:color w:val="000000" w:themeColor="text1"/>
        </w:rPr>
        <w:t>ANM</w:t>
      </w:r>
      <w:r w:rsidRPr="00854F1A">
        <w:rPr>
          <w:color w:val="000000" w:themeColor="text1"/>
        </w:rPr>
        <w:t xml:space="preserve"> projektu uzsākšanos, attiecīgi samazinot šo izdevumu prognozi 2024. gadam un pārceļot plānotos izdevumus uz turpmākajiem gadiem. Tāpat lielāki pret plānoto tiek prognozēti </w:t>
      </w:r>
      <w:proofErr w:type="spellStart"/>
      <w:r w:rsidRPr="00854F1A">
        <w:rPr>
          <w:color w:val="000000" w:themeColor="text1"/>
        </w:rPr>
        <w:t>nenodokļu</w:t>
      </w:r>
      <w:proofErr w:type="spellEnd"/>
      <w:r w:rsidRPr="00854F1A">
        <w:rPr>
          <w:color w:val="000000" w:themeColor="text1"/>
        </w:rPr>
        <w:t xml:space="preserve"> un pašu ieņēmumi. </w:t>
      </w:r>
    </w:p>
    <w:p w14:paraId="298C94DA" w14:textId="77777777" w:rsidR="00854F1A" w:rsidRPr="00854F1A" w:rsidRDefault="00854F1A" w:rsidP="00854F1A">
      <w:pPr>
        <w:spacing w:before="240"/>
        <w:jc w:val="center"/>
        <w:rPr>
          <w:rFonts w:eastAsia="Times New Roman" w:cs="Times New Roman"/>
          <w:b/>
          <w:i/>
          <w:szCs w:val="24"/>
          <w:lang w:eastAsia="en-US"/>
        </w:rPr>
      </w:pPr>
      <w:r w:rsidRPr="00854F1A">
        <w:rPr>
          <w:noProof/>
        </w:rPr>
        <w:drawing>
          <wp:anchor distT="0" distB="0" distL="114300" distR="114300" simplePos="0" relativeHeight="251667456" behindDoc="0" locked="0" layoutInCell="1" allowOverlap="1" wp14:anchorId="28527A5E" wp14:editId="7F2D23F0">
            <wp:simplePos x="0" y="0"/>
            <wp:positionH relativeFrom="column">
              <wp:posOffset>227965</wp:posOffset>
            </wp:positionH>
            <wp:positionV relativeFrom="paragraph">
              <wp:posOffset>0</wp:posOffset>
            </wp:positionV>
            <wp:extent cx="5760085" cy="3110230"/>
            <wp:effectExtent l="0" t="0" r="0" b="0"/>
            <wp:wrapTopAndBottom/>
            <wp:docPr id="1508721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085" cy="3110230"/>
                    </a:xfrm>
                    <a:prstGeom prst="rect">
                      <a:avLst/>
                    </a:prstGeom>
                    <a:noFill/>
                    <a:ln>
                      <a:noFill/>
                    </a:ln>
                  </pic:spPr>
                </pic:pic>
              </a:graphicData>
            </a:graphic>
          </wp:anchor>
        </w:drawing>
      </w:r>
      <w:r w:rsidRPr="00854F1A">
        <w:rPr>
          <w:rFonts w:eastAsia="Times New Roman" w:cs="Times New Roman"/>
          <w:b/>
          <w:i/>
          <w:szCs w:val="24"/>
          <w:lang w:eastAsia="en-US"/>
        </w:rPr>
        <w:t>2.2. att. Vispārējās valdības budžeta bilance, ieņēmumi un izdevumi, % no IKP</w:t>
      </w:r>
      <w:r w:rsidRPr="00854F1A">
        <w:rPr>
          <w:rFonts w:eastAsia="Times New Roman" w:cs="Times New Roman"/>
          <w:b/>
          <w:i/>
          <w:szCs w:val="24"/>
          <w:lang w:eastAsia="en-US"/>
        </w:rPr>
        <w:br/>
        <w:t xml:space="preserve">(Datu avots: </w:t>
      </w:r>
      <w:r w:rsidRPr="00854F1A">
        <w:rPr>
          <w:rFonts w:eastAsia="Times New Roman" w:cs="Times New Roman"/>
          <w:b/>
          <w:i/>
          <w:noProof/>
          <w:szCs w:val="24"/>
          <w:lang w:eastAsia="en-US"/>
        </w:rPr>
        <w:t>Eurostat, FM</w:t>
      </w:r>
      <w:r w:rsidRPr="00854F1A">
        <w:rPr>
          <w:rFonts w:eastAsia="Times New Roman" w:cs="Times New Roman"/>
          <w:b/>
          <w:i/>
          <w:szCs w:val="24"/>
          <w:lang w:eastAsia="en-US"/>
        </w:rPr>
        <w:t>)</w:t>
      </w:r>
    </w:p>
    <w:p w14:paraId="113741EB" w14:textId="3A0B028E" w:rsidR="00854F1A" w:rsidRPr="00854F1A" w:rsidRDefault="00854F1A" w:rsidP="00854F1A">
      <w:pPr>
        <w:rPr>
          <w:color w:val="000000" w:themeColor="text1"/>
        </w:rPr>
      </w:pPr>
      <w:r w:rsidRPr="00854F1A">
        <w:rPr>
          <w:color w:val="000000" w:themeColor="text1"/>
        </w:rPr>
        <w:t xml:space="preserve">Vāja ekonomiskā izaugsme Eiropā un Latvijā noteica zemākus kā plānots nodokļu ieņēmumus 2024. gada pirmajā pusē. Lai gan inflācijas līmenis ir būtiski mazinājies, joprojām </w:t>
      </w:r>
      <w:r w:rsidR="005D05A7" w:rsidRPr="005D05A7">
        <w:rPr>
          <w:color w:val="000000" w:themeColor="text1"/>
        </w:rPr>
        <w:t>ECB</w:t>
      </w:r>
      <w:r w:rsidRPr="00854F1A">
        <w:rPr>
          <w:color w:val="000000" w:themeColor="text1"/>
        </w:rPr>
        <w:t xml:space="preserve"> noteiktās procentu likmes ir saglabājušās augstā līmenī, turpinot bremzēt ekonomisko </w:t>
      </w:r>
      <w:r w:rsidRPr="00854F1A">
        <w:rPr>
          <w:color w:val="000000" w:themeColor="text1"/>
        </w:rPr>
        <w:lastRenderedPageBreak/>
        <w:t>aktivitāti. Salīdzinot ar likumu “Par valsts budžetu 2024. gadam un budžeta ietvaru 2024., 2025. un 2026. gadam”, vispārējās valdības budžeta deficīts tiek prognozēts augstāks – 2025. gadā par 0,5 </w:t>
      </w:r>
      <w:proofErr w:type="spellStart"/>
      <w:r w:rsidRPr="00854F1A">
        <w:rPr>
          <w:color w:val="000000" w:themeColor="text1"/>
        </w:rPr>
        <w:t>p</w:t>
      </w:r>
      <w:r w:rsidR="005D05A7" w:rsidRPr="005D05A7">
        <w:rPr>
          <w:color w:val="000000" w:themeColor="text1"/>
        </w:rPr>
        <w:t>p</w:t>
      </w:r>
      <w:proofErr w:type="spellEnd"/>
      <w:r w:rsidRPr="00854F1A">
        <w:rPr>
          <w:color w:val="000000" w:themeColor="text1"/>
        </w:rPr>
        <w:t xml:space="preserve"> un 2026. gadā par 1,7 </w:t>
      </w:r>
      <w:proofErr w:type="spellStart"/>
      <w:r w:rsidRPr="00854F1A">
        <w:rPr>
          <w:color w:val="000000" w:themeColor="text1"/>
        </w:rPr>
        <w:t>p</w:t>
      </w:r>
      <w:r w:rsidR="005D05A7" w:rsidRPr="005D05A7">
        <w:rPr>
          <w:color w:val="000000" w:themeColor="text1"/>
        </w:rPr>
        <w:t>p</w:t>
      </w:r>
      <w:proofErr w:type="spellEnd"/>
      <w:r w:rsidRPr="00854F1A">
        <w:rPr>
          <w:color w:val="000000" w:themeColor="text1"/>
        </w:rPr>
        <w:t xml:space="preserve">. Kopumā </w:t>
      </w:r>
      <w:r w:rsidRPr="00854F1A">
        <w:rPr>
          <w:b/>
          <w:bCs/>
          <w:color w:val="000000" w:themeColor="text1"/>
        </w:rPr>
        <w:t>vispārējās valdības budžeta deficīts 2025. gadā tiek prognozēts 2,9% no IKP, 2026. gadā 2,6% no IKP un 2027. gadā 2,4% no IKP.</w:t>
      </w:r>
    </w:p>
    <w:p w14:paraId="0FE89C3B" w14:textId="77777777" w:rsidR="00854F1A" w:rsidRPr="00854F1A" w:rsidRDefault="00854F1A" w:rsidP="00854F1A">
      <w:pPr>
        <w:spacing w:after="60"/>
        <w:rPr>
          <w:rFonts w:eastAsia="Times New Roman" w:cs="Times New Roman"/>
          <w:noProof/>
          <w:szCs w:val="20"/>
          <w:lang w:eastAsia="en-US"/>
        </w:rPr>
      </w:pPr>
      <w:r w:rsidRPr="00854F1A">
        <w:rPr>
          <w:rFonts w:eastAsia="Times New Roman" w:cs="Times New Roman"/>
          <w:noProof/>
          <w:szCs w:val="20"/>
          <w:lang w:eastAsia="en-US"/>
        </w:rPr>
        <w:t xml:space="preserve">Sagatavojot vispārējās valdības budžeta bilances prognozes vidējam termiņam, galvenokārt tika ņemti vērā šādi jauni pasākumi: </w:t>
      </w:r>
    </w:p>
    <w:p w14:paraId="69BE3E53" w14:textId="77777777" w:rsidR="00854F1A" w:rsidRPr="00854F1A" w:rsidRDefault="00854F1A" w:rsidP="00854F1A">
      <w:pPr>
        <w:numPr>
          <w:ilvl w:val="0"/>
          <w:numId w:val="8"/>
        </w:numPr>
        <w:spacing w:after="60"/>
        <w:ind w:left="1066" w:hanging="357"/>
        <w:rPr>
          <w:rFonts w:eastAsia="Times New Roman" w:cs="Times New Roman"/>
          <w:szCs w:val="28"/>
          <w:lang w:eastAsia="en-US"/>
        </w:rPr>
      </w:pPr>
      <w:r w:rsidRPr="00854F1A">
        <w:rPr>
          <w:rFonts w:eastAsia="Times New Roman" w:cs="Times New Roman"/>
          <w:szCs w:val="28"/>
          <w:lang w:eastAsia="en-US"/>
        </w:rPr>
        <w:t xml:space="preserve">Ar nodokļu politikas izmaiņām saistītie pasākumi: </w:t>
      </w:r>
    </w:p>
    <w:p w14:paraId="4269ED83" w14:textId="77777777" w:rsidR="00854F1A" w:rsidRPr="00854F1A" w:rsidRDefault="00854F1A" w:rsidP="00854F1A">
      <w:pPr>
        <w:numPr>
          <w:ilvl w:val="1"/>
          <w:numId w:val="8"/>
        </w:numPr>
        <w:tabs>
          <w:tab w:val="left" w:pos="567"/>
        </w:tabs>
        <w:spacing w:after="60"/>
        <w:ind w:left="1604" w:hanging="357"/>
        <w:rPr>
          <w:noProof/>
          <w:szCs w:val="24"/>
        </w:rPr>
      </w:pPr>
      <w:r w:rsidRPr="00854F1A">
        <w:rPr>
          <w:rFonts w:eastAsia="Times New Roman" w:cs="Times New Roman"/>
          <w:noProof/>
          <w:szCs w:val="28"/>
          <w:lang w:eastAsia="en-US"/>
        </w:rPr>
        <w:t xml:space="preserve">minimālās </w:t>
      </w:r>
      <w:r w:rsidRPr="00854F1A">
        <w:rPr>
          <w:noProof/>
          <w:szCs w:val="24"/>
        </w:rPr>
        <w:t>algas paaugstināšana – 2025. gadā 740 </w:t>
      </w:r>
      <w:r w:rsidRPr="00854F1A">
        <w:rPr>
          <w:i/>
          <w:iCs/>
          <w:noProof/>
          <w:szCs w:val="24"/>
        </w:rPr>
        <w:t>euro</w:t>
      </w:r>
      <w:r w:rsidRPr="00854F1A">
        <w:rPr>
          <w:noProof/>
          <w:szCs w:val="24"/>
        </w:rPr>
        <w:t xml:space="preserve"> mēnesī, 2026. gadā 780 </w:t>
      </w:r>
      <w:r w:rsidRPr="00854F1A">
        <w:rPr>
          <w:i/>
          <w:iCs/>
          <w:noProof/>
          <w:szCs w:val="24"/>
        </w:rPr>
        <w:t>euro</w:t>
      </w:r>
      <w:r w:rsidRPr="00854F1A">
        <w:rPr>
          <w:noProof/>
          <w:szCs w:val="24"/>
        </w:rPr>
        <w:t xml:space="preserve"> mēnesī, 2027. gadā 820 </w:t>
      </w:r>
      <w:r w:rsidRPr="00854F1A">
        <w:rPr>
          <w:i/>
          <w:iCs/>
          <w:noProof/>
          <w:szCs w:val="24"/>
        </w:rPr>
        <w:t>euro</w:t>
      </w:r>
      <w:r w:rsidRPr="00854F1A">
        <w:rPr>
          <w:noProof/>
          <w:szCs w:val="24"/>
        </w:rPr>
        <w:t xml:space="preserve"> mēnesī, 2028. gadā 860 </w:t>
      </w:r>
      <w:r w:rsidRPr="00854F1A">
        <w:rPr>
          <w:i/>
          <w:iCs/>
          <w:noProof/>
          <w:szCs w:val="24"/>
        </w:rPr>
        <w:t>euro</w:t>
      </w:r>
      <w:r w:rsidRPr="00854F1A">
        <w:rPr>
          <w:noProof/>
          <w:szCs w:val="24"/>
        </w:rPr>
        <w:t xml:space="preserve"> mēnesī.</w:t>
      </w:r>
    </w:p>
    <w:p w14:paraId="74C9A1FD" w14:textId="3DAA249E" w:rsidR="00854F1A" w:rsidRPr="00854F1A" w:rsidRDefault="00854F1A" w:rsidP="00854F1A">
      <w:pPr>
        <w:numPr>
          <w:ilvl w:val="1"/>
          <w:numId w:val="8"/>
        </w:numPr>
        <w:spacing w:after="60"/>
        <w:ind w:left="1604" w:hanging="357"/>
        <w:rPr>
          <w:rFonts w:eastAsia="Times New Roman" w:cs="Times New Roman"/>
          <w:szCs w:val="28"/>
          <w:lang w:eastAsia="en-US"/>
        </w:rPr>
      </w:pPr>
      <w:r w:rsidRPr="00854F1A">
        <w:rPr>
          <w:rFonts w:eastAsia="Times New Roman" w:cs="Times New Roman"/>
          <w:szCs w:val="28"/>
          <w:lang w:eastAsia="en-US"/>
        </w:rPr>
        <w:t xml:space="preserve">izmaiņas </w:t>
      </w:r>
      <w:r w:rsidR="005D05A7" w:rsidRPr="005D05A7">
        <w:rPr>
          <w:rFonts w:eastAsia="Times New Roman" w:cs="Times New Roman"/>
          <w:szCs w:val="28"/>
          <w:lang w:eastAsia="en-US"/>
        </w:rPr>
        <w:t>IIN</w:t>
      </w:r>
      <w:r w:rsidRPr="00854F1A">
        <w:rPr>
          <w:rFonts w:eastAsia="Times New Roman" w:cs="Times New Roman"/>
          <w:szCs w:val="28"/>
          <w:lang w:eastAsia="en-US"/>
        </w:rPr>
        <w:t>:</w:t>
      </w:r>
    </w:p>
    <w:p w14:paraId="76585A39" w14:textId="09B6CB6D" w:rsidR="00854F1A" w:rsidRPr="00854F1A" w:rsidRDefault="00854F1A" w:rsidP="00854F1A">
      <w:pPr>
        <w:numPr>
          <w:ilvl w:val="2"/>
          <w:numId w:val="8"/>
        </w:numPr>
        <w:spacing w:after="60"/>
        <w:ind w:left="2268"/>
        <w:rPr>
          <w:rFonts w:eastAsia="Times New Roman" w:cs="Times New Roman"/>
          <w:szCs w:val="28"/>
          <w:lang w:eastAsia="en-US"/>
        </w:rPr>
      </w:pPr>
      <w:r w:rsidRPr="00854F1A">
        <w:rPr>
          <w:szCs w:val="24"/>
        </w:rPr>
        <w:t xml:space="preserve">no 2025. gada ieviešot divu pakāpju </w:t>
      </w:r>
      <w:r w:rsidR="005D05A7" w:rsidRPr="005D05A7">
        <w:rPr>
          <w:szCs w:val="24"/>
        </w:rPr>
        <w:t>IIN</w:t>
      </w:r>
      <w:r w:rsidRPr="00854F1A">
        <w:rPr>
          <w:szCs w:val="24"/>
        </w:rPr>
        <w:t xml:space="preserve"> likmes –</w:t>
      </w:r>
      <w:r w:rsidRPr="00854F1A">
        <w:rPr>
          <w:b/>
          <w:bCs/>
          <w:szCs w:val="24"/>
        </w:rPr>
        <w:t xml:space="preserve"> </w:t>
      </w:r>
      <w:r w:rsidRPr="00854F1A">
        <w:rPr>
          <w:szCs w:val="24"/>
        </w:rPr>
        <w:t>25,5% apmērā ienākumiem, kas nepārsniedz saskaņā ar likumu “Par valsts sociālo apdrošināšanu” noteikto obligāto iemaksu objekta maksimālo apmēru, un 33%</w:t>
      </w:r>
      <w:r w:rsidRPr="00854F1A">
        <w:rPr>
          <w:b/>
          <w:bCs/>
          <w:szCs w:val="24"/>
        </w:rPr>
        <w:t xml:space="preserve"> </w:t>
      </w:r>
      <w:r w:rsidRPr="00854F1A">
        <w:rPr>
          <w:szCs w:val="24"/>
        </w:rPr>
        <w:t xml:space="preserve">apmērā ienākumiem, kas pārsniedz obligāto iemaksu objekta maksimālo apmēru (2025., 2026. un 2027. gadam tiek plānots 105 300 </w:t>
      </w:r>
      <w:r w:rsidRPr="00854F1A">
        <w:rPr>
          <w:i/>
          <w:iCs/>
          <w:noProof/>
          <w:szCs w:val="24"/>
        </w:rPr>
        <w:t>euro</w:t>
      </w:r>
      <w:r w:rsidRPr="00854F1A">
        <w:rPr>
          <w:szCs w:val="24"/>
        </w:rPr>
        <w:t xml:space="preserve"> mēnesī);</w:t>
      </w:r>
    </w:p>
    <w:p w14:paraId="368A2B87" w14:textId="77777777" w:rsidR="00854F1A" w:rsidRPr="00854F1A" w:rsidRDefault="00854F1A" w:rsidP="00854F1A">
      <w:pPr>
        <w:numPr>
          <w:ilvl w:val="2"/>
          <w:numId w:val="8"/>
        </w:numPr>
        <w:tabs>
          <w:tab w:val="left" w:pos="567"/>
        </w:tabs>
        <w:spacing w:after="60"/>
        <w:ind w:left="2268"/>
        <w:rPr>
          <w:szCs w:val="24"/>
        </w:rPr>
      </w:pPr>
      <w:r w:rsidRPr="00854F1A">
        <w:rPr>
          <w:szCs w:val="24"/>
        </w:rPr>
        <w:t>no 2025. gada aizstājot diferencēto neapliekamo minimumu ar vienotu neapliekamo minimumu, kas tiek piemērots visiem darba ņēmējiem neatkarīgi no bruto ienākuma līmeņa, un nosakot to</w:t>
      </w:r>
      <w:r w:rsidRPr="00854F1A">
        <w:rPr>
          <w:b/>
          <w:bCs/>
          <w:szCs w:val="24"/>
        </w:rPr>
        <w:t xml:space="preserve"> </w:t>
      </w:r>
      <w:r w:rsidRPr="00854F1A">
        <w:rPr>
          <w:szCs w:val="24"/>
        </w:rPr>
        <w:t>2025. </w:t>
      </w:r>
      <w:r w:rsidRPr="00854F1A">
        <w:rPr>
          <w:noProof/>
          <w:szCs w:val="24"/>
        </w:rPr>
        <w:t>gadā</w:t>
      </w:r>
      <w:r w:rsidRPr="00854F1A">
        <w:rPr>
          <w:b/>
          <w:bCs/>
          <w:noProof/>
          <w:szCs w:val="24"/>
        </w:rPr>
        <w:t xml:space="preserve"> </w:t>
      </w:r>
      <w:r w:rsidRPr="00854F1A">
        <w:rPr>
          <w:noProof/>
          <w:szCs w:val="24"/>
        </w:rPr>
        <w:t>510</w:t>
      </w:r>
      <w:r w:rsidRPr="00854F1A">
        <w:rPr>
          <w:b/>
          <w:bCs/>
          <w:noProof/>
          <w:szCs w:val="24"/>
        </w:rPr>
        <w:t> </w:t>
      </w:r>
      <w:r w:rsidRPr="00854F1A">
        <w:rPr>
          <w:i/>
          <w:iCs/>
          <w:noProof/>
          <w:szCs w:val="24"/>
        </w:rPr>
        <w:t>euro</w:t>
      </w:r>
      <w:r w:rsidRPr="00854F1A">
        <w:rPr>
          <w:b/>
          <w:bCs/>
          <w:noProof/>
          <w:szCs w:val="24"/>
        </w:rPr>
        <w:t xml:space="preserve"> </w:t>
      </w:r>
      <w:r w:rsidRPr="00854F1A">
        <w:rPr>
          <w:noProof/>
          <w:szCs w:val="24"/>
        </w:rPr>
        <w:t>mēnesī, 2026. gadā – 550</w:t>
      </w:r>
      <w:r w:rsidRPr="00854F1A">
        <w:rPr>
          <w:b/>
          <w:bCs/>
          <w:noProof/>
          <w:szCs w:val="24"/>
        </w:rPr>
        <w:t> </w:t>
      </w:r>
      <w:r w:rsidRPr="00854F1A">
        <w:rPr>
          <w:i/>
          <w:iCs/>
          <w:noProof/>
          <w:szCs w:val="24"/>
        </w:rPr>
        <w:t>euro</w:t>
      </w:r>
      <w:r w:rsidRPr="00854F1A">
        <w:rPr>
          <w:b/>
          <w:bCs/>
          <w:noProof/>
          <w:szCs w:val="24"/>
        </w:rPr>
        <w:t xml:space="preserve"> </w:t>
      </w:r>
      <w:r w:rsidRPr="00854F1A">
        <w:rPr>
          <w:noProof/>
          <w:szCs w:val="24"/>
        </w:rPr>
        <w:t>mēnesī, bet no 2027. gada – 570</w:t>
      </w:r>
      <w:r w:rsidRPr="00854F1A">
        <w:rPr>
          <w:b/>
          <w:bCs/>
          <w:noProof/>
          <w:szCs w:val="24"/>
        </w:rPr>
        <w:t> </w:t>
      </w:r>
      <w:r w:rsidRPr="00854F1A">
        <w:rPr>
          <w:i/>
          <w:iCs/>
          <w:noProof/>
          <w:szCs w:val="24"/>
        </w:rPr>
        <w:t>euro</w:t>
      </w:r>
      <w:r w:rsidRPr="00854F1A">
        <w:rPr>
          <w:b/>
          <w:bCs/>
          <w:noProof/>
          <w:szCs w:val="24"/>
        </w:rPr>
        <w:t xml:space="preserve"> </w:t>
      </w:r>
      <w:r w:rsidRPr="00854F1A">
        <w:rPr>
          <w:noProof/>
          <w:szCs w:val="24"/>
        </w:rPr>
        <w:t>mēnesī;</w:t>
      </w:r>
    </w:p>
    <w:p w14:paraId="6DB4A664" w14:textId="77777777" w:rsidR="00854F1A" w:rsidRPr="00854F1A" w:rsidRDefault="00854F1A" w:rsidP="00854F1A">
      <w:pPr>
        <w:numPr>
          <w:ilvl w:val="2"/>
          <w:numId w:val="8"/>
        </w:numPr>
        <w:tabs>
          <w:tab w:val="left" w:pos="567"/>
        </w:tabs>
        <w:spacing w:after="60"/>
        <w:ind w:left="2268" w:hanging="181"/>
        <w:rPr>
          <w:noProof/>
          <w:szCs w:val="24"/>
        </w:rPr>
      </w:pPr>
      <w:r w:rsidRPr="00854F1A">
        <w:rPr>
          <w:szCs w:val="24"/>
        </w:rPr>
        <w:t>no 2025. gada palielinot pensionāra neapliekamo minimumu no</w:t>
      </w:r>
      <w:r w:rsidRPr="00854F1A">
        <w:rPr>
          <w:b/>
          <w:bCs/>
          <w:szCs w:val="24"/>
        </w:rPr>
        <w:t xml:space="preserve"> </w:t>
      </w:r>
      <w:r w:rsidRPr="00854F1A">
        <w:rPr>
          <w:noProof/>
          <w:szCs w:val="24"/>
        </w:rPr>
        <w:t>6 000</w:t>
      </w:r>
      <w:r w:rsidRPr="00854F1A">
        <w:rPr>
          <w:b/>
          <w:bCs/>
          <w:noProof/>
          <w:szCs w:val="24"/>
        </w:rPr>
        <w:t> </w:t>
      </w:r>
      <w:r w:rsidRPr="00854F1A">
        <w:rPr>
          <w:i/>
          <w:iCs/>
          <w:noProof/>
          <w:szCs w:val="24"/>
        </w:rPr>
        <w:t>euro</w:t>
      </w:r>
      <w:r w:rsidRPr="00854F1A">
        <w:rPr>
          <w:b/>
          <w:bCs/>
          <w:noProof/>
          <w:szCs w:val="24"/>
        </w:rPr>
        <w:t xml:space="preserve"> </w:t>
      </w:r>
      <w:r w:rsidRPr="00854F1A">
        <w:rPr>
          <w:noProof/>
          <w:szCs w:val="24"/>
        </w:rPr>
        <w:t>gadā</w:t>
      </w:r>
      <w:r w:rsidRPr="00854F1A">
        <w:rPr>
          <w:b/>
          <w:bCs/>
          <w:noProof/>
          <w:szCs w:val="24"/>
        </w:rPr>
        <w:t xml:space="preserve"> </w:t>
      </w:r>
      <w:r w:rsidRPr="00854F1A">
        <w:rPr>
          <w:noProof/>
          <w:szCs w:val="24"/>
        </w:rPr>
        <w:t>(500</w:t>
      </w:r>
      <w:r w:rsidRPr="00854F1A">
        <w:rPr>
          <w:b/>
          <w:bCs/>
          <w:noProof/>
          <w:szCs w:val="24"/>
        </w:rPr>
        <w:t> </w:t>
      </w:r>
      <w:r w:rsidRPr="00854F1A">
        <w:rPr>
          <w:i/>
          <w:iCs/>
          <w:noProof/>
          <w:szCs w:val="24"/>
        </w:rPr>
        <w:t>euro</w:t>
      </w:r>
      <w:r w:rsidRPr="00854F1A">
        <w:rPr>
          <w:b/>
          <w:bCs/>
          <w:noProof/>
          <w:szCs w:val="24"/>
        </w:rPr>
        <w:t xml:space="preserve"> </w:t>
      </w:r>
      <w:r w:rsidRPr="00854F1A">
        <w:rPr>
          <w:noProof/>
          <w:szCs w:val="24"/>
        </w:rPr>
        <w:t>mēnesī)</w:t>
      </w:r>
      <w:r w:rsidRPr="00854F1A">
        <w:rPr>
          <w:b/>
          <w:bCs/>
          <w:noProof/>
          <w:szCs w:val="24"/>
        </w:rPr>
        <w:t xml:space="preserve"> </w:t>
      </w:r>
      <w:r w:rsidRPr="00854F1A">
        <w:rPr>
          <w:noProof/>
          <w:szCs w:val="24"/>
        </w:rPr>
        <w:t>uz</w:t>
      </w:r>
      <w:r w:rsidRPr="00854F1A">
        <w:rPr>
          <w:b/>
          <w:bCs/>
          <w:noProof/>
          <w:szCs w:val="24"/>
        </w:rPr>
        <w:t xml:space="preserve"> </w:t>
      </w:r>
      <w:r w:rsidRPr="00854F1A">
        <w:rPr>
          <w:noProof/>
          <w:szCs w:val="24"/>
        </w:rPr>
        <w:t>12 000</w:t>
      </w:r>
      <w:r w:rsidRPr="00854F1A">
        <w:rPr>
          <w:b/>
          <w:bCs/>
          <w:noProof/>
          <w:szCs w:val="24"/>
        </w:rPr>
        <w:t> </w:t>
      </w:r>
      <w:r w:rsidRPr="00854F1A">
        <w:rPr>
          <w:i/>
          <w:iCs/>
          <w:noProof/>
          <w:szCs w:val="24"/>
        </w:rPr>
        <w:t>euro</w:t>
      </w:r>
      <w:r w:rsidRPr="00854F1A">
        <w:rPr>
          <w:b/>
          <w:bCs/>
          <w:noProof/>
          <w:szCs w:val="24"/>
        </w:rPr>
        <w:t xml:space="preserve"> </w:t>
      </w:r>
      <w:r w:rsidRPr="00854F1A">
        <w:rPr>
          <w:noProof/>
          <w:szCs w:val="24"/>
        </w:rPr>
        <w:t>gadā</w:t>
      </w:r>
      <w:r w:rsidRPr="00854F1A">
        <w:rPr>
          <w:b/>
          <w:bCs/>
          <w:noProof/>
          <w:szCs w:val="24"/>
        </w:rPr>
        <w:t xml:space="preserve"> </w:t>
      </w:r>
      <w:r w:rsidRPr="00854F1A">
        <w:rPr>
          <w:noProof/>
          <w:szCs w:val="24"/>
        </w:rPr>
        <w:t>(1 000</w:t>
      </w:r>
      <w:r w:rsidRPr="00854F1A">
        <w:rPr>
          <w:b/>
          <w:bCs/>
          <w:noProof/>
          <w:szCs w:val="24"/>
        </w:rPr>
        <w:t> </w:t>
      </w:r>
      <w:r w:rsidRPr="00854F1A">
        <w:rPr>
          <w:i/>
          <w:iCs/>
          <w:noProof/>
          <w:szCs w:val="24"/>
        </w:rPr>
        <w:t>euro</w:t>
      </w:r>
      <w:r w:rsidRPr="00854F1A">
        <w:rPr>
          <w:b/>
          <w:bCs/>
          <w:noProof/>
          <w:szCs w:val="24"/>
        </w:rPr>
        <w:t xml:space="preserve"> </w:t>
      </w:r>
      <w:r w:rsidRPr="00854F1A">
        <w:rPr>
          <w:noProof/>
          <w:szCs w:val="24"/>
        </w:rPr>
        <w:t>mēnesī).</w:t>
      </w:r>
    </w:p>
    <w:p w14:paraId="46604E0D" w14:textId="7684F39F" w:rsidR="00854F1A" w:rsidRPr="00854F1A" w:rsidRDefault="00854F1A" w:rsidP="00854F1A">
      <w:pPr>
        <w:numPr>
          <w:ilvl w:val="1"/>
          <w:numId w:val="8"/>
        </w:numPr>
        <w:tabs>
          <w:tab w:val="left" w:pos="567"/>
        </w:tabs>
        <w:spacing w:after="60"/>
        <w:ind w:left="1604" w:hanging="357"/>
        <w:rPr>
          <w:szCs w:val="24"/>
        </w:rPr>
      </w:pPr>
      <w:r w:rsidRPr="00854F1A">
        <w:rPr>
          <w:noProof/>
          <w:szCs w:val="24"/>
          <w:shd w:val="clear" w:color="auto" w:fill="FFFFFF" w:themeFill="background1"/>
        </w:rPr>
        <w:t>1 p</w:t>
      </w:r>
      <w:r w:rsidR="005D05A7" w:rsidRPr="005D05A7">
        <w:rPr>
          <w:noProof/>
          <w:szCs w:val="24"/>
          <w:shd w:val="clear" w:color="auto" w:fill="FFFFFF" w:themeFill="background1"/>
        </w:rPr>
        <w:t>p</w:t>
      </w:r>
      <w:r w:rsidRPr="00854F1A">
        <w:rPr>
          <w:noProof/>
          <w:szCs w:val="24"/>
          <w:shd w:val="clear" w:color="auto" w:fill="FFFFFF" w:themeFill="background1"/>
        </w:rPr>
        <w:t xml:space="preserve"> pārnešana no fondētās</w:t>
      </w:r>
      <w:r w:rsidRPr="00854F1A">
        <w:rPr>
          <w:szCs w:val="24"/>
          <w:shd w:val="clear" w:color="auto" w:fill="FFFFFF" w:themeFill="background1"/>
        </w:rPr>
        <w:t xml:space="preserve"> pensiju shēmas (otrā līmeņa) uz pensiju pirmo līmeni, novirzot pirmajam līmenim 15% un otrajam līmenim 5%, laika periodā no 2025. gada 1. janvāra līdz 2028. gada 31. decembrim un citi pasākumi.</w:t>
      </w:r>
    </w:p>
    <w:p w14:paraId="779F2F26" w14:textId="77777777" w:rsidR="00854F1A" w:rsidRPr="00854F1A" w:rsidRDefault="00854F1A" w:rsidP="00854F1A">
      <w:pPr>
        <w:numPr>
          <w:ilvl w:val="1"/>
          <w:numId w:val="8"/>
        </w:numPr>
        <w:tabs>
          <w:tab w:val="left" w:pos="567"/>
        </w:tabs>
        <w:spacing w:after="60"/>
        <w:ind w:left="1604" w:hanging="357"/>
        <w:rPr>
          <w:szCs w:val="24"/>
        </w:rPr>
      </w:pPr>
      <w:r w:rsidRPr="00854F1A">
        <w:rPr>
          <w:rFonts w:cs="Times New Roman"/>
          <w:szCs w:val="24"/>
        </w:rPr>
        <w:t>Solidaritātes iemaksas ieviešana, kas nozīmē, ka Latvijā reģistrētas kredītiestādes, kā arī citu valstu kredītiestāžu filiāles Latvijā palielina iemaksas valsts budžetā, kas nodrošinātu finansējumu tuvākajos gados pieaugošajām nacionālās drošības vajadzībām. Iemaksu palielinājums notiktu tieši, veicot maksājumus budžetā, izmantojot ārpuskārtas peļņas pieaugumu kredītiestādēs, vai netieši, būtiski palielinot ne-finanšu sektora, kas neietver valsts pārvaldi, kreditēšanu un tādējādi arī ekonomisko aktivitāti un budžeta ieņēmumu apjomu.</w:t>
      </w:r>
    </w:p>
    <w:p w14:paraId="30E0AA42" w14:textId="77777777" w:rsidR="00854F1A" w:rsidRPr="00854F1A" w:rsidRDefault="00854F1A" w:rsidP="00854F1A">
      <w:pPr>
        <w:numPr>
          <w:ilvl w:val="0"/>
          <w:numId w:val="8"/>
        </w:numPr>
        <w:spacing w:after="60"/>
        <w:ind w:left="1066" w:hanging="357"/>
        <w:rPr>
          <w:rFonts w:eastAsia="Times New Roman" w:cs="Times New Roman"/>
          <w:szCs w:val="28"/>
          <w:lang w:eastAsia="en-US"/>
        </w:rPr>
      </w:pPr>
      <w:r w:rsidRPr="00854F1A">
        <w:rPr>
          <w:rFonts w:eastAsia="Times New Roman" w:cs="Times New Roman"/>
          <w:szCs w:val="28"/>
          <w:lang w:eastAsia="en-US"/>
        </w:rPr>
        <w:t>Papildu izdevumi ar valsts drošību saistītajiem prioritārajiem pasākumiem:</w:t>
      </w:r>
    </w:p>
    <w:p w14:paraId="35F07DB8" w14:textId="55E922DE" w:rsidR="00854F1A" w:rsidRPr="00854F1A" w:rsidRDefault="00854F1A" w:rsidP="00854F1A">
      <w:pPr>
        <w:numPr>
          <w:ilvl w:val="1"/>
          <w:numId w:val="8"/>
        </w:numPr>
        <w:spacing w:after="60"/>
        <w:ind w:left="1604" w:hanging="357"/>
        <w:rPr>
          <w:rFonts w:eastAsia="Times New Roman" w:cs="Times New Roman"/>
          <w:noProof/>
          <w:szCs w:val="28"/>
          <w:lang w:eastAsia="en-US"/>
        </w:rPr>
      </w:pPr>
      <w:r w:rsidRPr="00854F1A">
        <w:rPr>
          <w:rFonts w:eastAsia="Times New Roman" w:cs="Times New Roman"/>
          <w:noProof/>
          <w:szCs w:val="28"/>
          <w:lang w:eastAsia="en-US"/>
        </w:rPr>
        <w:t xml:space="preserve">iekšlietu dienestu un Ieslodzījuma vietu pārvaldes amatpersonu ar speciālajām dienesta pakāpēm, kā arī </w:t>
      </w:r>
      <w:r w:rsidR="005D05A7" w:rsidRPr="005D05A7">
        <w:rPr>
          <w:rFonts w:eastAsia="Times New Roman" w:cs="Times New Roman"/>
          <w:noProof/>
          <w:szCs w:val="28"/>
          <w:lang w:eastAsia="en-US"/>
        </w:rPr>
        <w:t>VID</w:t>
      </w:r>
      <w:r w:rsidRPr="00854F1A">
        <w:rPr>
          <w:rFonts w:eastAsia="Times New Roman" w:cs="Times New Roman"/>
          <w:noProof/>
          <w:szCs w:val="28"/>
          <w:lang w:eastAsia="en-US"/>
        </w:rPr>
        <w:t xml:space="preserve"> Nodokļu un muitas policijas pārvaldes atalgojuma palielināšana par 10%  un jaunās piemaksas ieviešana par darbu dienestā;</w:t>
      </w:r>
    </w:p>
    <w:p w14:paraId="6613CA37" w14:textId="77777777" w:rsidR="00854F1A" w:rsidRPr="00854F1A" w:rsidRDefault="00854F1A" w:rsidP="00854F1A">
      <w:pPr>
        <w:numPr>
          <w:ilvl w:val="1"/>
          <w:numId w:val="8"/>
        </w:numPr>
        <w:spacing w:after="60"/>
        <w:ind w:left="1604" w:hanging="357"/>
        <w:rPr>
          <w:rFonts w:eastAsia="Times New Roman" w:cs="Times New Roman"/>
          <w:szCs w:val="28"/>
          <w:lang w:eastAsia="en-US"/>
        </w:rPr>
      </w:pPr>
      <w:r w:rsidRPr="00854F1A">
        <w:rPr>
          <w:rFonts w:eastAsia="Times New Roman" w:cs="Times New Roman"/>
          <w:szCs w:val="28"/>
          <w:lang w:eastAsia="en-US"/>
        </w:rPr>
        <w:t>pasākumu plāna atbalsta sniegšanai Ukrainas civiliedzīvotājiem Latvijas Republikā 2025. gadam īstenošana;</w:t>
      </w:r>
    </w:p>
    <w:p w14:paraId="2041A009" w14:textId="77777777" w:rsidR="00854F1A" w:rsidRPr="00854F1A" w:rsidRDefault="00854F1A" w:rsidP="00854F1A">
      <w:pPr>
        <w:numPr>
          <w:ilvl w:val="1"/>
          <w:numId w:val="8"/>
        </w:numPr>
        <w:spacing w:after="60"/>
        <w:ind w:left="1604" w:hanging="357"/>
        <w:rPr>
          <w:rFonts w:eastAsia="Times New Roman" w:cs="Times New Roman"/>
          <w:szCs w:val="28"/>
          <w:lang w:eastAsia="en-US"/>
        </w:rPr>
      </w:pPr>
      <w:r w:rsidRPr="00854F1A">
        <w:rPr>
          <w:rFonts w:eastAsia="Times New Roman" w:cs="Times New Roman"/>
          <w:szCs w:val="28"/>
          <w:lang w:eastAsia="en-US"/>
        </w:rPr>
        <w:t>atbalsts Ukrainai (atbilstoši noslēgtajiem līgumiem par militāro atbalstu);</w:t>
      </w:r>
    </w:p>
    <w:p w14:paraId="10A53D02" w14:textId="77777777" w:rsidR="00854F1A" w:rsidRPr="00854F1A" w:rsidRDefault="00854F1A" w:rsidP="00854F1A">
      <w:pPr>
        <w:numPr>
          <w:ilvl w:val="1"/>
          <w:numId w:val="8"/>
        </w:numPr>
        <w:spacing w:after="60"/>
        <w:ind w:left="1604" w:hanging="357"/>
        <w:rPr>
          <w:rFonts w:eastAsia="Times New Roman" w:cs="Times New Roman"/>
          <w:szCs w:val="28"/>
          <w:lang w:eastAsia="en-US"/>
        </w:rPr>
      </w:pPr>
      <w:r w:rsidRPr="00854F1A">
        <w:rPr>
          <w:rFonts w:eastAsia="Times New Roman" w:cs="Times New Roman"/>
          <w:szCs w:val="28"/>
          <w:lang w:eastAsia="en-US"/>
        </w:rPr>
        <w:t>munīcijas krājumu papildināšana un individuālā ekipējuma nodrošināšana;</w:t>
      </w:r>
    </w:p>
    <w:p w14:paraId="2E2230FF" w14:textId="77777777" w:rsidR="00854F1A" w:rsidRPr="00854F1A" w:rsidRDefault="00854F1A" w:rsidP="00854F1A">
      <w:pPr>
        <w:numPr>
          <w:ilvl w:val="1"/>
          <w:numId w:val="8"/>
        </w:numPr>
        <w:spacing w:after="60"/>
        <w:ind w:left="1604" w:hanging="357"/>
        <w:rPr>
          <w:rFonts w:eastAsia="Times New Roman" w:cs="Times New Roman"/>
          <w:szCs w:val="28"/>
          <w:lang w:eastAsia="en-US"/>
        </w:rPr>
      </w:pPr>
      <w:r w:rsidRPr="00854F1A">
        <w:rPr>
          <w:rFonts w:eastAsia="Times New Roman" w:cs="Times New Roman"/>
          <w:noProof/>
          <w:szCs w:val="28"/>
          <w:lang w:eastAsia="en-US"/>
        </w:rPr>
        <w:t>kiberdrošības stiprināšana (horizontāls pasākums</w:t>
      </w:r>
      <w:r w:rsidRPr="00854F1A">
        <w:rPr>
          <w:rFonts w:eastAsia="Times New Roman" w:cs="Times New Roman"/>
          <w:szCs w:val="28"/>
          <w:lang w:eastAsia="en-US"/>
        </w:rPr>
        <w:t>);</w:t>
      </w:r>
    </w:p>
    <w:p w14:paraId="70BE741C" w14:textId="77777777" w:rsidR="00854F1A" w:rsidRPr="00854F1A" w:rsidRDefault="00854F1A" w:rsidP="00854F1A">
      <w:pPr>
        <w:numPr>
          <w:ilvl w:val="1"/>
          <w:numId w:val="8"/>
        </w:numPr>
        <w:spacing w:after="60"/>
        <w:ind w:left="1604" w:hanging="357"/>
        <w:rPr>
          <w:rFonts w:eastAsia="Times New Roman" w:cs="Times New Roman"/>
          <w:szCs w:val="28"/>
          <w:lang w:eastAsia="en-US"/>
        </w:rPr>
      </w:pPr>
      <w:r w:rsidRPr="00854F1A">
        <w:rPr>
          <w:rFonts w:eastAsia="Times New Roman" w:cs="Times New Roman"/>
          <w:szCs w:val="28"/>
          <w:lang w:eastAsia="en-US"/>
        </w:rPr>
        <w:t>papildu radaru iegāde vēja parku attīstībai un citi pasākumi.</w:t>
      </w:r>
    </w:p>
    <w:p w14:paraId="55794F54" w14:textId="77777777" w:rsidR="00854F1A" w:rsidRPr="00854F1A" w:rsidRDefault="00854F1A" w:rsidP="00854F1A">
      <w:pPr>
        <w:numPr>
          <w:ilvl w:val="0"/>
          <w:numId w:val="8"/>
        </w:numPr>
        <w:spacing w:after="60"/>
        <w:ind w:left="1066" w:hanging="357"/>
        <w:rPr>
          <w:rFonts w:eastAsia="Times New Roman" w:cs="Times New Roman"/>
          <w:szCs w:val="28"/>
          <w:lang w:eastAsia="en-US"/>
        </w:rPr>
      </w:pPr>
      <w:r w:rsidRPr="00854F1A">
        <w:rPr>
          <w:rFonts w:eastAsia="Times New Roman" w:cs="Times New Roman"/>
          <w:szCs w:val="28"/>
          <w:lang w:eastAsia="en-US"/>
        </w:rPr>
        <w:lastRenderedPageBreak/>
        <w:t>Pedagogu atalgojuma paaugstināšana, tai skaitā finansējums pedagogu darba samaksai atbilstoši aktualizētajam skolēnu skaitam.</w:t>
      </w:r>
    </w:p>
    <w:p w14:paraId="29E53EC8" w14:textId="3DE07CE7" w:rsidR="00854F1A" w:rsidRPr="00854F1A" w:rsidRDefault="00854F1A" w:rsidP="00854F1A">
      <w:pPr>
        <w:keepNext/>
        <w:spacing w:before="120"/>
        <w:ind w:firstLine="0"/>
        <w:jc w:val="right"/>
        <w:rPr>
          <w:rFonts w:eastAsia="Times New Roman" w:cs="Times New Roman"/>
          <w:b/>
          <w:i/>
          <w:szCs w:val="24"/>
          <w:lang w:eastAsia="en-US"/>
        </w:rPr>
      </w:pPr>
      <w:bookmarkStart w:id="59" w:name="_Hlk83887487"/>
      <w:bookmarkEnd w:id="58"/>
      <w:r w:rsidRPr="00854F1A">
        <w:rPr>
          <w:rFonts w:eastAsia="Times New Roman" w:cs="Times New Roman"/>
          <w:b/>
          <w:i/>
          <w:szCs w:val="24"/>
          <w:lang w:eastAsia="en-US"/>
        </w:rPr>
        <w:t>2.</w:t>
      </w:r>
      <w:r w:rsidR="00187E6E">
        <w:rPr>
          <w:rFonts w:eastAsia="Times New Roman" w:cs="Times New Roman"/>
          <w:b/>
          <w:i/>
          <w:szCs w:val="24"/>
          <w:lang w:eastAsia="en-US"/>
        </w:rPr>
        <w:t>19</w:t>
      </w:r>
      <w:r w:rsidRPr="00854F1A">
        <w:rPr>
          <w:rFonts w:eastAsia="Times New Roman" w:cs="Times New Roman"/>
          <w:b/>
          <w:i/>
          <w:szCs w:val="24"/>
          <w:lang w:eastAsia="en-US"/>
        </w:rPr>
        <w:t>. tabula. Vispārējās valdības budžeta un konsolidētā kopbudžeta bilance 2023. </w:t>
      </w:r>
      <w:r w:rsidRPr="00854F1A">
        <w:rPr>
          <w:rFonts w:eastAsia="Times New Roman" w:cs="Times New Roman"/>
          <w:b/>
          <w:i/>
          <w:szCs w:val="24"/>
          <w:lang w:eastAsia="en-US"/>
        </w:rPr>
        <w:noBreakHyphen/>
        <w:t xml:space="preserve"> 2027. gadā, milj. </w:t>
      </w:r>
      <w:r w:rsidRPr="00854F1A">
        <w:rPr>
          <w:rFonts w:eastAsia="Times New Roman" w:cs="Times New Roman"/>
          <w:b/>
          <w:i/>
          <w:noProof/>
          <w:szCs w:val="24"/>
          <w:lang w:eastAsia="en-US"/>
        </w:rPr>
        <w:t>euro</w:t>
      </w:r>
      <w:r w:rsidRPr="00854F1A">
        <w:rPr>
          <w:rFonts w:eastAsia="Times New Roman" w:cs="Times New Roman"/>
          <w:b/>
          <w:i/>
          <w:szCs w:val="24"/>
          <w:lang w:eastAsia="en-US"/>
        </w:rPr>
        <w:t xml:space="preserve"> un % no IKP</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851"/>
        <w:gridCol w:w="850"/>
        <w:gridCol w:w="851"/>
        <w:gridCol w:w="850"/>
        <w:gridCol w:w="851"/>
        <w:gridCol w:w="850"/>
        <w:gridCol w:w="864"/>
        <w:gridCol w:w="863"/>
      </w:tblGrid>
      <w:tr w:rsidR="00854F1A" w:rsidRPr="00854F1A" w14:paraId="590EC29F" w14:textId="77777777" w:rsidTr="002C61B1">
        <w:trPr>
          <w:trHeight w:val="20"/>
          <w:tblHeader/>
          <w:jc w:val="center"/>
        </w:trPr>
        <w:tc>
          <w:tcPr>
            <w:tcW w:w="2263" w:type="dxa"/>
            <w:vMerge w:val="restart"/>
            <w:shd w:val="clear" w:color="auto" w:fill="BDD6EE" w:themeFill="accent1" w:themeFillTint="66"/>
            <w:noWrap/>
            <w:vAlign w:val="center"/>
            <w:hideMark/>
          </w:tcPr>
          <w:p w14:paraId="5AA63C65" w14:textId="77777777" w:rsidR="00854F1A" w:rsidRPr="00854F1A" w:rsidRDefault="00854F1A" w:rsidP="00854F1A">
            <w:pPr>
              <w:spacing w:after="0"/>
              <w:ind w:firstLine="0"/>
              <w:contextualSpacing/>
              <w:jc w:val="left"/>
              <w:rPr>
                <w:rFonts w:eastAsia="Times New Roman" w:cs="Times New Roman"/>
                <w:color w:val="000000"/>
                <w:sz w:val="18"/>
                <w:szCs w:val="18"/>
              </w:rPr>
            </w:pPr>
            <w:r w:rsidRPr="00854F1A">
              <w:rPr>
                <w:rFonts w:eastAsia="Times New Roman" w:cs="Times New Roman"/>
                <w:color w:val="000000"/>
                <w:sz w:val="18"/>
                <w:szCs w:val="18"/>
              </w:rPr>
              <w:t> </w:t>
            </w:r>
          </w:p>
          <w:p w14:paraId="3667E24F" w14:textId="77777777" w:rsidR="00854F1A" w:rsidRPr="00854F1A" w:rsidRDefault="00854F1A" w:rsidP="00854F1A">
            <w:pPr>
              <w:spacing w:after="0"/>
              <w:ind w:firstLine="709"/>
              <w:contextualSpacing/>
              <w:jc w:val="left"/>
              <w:rPr>
                <w:rFonts w:eastAsia="Times New Roman" w:cs="Times New Roman"/>
                <w:color w:val="000000"/>
                <w:sz w:val="18"/>
                <w:szCs w:val="18"/>
              </w:rPr>
            </w:pPr>
            <w:r w:rsidRPr="00854F1A">
              <w:rPr>
                <w:rFonts w:eastAsia="Times New Roman" w:cs="Times New Roman"/>
                <w:b/>
                <w:bCs/>
                <w:color w:val="000000"/>
                <w:sz w:val="18"/>
                <w:szCs w:val="18"/>
              </w:rPr>
              <w:t> </w:t>
            </w:r>
          </w:p>
        </w:tc>
        <w:tc>
          <w:tcPr>
            <w:tcW w:w="851" w:type="dxa"/>
            <w:shd w:val="clear" w:color="auto" w:fill="BDD6EE" w:themeFill="accent1" w:themeFillTint="66"/>
            <w:noWrap/>
            <w:vAlign w:val="center"/>
            <w:hideMark/>
          </w:tcPr>
          <w:p w14:paraId="4A61AE97" w14:textId="77777777" w:rsidR="00854F1A" w:rsidRPr="00854F1A" w:rsidRDefault="00854F1A" w:rsidP="00854F1A">
            <w:pPr>
              <w:spacing w:after="0"/>
              <w:ind w:firstLine="0"/>
              <w:contextualSpacing/>
              <w:jc w:val="center"/>
              <w:rPr>
                <w:rFonts w:eastAsia="Times New Roman" w:cs="Times New Roman"/>
                <w:b/>
                <w:bCs/>
                <w:color w:val="000000"/>
                <w:sz w:val="18"/>
                <w:szCs w:val="18"/>
              </w:rPr>
            </w:pPr>
            <w:r w:rsidRPr="00854F1A">
              <w:rPr>
                <w:rFonts w:eastAsia="Times New Roman" w:cs="Times New Roman"/>
                <w:b/>
                <w:bCs/>
                <w:color w:val="000000"/>
                <w:sz w:val="18"/>
                <w:szCs w:val="18"/>
              </w:rPr>
              <w:t>2023</w:t>
            </w:r>
          </w:p>
        </w:tc>
        <w:tc>
          <w:tcPr>
            <w:tcW w:w="850" w:type="dxa"/>
            <w:shd w:val="clear" w:color="auto" w:fill="BDD6EE" w:themeFill="accent1" w:themeFillTint="66"/>
            <w:noWrap/>
            <w:vAlign w:val="center"/>
            <w:hideMark/>
          </w:tcPr>
          <w:p w14:paraId="2073B20C" w14:textId="77777777" w:rsidR="00854F1A" w:rsidRPr="00854F1A" w:rsidRDefault="00854F1A" w:rsidP="00854F1A">
            <w:pPr>
              <w:spacing w:after="0"/>
              <w:ind w:firstLine="0"/>
              <w:contextualSpacing/>
              <w:jc w:val="center"/>
              <w:rPr>
                <w:rFonts w:eastAsia="Times New Roman" w:cs="Times New Roman"/>
                <w:b/>
                <w:bCs/>
                <w:color w:val="000000"/>
                <w:sz w:val="18"/>
                <w:szCs w:val="18"/>
              </w:rPr>
            </w:pPr>
            <w:r w:rsidRPr="00854F1A">
              <w:rPr>
                <w:rFonts w:eastAsia="Times New Roman" w:cs="Times New Roman"/>
                <w:b/>
                <w:bCs/>
                <w:color w:val="000000"/>
                <w:sz w:val="18"/>
                <w:szCs w:val="18"/>
              </w:rPr>
              <w:t>2024</w:t>
            </w:r>
          </w:p>
        </w:tc>
        <w:tc>
          <w:tcPr>
            <w:tcW w:w="851" w:type="dxa"/>
            <w:shd w:val="clear" w:color="auto" w:fill="BDD6EE" w:themeFill="accent1" w:themeFillTint="66"/>
            <w:noWrap/>
            <w:vAlign w:val="center"/>
            <w:hideMark/>
          </w:tcPr>
          <w:p w14:paraId="11822C03" w14:textId="77777777" w:rsidR="00854F1A" w:rsidRPr="00854F1A" w:rsidRDefault="00854F1A" w:rsidP="00854F1A">
            <w:pPr>
              <w:spacing w:after="0"/>
              <w:ind w:firstLine="0"/>
              <w:contextualSpacing/>
              <w:jc w:val="center"/>
              <w:rPr>
                <w:rFonts w:eastAsia="Times New Roman" w:cs="Times New Roman"/>
                <w:b/>
                <w:bCs/>
                <w:color w:val="000000"/>
                <w:sz w:val="18"/>
                <w:szCs w:val="18"/>
              </w:rPr>
            </w:pPr>
            <w:r w:rsidRPr="00854F1A">
              <w:rPr>
                <w:rFonts w:eastAsia="Times New Roman" w:cs="Times New Roman"/>
                <w:b/>
                <w:bCs/>
                <w:color w:val="000000"/>
                <w:sz w:val="18"/>
                <w:szCs w:val="18"/>
              </w:rPr>
              <w:t>2025</w:t>
            </w:r>
          </w:p>
        </w:tc>
        <w:tc>
          <w:tcPr>
            <w:tcW w:w="850" w:type="dxa"/>
            <w:shd w:val="clear" w:color="auto" w:fill="BDD6EE" w:themeFill="accent1" w:themeFillTint="66"/>
            <w:noWrap/>
            <w:vAlign w:val="center"/>
            <w:hideMark/>
          </w:tcPr>
          <w:p w14:paraId="49DF24AA" w14:textId="77777777" w:rsidR="00854F1A" w:rsidRPr="00854F1A" w:rsidRDefault="00854F1A" w:rsidP="00854F1A">
            <w:pPr>
              <w:spacing w:after="0"/>
              <w:ind w:firstLine="0"/>
              <w:contextualSpacing/>
              <w:jc w:val="center"/>
              <w:rPr>
                <w:rFonts w:eastAsia="Times New Roman" w:cs="Times New Roman"/>
                <w:b/>
                <w:bCs/>
                <w:color w:val="000000"/>
                <w:sz w:val="18"/>
                <w:szCs w:val="18"/>
              </w:rPr>
            </w:pPr>
            <w:r w:rsidRPr="00854F1A">
              <w:rPr>
                <w:rFonts w:eastAsia="Times New Roman" w:cs="Times New Roman"/>
                <w:b/>
                <w:bCs/>
                <w:color w:val="000000"/>
                <w:sz w:val="18"/>
                <w:szCs w:val="18"/>
              </w:rPr>
              <w:t>2026</w:t>
            </w:r>
          </w:p>
        </w:tc>
        <w:tc>
          <w:tcPr>
            <w:tcW w:w="851" w:type="dxa"/>
            <w:shd w:val="clear" w:color="auto" w:fill="BDD6EE" w:themeFill="accent1" w:themeFillTint="66"/>
          </w:tcPr>
          <w:p w14:paraId="108E62BB" w14:textId="77777777" w:rsidR="00854F1A" w:rsidRPr="00854F1A" w:rsidRDefault="00854F1A" w:rsidP="00854F1A">
            <w:pPr>
              <w:spacing w:after="0"/>
              <w:ind w:firstLine="0"/>
              <w:contextualSpacing/>
              <w:jc w:val="center"/>
              <w:rPr>
                <w:rFonts w:eastAsia="Times New Roman" w:cs="Times New Roman"/>
                <w:b/>
                <w:bCs/>
                <w:color w:val="000000"/>
                <w:sz w:val="18"/>
                <w:szCs w:val="18"/>
              </w:rPr>
            </w:pPr>
            <w:r w:rsidRPr="00854F1A">
              <w:rPr>
                <w:rFonts w:eastAsia="Times New Roman" w:cs="Times New Roman"/>
                <w:b/>
                <w:bCs/>
                <w:color w:val="000000"/>
                <w:sz w:val="18"/>
                <w:szCs w:val="18"/>
              </w:rPr>
              <w:t>2027</w:t>
            </w:r>
          </w:p>
        </w:tc>
        <w:tc>
          <w:tcPr>
            <w:tcW w:w="850" w:type="dxa"/>
            <w:shd w:val="clear" w:color="auto" w:fill="BDD6EE" w:themeFill="accent1" w:themeFillTint="66"/>
            <w:noWrap/>
            <w:vAlign w:val="center"/>
            <w:hideMark/>
          </w:tcPr>
          <w:p w14:paraId="416E52A9" w14:textId="77777777" w:rsidR="00854F1A" w:rsidRPr="00854F1A" w:rsidRDefault="00854F1A" w:rsidP="00854F1A">
            <w:pPr>
              <w:spacing w:after="0"/>
              <w:ind w:firstLine="0"/>
              <w:contextualSpacing/>
              <w:jc w:val="center"/>
              <w:rPr>
                <w:rFonts w:eastAsia="Times New Roman" w:cs="Times New Roman"/>
                <w:b/>
                <w:bCs/>
                <w:color w:val="000000"/>
                <w:sz w:val="18"/>
                <w:szCs w:val="18"/>
              </w:rPr>
            </w:pPr>
            <w:r w:rsidRPr="00854F1A">
              <w:rPr>
                <w:rFonts w:eastAsia="Times New Roman" w:cs="Times New Roman"/>
                <w:b/>
                <w:bCs/>
                <w:color w:val="000000"/>
                <w:sz w:val="18"/>
                <w:szCs w:val="18"/>
              </w:rPr>
              <w:t>2025</w:t>
            </w:r>
          </w:p>
        </w:tc>
        <w:tc>
          <w:tcPr>
            <w:tcW w:w="864" w:type="dxa"/>
            <w:shd w:val="clear" w:color="auto" w:fill="BDD6EE" w:themeFill="accent1" w:themeFillTint="66"/>
            <w:noWrap/>
            <w:vAlign w:val="center"/>
            <w:hideMark/>
          </w:tcPr>
          <w:p w14:paraId="4065F61C" w14:textId="77777777" w:rsidR="00854F1A" w:rsidRPr="00854F1A" w:rsidRDefault="00854F1A" w:rsidP="00854F1A">
            <w:pPr>
              <w:spacing w:after="0"/>
              <w:ind w:firstLine="0"/>
              <w:contextualSpacing/>
              <w:jc w:val="center"/>
              <w:rPr>
                <w:rFonts w:eastAsia="Times New Roman" w:cs="Times New Roman"/>
                <w:b/>
                <w:bCs/>
                <w:color w:val="000000"/>
                <w:sz w:val="18"/>
                <w:szCs w:val="18"/>
              </w:rPr>
            </w:pPr>
            <w:r w:rsidRPr="00854F1A">
              <w:rPr>
                <w:rFonts w:eastAsia="Times New Roman" w:cs="Times New Roman"/>
                <w:b/>
                <w:bCs/>
                <w:color w:val="000000"/>
                <w:sz w:val="18"/>
                <w:szCs w:val="18"/>
              </w:rPr>
              <w:t>2026</w:t>
            </w:r>
          </w:p>
        </w:tc>
        <w:tc>
          <w:tcPr>
            <w:tcW w:w="863" w:type="dxa"/>
            <w:shd w:val="clear" w:color="auto" w:fill="BDD6EE" w:themeFill="accent1" w:themeFillTint="66"/>
            <w:noWrap/>
            <w:hideMark/>
          </w:tcPr>
          <w:p w14:paraId="229F6C69" w14:textId="77777777" w:rsidR="00854F1A" w:rsidRPr="00854F1A" w:rsidRDefault="00854F1A" w:rsidP="00854F1A">
            <w:pPr>
              <w:spacing w:after="0"/>
              <w:ind w:firstLine="0"/>
              <w:contextualSpacing/>
              <w:jc w:val="center"/>
              <w:rPr>
                <w:rFonts w:eastAsia="Times New Roman" w:cs="Times New Roman"/>
                <w:b/>
                <w:bCs/>
                <w:color w:val="000000"/>
                <w:sz w:val="18"/>
                <w:szCs w:val="18"/>
              </w:rPr>
            </w:pPr>
            <w:r w:rsidRPr="00854F1A">
              <w:rPr>
                <w:rFonts w:eastAsia="Times New Roman" w:cs="Times New Roman"/>
                <w:b/>
                <w:bCs/>
                <w:color w:val="000000"/>
                <w:sz w:val="18"/>
                <w:szCs w:val="18"/>
              </w:rPr>
              <w:t>2027</w:t>
            </w:r>
          </w:p>
        </w:tc>
      </w:tr>
      <w:tr w:rsidR="00854F1A" w:rsidRPr="00854F1A" w14:paraId="2F76D415" w14:textId="77777777" w:rsidTr="002C61B1">
        <w:trPr>
          <w:trHeight w:val="20"/>
          <w:tblHeader/>
          <w:jc w:val="center"/>
        </w:trPr>
        <w:tc>
          <w:tcPr>
            <w:tcW w:w="2263" w:type="dxa"/>
            <w:vMerge/>
            <w:shd w:val="clear" w:color="auto" w:fill="BDD6EE" w:themeFill="accent1" w:themeFillTint="66"/>
            <w:noWrap/>
            <w:vAlign w:val="center"/>
            <w:hideMark/>
          </w:tcPr>
          <w:p w14:paraId="264D3CBB" w14:textId="77777777" w:rsidR="00854F1A" w:rsidRPr="00854F1A" w:rsidRDefault="00854F1A" w:rsidP="00854F1A">
            <w:pPr>
              <w:spacing w:after="0"/>
              <w:ind w:firstLine="0"/>
              <w:contextualSpacing/>
              <w:jc w:val="left"/>
              <w:rPr>
                <w:rFonts w:eastAsia="Times New Roman" w:cs="Times New Roman"/>
                <w:b/>
                <w:bCs/>
                <w:color w:val="000000"/>
                <w:sz w:val="18"/>
                <w:szCs w:val="18"/>
              </w:rPr>
            </w:pPr>
          </w:p>
        </w:tc>
        <w:tc>
          <w:tcPr>
            <w:tcW w:w="851" w:type="dxa"/>
            <w:shd w:val="clear" w:color="auto" w:fill="BDD6EE" w:themeFill="accent1" w:themeFillTint="66"/>
            <w:noWrap/>
            <w:vAlign w:val="center"/>
            <w:hideMark/>
          </w:tcPr>
          <w:p w14:paraId="7C1FAC25" w14:textId="77777777" w:rsidR="00854F1A" w:rsidRPr="00854F1A" w:rsidRDefault="00854F1A" w:rsidP="00854F1A">
            <w:pPr>
              <w:spacing w:after="0"/>
              <w:ind w:firstLine="0"/>
              <w:contextualSpacing/>
              <w:jc w:val="center"/>
              <w:rPr>
                <w:rFonts w:eastAsia="Times New Roman" w:cs="Times New Roman"/>
                <w:b/>
                <w:color w:val="000000"/>
                <w:sz w:val="18"/>
                <w:szCs w:val="18"/>
              </w:rPr>
            </w:pPr>
            <w:r w:rsidRPr="00854F1A">
              <w:rPr>
                <w:rFonts w:eastAsia="Times New Roman" w:cs="Times New Roman"/>
                <w:b/>
                <w:color w:val="000000"/>
                <w:sz w:val="18"/>
                <w:szCs w:val="18"/>
              </w:rPr>
              <w:t>Fakts</w:t>
            </w:r>
          </w:p>
        </w:tc>
        <w:tc>
          <w:tcPr>
            <w:tcW w:w="850" w:type="dxa"/>
            <w:shd w:val="clear" w:color="auto" w:fill="BDD6EE" w:themeFill="accent1" w:themeFillTint="66"/>
            <w:vAlign w:val="center"/>
          </w:tcPr>
          <w:p w14:paraId="661BFBF4" w14:textId="77777777" w:rsidR="00854F1A" w:rsidRPr="00854F1A" w:rsidRDefault="00854F1A" w:rsidP="00854F1A">
            <w:pPr>
              <w:spacing w:after="0"/>
              <w:ind w:firstLine="0"/>
              <w:contextualSpacing/>
              <w:jc w:val="center"/>
              <w:rPr>
                <w:rFonts w:eastAsia="Times New Roman" w:cs="Times New Roman"/>
                <w:b/>
                <w:color w:val="000000"/>
                <w:sz w:val="18"/>
                <w:szCs w:val="18"/>
              </w:rPr>
            </w:pPr>
            <w:r w:rsidRPr="00854F1A">
              <w:rPr>
                <w:rFonts w:eastAsia="Times New Roman" w:cs="Times New Roman"/>
                <w:b/>
                <w:color w:val="000000"/>
                <w:sz w:val="18"/>
                <w:szCs w:val="18"/>
              </w:rPr>
              <w:t>Novērt.</w:t>
            </w:r>
          </w:p>
        </w:tc>
        <w:tc>
          <w:tcPr>
            <w:tcW w:w="2552" w:type="dxa"/>
            <w:gridSpan w:val="3"/>
            <w:shd w:val="clear" w:color="auto" w:fill="BDD6EE" w:themeFill="accent1" w:themeFillTint="66"/>
            <w:vAlign w:val="center"/>
          </w:tcPr>
          <w:p w14:paraId="5A9DAADD" w14:textId="77777777" w:rsidR="00854F1A" w:rsidRPr="00854F1A" w:rsidRDefault="00854F1A" w:rsidP="00854F1A">
            <w:pPr>
              <w:spacing w:after="0"/>
              <w:ind w:firstLine="0"/>
              <w:contextualSpacing/>
              <w:jc w:val="center"/>
              <w:rPr>
                <w:rFonts w:eastAsia="Times New Roman" w:cs="Times New Roman"/>
                <w:b/>
                <w:color w:val="000000"/>
                <w:sz w:val="18"/>
                <w:szCs w:val="18"/>
              </w:rPr>
            </w:pPr>
            <w:r w:rsidRPr="00854F1A">
              <w:rPr>
                <w:rFonts w:eastAsia="Times New Roman" w:cs="Times New Roman"/>
                <w:b/>
                <w:color w:val="000000"/>
                <w:sz w:val="18"/>
                <w:szCs w:val="18"/>
              </w:rPr>
              <w:t>Prognoze</w:t>
            </w:r>
            <w:r w:rsidRPr="00854F1A">
              <w:rPr>
                <w:rFonts w:eastAsia="Times New Roman" w:cs="Times New Roman"/>
                <w:b/>
                <w:color w:val="000000"/>
                <w:sz w:val="18"/>
                <w:szCs w:val="18"/>
              </w:rPr>
              <w:br/>
              <w:t>(pie nemainīgas politikas)</w:t>
            </w:r>
            <w:r w:rsidRPr="00854F1A">
              <w:rPr>
                <w:rFonts w:eastAsia="Times New Roman" w:cs="Times New Roman"/>
                <w:b/>
                <w:color w:val="000000"/>
                <w:sz w:val="18"/>
                <w:szCs w:val="18"/>
                <w:vertAlign w:val="superscript"/>
              </w:rPr>
              <w:footnoteReference w:id="25"/>
            </w:r>
          </w:p>
        </w:tc>
        <w:tc>
          <w:tcPr>
            <w:tcW w:w="2577" w:type="dxa"/>
            <w:gridSpan w:val="3"/>
            <w:shd w:val="clear" w:color="auto" w:fill="BDD6EE" w:themeFill="accent1" w:themeFillTint="66"/>
            <w:vAlign w:val="center"/>
            <w:hideMark/>
          </w:tcPr>
          <w:p w14:paraId="6DB0B759" w14:textId="77777777" w:rsidR="00854F1A" w:rsidRPr="00854F1A" w:rsidRDefault="00854F1A" w:rsidP="00854F1A">
            <w:pPr>
              <w:spacing w:after="0"/>
              <w:ind w:firstLine="0"/>
              <w:contextualSpacing/>
              <w:jc w:val="center"/>
              <w:rPr>
                <w:rFonts w:eastAsia="Times New Roman" w:cs="Times New Roman"/>
                <w:b/>
                <w:color w:val="000000"/>
                <w:sz w:val="18"/>
                <w:szCs w:val="18"/>
              </w:rPr>
            </w:pPr>
            <w:r w:rsidRPr="00854F1A">
              <w:rPr>
                <w:rFonts w:eastAsia="Times New Roman" w:cs="Times New Roman"/>
                <w:b/>
                <w:color w:val="000000"/>
                <w:sz w:val="18"/>
                <w:szCs w:val="18"/>
              </w:rPr>
              <w:t xml:space="preserve">Prognoze </w:t>
            </w:r>
          </w:p>
        </w:tc>
      </w:tr>
      <w:tr w:rsidR="00854F1A" w:rsidRPr="00854F1A" w14:paraId="495EA5DE" w14:textId="77777777" w:rsidTr="002C61B1">
        <w:trPr>
          <w:trHeight w:val="20"/>
          <w:jc w:val="center"/>
        </w:trPr>
        <w:tc>
          <w:tcPr>
            <w:tcW w:w="2263" w:type="dxa"/>
            <w:shd w:val="clear" w:color="auto" w:fill="auto"/>
            <w:vAlign w:val="center"/>
            <w:hideMark/>
          </w:tcPr>
          <w:p w14:paraId="7CB3021E" w14:textId="77777777" w:rsidR="00854F1A" w:rsidRPr="00854F1A" w:rsidRDefault="00854F1A" w:rsidP="00854F1A">
            <w:pPr>
              <w:spacing w:after="0"/>
              <w:ind w:firstLine="0"/>
              <w:contextualSpacing/>
              <w:jc w:val="left"/>
              <w:rPr>
                <w:rFonts w:eastAsia="Times New Roman" w:cs="Times New Roman"/>
                <w:b/>
                <w:bCs/>
                <w:color w:val="000000"/>
                <w:sz w:val="18"/>
                <w:szCs w:val="18"/>
              </w:rPr>
            </w:pPr>
            <w:r w:rsidRPr="00854F1A">
              <w:rPr>
                <w:rFonts w:eastAsia="Times New Roman" w:cs="Times New Roman"/>
                <w:b/>
                <w:bCs/>
                <w:color w:val="000000"/>
                <w:sz w:val="18"/>
                <w:szCs w:val="18"/>
              </w:rPr>
              <w:t>Vispārējās valdības budžeta bilance, % no IKP</w:t>
            </w:r>
          </w:p>
        </w:tc>
        <w:tc>
          <w:tcPr>
            <w:tcW w:w="851" w:type="dxa"/>
            <w:shd w:val="clear" w:color="auto" w:fill="auto"/>
            <w:noWrap/>
            <w:vAlign w:val="center"/>
            <w:hideMark/>
          </w:tcPr>
          <w:p w14:paraId="7A652697" w14:textId="77777777" w:rsidR="00854F1A" w:rsidRPr="00854F1A" w:rsidRDefault="00854F1A" w:rsidP="00854F1A">
            <w:pPr>
              <w:spacing w:after="0"/>
              <w:ind w:firstLine="0"/>
              <w:jc w:val="right"/>
              <w:rPr>
                <w:rFonts w:eastAsia="Times New Roman" w:cs="Times New Roman"/>
                <w:b/>
                <w:bCs/>
                <w:sz w:val="18"/>
                <w:szCs w:val="18"/>
              </w:rPr>
            </w:pPr>
            <w:r w:rsidRPr="00854F1A">
              <w:rPr>
                <w:rFonts w:cs="Times New Roman"/>
                <w:b/>
                <w:bCs/>
                <w:sz w:val="18"/>
                <w:szCs w:val="18"/>
              </w:rPr>
              <w:t xml:space="preserve">-2,2 </w:t>
            </w:r>
          </w:p>
        </w:tc>
        <w:tc>
          <w:tcPr>
            <w:tcW w:w="850" w:type="dxa"/>
            <w:shd w:val="clear" w:color="auto" w:fill="auto"/>
            <w:noWrap/>
            <w:vAlign w:val="center"/>
            <w:hideMark/>
          </w:tcPr>
          <w:p w14:paraId="15866C10"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-2,6 </w:t>
            </w:r>
          </w:p>
        </w:tc>
        <w:tc>
          <w:tcPr>
            <w:tcW w:w="851" w:type="dxa"/>
            <w:shd w:val="clear" w:color="auto" w:fill="auto"/>
            <w:noWrap/>
            <w:vAlign w:val="center"/>
            <w:hideMark/>
          </w:tcPr>
          <w:p w14:paraId="60EC695E"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 xml:space="preserve">-2,9 </w:t>
            </w:r>
          </w:p>
        </w:tc>
        <w:tc>
          <w:tcPr>
            <w:tcW w:w="850" w:type="dxa"/>
            <w:shd w:val="clear" w:color="auto" w:fill="auto"/>
            <w:noWrap/>
            <w:vAlign w:val="center"/>
            <w:hideMark/>
          </w:tcPr>
          <w:p w14:paraId="689326E5"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-2,7 </w:t>
            </w:r>
          </w:p>
        </w:tc>
        <w:tc>
          <w:tcPr>
            <w:tcW w:w="851" w:type="dxa"/>
            <w:shd w:val="clear" w:color="auto" w:fill="auto"/>
            <w:vAlign w:val="center"/>
          </w:tcPr>
          <w:p w14:paraId="704800AC"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-2,4 </w:t>
            </w:r>
          </w:p>
        </w:tc>
        <w:tc>
          <w:tcPr>
            <w:tcW w:w="850" w:type="dxa"/>
            <w:shd w:val="clear" w:color="auto" w:fill="auto"/>
            <w:noWrap/>
            <w:vAlign w:val="center"/>
            <w:hideMark/>
          </w:tcPr>
          <w:p w14:paraId="154EAC64"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-2,9 </w:t>
            </w:r>
          </w:p>
        </w:tc>
        <w:tc>
          <w:tcPr>
            <w:tcW w:w="864" w:type="dxa"/>
            <w:shd w:val="clear" w:color="auto" w:fill="auto"/>
            <w:noWrap/>
            <w:vAlign w:val="center"/>
            <w:hideMark/>
          </w:tcPr>
          <w:p w14:paraId="06382D02"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-2,6 </w:t>
            </w:r>
          </w:p>
        </w:tc>
        <w:tc>
          <w:tcPr>
            <w:tcW w:w="863" w:type="dxa"/>
            <w:shd w:val="clear" w:color="auto" w:fill="auto"/>
            <w:noWrap/>
            <w:vAlign w:val="center"/>
            <w:hideMark/>
          </w:tcPr>
          <w:p w14:paraId="34234D71"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-2,4 </w:t>
            </w:r>
          </w:p>
        </w:tc>
      </w:tr>
      <w:tr w:rsidR="00854F1A" w:rsidRPr="00854F1A" w14:paraId="7394E200" w14:textId="77777777" w:rsidTr="002C61B1">
        <w:trPr>
          <w:trHeight w:val="20"/>
          <w:jc w:val="center"/>
        </w:trPr>
        <w:tc>
          <w:tcPr>
            <w:tcW w:w="2263" w:type="dxa"/>
            <w:shd w:val="clear" w:color="auto" w:fill="auto"/>
            <w:vAlign w:val="center"/>
            <w:hideMark/>
          </w:tcPr>
          <w:p w14:paraId="4F0E09DE" w14:textId="77777777" w:rsidR="00854F1A" w:rsidRPr="00854F1A" w:rsidRDefault="00854F1A" w:rsidP="00854F1A">
            <w:pPr>
              <w:spacing w:after="0"/>
              <w:ind w:firstLine="0"/>
              <w:contextualSpacing/>
              <w:jc w:val="left"/>
              <w:rPr>
                <w:rFonts w:eastAsia="Times New Roman" w:cs="Times New Roman"/>
                <w:b/>
                <w:bCs/>
                <w:color w:val="000000"/>
                <w:sz w:val="18"/>
                <w:szCs w:val="18"/>
              </w:rPr>
            </w:pPr>
            <w:r w:rsidRPr="00854F1A">
              <w:rPr>
                <w:rFonts w:eastAsia="Times New Roman" w:cs="Times New Roman"/>
                <w:b/>
                <w:bCs/>
                <w:color w:val="000000"/>
                <w:sz w:val="18"/>
                <w:szCs w:val="18"/>
              </w:rPr>
              <w:t>Vispārējās valdības budžeta bilance</w:t>
            </w:r>
          </w:p>
        </w:tc>
        <w:tc>
          <w:tcPr>
            <w:tcW w:w="851" w:type="dxa"/>
            <w:shd w:val="clear" w:color="auto" w:fill="auto"/>
            <w:noWrap/>
            <w:vAlign w:val="center"/>
            <w:hideMark/>
          </w:tcPr>
          <w:p w14:paraId="689D69C7" w14:textId="77777777" w:rsidR="00854F1A" w:rsidRPr="00854F1A" w:rsidRDefault="00854F1A" w:rsidP="00854F1A">
            <w:pPr>
              <w:spacing w:after="0"/>
              <w:ind w:firstLine="0"/>
              <w:jc w:val="right"/>
              <w:rPr>
                <w:rFonts w:eastAsia="Times New Roman" w:cs="Times New Roman"/>
                <w:b/>
                <w:bCs/>
                <w:sz w:val="18"/>
                <w:szCs w:val="18"/>
              </w:rPr>
            </w:pPr>
            <w:r w:rsidRPr="00854F1A">
              <w:rPr>
                <w:rFonts w:cs="Times New Roman"/>
                <w:b/>
                <w:bCs/>
                <w:sz w:val="18"/>
                <w:szCs w:val="18"/>
              </w:rPr>
              <w:t>-893,1</w:t>
            </w:r>
          </w:p>
        </w:tc>
        <w:tc>
          <w:tcPr>
            <w:tcW w:w="850" w:type="dxa"/>
            <w:shd w:val="clear" w:color="auto" w:fill="auto"/>
            <w:noWrap/>
            <w:vAlign w:val="center"/>
            <w:hideMark/>
          </w:tcPr>
          <w:p w14:paraId="79EFF937"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-1 075,4</w:t>
            </w:r>
          </w:p>
        </w:tc>
        <w:tc>
          <w:tcPr>
            <w:tcW w:w="851" w:type="dxa"/>
            <w:shd w:val="clear" w:color="auto" w:fill="auto"/>
            <w:noWrap/>
            <w:vAlign w:val="center"/>
            <w:hideMark/>
          </w:tcPr>
          <w:p w14:paraId="0638B1D7"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-1 295,9 </w:t>
            </w:r>
          </w:p>
        </w:tc>
        <w:tc>
          <w:tcPr>
            <w:tcW w:w="850" w:type="dxa"/>
            <w:shd w:val="clear" w:color="auto" w:fill="auto"/>
            <w:noWrap/>
            <w:vAlign w:val="center"/>
            <w:hideMark/>
          </w:tcPr>
          <w:p w14:paraId="480B2626"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-1 269,3 </w:t>
            </w:r>
          </w:p>
        </w:tc>
        <w:tc>
          <w:tcPr>
            <w:tcW w:w="851" w:type="dxa"/>
            <w:shd w:val="clear" w:color="auto" w:fill="auto"/>
            <w:vAlign w:val="center"/>
          </w:tcPr>
          <w:p w14:paraId="6EC35D9D"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-1 177,2 </w:t>
            </w:r>
          </w:p>
        </w:tc>
        <w:tc>
          <w:tcPr>
            <w:tcW w:w="850" w:type="dxa"/>
            <w:shd w:val="clear" w:color="auto" w:fill="auto"/>
            <w:noWrap/>
            <w:vAlign w:val="center"/>
            <w:hideMark/>
          </w:tcPr>
          <w:p w14:paraId="57EB39C2"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-1 282,8 </w:t>
            </w:r>
          </w:p>
        </w:tc>
        <w:tc>
          <w:tcPr>
            <w:tcW w:w="864" w:type="dxa"/>
            <w:shd w:val="clear" w:color="auto" w:fill="auto"/>
            <w:noWrap/>
            <w:vAlign w:val="center"/>
            <w:hideMark/>
          </w:tcPr>
          <w:p w14:paraId="7613ACB4"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-1 240,8 </w:t>
            </w:r>
          </w:p>
        </w:tc>
        <w:tc>
          <w:tcPr>
            <w:tcW w:w="863" w:type="dxa"/>
            <w:shd w:val="clear" w:color="auto" w:fill="auto"/>
            <w:noWrap/>
            <w:vAlign w:val="center"/>
            <w:hideMark/>
          </w:tcPr>
          <w:p w14:paraId="6BD55E70" w14:textId="77777777" w:rsidR="00854F1A" w:rsidRPr="00854F1A" w:rsidRDefault="00854F1A" w:rsidP="00854F1A">
            <w:pPr>
              <w:spacing w:after="0"/>
              <w:ind w:firstLine="0"/>
              <w:contextualSpacing/>
              <w:jc w:val="right"/>
              <w:rPr>
                <w:rFonts w:eastAsia="Times New Roman" w:cs="Times New Roman"/>
                <w:b/>
                <w:bCs/>
                <w:sz w:val="18"/>
                <w:szCs w:val="18"/>
              </w:rPr>
            </w:pPr>
            <w:r w:rsidRPr="00854F1A">
              <w:rPr>
                <w:b/>
                <w:bCs/>
                <w:sz w:val="18"/>
                <w:szCs w:val="18"/>
              </w:rPr>
              <w:t xml:space="preserve">-1 200,1 </w:t>
            </w:r>
          </w:p>
        </w:tc>
      </w:tr>
      <w:tr w:rsidR="00854F1A" w:rsidRPr="00854F1A" w14:paraId="5C949791" w14:textId="77777777" w:rsidTr="002C61B1">
        <w:trPr>
          <w:trHeight w:val="20"/>
          <w:jc w:val="center"/>
        </w:trPr>
        <w:tc>
          <w:tcPr>
            <w:tcW w:w="2263" w:type="dxa"/>
            <w:shd w:val="clear" w:color="auto" w:fill="auto"/>
            <w:vAlign w:val="center"/>
          </w:tcPr>
          <w:p w14:paraId="31AF08D2" w14:textId="77777777" w:rsidR="00854F1A" w:rsidRPr="00854F1A" w:rsidRDefault="00854F1A" w:rsidP="00854F1A">
            <w:pPr>
              <w:spacing w:after="0"/>
              <w:ind w:firstLineChars="100" w:firstLine="180"/>
              <w:contextualSpacing/>
              <w:jc w:val="left"/>
              <w:rPr>
                <w:rFonts w:eastAsia="Times New Roman" w:cs="Times New Roman"/>
                <w:b/>
                <w:bCs/>
                <w:color w:val="000000"/>
                <w:sz w:val="18"/>
                <w:szCs w:val="18"/>
              </w:rPr>
            </w:pPr>
            <w:r w:rsidRPr="00854F1A">
              <w:rPr>
                <w:rFonts w:eastAsia="Times New Roman" w:cs="Times New Roman"/>
                <w:color w:val="000000"/>
                <w:sz w:val="18"/>
                <w:szCs w:val="18"/>
              </w:rPr>
              <w:t>Ieņēmumi</w:t>
            </w:r>
          </w:p>
        </w:tc>
        <w:tc>
          <w:tcPr>
            <w:tcW w:w="851" w:type="dxa"/>
            <w:shd w:val="clear" w:color="auto" w:fill="auto"/>
            <w:noWrap/>
            <w:vAlign w:val="center"/>
          </w:tcPr>
          <w:p w14:paraId="22F22CA5" w14:textId="77777777" w:rsidR="00854F1A" w:rsidRPr="00854F1A" w:rsidRDefault="00854F1A" w:rsidP="00854F1A">
            <w:pPr>
              <w:spacing w:after="0"/>
              <w:ind w:firstLine="0"/>
              <w:jc w:val="right"/>
              <w:rPr>
                <w:rFonts w:eastAsia="Times New Roman" w:cs="Times New Roman"/>
                <w:color w:val="FF0000"/>
                <w:sz w:val="18"/>
                <w:szCs w:val="18"/>
                <w:lang w:eastAsia="en-US"/>
              </w:rPr>
            </w:pPr>
            <w:r w:rsidRPr="00854F1A">
              <w:rPr>
                <w:color w:val="000000"/>
                <w:sz w:val="18"/>
                <w:szCs w:val="18"/>
              </w:rPr>
              <w:t>15 632,2</w:t>
            </w:r>
          </w:p>
        </w:tc>
        <w:tc>
          <w:tcPr>
            <w:tcW w:w="850" w:type="dxa"/>
            <w:shd w:val="clear" w:color="auto" w:fill="auto"/>
            <w:noWrap/>
            <w:vAlign w:val="center"/>
          </w:tcPr>
          <w:p w14:paraId="3FA76CF0"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sz w:val="18"/>
                <w:szCs w:val="18"/>
              </w:rPr>
              <w:t>17 641,3</w:t>
            </w:r>
          </w:p>
        </w:tc>
        <w:tc>
          <w:tcPr>
            <w:tcW w:w="851" w:type="dxa"/>
            <w:shd w:val="clear" w:color="auto" w:fill="auto"/>
            <w:noWrap/>
            <w:vAlign w:val="center"/>
          </w:tcPr>
          <w:p w14:paraId="150B1978"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color w:val="000000"/>
                <w:sz w:val="18"/>
                <w:szCs w:val="18"/>
              </w:rPr>
              <w:t>18 129,0</w:t>
            </w:r>
          </w:p>
        </w:tc>
        <w:tc>
          <w:tcPr>
            <w:tcW w:w="850" w:type="dxa"/>
            <w:shd w:val="clear" w:color="auto" w:fill="auto"/>
            <w:noWrap/>
            <w:vAlign w:val="center"/>
          </w:tcPr>
          <w:p w14:paraId="65DCC1BF"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color w:val="000000"/>
                <w:sz w:val="18"/>
                <w:szCs w:val="18"/>
              </w:rPr>
              <w:t>18 854,9</w:t>
            </w:r>
          </w:p>
        </w:tc>
        <w:tc>
          <w:tcPr>
            <w:tcW w:w="851" w:type="dxa"/>
            <w:shd w:val="clear" w:color="auto" w:fill="auto"/>
            <w:vAlign w:val="center"/>
          </w:tcPr>
          <w:p w14:paraId="61019C38"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color w:val="000000"/>
                <w:sz w:val="18"/>
                <w:szCs w:val="18"/>
              </w:rPr>
              <w:t>19 280,5</w:t>
            </w:r>
          </w:p>
        </w:tc>
        <w:tc>
          <w:tcPr>
            <w:tcW w:w="850" w:type="dxa"/>
            <w:shd w:val="clear" w:color="auto" w:fill="auto"/>
            <w:noWrap/>
            <w:vAlign w:val="center"/>
          </w:tcPr>
          <w:p w14:paraId="15D2F666"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sz w:val="18"/>
                <w:szCs w:val="18"/>
              </w:rPr>
              <w:t>18 428,1</w:t>
            </w:r>
          </w:p>
        </w:tc>
        <w:tc>
          <w:tcPr>
            <w:tcW w:w="864" w:type="dxa"/>
            <w:shd w:val="clear" w:color="auto" w:fill="auto"/>
            <w:noWrap/>
            <w:vAlign w:val="center"/>
          </w:tcPr>
          <w:p w14:paraId="594369AA"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sz w:val="18"/>
                <w:szCs w:val="18"/>
              </w:rPr>
              <w:t>19 050,3</w:t>
            </w:r>
          </w:p>
        </w:tc>
        <w:tc>
          <w:tcPr>
            <w:tcW w:w="863" w:type="dxa"/>
            <w:shd w:val="clear" w:color="auto" w:fill="auto"/>
            <w:noWrap/>
            <w:vAlign w:val="center"/>
          </w:tcPr>
          <w:p w14:paraId="0A398AF5"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sz w:val="18"/>
                <w:szCs w:val="18"/>
              </w:rPr>
              <w:t>19 451,2</w:t>
            </w:r>
          </w:p>
        </w:tc>
      </w:tr>
      <w:tr w:rsidR="00854F1A" w:rsidRPr="00854F1A" w14:paraId="56A11F32" w14:textId="77777777" w:rsidTr="002C61B1">
        <w:trPr>
          <w:trHeight w:val="20"/>
          <w:jc w:val="center"/>
        </w:trPr>
        <w:tc>
          <w:tcPr>
            <w:tcW w:w="2263" w:type="dxa"/>
            <w:shd w:val="clear" w:color="auto" w:fill="auto"/>
            <w:vAlign w:val="center"/>
          </w:tcPr>
          <w:p w14:paraId="4B878937" w14:textId="77777777" w:rsidR="00854F1A" w:rsidRPr="00854F1A" w:rsidRDefault="00854F1A" w:rsidP="00854F1A">
            <w:pPr>
              <w:spacing w:after="0"/>
              <w:ind w:firstLineChars="100" w:firstLine="180"/>
              <w:contextualSpacing/>
              <w:jc w:val="left"/>
              <w:rPr>
                <w:rFonts w:eastAsia="Times New Roman" w:cs="Times New Roman"/>
                <w:b/>
                <w:bCs/>
                <w:color w:val="000000"/>
                <w:sz w:val="18"/>
                <w:szCs w:val="18"/>
              </w:rPr>
            </w:pPr>
            <w:r w:rsidRPr="00854F1A">
              <w:rPr>
                <w:rFonts w:eastAsia="Times New Roman" w:cs="Times New Roman"/>
                <w:color w:val="000000"/>
                <w:sz w:val="18"/>
                <w:szCs w:val="18"/>
              </w:rPr>
              <w:t>Izdevumi</w:t>
            </w:r>
          </w:p>
        </w:tc>
        <w:tc>
          <w:tcPr>
            <w:tcW w:w="851" w:type="dxa"/>
            <w:shd w:val="clear" w:color="auto" w:fill="auto"/>
            <w:noWrap/>
            <w:vAlign w:val="center"/>
          </w:tcPr>
          <w:p w14:paraId="29A7E045" w14:textId="77777777" w:rsidR="00854F1A" w:rsidRPr="00854F1A" w:rsidRDefault="00854F1A" w:rsidP="00854F1A">
            <w:pPr>
              <w:spacing w:after="0"/>
              <w:ind w:firstLine="0"/>
              <w:jc w:val="right"/>
              <w:rPr>
                <w:rFonts w:eastAsia="Times New Roman" w:cs="Times New Roman"/>
                <w:color w:val="FF0000"/>
                <w:sz w:val="18"/>
                <w:szCs w:val="18"/>
                <w:lang w:eastAsia="en-US"/>
              </w:rPr>
            </w:pPr>
            <w:r w:rsidRPr="00854F1A">
              <w:rPr>
                <w:color w:val="000000"/>
                <w:sz w:val="18"/>
                <w:szCs w:val="18"/>
              </w:rPr>
              <w:t>16 525,3</w:t>
            </w:r>
          </w:p>
        </w:tc>
        <w:tc>
          <w:tcPr>
            <w:tcW w:w="850" w:type="dxa"/>
            <w:shd w:val="clear" w:color="auto" w:fill="auto"/>
            <w:noWrap/>
            <w:vAlign w:val="center"/>
          </w:tcPr>
          <w:p w14:paraId="28537004"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sz w:val="18"/>
                <w:szCs w:val="18"/>
              </w:rPr>
              <w:t>18 716,7</w:t>
            </w:r>
          </w:p>
        </w:tc>
        <w:tc>
          <w:tcPr>
            <w:tcW w:w="851" w:type="dxa"/>
            <w:shd w:val="clear" w:color="auto" w:fill="auto"/>
            <w:noWrap/>
            <w:vAlign w:val="center"/>
          </w:tcPr>
          <w:p w14:paraId="23FCFEBB"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color w:val="000000"/>
                <w:sz w:val="18"/>
                <w:szCs w:val="18"/>
              </w:rPr>
              <w:t>19 424,9</w:t>
            </w:r>
          </w:p>
        </w:tc>
        <w:tc>
          <w:tcPr>
            <w:tcW w:w="850" w:type="dxa"/>
            <w:shd w:val="clear" w:color="auto" w:fill="auto"/>
            <w:noWrap/>
            <w:vAlign w:val="center"/>
          </w:tcPr>
          <w:p w14:paraId="3BC50508"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color w:val="000000"/>
                <w:sz w:val="18"/>
                <w:szCs w:val="18"/>
              </w:rPr>
              <w:t>20 124,2</w:t>
            </w:r>
          </w:p>
        </w:tc>
        <w:tc>
          <w:tcPr>
            <w:tcW w:w="851" w:type="dxa"/>
            <w:shd w:val="clear" w:color="auto" w:fill="auto"/>
            <w:vAlign w:val="center"/>
          </w:tcPr>
          <w:p w14:paraId="105EC71F"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color w:val="000000"/>
                <w:sz w:val="18"/>
                <w:szCs w:val="18"/>
              </w:rPr>
              <w:t>20 457,6</w:t>
            </w:r>
          </w:p>
        </w:tc>
        <w:tc>
          <w:tcPr>
            <w:tcW w:w="850" w:type="dxa"/>
            <w:shd w:val="clear" w:color="auto" w:fill="auto"/>
            <w:noWrap/>
            <w:vAlign w:val="center"/>
          </w:tcPr>
          <w:p w14:paraId="1F09A11E"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sz w:val="18"/>
                <w:szCs w:val="18"/>
              </w:rPr>
              <w:t>19 710,9</w:t>
            </w:r>
          </w:p>
        </w:tc>
        <w:tc>
          <w:tcPr>
            <w:tcW w:w="864" w:type="dxa"/>
            <w:shd w:val="clear" w:color="auto" w:fill="auto"/>
            <w:noWrap/>
            <w:vAlign w:val="center"/>
          </w:tcPr>
          <w:p w14:paraId="4F76BFDC"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sz w:val="18"/>
                <w:szCs w:val="18"/>
              </w:rPr>
              <w:t>20 291,1</w:t>
            </w:r>
          </w:p>
        </w:tc>
        <w:tc>
          <w:tcPr>
            <w:tcW w:w="863" w:type="dxa"/>
            <w:shd w:val="clear" w:color="auto" w:fill="auto"/>
            <w:noWrap/>
            <w:vAlign w:val="center"/>
          </w:tcPr>
          <w:p w14:paraId="19AB2B19"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sz w:val="18"/>
                <w:szCs w:val="18"/>
              </w:rPr>
              <w:t>20 651,4</w:t>
            </w:r>
          </w:p>
        </w:tc>
      </w:tr>
      <w:tr w:rsidR="00854F1A" w:rsidRPr="00854F1A" w14:paraId="17D72F88" w14:textId="77777777" w:rsidTr="002C61B1">
        <w:trPr>
          <w:trHeight w:val="20"/>
          <w:jc w:val="center"/>
        </w:trPr>
        <w:tc>
          <w:tcPr>
            <w:tcW w:w="2263" w:type="dxa"/>
            <w:shd w:val="clear" w:color="auto" w:fill="auto"/>
            <w:vAlign w:val="center"/>
          </w:tcPr>
          <w:p w14:paraId="7E369515" w14:textId="77777777" w:rsidR="00854F1A" w:rsidRPr="00854F1A" w:rsidRDefault="00854F1A" w:rsidP="00854F1A">
            <w:pPr>
              <w:spacing w:after="0"/>
              <w:ind w:firstLine="0"/>
              <w:contextualSpacing/>
              <w:jc w:val="left"/>
              <w:rPr>
                <w:rFonts w:eastAsia="Times New Roman" w:cs="Times New Roman"/>
                <w:b/>
                <w:bCs/>
                <w:color w:val="000000"/>
                <w:sz w:val="18"/>
                <w:szCs w:val="18"/>
              </w:rPr>
            </w:pPr>
            <w:r w:rsidRPr="00854F1A">
              <w:rPr>
                <w:rFonts w:eastAsia="Times New Roman" w:cs="Times New Roman"/>
                <w:b/>
                <w:bCs/>
                <w:color w:val="000000"/>
                <w:sz w:val="18"/>
                <w:szCs w:val="18"/>
              </w:rPr>
              <w:t xml:space="preserve">     Centrālā valdība</w:t>
            </w:r>
          </w:p>
        </w:tc>
        <w:tc>
          <w:tcPr>
            <w:tcW w:w="851" w:type="dxa"/>
            <w:shd w:val="clear" w:color="auto" w:fill="auto"/>
            <w:noWrap/>
            <w:vAlign w:val="center"/>
          </w:tcPr>
          <w:p w14:paraId="0F023141"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-1 070,8</w:t>
            </w:r>
          </w:p>
        </w:tc>
        <w:tc>
          <w:tcPr>
            <w:tcW w:w="850" w:type="dxa"/>
            <w:shd w:val="clear" w:color="auto" w:fill="auto"/>
            <w:noWrap/>
            <w:vAlign w:val="center"/>
          </w:tcPr>
          <w:p w14:paraId="6228505F"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-1 413,8</w:t>
            </w:r>
          </w:p>
        </w:tc>
        <w:tc>
          <w:tcPr>
            <w:tcW w:w="851" w:type="dxa"/>
            <w:shd w:val="clear" w:color="auto" w:fill="auto"/>
            <w:noWrap/>
            <w:vAlign w:val="center"/>
          </w:tcPr>
          <w:p w14:paraId="3FA02A79"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-1 516,4</w:t>
            </w:r>
          </w:p>
        </w:tc>
        <w:tc>
          <w:tcPr>
            <w:tcW w:w="850" w:type="dxa"/>
            <w:shd w:val="clear" w:color="auto" w:fill="auto"/>
            <w:noWrap/>
            <w:vAlign w:val="center"/>
          </w:tcPr>
          <w:p w14:paraId="7E8A3540"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-1 446,3</w:t>
            </w:r>
          </w:p>
        </w:tc>
        <w:tc>
          <w:tcPr>
            <w:tcW w:w="851" w:type="dxa"/>
            <w:shd w:val="clear" w:color="auto" w:fill="auto"/>
            <w:vAlign w:val="center"/>
          </w:tcPr>
          <w:p w14:paraId="1729DB87"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-1 329,0</w:t>
            </w:r>
          </w:p>
        </w:tc>
        <w:tc>
          <w:tcPr>
            <w:tcW w:w="850" w:type="dxa"/>
            <w:shd w:val="clear" w:color="auto" w:fill="auto"/>
            <w:noWrap/>
            <w:vAlign w:val="center"/>
          </w:tcPr>
          <w:p w14:paraId="3BD78683"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-1 712,6</w:t>
            </w:r>
          </w:p>
        </w:tc>
        <w:tc>
          <w:tcPr>
            <w:tcW w:w="864" w:type="dxa"/>
            <w:shd w:val="clear" w:color="auto" w:fill="auto"/>
            <w:noWrap/>
            <w:vAlign w:val="center"/>
          </w:tcPr>
          <w:p w14:paraId="56501978"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-1 667,8</w:t>
            </w:r>
          </w:p>
        </w:tc>
        <w:tc>
          <w:tcPr>
            <w:tcW w:w="863" w:type="dxa"/>
            <w:shd w:val="clear" w:color="auto" w:fill="auto"/>
            <w:noWrap/>
            <w:vAlign w:val="center"/>
          </w:tcPr>
          <w:p w14:paraId="59EDEE2E"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-1 617,2</w:t>
            </w:r>
          </w:p>
        </w:tc>
      </w:tr>
      <w:tr w:rsidR="00854F1A" w:rsidRPr="00854F1A" w14:paraId="1876B068" w14:textId="77777777" w:rsidTr="002C61B1">
        <w:trPr>
          <w:trHeight w:val="20"/>
          <w:jc w:val="center"/>
        </w:trPr>
        <w:tc>
          <w:tcPr>
            <w:tcW w:w="2263" w:type="dxa"/>
            <w:shd w:val="clear" w:color="auto" w:fill="auto"/>
            <w:vAlign w:val="center"/>
          </w:tcPr>
          <w:p w14:paraId="35473F8F" w14:textId="77777777" w:rsidR="00854F1A" w:rsidRPr="00854F1A" w:rsidRDefault="00854F1A" w:rsidP="00854F1A">
            <w:pPr>
              <w:spacing w:after="0"/>
              <w:ind w:firstLine="0"/>
              <w:contextualSpacing/>
              <w:jc w:val="right"/>
              <w:rPr>
                <w:rFonts w:eastAsia="Times New Roman" w:cs="Times New Roman"/>
                <w:bCs/>
                <w:i/>
                <w:color w:val="000000"/>
                <w:sz w:val="18"/>
                <w:szCs w:val="18"/>
              </w:rPr>
            </w:pPr>
            <w:r w:rsidRPr="00854F1A">
              <w:rPr>
                <w:rFonts w:eastAsia="Times New Roman" w:cs="Times New Roman"/>
                <w:bCs/>
                <w:i/>
                <w:color w:val="000000"/>
                <w:sz w:val="18"/>
                <w:szCs w:val="18"/>
              </w:rPr>
              <w:t>t.sk. komersanti</w:t>
            </w:r>
          </w:p>
        </w:tc>
        <w:tc>
          <w:tcPr>
            <w:tcW w:w="851" w:type="dxa"/>
            <w:shd w:val="clear" w:color="auto" w:fill="auto"/>
            <w:noWrap/>
            <w:vAlign w:val="center"/>
          </w:tcPr>
          <w:p w14:paraId="095E31E9"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-152,0</w:t>
            </w:r>
          </w:p>
        </w:tc>
        <w:tc>
          <w:tcPr>
            <w:tcW w:w="850" w:type="dxa"/>
            <w:shd w:val="clear" w:color="auto" w:fill="auto"/>
            <w:noWrap/>
            <w:vAlign w:val="center"/>
          </w:tcPr>
          <w:p w14:paraId="7DAD6CC4"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-145,0</w:t>
            </w:r>
          </w:p>
        </w:tc>
        <w:tc>
          <w:tcPr>
            <w:tcW w:w="851" w:type="dxa"/>
            <w:shd w:val="clear" w:color="auto" w:fill="auto"/>
            <w:noWrap/>
            <w:vAlign w:val="center"/>
          </w:tcPr>
          <w:p w14:paraId="01329318"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-85,1</w:t>
            </w:r>
          </w:p>
        </w:tc>
        <w:tc>
          <w:tcPr>
            <w:tcW w:w="850" w:type="dxa"/>
            <w:shd w:val="clear" w:color="auto" w:fill="auto"/>
            <w:noWrap/>
            <w:vAlign w:val="center"/>
          </w:tcPr>
          <w:p w14:paraId="0C41A4D0"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-29,7</w:t>
            </w:r>
          </w:p>
        </w:tc>
        <w:tc>
          <w:tcPr>
            <w:tcW w:w="851" w:type="dxa"/>
            <w:shd w:val="clear" w:color="auto" w:fill="auto"/>
            <w:vAlign w:val="center"/>
          </w:tcPr>
          <w:p w14:paraId="4D5C6FAB"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-45,2</w:t>
            </w:r>
          </w:p>
        </w:tc>
        <w:tc>
          <w:tcPr>
            <w:tcW w:w="850" w:type="dxa"/>
            <w:shd w:val="clear" w:color="auto" w:fill="auto"/>
            <w:noWrap/>
            <w:vAlign w:val="center"/>
          </w:tcPr>
          <w:p w14:paraId="6E34C9A0"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-63,3</w:t>
            </w:r>
          </w:p>
        </w:tc>
        <w:tc>
          <w:tcPr>
            <w:tcW w:w="864" w:type="dxa"/>
            <w:shd w:val="clear" w:color="auto" w:fill="auto"/>
            <w:noWrap/>
            <w:vAlign w:val="center"/>
          </w:tcPr>
          <w:p w14:paraId="7A27E0D4"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-30,2</w:t>
            </w:r>
          </w:p>
        </w:tc>
        <w:tc>
          <w:tcPr>
            <w:tcW w:w="863" w:type="dxa"/>
            <w:shd w:val="clear" w:color="auto" w:fill="auto"/>
            <w:noWrap/>
            <w:vAlign w:val="center"/>
          </w:tcPr>
          <w:p w14:paraId="66E91FD2"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-43,5</w:t>
            </w:r>
          </w:p>
        </w:tc>
      </w:tr>
      <w:tr w:rsidR="00854F1A" w:rsidRPr="00854F1A" w14:paraId="546F569B" w14:textId="77777777" w:rsidTr="002C61B1">
        <w:trPr>
          <w:trHeight w:val="20"/>
          <w:jc w:val="center"/>
        </w:trPr>
        <w:tc>
          <w:tcPr>
            <w:tcW w:w="2263" w:type="dxa"/>
            <w:shd w:val="clear" w:color="auto" w:fill="auto"/>
            <w:vAlign w:val="center"/>
          </w:tcPr>
          <w:p w14:paraId="1C5A3597" w14:textId="77777777" w:rsidR="00854F1A" w:rsidRPr="00854F1A" w:rsidRDefault="00854F1A" w:rsidP="00854F1A">
            <w:pPr>
              <w:spacing w:after="0"/>
              <w:ind w:firstLine="0"/>
              <w:contextualSpacing/>
              <w:jc w:val="left"/>
              <w:rPr>
                <w:rFonts w:eastAsia="Times New Roman" w:cs="Times New Roman"/>
                <w:b/>
                <w:bCs/>
                <w:color w:val="000000"/>
                <w:sz w:val="18"/>
                <w:szCs w:val="18"/>
              </w:rPr>
            </w:pPr>
            <w:r w:rsidRPr="00854F1A">
              <w:rPr>
                <w:rFonts w:eastAsia="Times New Roman" w:cs="Times New Roman"/>
                <w:b/>
                <w:bCs/>
                <w:color w:val="000000"/>
                <w:sz w:val="18"/>
                <w:szCs w:val="18"/>
              </w:rPr>
              <w:t xml:space="preserve">     Vietējā valdība</w:t>
            </w:r>
          </w:p>
        </w:tc>
        <w:tc>
          <w:tcPr>
            <w:tcW w:w="851" w:type="dxa"/>
            <w:shd w:val="clear" w:color="auto" w:fill="auto"/>
            <w:noWrap/>
            <w:vAlign w:val="center"/>
          </w:tcPr>
          <w:p w14:paraId="4BC690FC"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-136,9</w:t>
            </w:r>
          </w:p>
        </w:tc>
        <w:tc>
          <w:tcPr>
            <w:tcW w:w="850" w:type="dxa"/>
            <w:shd w:val="clear" w:color="auto" w:fill="auto"/>
            <w:noWrap/>
            <w:vAlign w:val="center"/>
          </w:tcPr>
          <w:p w14:paraId="1BB4F70E"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-8,0</w:t>
            </w:r>
          </w:p>
        </w:tc>
        <w:tc>
          <w:tcPr>
            <w:tcW w:w="851" w:type="dxa"/>
            <w:shd w:val="clear" w:color="auto" w:fill="auto"/>
            <w:noWrap/>
            <w:vAlign w:val="center"/>
          </w:tcPr>
          <w:p w14:paraId="08768FF5"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-35,2</w:t>
            </w:r>
          </w:p>
        </w:tc>
        <w:tc>
          <w:tcPr>
            <w:tcW w:w="850" w:type="dxa"/>
            <w:shd w:val="clear" w:color="auto" w:fill="auto"/>
            <w:noWrap/>
            <w:vAlign w:val="center"/>
          </w:tcPr>
          <w:p w14:paraId="477D6280"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-3,3</w:t>
            </w:r>
          </w:p>
        </w:tc>
        <w:tc>
          <w:tcPr>
            <w:tcW w:w="851" w:type="dxa"/>
            <w:shd w:val="clear" w:color="auto" w:fill="auto"/>
            <w:vAlign w:val="center"/>
          </w:tcPr>
          <w:p w14:paraId="3038A0B1"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17,6</w:t>
            </w:r>
          </w:p>
        </w:tc>
        <w:tc>
          <w:tcPr>
            <w:tcW w:w="850" w:type="dxa"/>
            <w:shd w:val="clear" w:color="auto" w:fill="auto"/>
            <w:noWrap/>
            <w:vAlign w:val="center"/>
          </w:tcPr>
          <w:p w14:paraId="07797820"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-7,5</w:t>
            </w:r>
          </w:p>
        </w:tc>
        <w:tc>
          <w:tcPr>
            <w:tcW w:w="864" w:type="dxa"/>
            <w:shd w:val="clear" w:color="auto" w:fill="auto"/>
            <w:noWrap/>
            <w:vAlign w:val="center"/>
          </w:tcPr>
          <w:p w14:paraId="5A022496"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60,1</w:t>
            </w:r>
          </w:p>
        </w:tc>
        <w:tc>
          <w:tcPr>
            <w:tcW w:w="863" w:type="dxa"/>
            <w:shd w:val="clear" w:color="auto" w:fill="auto"/>
            <w:noWrap/>
            <w:vAlign w:val="center"/>
          </w:tcPr>
          <w:p w14:paraId="1F427AD7"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93,9</w:t>
            </w:r>
          </w:p>
        </w:tc>
      </w:tr>
      <w:tr w:rsidR="00854F1A" w:rsidRPr="00854F1A" w14:paraId="6FEB8A5D" w14:textId="77777777" w:rsidTr="002C61B1">
        <w:trPr>
          <w:trHeight w:val="20"/>
          <w:jc w:val="center"/>
        </w:trPr>
        <w:tc>
          <w:tcPr>
            <w:tcW w:w="2263" w:type="dxa"/>
            <w:shd w:val="clear" w:color="auto" w:fill="auto"/>
            <w:vAlign w:val="center"/>
          </w:tcPr>
          <w:p w14:paraId="4E5A639B" w14:textId="77777777" w:rsidR="00854F1A" w:rsidRPr="00854F1A" w:rsidRDefault="00854F1A" w:rsidP="00854F1A">
            <w:pPr>
              <w:spacing w:after="0"/>
              <w:ind w:firstLine="0"/>
              <w:contextualSpacing/>
              <w:jc w:val="right"/>
              <w:rPr>
                <w:rFonts w:eastAsia="Times New Roman" w:cs="Times New Roman"/>
                <w:b/>
                <w:bCs/>
                <w:color w:val="000000"/>
                <w:sz w:val="18"/>
                <w:szCs w:val="18"/>
              </w:rPr>
            </w:pPr>
            <w:r w:rsidRPr="00854F1A">
              <w:rPr>
                <w:rFonts w:eastAsia="Times New Roman" w:cs="Times New Roman"/>
                <w:bCs/>
                <w:i/>
                <w:color w:val="000000"/>
                <w:sz w:val="18"/>
                <w:szCs w:val="18"/>
              </w:rPr>
              <w:t>t.sk. komersanti</w:t>
            </w:r>
          </w:p>
        </w:tc>
        <w:tc>
          <w:tcPr>
            <w:tcW w:w="851" w:type="dxa"/>
            <w:shd w:val="clear" w:color="auto" w:fill="auto"/>
            <w:noWrap/>
            <w:vAlign w:val="center"/>
          </w:tcPr>
          <w:p w14:paraId="7CAC0F57"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-38,2</w:t>
            </w:r>
          </w:p>
        </w:tc>
        <w:tc>
          <w:tcPr>
            <w:tcW w:w="850" w:type="dxa"/>
            <w:shd w:val="clear" w:color="auto" w:fill="auto"/>
            <w:noWrap/>
            <w:vAlign w:val="center"/>
          </w:tcPr>
          <w:p w14:paraId="6FD57B3B"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-4,0</w:t>
            </w:r>
          </w:p>
        </w:tc>
        <w:tc>
          <w:tcPr>
            <w:tcW w:w="851" w:type="dxa"/>
            <w:shd w:val="clear" w:color="auto" w:fill="auto"/>
            <w:noWrap/>
            <w:vAlign w:val="center"/>
          </w:tcPr>
          <w:p w14:paraId="6BE585BC"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2,9</w:t>
            </w:r>
          </w:p>
        </w:tc>
        <w:tc>
          <w:tcPr>
            <w:tcW w:w="850" w:type="dxa"/>
            <w:shd w:val="clear" w:color="auto" w:fill="auto"/>
            <w:noWrap/>
            <w:vAlign w:val="center"/>
          </w:tcPr>
          <w:p w14:paraId="5F486E83"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5,0</w:t>
            </w:r>
          </w:p>
        </w:tc>
        <w:tc>
          <w:tcPr>
            <w:tcW w:w="851" w:type="dxa"/>
            <w:shd w:val="clear" w:color="auto" w:fill="auto"/>
            <w:vAlign w:val="center"/>
          </w:tcPr>
          <w:p w14:paraId="78C4831C"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7,4</w:t>
            </w:r>
          </w:p>
        </w:tc>
        <w:tc>
          <w:tcPr>
            <w:tcW w:w="850" w:type="dxa"/>
            <w:shd w:val="clear" w:color="auto" w:fill="auto"/>
            <w:noWrap/>
            <w:vAlign w:val="center"/>
          </w:tcPr>
          <w:p w14:paraId="25E6BC1D"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2,9</w:t>
            </w:r>
          </w:p>
        </w:tc>
        <w:tc>
          <w:tcPr>
            <w:tcW w:w="864" w:type="dxa"/>
            <w:shd w:val="clear" w:color="auto" w:fill="auto"/>
            <w:noWrap/>
            <w:vAlign w:val="center"/>
          </w:tcPr>
          <w:p w14:paraId="1FCB7097"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5,0</w:t>
            </w:r>
          </w:p>
        </w:tc>
        <w:tc>
          <w:tcPr>
            <w:tcW w:w="863" w:type="dxa"/>
            <w:shd w:val="clear" w:color="auto" w:fill="auto"/>
            <w:noWrap/>
            <w:vAlign w:val="center"/>
          </w:tcPr>
          <w:p w14:paraId="5AAB1257" w14:textId="77777777" w:rsidR="00854F1A" w:rsidRPr="00854F1A" w:rsidRDefault="00854F1A" w:rsidP="00854F1A">
            <w:pPr>
              <w:spacing w:after="0"/>
              <w:ind w:firstLine="0"/>
              <w:contextualSpacing/>
              <w:jc w:val="right"/>
              <w:rPr>
                <w:rFonts w:eastAsia="Times New Roman" w:cs="Times New Roman"/>
                <w:bCs/>
                <w:color w:val="FF0000"/>
                <w:sz w:val="18"/>
                <w:szCs w:val="18"/>
              </w:rPr>
            </w:pPr>
            <w:r w:rsidRPr="00854F1A">
              <w:rPr>
                <w:rFonts w:cs="Times New Roman"/>
                <w:color w:val="000000"/>
                <w:sz w:val="18"/>
                <w:szCs w:val="18"/>
              </w:rPr>
              <w:t>7,4</w:t>
            </w:r>
          </w:p>
        </w:tc>
      </w:tr>
      <w:tr w:rsidR="00854F1A" w:rsidRPr="00854F1A" w14:paraId="1A98DBE0" w14:textId="77777777" w:rsidTr="002C61B1">
        <w:trPr>
          <w:trHeight w:val="20"/>
          <w:jc w:val="center"/>
        </w:trPr>
        <w:tc>
          <w:tcPr>
            <w:tcW w:w="2263" w:type="dxa"/>
            <w:shd w:val="clear" w:color="auto" w:fill="auto"/>
            <w:vAlign w:val="center"/>
          </w:tcPr>
          <w:p w14:paraId="3A280E2B" w14:textId="77777777" w:rsidR="00854F1A" w:rsidRPr="00854F1A" w:rsidRDefault="00854F1A" w:rsidP="00854F1A">
            <w:pPr>
              <w:spacing w:after="0"/>
              <w:ind w:firstLine="0"/>
              <w:contextualSpacing/>
              <w:jc w:val="left"/>
              <w:rPr>
                <w:rFonts w:eastAsia="Times New Roman" w:cs="Times New Roman"/>
                <w:b/>
                <w:bCs/>
                <w:color w:val="000000"/>
                <w:sz w:val="18"/>
                <w:szCs w:val="18"/>
              </w:rPr>
            </w:pPr>
            <w:r w:rsidRPr="00854F1A">
              <w:rPr>
                <w:rFonts w:eastAsia="Times New Roman" w:cs="Times New Roman"/>
                <w:b/>
                <w:bCs/>
                <w:color w:val="000000"/>
                <w:sz w:val="18"/>
                <w:szCs w:val="18"/>
              </w:rPr>
              <w:t xml:space="preserve">     Sociālās nodrošināšanas fondi</w:t>
            </w:r>
          </w:p>
        </w:tc>
        <w:tc>
          <w:tcPr>
            <w:tcW w:w="851" w:type="dxa"/>
            <w:shd w:val="clear" w:color="auto" w:fill="auto"/>
            <w:noWrap/>
            <w:vAlign w:val="center"/>
          </w:tcPr>
          <w:p w14:paraId="2DB44F2E"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314,5</w:t>
            </w:r>
          </w:p>
        </w:tc>
        <w:tc>
          <w:tcPr>
            <w:tcW w:w="850" w:type="dxa"/>
            <w:shd w:val="clear" w:color="auto" w:fill="auto"/>
            <w:noWrap/>
            <w:vAlign w:val="center"/>
          </w:tcPr>
          <w:p w14:paraId="794E5D17"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346,4</w:t>
            </w:r>
          </w:p>
        </w:tc>
        <w:tc>
          <w:tcPr>
            <w:tcW w:w="851" w:type="dxa"/>
            <w:shd w:val="clear" w:color="auto" w:fill="auto"/>
            <w:noWrap/>
            <w:vAlign w:val="center"/>
          </w:tcPr>
          <w:p w14:paraId="4E564333"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255,7</w:t>
            </w:r>
          </w:p>
        </w:tc>
        <w:tc>
          <w:tcPr>
            <w:tcW w:w="850" w:type="dxa"/>
            <w:shd w:val="clear" w:color="auto" w:fill="auto"/>
            <w:noWrap/>
            <w:vAlign w:val="center"/>
          </w:tcPr>
          <w:p w14:paraId="5E5CE181"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180,3</w:t>
            </w:r>
          </w:p>
        </w:tc>
        <w:tc>
          <w:tcPr>
            <w:tcW w:w="851" w:type="dxa"/>
            <w:shd w:val="clear" w:color="auto" w:fill="auto"/>
            <w:vAlign w:val="center"/>
          </w:tcPr>
          <w:p w14:paraId="2C43F3DF"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134,3</w:t>
            </w:r>
          </w:p>
        </w:tc>
        <w:tc>
          <w:tcPr>
            <w:tcW w:w="850" w:type="dxa"/>
            <w:shd w:val="clear" w:color="auto" w:fill="auto"/>
            <w:noWrap/>
            <w:vAlign w:val="center"/>
          </w:tcPr>
          <w:p w14:paraId="45EF7BF7"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437,3</w:t>
            </w:r>
          </w:p>
        </w:tc>
        <w:tc>
          <w:tcPr>
            <w:tcW w:w="864" w:type="dxa"/>
            <w:shd w:val="clear" w:color="auto" w:fill="auto"/>
            <w:noWrap/>
            <w:vAlign w:val="center"/>
          </w:tcPr>
          <w:p w14:paraId="0F73974A"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367,0</w:t>
            </w:r>
          </w:p>
        </w:tc>
        <w:tc>
          <w:tcPr>
            <w:tcW w:w="863" w:type="dxa"/>
            <w:shd w:val="clear" w:color="auto" w:fill="auto"/>
            <w:noWrap/>
            <w:vAlign w:val="center"/>
          </w:tcPr>
          <w:p w14:paraId="607F9C37"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color w:val="000000"/>
                <w:sz w:val="18"/>
                <w:szCs w:val="18"/>
              </w:rPr>
              <w:t>323,1</w:t>
            </w:r>
          </w:p>
        </w:tc>
      </w:tr>
      <w:tr w:rsidR="00854F1A" w:rsidRPr="00854F1A" w14:paraId="637B4610" w14:textId="77777777" w:rsidTr="002C61B1">
        <w:trPr>
          <w:trHeight w:val="20"/>
          <w:jc w:val="center"/>
        </w:trPr>
        <w:tc>
          <w:tcPr>
            <w:tcW w:w="2263" w:type="dxa"/>
            <w:shd w:val="clear" w:color="auto" w:fill="auto"/>
            <w:noWrap/>
            <w:vAlign w:val="center"/>
            <w:hideMark/>
          </w:tcPr>
          <w:p w14:paraId="7537D772" w14:textId="77777777" w:rsidR="00854F1A" w:rsidRPr="00854F1A" w:rsidRDefault="00854F1A" w:rsidP="00854F1A">
            <w:pPr>
              <w:spacing w:after="0"/>
              <w:ind w:firstLine="0"/>
              <w:contextualSpacing/>
              <w:jc w:val="left"/>
              <w:rPr>
                <w:rFonts w:eastAsia="Times New Roman" w:cs="Times New Roman"/>
                <w:color w:val="000000"/>
                <w:sz w:val="18"/>
                <w:szCs w:val="18"/>
              </w:rPr>
            </w:pPr>
            <w:r w:rsidRPr="00854F1A">
              <w:rPr>
                <w:rFonts w:eastAsia="Times New Roman" w:cs="Times New Roman"/>
                <w:color w:val="000000"/>
                <w:sz w:val="18"/>
                <w:szCs w:val="18"/>
              </w:rPr>
              <w:t>EKS korekcijas</w:t>
            </w:r>
          </w:p>
        </w:tc>
        <w:tc>
          <w:tcPr>
            <w:tcW w:w="851" w:type="dxa"/>
            <w:shd w:val="clear" w:color="auto" w:fill="auto"/>
            <w:noWrap/>
            <w:vAlign w:val="center"/>
            <w:hideMark/>
          </w:tcPr>
          <w:p w14:paraId="7A511DA8"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sz w:val="18"/>
                <w:szCs w:val="18"/>
              </w:rPr>
              <w:t>529,8</w:t>
            </w:r>
          </w:p>
        </w:tc>
        <w:tc>
          <w:tcPr>
            <w:tcW w:w="850" w:type="dxa"/>
            <w:shd w:val="clear" w:color="auto" w:fill="auto"/>
            <w:noWrap/>
            <w:vAlign w:val="center"/>
            <w:hideMark/>
          </w:tcPr>
          <w:p w14:paraId="14EBAFF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76,9</w:t>
            </w:r>
          </w:p>
        </w:tc>
        <w:tc>
          <w:tcPr>
            <w:tcW w:w="851" w:type="dxa"/>
            <w:shd w:val="clear" w:color="auto" w:fill="auto"/>
            <w:noWrap/>
            <w:vAlign w:val="center"/>
            <w:hideMark/>
          </w:tcPr>
          <w:p w14:paraId="30C9786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574,3</w:t>
            </w:r>
          </w:p>
        </w:tc>
        <w:tc>
          <w:tcPr>
            <w:tcW w:w="850" w:type="dxa"/>
            <w:shd w:val="clear" w:color="auto" w:fill="auto"/>
            <w:noWrap/>
            <w:vAlign w:val="center"/>
            <w:hideMark/>
          </w:tcPr>
          <w:p w14:paraId="3C1D0F0A"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-146,9</w:t>
            </w:r>
          </w:p>
        </w:tc>
        <w:tc>
          <w:tcPr>
            <w:tcW w:w="851" w:type="dxa"/>
            <w:shd w:val="clear" w:color="auto" w:fill="auto"/>
            <w:vAlign w:val="center"/>
          </w:tcPr>
          <w:p w14:paraId="41D6C3A1" w14:textId="77777777" w:rsidR="00854F1A" w:rsidRPr="00854F1A" w:rsidRDefault="00854F1A" w:rsidP="00854F1A">
            <w:pPr>
              <w:spacing w:after="0"/>
              <w:ind w:firstLine="0"/>
              <w:jc w:val="right"/>
              <w:rPr>
                <w:sz w:val="18"/>
                <w:szCs w:val="18"/>
              </w:rPr>
            </w:pPr>
            <w:r w:rsidRPr="00854F1A">
              <w:rPr>
                <w:sz w:val="18"/>
                <w:szCs w:val="18"/>
              </w:rPr>
              <w:t>-1,5</w:t>
            </w:r>
          </w:p>
        </w:tc>
        <w:tc>
          <w:tcPr>
            <w:tcW w:w="850" w:type="dxa"/>
            <w:shd w:val="clear" w:color="auto" w:fill="auto"/>
            <w:noWrap/>
            <w:vAlign w:val="center"/>
            <w:hideMark/>
          </w:tcPr>
          <w:p w14:paraId="671BDEE3" w14:textId="77777777" w:rsidR="00854F1A" w:rsidRPr="00854F1A" w:rsidRDefault="00854F1A" w:rsidP="00854F1A">
            <w:pPr>
              <w:spacing w:after="0"/>
              <w:ind w:firstLine="0"/>
              <w:jc w:val="right"/>
              <w:rPr>
                <w:sz w:val="18"/>
                <w:szCs w:val="18"/>
              </w:rPr>
            </w:pPr>
            <w:r w:rsidRPr="00854F1A">
              <w:rPr>
                <w:sz w:val="18"/>
                <w:szCs w:val="18"/>
              </w:rPr>
              <w:t>701,1</w:t>
            </w:r>
          </w:p>
        </w:tc>
        <w:tc>
          <w:tcPr>
            <w:tcW w:w="864" w:type="dxa"/>
            <w:shd w:val="clear" w:color="auto" w:fill="auto"/>
            <w:noWrap/>
            <w:vAlign w:val="center"/>
            <w:hideMark/>
          </w:tcPr>
          <w:p w14:paraId="33429DC8" w14:textId="77777777" w:rsidR="00854F1A" w:rsidRPr="00854F1A" w:rsidRDefault="00854F1A" w:rsidP="00854F1A">
            <w:pPr>
              <w:spacing w:after="0"/>
              <w:ind w:firstLine="0"/>
              <w:jc w:val="right"/>
              <w:rPr>
                <w:sz w:val="18"/>
                <w:szCs w:val="18"/>
              </w:rPr>
            </w:pPr>
            <w:r w:rsidRPr="00854F1A">
              <w:rPr>
                <w:sz w:val="18"/>
                <w:szCs w:val="18"/>
              </w:rPr>
              <w:t>-141,2</w:t>
            </w:r>
          </w:p>
          <w:p w14:paraId="1DABCA0A" w14:textId="77777777" w:rsidR="00854F1A" w:rsidRPr="00854F1A" w:rsidRDefault="00854F1A" w:rsidP="00854F1A">
            <w:pPr>
              <w:spacing w:after="0"/>
              <w:ind w:firstLine="0"/>
              <w:jc w:val="right"/>
              <w:rPr>
                <w:rFonts w:eastAsia="Times New Roman" w:cs="Times New Roman"/>
                <w:color w:val="FF0000"/>
                <w:sz w:val="18"/>
                <w:szCs w:val="18"/>
              </w:rPr>
            </w:pPr>
          </w:p>
        </w:tc>
        <w:tc>
          <w:tcPr>
            <w:tcW w:w="863" w:type="dxa"/>
            <w:shd w:val="clear" w:color="auto" w:fill="auto"/>
            <w:noWrap/>
            <w:vAlign w:val="center"/>
            <w:hideMark/>
          </w:tcPr>
          <w:p w14:paraId="6272A6F1" w14:textId="77777777" w:rsidR="00854F1A" w:rsidRPr="00854F1A" w:rsidRDefault="00854F1A" w:rsidP="00854F1A">
            <w:pPr>
              <w:spacing w:after="0"/>
              <w:ind w:firstLine="0"/>
              <w:jc w:val="right"/>
              <w:rPr>
                <w:sz w:val="18"/>
                <w:szCs w:val="18"/>
              </w:rPr>
            </w:pPr>
            <w:r w:rsidRPr="00854F1A">
              <w:rPr>
                <w:sz w:val="18"/>
                <w:szCs w:val="18"/>
              </w:rPr>
              <w:t>-25,6</w:t>
            </w:r>
          </w:p>
        </w:tc>
      </w:tr>
      <w:tr w:rsidR="00854F1A" w:rsidRPr="00854F1A" w14:paraId="43DFA547" w14:textId="77777777" w:rsidTr="002C61B1">
        <w:trPr>
          <w:trHeight w:val="20"/>
          <w:jc w:val="center"/>
        </w:trPr>
        <w:tc>
          <w:tcPr>
            <w:tcW w:w="2263" w:type="dxa"/>
            <w:shd w:val="clear" w:color="auto" w:fill="auto"/>
            <w:vAlign w:val="center"/>
            <w:hideMark/>
          </w:tcPr>
          <w:p w14:paraId="0B3BBDD7" w14:textId="77777777" w:rsidR="00854F1A" w:rsidRPr="00854F1A" w:rsidRDefault="00854F1A" w:rsidP="00854F1A">
            <w:pPr>
              <w:spacing w:after="0"/>
              <w:ind w:firstLine="0"/>
              <w:contextualSpacing/>
              <w:jc w:val="left"/>
              <w:rPr>
                <w:rFonts w:eastAsia="Times New Roman" w:cs="Times New Roman"/>
                <w:b/>
                <w:bCs/>
                <w:color w:val="000000"/>
                <w:sz w:val="18"/>
                <w:szCs w:val="18"/>
              </w:rPr>
            </w:pPr>
            <w:r w:rsidRPr="00854F1A">
              <w:rPr>
                <w:rFonts w:eastAsia="Times New Roman" w:cs="Times New Roman"/>
                <w:b/>
                <w:bCs/>
                <w:color w:val="000000"/>
                <w:sz w:val="18"/>
                <w:szCs w:val="18"/>
              </w:rPr>
              <w:t>KOPBUDŽETA BILANCE</w:t>
            </w:r>
          </w:p>
        </w:tc>
        <w:tc>
          <w:tcPr>
            <w:tcW w:w="851" w:type="dxa"/>
            <w:shd w:val="clear" w:color="auto" w:fill="auto"/>
            <w:noWrap/>
            <w:vAlign w:val="center"/>
            <w:hideMark/>
          </w:tcPr>
          <w:p w14:paraId="0DEE9569"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sz w:val="18"/>
                <w:szCs w:val="18"/>
              </w:rPr>
              <w:t>-1 330,0</w:t>
            </w:r>
          </w:p>
        </w:tc>
        <w:tc>
          <w:tcPr>
            <w:tcW w:w="850" w:type="dxa"/>
            <w:shd w:val="clear" w:color="auto" w:fill="auto"/>
            <w:noWrap/>
            <w:vAlign w:val="center"/>
            <w:hideMark/>
          </w:tcPr>
          <w:p w14:paraId="14E68862"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sz w:val="18"/>
                <w:szCs w:val="18"/>
              </w:rPr>
              <w:t>-1 152,2</w:t>
            </w:r>
          </w:p>
        </w:tc>
        <w:tc>
          <w:tcPr>
            <w:tcW w:w="851" w:type="dxa"/>
            <w:shd w:val="clear" w:color="auto" w:fill="auto"/>
            <w:noWrap/>
            <w:vAlign w:val="center"/>
            <w:hideMark/>
          </w:tcPr>
          <w:p w14:paraId="6B0AC3A8"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sz w:val="18"/>
                <w:szCs w:val="18"/>
              </w:rPr>
              <w:t>-1 870,2</w:t>
            </w:r>
          </w:p>
        </w:tc>
        <w:tc>
          <w:tcPr>
            <w:tcW w:w="850" w:type="dxa"/>
            <w:shd w:val="clear" w:color="auto" w:fill="auto"/>
            <w:noWrap/>
            <w:vAlign w:val="center"/>
            <w:hideMark/>
          </w:tcPr>
          <w:p w14:paraId="1700FCBE"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sz w:val="18"/>
                <w:szCs w:val="18"/>
              </w:rPr>
              <w:t>-1 122,4</w:t>
            </w:r>
          </w:p>
        </w:tc>
        <w:tc>
          <w:tcPr>
            <w:tcW w:w="851" w:type="dxa"/>
            <w:shd w:val="clear" w:color="auto" w:fill="auto"/>
            <w:vAlign w:val="center"/>
          </w:tcPr>
          <w:p w14:paraId="1BECD07B" w14:textId="77777777" w:rsidR="00854F1A" w:rsidRPr="00854F1A" w:rsidRDefault="00854F1A" w:rsidP="00854F1A">
            <w:pPr>
              <w:spacing w:after="0"/>
              <w:ind w:firstLine="0"/>
              <w:contextualSpacing/>
              <w:jc w:val="right"/>
              <w:rPr>
                <w:rFonts w:cs="Times New Roman"/>
                <w:b/>
                <w:bCs/>
                <w:sz w:val="18"/>
                <w:szCs w:val="18"/>
              </w:rPr>
            </w:pPr>
            <w:r w:rsidRPr="00854F1A">
              <w:rPr>
                <w:rFonts w:cs="Times New Roman"/>
                <w:b/>
                <w:bCs/>
                <w:sz w:val="18"/>
                <w:szCs w:val="18"/>
              </w:rPr>
              <w:t>-1 175,6</w:t>
            </w:r>
          </w:p>
        </w:tc>
        <w:tc>
          <w:tcPr>
            <w:tcW w:w="850" w:type="dxa"/>
            <w:shd w:val="clear" w:color="auto" w:fill="auto"/>
            <w:noWrap/>
            <w:vAlign w:val="center"/>
            <w:hideMark/>
          </w:tcPr>
          <w:p w14:paraId="6706AEC9"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sz w:val="18"/>
                <w:szCs w:val="18"/>
              </w:rPr>
              <w:t>-1 983,9</w:t>
            </w:r>
          </w:p>
        </w:tc>
        <w:tc>
          <w:tcPr>
            <w:tcW w:w="864" w:type="dxa"/>
            <w:shd w:val="clear" w:color="auto" w:fill="auto"/>
            <w:noWrap/>
            <w:vAlign w:val="center"/>
            <w:hideMark/>
          </w:tcPr>
          <w:p w14:paraId="066C4664" w14:textId="77777777" w:rsidR="00854F1A" w:rsidRPr="00854F1A" w:rsidRDefault="00854F1A" w:rsidP="00854F1A">
            <w:pPr>
              <w:spacing w:after="0"/>
              <w:ind w:firstLine="0"/>
              <w:contextualSpacing/>
              <w:jc w:val="right"/>
              <w:rPr>
                <w:rFonts w:eastAsia="Times New Roman" w:cs="Times New Roman"/>
                <w:b/>
                <w:bCs/>
                <w:color w:val="FF0000"/>
                <w:sz w:val="18"/>
                <w:szCs w:val="18"/>
              </w:rPr>
            </w:pPr>
            <w:r w:rsidRPr="00854F1A">
              <w:rPr>
                <w:rFonts w:cs="Times New Roman"/>
                <w:b/>
                <w:bCs/>
                <w:sz w:val="18"/>
                <w:szCs w:val="18"/>
              </w:rPr>
              <w:t>-1 099,6</w:t>
            </w:r>
          </w:p>
        </w:tc>
        <w:tc>
          <w:tcPr>
            <w:tcW w:w="863" w:type="dxa"/>
            <w:shd w:val="clear" w:color="auto" w:fill="auto"/>
            <w:noWrap/>
            <w:vAlign w:val="center"/>
            <w:hideMark/>
          </w:tcPr>
          <w:p w14:paraId="02D516FD"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rFonts w:cs="Times New Roman"/>
                <w:b/>
                <w:bCs/>
                <w:sz w:val="18"/>
                <w:szCs w:val="18"/>
              </w:rPr>
              <w:t>-1 174,6</w:t>
            </w:r>
          </w:p>
        </w:tc>
      </w:tr>
      <w:tr w:rsidR="00854F1A" w:rsidRPr="00854F1A" w14:paraId="562A0983" w14:textId="77777777" w:rsidTr="002C61B1">
        <w:trPr>
          <w:trHeight w:val="20"/>
          <w:jc w:val="center"/>
        </w:trPr>
        <w:tc>
          <w:tcPr>
            <w:tcW w:w="2263" w:type="dxa"/>
            <w:shd w:val="clear" w:color="auto" w:fill="auto"/>
            <w:noWrap/>
            <w:vAlign w:val="center"/>
            <w:hideMark/>
          </w:tcPr>
          <w:p w14:paraId="75D46591" w14:textId="77777777" w:rsidR="00854F1A" w:rsidRPr="00854F1A" w:rsidRDefault="00854F1A" w:rsidP="00854F1A">
            <w:pPr>
              <w:spacing w:after="0"/>
              <w:ind w:firstLineChars="100" w:firstLine="180"/>
              <w:contextualSpacing/>
              <w:jc w:val="left"/>
              <w:rPr>
                <w:rFonts w:eastAsia="Times New Roman" w:cs="Times New Roman"/>
                <w:color w:val="000000"/>
                <w:sz w:val="18"/>
                <w:szCs w:val="18"/>
              </w:rPr>
            </w:pPr>
            <w:r w:rsidRPr="00854F1A">
              <w:rPr>
                <w:rFonts w:eastAsia="Times New Roman" w:cs="Times New Roman"/>
                <w:color w:val="000000"/>
                <w:sz w:val="18"/>
                <w:szCs w:val="18"/>
              </w:rPr>
              <w:t>Ieņēmumi</w:t>
            </w:r>
          </w:p>
        </w:tc>
        <w:tc>
          <w:tcPr>
            <w:tcW w:w="851" w:type="dxa"/>
            <w:shd w:val="clear" w:color="auto" w:fill="auto"/>
            <w:noWrap/>
            <w:vAlign w:val="center"/>
            <w:hideMark/>
          </w:tcPr>
          <w:p w14:paraId="7049552C"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15 628,0</w:t>
            </w:r>
          </w:p>
        </w:tc>
        <w:tc>
          <w:tcPr>
            <w:tcW w:w="850" w:type="dxa"/>
            <w:shd w:val="clear" w:color="auto" w:fill="auto"/>
            <w:noWrap/>
            <w:vAlign w:val="center"/>
            <w:hideMark/>
          </w:tcPr>
          <w:p w14:paraId="48556F98"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17 269,2</w:t>
            </w:r>
          </w:p>
        </w:tc>
        <w:tc>
          <w:tcPr>
            <w:tcW w:w="851" w:type="dxa"/>
            <w:shd w:val="clear" w:color="auto" w:fill="auto"/>
            <w:noWrap/>
            <w:hideMark/>
          </w:tcPr>
          <w:p w14:paraId="10A708BE"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17 616,1</w:t>
            </w:r>
          </w:p>
        </w:tc>
        <w:tc>
          <w:tcPr>
            <w:tcW w:w="850" w:type="dxa"/>
            <w:shd w:val="clear" w:color="auto" w:fill="auto"/>
            <w:noWrap/>
            <w:hideMark/>
          </w:tcPr>
          <w:p w14:paraId="7307116D"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18 842,6</w:t>
            </w:r>
          </w:p>
        </w:tc>
        <w:tc>
          <w:tcPr>
            <w:tcW w:w="851" w:type="dxa"/>
          </w:tcPr>
          <w:p w14:paraId="71346979"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18 672,8</w:t>
            </w:r>
          </w:p>
        </w:tc>
        <w:tc>
          <w:tcPr>
            <w:tcW w:w="850" w:type="dxa"/>
            <w:shd w:val="clear" w:color="auto" w:fill="auto"/>
            <w:noWrap/>
            <w:hideMark/>
          </w:tcPr>
          <w:p w14:paraId="02BF2FF0"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17 855,6</w:t>
            </w:r>
          </w:p>
        </w:tc>
        <w:tc>
          <w:tcPr>
            <w:tcW w:w="864" w:type="dxa"/>
            <w:shd w:val="clear" w:color="auto" w:fill="auto"/>
            <w:noWrap/>
            <w:vAlign w:val="center"/>
            <w:hideMark/>
          </w:tcPr>
          <w:p w14:paraId="7B9EA9BB"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19 047,0</w:t>
            </w:r>
          </w:p>
        </w:tc>
        <w:tc>
          <w:tcPr>
            <w:tcW w:w="863" w:type="dxa"/>
            <w:shd w:val="clear" w:color="auto" w:fill="auto"/>
            <w:noWrap/>
            <w:vAlign w:val="center"/>
            <w:hideMark/>
          </w:tcPr>
          <w:p w14:paraId="10E256D6" w14:textId="77777777" w:rsidR="00854F1A" w:rsidRPr="00854F1A" w:rsidRDefault="00854F1A" w:rsidP="00854F1A">
            <w:pPr>
              <w:spacing w:after="0"/>
              <w:ind w:firstLine="0"/>
              <w:jc w:val="right"/>
              <w:rPr>
                <w:rFonts w:eastAsia="Times New Roman" w:cs="Times New Roman"/>
                <w:color w:val="FF0000"/>
                <w:sz w:val="18"/>
                <w:szCs w:val="18"/>
              </w:rPr>
            </w:pPr>
            <w:r w:rsidRPr="00854F1A">
              <w:rPr>
                <w:rFonts w:cs="Times New Roman"/>
                <w:sz w:val="18"/>
                <w:szCs w:val="18"/>
              </w:rPr>
              <w:t>18 839,1</w:t>
            </w:r>
          </w:p>
        </w:tc>
      </w:tr>
      <w:tr w:rsidR="00854F1A" w:rsidRPr="00854F1A" w14:paraId="6305F978" w14:textId="77777777" w:rsidTr="002C61B1">
        <w:trPr>
          <w:trHeight w:val="20"/>
          <w:jc w:val="center"/>
        </w:trPr>
        <w:tc>
          <w:tcPr>
            <w:tcW w:w="2263" w:type="dxa"/>
            <w:shd w:val="clear" w:color="auto" w:fill="auto"/>
            <w:vAlign w:val="center"/>
            <w:hideMark/>
          </w:tcPr>
          <w:p w14:paraId="25BBC227"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Nodokļu ieņēmumi</w:t>
            </w:r>
          </w:p>
        </w:tc>
        <w:tc>
          <w:tcPr>
            <w:tcW w:w="851" w:type="dxa"/>
            <w:shd w:val="clear" w:color="auto" w:fill="auto"/>
            <w:noWrap/>
            <w:vAlign w:val="center"/>
            <w:hideMark/>
          </w:tcPr>
          <w:p w14:paraId="2F142AA9"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12 600,4</w:t>
            </w:r>
          </w:p>
        </w:tc>
        <w:tc>
          <w:tcPr>
            <w:tcW w:w="850" w:type="dxa"/>
            <w:shd w:val="clear" w:color="auto" w:fill="auto"/>
            <w:noWrap/>
            <w:vAlign w:val="center"/>
            <w:hideMark/>
          </w:tcPr>
          <w:p w14:paraId="33B55CBA" w14:textId="77777777" w:rsidR="00854F1A" w:rsidRPr="00854F1A" w:rsidRDefault="00854F1A" w:rsidP="00854F1A">
            <w:pPr>
              <w:spacing w:after="0"/>
              <w:ind w:firstLine="0"/>
              <w:jc w:val="right"/>
              <w:rPr>
                <w:rFonts w:eastAsia="Times New Roman" w:cs="Times New Roman"/>
                <w:color w:val="FF0000"/>
                <w:sz w:val="18"/>
                <w:szCs w:val="18"/>
              </w:rPr>
            </w:pPr>
            <w:r w:rsidRPr="00854F1A">
              <w:rPr>
                <w:rFonts w:cs="Times New Roman"/>
                <w:sz w:val="18"/>
                <w:szCs w:val="18"/>
              </w:rPr>
              <w:t>13 703,7</w:t>
            </w:r>
          </w:p>
        </w:tc>
        <w:tc>
          <w:tcPr>
            <w:tcW w:w="851" w:type="dxa"/>
            <w:shd w:val="clear" w:color="auto" w:fill="auto"/>
            <w:noWrap/>
            <w:hideMark/>
          </w:tcPr>
          <w:p w14:paraId="4FB32269" w14:textId="77777777" w:rsidR="00854F1A" w:rsidRPr="00854F1A" w:rsidRDefault="00854F1A" w:rsidP="00854F1A">
            <w:pPr>
              <w:spacing w:after="0"/>
              <w:ind w:firstLine="0"/>
              <w:jc w:val="right"/>
              <w:rPr>
                <w:rFonts w:cs="Times New Roman"/>
                <w:sz w:val="18"/>
                <w:szCs w:val="18"/>
              </w:rPr>
            </w:pPr>
            <w:r w:rsidRPr="00854F1A">
              <w:rPr>
                <w:rFonts w:cs="Times New Roman"/>
                <w:sz w:val="18"/>
                <w:szCs w:val="18"/>
              </w:rPr>
              <w:t>14 458,5</w:t>
            </w:r>
          </w:p>
        </w:tc>
        <w:tc>
          <w:tcPr>
            <w:tcW w:w="850" w:type="dxa"/>
            <w:shd w:val="clear" w:color="auto" w:fill="auto"/>
            <w:noWrap/>
            <w:hideMark/>
          </w:tcPr>
          <w:p w14:paraId="263C03FE"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15 228,7</w:t>
            </w:r>
          </w:p>
        </w:tc>
        <w:tc>
          <w:tcPr>
            <w:tcW w:w="851" w:type="dxa"/>
          </w:tcPr>
          <w:p w14:paraId="6771E5B0" w14:textId="77777777" w:rsidR="00854F1A" w:rsidRPr="00854F1A" w:rsidRDefault="00854F1A" w:rsidP="00854F1A">
            <w:pPr>
              <w:spacing w:after="0"/>
              <w:ind w:firstLine="0"/>
              <w:jc w:val="right"/>
              <w:rPr>
                <w:rFonts w:cs="Times New Roman"/>
                <w:sz w:val="18"/>
                <w:szCs w:val="18"/>
              </w:rPr>
            </w:pPr>
            <w:r w:rsidRPr="00854F1A">
              <w:rPr>
                <w:rFonts w:cs="Times New Roman"/>
                <w:sz w:val="18"/>
                <w:szCs w:val="18"/>
              </w:rPr>
              <w:t>15 909,2</w:t>
            </w:r>
          </w:p>
        </w:tc>
        <w:tc>
          <w:tcPr>
            <w:tcW w:w="850" w:type="dxa"/>
            <w:shd w:val="clear" w:color="auto" w:fill="auto"/>
            <w:noWrap/>
            <w:hideMark/>
          </w:tcPr>
          <w:p w14:paraId="1785768B"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14 552,7</w:t>
            </w:r>
          </w:p>
        </w:tc>
        <w:tc>
          <w:tcPr>
            <w:tcW w:w="864" w:type="dxa"/>
            <w:shd w:val="clear" w:color="auto" w:fill="auto"/>
            <w:noWrap/>
            <w:vAlign w:val="center"/>
            <w:hideMark/>
          </w:tcPr>
          <w:p w14:paraId="762171A8"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15 353,9</w:t>
            </w:r>
          </w:p>
        </w:tc>
        <w:tc>
          <w:tcPr>
            <w:tcW w:w="863" w:type="dxa"/>
            <w:shd w:val="clear" w:color="auto" w:fill="auto"/>
            <w:noWrap/>
            <w:vAlign w:val="center"/>
            <w:hideMark/>
          </w:tcPr>
          <w:p w14:paraId="7C123EF3" w14:textId="77777777" w:rsidR="00854F1A" w:rsidRPr="00854F1A" w:rsidRDefault="00854F1A" w:rsidP="00854F1A">
            <w:pPr>
              <w:spacing w:after="0"/>
              <w:ind w:firstLine="0"/>
              <w:jc w:val="right"/>
              <w:rPr>
                <w:rFonts w:eastAsia="Times New Roman" w:cs="Times New Roman"/>
                <w:color w:val="FF0000"/>
                <w:sz w:val="18"/>
                <w:szCs w:val="18"/>
              </w:rPr>
            </w:pPr>
            <w:r w:rsidRPr="00854F1A">
              <w:rPr>
                <w:rFonts w:cs="Times New Roman"/>
                <w:sz w:val="18"/>
                <w:szCs w:val="18"/>
              </w:rPr>
              <w:t>15 999,7</w:t>
            </w:r>
          </w:p>
        </w:tc>
      </w:tr>
      <w:tr w:rsidR="00854F1A" w:rsidRPr="00854F1A" w14:paraId="68842D5E" w14:textId="77777777" w:rsidTr="002C61B1">
        <w:trPr>
          <w:trHeight w:val="20"/>
          <w:jc w:val="center"/>
        </w:trPr>
        <w:tc>
          <w:tcPr>
            <w:tcW w:w="2263" w:type="dxa"/>
            <w:shd w:val="clear" w:color="auto" w:fill="auto"/>
            <w:noWrap/>
            <w:vAlign w:val="center"/>
            <w:hideMark/>
          </w:tcPr>
          <w:p w14:paraId="774060E9"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Ne-nodokļu ieņēmumi</w:t>
            </w:r>
          </w:p>
        </w:tc>
        <w:tc>
          <w:tcPr>
            <w:tcW w:w="851" w:type="dxa"/>
            <w:shd w:val="clear" w:color="auto" w:fill="auto"/>
            <w:noWrap/>
            <w:vAlign w:val="center"/>
            <w:hideMark/>
          </w:tcPr>
          <w:p w14:paraId="7BD2AF32"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1 063,6</w:t>
            </w:r>
          </w:p>
        </w:tc>
        <w:tc>
          <w:tcPr>
            <w:tcW w:w="850" w:type="dxa"/>
            <w:shd w:val="clear" w:color="auto" w:fill="auto"/>
            <w:noWrap/>
            <w:vAlign w:val="center"/>
            <w:hideMark/>
          </w:tcPr>
          <w:p w14:paraId="5C980860"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1 145,2</w:t>
            </w:r>
          </w:p>
        </w:tc>
        <w:tc>
          <w:tcPr>
            <w:tcW w:w="851" w:type="dxa"/>
            <w:shd w:val="clear" w:color="auto" w:fill="auto"/>
            <w:noWrap/>
            <w:hideMark/>
          </w:tcPr>
          <w:p w14:paraId="4F86246A"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859,9</w:t>
            </w:r>
          </w:p>
        </w:tc>
        <w:tc>
          <w:tcPr>
            <w:tcW w:w="850" w:type="dxa"/>
            <w:shd w:val="clear" w:color="auto" w:fill="auto"/>
            <w:noWrap/>
            <w:hideMark/>
          </w:tcPr>
          <w:p w14:paraId="682FD2AB"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837,6</w:t>
            </w:r>
          </w:p>
        </w:tc>
        <w:tc>
          <w:tcPr>
            <w:tcW w:w="851" w:type="dxa"/>
          </w:tcPr>
          <w:p w14:paraId="0DB1D400"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853,3</w:t>
            </w:r>
          </w:p>
        </w:tc>
        <w:tc>
          <w:tcPr>
            <w:tcW w:w="850" w:type="dxa"/>
            <w:shd w:val="clear" w:color="auto" w:fill="auto"/>
            <w:noWrap/>
            <w:hideMark/>
          </w:tcPr>
          <w:p w14:paraId="7A1EAA5C"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993,1</w:t>
            </w:r>
          </w:p>
        </w:tc>
        <w:tc>
          <w:tcPr>
            <w:tcW w:w="864" w:type="dxa"/>
            <w:shd w:val="clear" w:color="auto" w:fill="auto"/>
            <w:noWrap/>
            <w:vAlign w:val="center"/>
            <w:hideMark/>
          </w:tcPr>
          <w:p w14:paraId="057A8BA1"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913,1</w:t>
            </w:r>
          </w:p>
        </w:tc>
        <w:tc>
          <w:tcPr>
            <w:tcW w:w="863" w:type="dxa"/>
            <w:shd w:val="clear" w:color="auto" w:fill="auto"/>
            <w:noWrap/>
            <w:vAlign w:val="center"/>
            <w:hideMark/>
          </w:tcPr>
          <w:p w14:paraId="494B4ADF"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926,6</w:t>
            </w:r>
          </w:p>
        </w:tc>
      </w:tr>
      <w:tr w:rsidR="00854F1A" w:rsidRPr="00854F1A" w14:paraId="64AE577D" w14:textId="77777777" w:rsidTr="002C61B1">
        <w:trPr>
          <w:trHeight w:val="20"/>
          <w:jc w:val="center"/>
        </w:trPr>
        <w:tc>
          <w:tcPr>
            <w:tcW w:w="2263" w:type="dxa"/>
            <w:shd w:val="clear" w:color="auto" w:fill="auto"/>
            <w:noWrap/>
            <w:vAlign w:val="center"/>
            <w:hideMark/>
          </w:tcPr>
          <w:p w14:paraId="31CD5F9E"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Pašu ieņēmumi</w:t>
            </w:r>
          </w:p>
        </w:tc>
        <w:tc>
          <w:tcPr>
            <w:tcW w:w="851" w:type="dxa"/>
            <w:shd w:val="clear" w:color="auto" w:fill="auto"/>
            <w:noWrap/>
            <w:vAlign w:val="center"/>
            <w:hideMark/>
          </w:tcPr>
          <w:p w14:paraId="2ED9FC87"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483,8</w:t>
            </w:r>
          </w:p>
        </w:tc>
        <w:tc>
          <w:tcPr>
            <w:tcW w:w="850" w:type="dxa"/>
            <w:shd w:val="clear" w:color="auto" w:fill="auto"/>
            <w:noWrap/>
            <w:vAlign w:val="center"/>
            <w:hideMark/>
          </w:tcPr>
          <w:p w14:paraId="7BB98F7F"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520,2</w:t>
            </w:r>
          </w:p>
        </w:tc>
        <w:tc>
          <w:tcPr>
            <w:tcW w:w="851" w:type="dxa"/>
            <w:shd w:val="clear" w:color="auto" w:fill="auto"/>
            <w:noWrap/>
            <w:hideMark/>
          </w:tcPr>
          <w:p w14:paraId="18C2EDC8"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520,2</w:t>
            </w:r>
          </w:p>
        </w:tc>
        <w:tc>
          <w:tcPr>
            <w:tcW w:w="850" w:type="dxa"/>
            <w:shd w:val="clear" w:color="auto" w:fill="auto"/>
            <w:noWrap/>
            <w:hideMark/>
          </w:tcPr>
          <w:p w14:paraId="0928C1D7"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528,4</w:t>
            </w:r>
          </w:p>
        </w:tc>
        <w:tc>
          <w:tcPr>
            <w:tcW w:w="851" w:type="dxa"/>
          </w:tcPr>
          <w:p w14:paraId="7BA100B6"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538,1</w:t>
            </w:r>
          </w:p>
        </w:tc>
        <w:tc>
          <w:tcPr>
            <w:tcW w:w="850" w:type="dxa"/>
            <w:shd w:val="clear" w:color="auto" w:fill="auto"/>
            <w:noWrap/>
            <w:hideMark/>
          </w:tcPr>
          <w:p w14:paraId="6AA53B61"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523,0</w:t>
            </w:r>
          </w:p>
        </w:tc>
        <w:tc>
          <w:tcPr>
            <w:tcW w:w="864" w:type="dxa"/>
            <w:shd w:val="clear" w:color="auto" w:fill="auto"/>
            <w:noWrap/>
            <w:vAlign w:val="center"/>
            <w:hideMark/>
          </w:tcPr>
          <w:p w14:paraId="5FE3DC6A"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531,4</w:t>
            </w:r>
          </w:p>
        </w:tc>
        <w:tc>
          <w:tcPr>
            <w:tcW w:w="863" w:type="dxa"/>
            <w:shd w:val="clear" w:color="auto" w:fill="auto"/>
            <w:noWrap/>
            <w:vAlign w:val="center"/>
            <w:hideMark/>
          </w:tcPr>
          <w:p w14:paraId="438BC917"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540,6</w:t>
            </w:r>
          </w:p>
        </w:tc>
      </w:tr>
      <w:tr w:rsidR="00854F1A" w:rsidRPr="00854F1A" w14:paraId="6FBE42DC" w14:textId="77777777" w:rsidTr="002C61B1">
        <w:trPr>
          <w:trHeight w:val="20"/>
          <w:jc w:val="center"/>
        </w:trPr>
        <w:tc>
          <w:tcPr>
            <w:tcW w:w="2263" w:type="dxa"/>
            <w:shd w:val="clear" w:color="auto" w:fill="auto"/>
            <w:vAlign w:val="center"/>
            <w:hideMark/>
          </w:tcPr>
          <w:p w14:paraId="0F5F31FA" w14:textId="08E47414" w:rsidR="00854F1A" w:rsidRPr="00854F1A" w:rsidRDefault="00854F1A" w:rsidP="00854F1A">
            <w:pPr>
              <w:spacing w:after="0"/>
              <w:ind w:firstLine="0"/>
              <w:contextualSpacing/>
              <w:jc w:val="left"/>
              <w:rPr>
                <w:rFonts w:eastAsia="Times New Roman" w:cs="Times New Roman"/>
                <w:color w:val="000000"/>
                <w:sz w:val="18"/>
                <w:szCs w:val="18"/>
              </w:rPr>
            </w:pPr>
            <w:r w:rsidRPr="00854F1A">
              <w:rPr>
                <w:rFonts w:eastAsia="Times New Roman" w:cs="Times New Roman"/>
                <w:color w:val="000000"/>
                <w:sz w:val="18"/>
                <w:szCs w:val="18"/>
              </w:rPr>
              <w:t xml:space="preserve">        </w:t>
            </w:r>
            <w:r w:rsidR="00F87D38">
              <w:rPr>
                <w:rFonts w:eastAsia="Times New Roman" w:cs="Times New Roman"/>
                <w:color w:val="000000"/>
                <w:sz w:val="18"/>
                <w:szCs w:val="18"/>
              </w:rPr>
              <w:t>ĀFP</w:t>
            </w:r>
          </w:p>
        </w:tc>
        <w:tc>
          <w:tcPr>
            <w:tcW w:w="851" w:type="dxa"/>
            <w:shd w:val="clear" w:color="auto" w:fill="auto"/>
            <w:noWrap/>
            <w:vAlign w:val="center"/>
            <w:hideMark/>
          </w:tcPr>
          <w:p w14:paraId="520CF5F2"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1 478,2</w:t>
            </w:r>
          </w:p>
        </w:tc>
        <w:tc>
          <w:tcPr>
            <w:tcW w:w="850" w:type="dxa"/>
            <w:shd w:val="clear" w:color="auto" w:fill="auto"/>
            <w:noWrap/>
            <w:vAlign w:val="center"/>
            <w:hideMark/>
          </w:tcPr>
          <w:p w14:paraId="5644329C"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1 898,9</w:t>
            </w:r>
          </w:p>
        </w:tc>
        <w:tc>
          <w:tcPr>
            <w:tcW w:w="851" w:type="dxa"/>
            <w:shd w:val="clear" w:color="auto" w:fill="auto"/>
            <w:noWrap/>
            <w:vAlign w:val="center"/>
            <w:hideMark/>
          </w:tcPr>
          <w:p w14:paraId="11566184" w14:textId="77777777" w:rsidR="00854F1A" w:rsidRPr="00854F1A" w:rsidRDefault="00854F1A" w:rsidP="00854F1A">
            <w:pPr>
              <w:spacing w:after="0"/>
              <w:ind w:firstLine="0"/>
              <w:contextualSpacing/>
              <w:jc w:val="center"/>
              <w:rPr>
                <w:rFonts w:cs="Times New Roman"/>
                <w:sz w:val="18"/>
                <w:szCs w:val="18"/>
              </w:rPr>
            </w:pPr>
            <w:r w:rsidRPr="00854F1A">
              <w:rPr>
                <w:rFonts w:cs="Times New Roman"/>
                <w:sz w:val="18"/>
                <w:szCs w:val="18"/>
              </w:rPr>
              <w:t>1 776,2</w:t>
            </w:r>
          </w:p>
        </w:tc>
        <w:tc>
          <w:tcPr>
            <w:tcW w:w="850" w:type="dxa"/>
            <w:shd w:val="clear" w:color="auto" w:fill="auto"/>
            <w:noWrap/>
            <w:vAlign w:val="center"/>
            <w:hideMark/>
          </w:tcPr>
          <w:p w14:paraId="39E7CC6F" w14:textId="77777777" w:rsidR="00854F1A" w:rsidRPr="00854F1A" w:rsidRDefault="00854F1A" w:rsidP="00854F1A">
            <w:pPr>
              <w:spacing w:after="0"/>
              <w:ind w:firstLine="0"/>
              <w:contextualSpacing/>
              <w:jc w:val="center"/>
              <w:rPr>
                <w:rFonts w:cs="Times New Roman"/>
                <w:sz w:val="18"/>
                <w:szCs w:val="18"/>
              </w:rPr>
            </w:pPr>
            <w:r w:rsidRPr="00854F1A">
              <w:rPr>
                <w:rFonts w:cs="Times New Roman"/>
                <w:sz w:val="18"/>
                <w:szCs w:val="18"/>
              </w:rPr>
              <w:t>2 246,5</w:t>
            </w:r>
          </w:p>
        </w:tc>
        <w:tc>
          <w:tcPr>
            <w:tcW w:w="851" w:type="dxa"/>
            <w:vAlign w:val="center"/>
          </w:tcPr>
          <w:p w14:paraId="0C9AA31B" w14:textId="77777777" w:rsidR="00854F1A" w:rsidRPr="00854F1A" w:rsidRDefault="00854F1A" w:rsidP="00854F1A">
            <w:pPr>
              <w:spacing w:after="0"/>
              <w:ind w:firstLine="0"/>
              <w:contextualSpacing/>
              <w:jc w:val="center"/>
              <w:rPr>
                <w:rFonts w:cs="Times New Roman"/>
                <w:sz w:val="18"/>
                <w:szCs w:val="18"/>
              </w:rPr>
            </w:pPr>
            <w:r w:rsidRPr="00854F1A">
              <w:rPr>
                <w:rFonts w:cs="Times New Roman"/>
                <w:sz w:val="18"/>
                <w:szCs w:val="18"/>
              </w:rPr>
              <w:t>1.370,8</w:t>
            </w:r>
          </w:p>
        </w:tc>
        <w:tc>
          <w:tcPr>
            <w:tcW w:w="850" w:type="dxa"/>
            <w:shd w:val="clear" w:color="auto" w:fill="auto"/>
            <w:noWrap/>
            <w:vAlign w:val="center"/>
            <w:hideMark/>
          </w:tcPr>
          <w:p w14:paraId="2370020D" w14:textId="77777777" w:rsidR="00854F1A" w:rsidRPr="00854F1A" w:rsidRDefault="00854F1A" w:rsidP="00854F1A">
            <w:pPr>
              <w:spacing w:after="0"/>
              <w:ind w:firstLine="0"/>
              <w:contextualSpacing/>
              <w:jc w:val="center"/>
              <w:rPr>
                <w:rFonts w:cs="Times New Roman"/>
                <w:sz w:val="18"/>
                <w:szCs w:val="18"/>
              </w:rPr>
            </w:pPr>
            <w:r w:rsidRPr="00854F1A">
              <w:rPr>
                <w:rFonts w:cs="Times New Roman"/>
                <w:sz w:val="18"/>
                <w:szCs w:val="18"/>
              </w:rPr>
              <w:t>1 785,4</w:t>
            </w:r>
          </w:p>
        </w:tc>
        <w:tc>
          <w:tcPr>
            <w:tcW w:w="864" w:type="dxa"/>
            <w:shd w:val="clear" w:color="auto" w:fill="auto"/>
            <w:noWrap/>
            <w:vAlign w:val="center"/>
            <w:hideMark/>
          </w:tcPr>
          <w:p w14:paraId="1B0B6BE4"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2 247,4</w:t>
            </w:r>
          </w:p>
        </w:tc>
        <w:tc>
          <w:tcPr>
            <w:tcW w:w="863" w:type="dxa"/>
            <w:shd w:val="clear" w:color="auto" w:fill="auto"/>
            <w:noWrap/>
            <w:vAlign w:val="center"/>
            <w:hideMark/>
          </w:tcPr>
          <w:p w14:paraId="2036C207"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1 370,9</w:t>
            </w:r>
          </w:p>
        </w:tc>
      </w:tr>
      <w:tr w:rsidR="00854F1A" w:rsidRPr="00854F1A" w14:paraId="256E899D" w14:textId="77777777" w:rsidTr="002C61B1">
        <w:trPr>
          <w:trHeight w:val="20"/>
          <w:jc w:val="center"/>
        </w:trPr>
        <w:tc>
          <w:tcPr>
            <w:tcW w:w="2263" w:type="dxa"/>
            <w:shd w:val="clear" w:color="auto" w:fill="auto"/>
            <w:noWrap/>
            <w:vAlign w:val="center"/>
            <w:hideMark/>
          </w:tcPr>
          <w:p w14:paraId="7117D43A"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Pārējie ieņēmumi</w:t>
            </w:r>
          </w:p>
        </w:tc>
        <w:tc>
          <w:tcPr>
            <w:tcW w:w="851" w:type="dxa"/>
            <w:shd w:val="clear" w:color="auto" w:fill="auto"/>
            <w:noWrap/>
            <w:vAlign w:val="center"/>
            <w:hideMark/>
          </w:tcPr>
          <w:p w14:paraId="3A359AE6"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1,8</w:t>
            </w:r>
          </w:p>
        </w:tc>
        <w:tc>
          <w:tcPr>
            <w:tcW w:w="850" w:type="dxa"/>
            <w:shd w:val="clear" w:color="auto" w:fill="auto"/>
            <w:noWrap/>
            <w:vAlign w:val="center"/>
            <w:hideMark/>
          </w:tcPr>
          <w:p w14:paraId="35843DB3"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1,3</w:t>
            </w:r>
          </w:p>
        </w:tc>
        <w:tc>
          <w:tcPr>
            <w:tcW w:w="851" w:type="dxa"/>
            <w:shd w:val="clear" w:color="auto" w:fill="auto"/>
            <w:noWrap/>
            <w:hideMark/>
          </w:tcPr>
          <w:p w14:paraId="2D3FD532"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1,3</w:t>
            </w:r>
          </w:p>
        </w:tc>
        <w:tc>
          <w:tcPr>
            <w:tcW w:w="850" w:type="dxa"/>
            <w:shd w:val="clear" w:color="auto" w:fill="auto"/>
            <w:noWrap/>
            <w:hideMark/>
          </w:tcPr>
          <w:p w14:paraId="04E2987D"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1,3</w:t>
            </w:r>
          </w:p>
        </w:tc>
        <w:tc>
          <w:tcPr>
            <w:tcW w:w="851" w:type="dxa"/>
          </w:tcPr>
          <w:p w14:paraId="0400A52B"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1,3</w:t>
            </w:r>
          </w:p>
        </w:tc>
        <w:tc>
          <w:tcPr>
            <w:tcW w:w="850" w:type="dxa"/>
            <w:shd w:val="clear" w:color="auto" w:fill="auto"/>
            <w:noWrap/>
            <w:hideMark/>
          </w:tcPr>
          <w:p w14:paraId="27CD071D"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1,3</w:t>
            </w:r>
          </w:p>
        </w:tc>
        <w:tc>
          <w:tcPr>
            <w:tcW w:w="864" w:type="dxa"/>
            <w:shd w:val="clear" w:color="auto" w:fill="auto"/>
            <w:noWrap/>
            <w:vAlign w:val="center"/>
            <w:hideMark/>
          </w:tcPr>
          <w:p w14:paraId="7F96A89E"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1,3</w:t>
            </w:r>
          </w:p>
        </w:tc>
        <w:tc>
          <w:tcPr>
            <w:tcW w:w="863" w:type="dxa"/>
            <w:shd w:val="clear" w:color="auto" w:fill="auto"/>
            <w:noWrap/>
            <w:vAlign w:val="center"/>
            <w:hideMark/>
          </w:tcPr>
          <w:p w14:paraId="51CFA15F"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1,3</w:t>
            </w:r>
          </w:p>
        </w:tc>
      </w:tr>
      <w:tr w:rsidR="00854F1A" w:rsidRPr="00854F1A" w14:paraId="4EE8829F" w14:textId="77777777" w:rsidTr="002C61B1">
        <w:trPr>
          <w:trHeight w:val="20"/>
          <w:jc w:val="center"/>
        </w:trPr>
        <w:tc>
          <w:tcPr>
            <w:tcW w:w="2263" w:type="dxa"/>
            <w:shd w:val="clear" w:color="auto" w:fill="auto"/>
            <w:noWrap/>
            <w:vAlign w:val="center"/>
            <w:hideMark/>
          </w:tcPr>
          <w:p w14:paraId="1CA2062F" w14:textId="77777777" w:rsidR="00854F1A" w:rsidRPr="00854F1A" w:rsidRDefault="00854F1A" w:rsidP="00854F1A">
            <w:pPr>
              <w:spacing w:after="0"/>
              <w:ind w:firstLineChars="100" w:firstLine="180"/>
              <w:contextualSpacing/>
              <w:jc w:val="left"/>
              <w:rPr>
                <w:rFonts w:eastAsia="Times New Roman" w:cs="Times New Roman"/>
                <w:color w:val="000000"/>
                <w:sz w:val="18"/>
                <w:szCs w:val="18"/>
              </w:rPr>
            </w:pPr>
            <w:r w:rsidRPr="00854F1A">
              <w:rPr>
                <w:rFonts w:eastAsia="Times New Roman" w:cs="Times New Roman"/>
                <w:color w:val="000000"/>
                <w:sz w:val="18"/>
                <w:szCs w:val="18"/>
              </w:rPr>
              <w:t>Izdevumi</w:t>
            </w:r>
          </w:p>
        </w:tc>
        <w:tc>
          <w:tcPr>
            <w:tcW w:w="851" w:type="dxa"/>
            <w:shd w:val="clear" w:color="auto" w:fill="auto"/>
            <w:noWrap/>
            <w:vAlign w:val="center"/>
            <w:hideMark/>
          </w:tcPr>
          <w:p w14:paraId="0ED3EAC1"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16 958,0</w:t>
            </w:r>
          </w:p>
        </w:tc>
        <w:tc>
          <w:tcPr>
            <w:tcW w:w="850" w:type="dxa"/>
            <w:shd w:val="clear" w:color="auto" w:fill="auto"/>
            <w:noWrap/>
            <w:vAlign w:val="center"/>
            <w:hideMark/>
          </w:tcPr>
          <w:p w14:paraId="72E1B1FF"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18 421,5</w:t>
            </w:r>
          </w:p>
        </w:tc>
        <w:tc>
          <w:tcPr>
            <w:tcW w:w="851" w:type="dxa"/>
            <w:shd w:val="clear" w:color="auto" w:fill="auto"/>
            <w:noWrap/>
            <w:hideMark/>
          </w:tcPr>
          <w:p w14:paraId="57767334"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19 486,3</w:t>
            </w:r>
          </w:p>
        </w:tc>
        <w:tc>
          <w:tcPr>
            <w:tcW w:w="850" w:type="dxa"/>
            <w:shd w:val="clear" w:color="auto" w:fill="auto"/>
            <w:noWrap/>
            <w:hideMark/>
          </w:tcPr>
          <w:p w14:paraId="762E7D8F"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19 965,0</w:t>
            </w:r>
          </w:p>
        </w:tc>
        <w:tc>
          <w:tcPr>
            <w:tcW w:w="851" w:type="dxa"/>
          </w:tcPr>
          <w:p w14:paraId="7093D7D3"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19 848,5</w:t>
            </w:r>
          </w:p>
        </w:tc>
        <w:tc>
          <w:tcPr>
            <w:tcW w:w="850" w:type="dxa"/>
            <w:shd w:val="clear" w:color="auto" w:fill="auto"/>
            <w:noWrap/>
            <w:hideMark/>
          </w:tcPr>
          <w:p w14:paraId="72CBA3AC"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19 839,5</w:t>
            </w:r>
          </w:p>
        </w:tc>
        <w:tc>
          <w:tcPr>
            <w:tcW w:w="864" w:type="dxa"/>
            <w:shd w:val="clear" w:color="auto" w:fill="auto"/>
            <w:noWrap/>
            <w:vAlign w:val="center"/>
            <w:hideMark/>
          </w:tcPr>
          <w:p w14:paraId="0952FE97"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20 146,6</w:t>
            </w:r>
          </w:p>
        </w:tc>
        <w:tc>
          <w:tcPr>
            <w:tcW w:w="863" w:type="dxa"/>
            <w:shd w:val="clear" w:color="auto" w:fill="auto"/>
            <w:noWrap/>
            <w:vAlign w:val="center"/>
            <w:hideMark/>
          </w:tcPr>
          <w:p w14:paraId="4FFD9922"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20 013,7</w:t>
            </w:r>
          </w:p>
        </w:tc>
      </w:tr>
      <w:tr w:rsidR="00854F1A" w:rsidRPr="00854F1A" w14:paraId="023A8ABF" w14:textId="77777777" w:rsidTr="002C61B1">
        <w:trPr>
          <w:trHeight w:val="20"/>
          <w:jc w:val="center"/>
        </w:trPr>
        <w:tc>
          <w:tcPr>
            <w:tcW w:w="2263" w:type="dxa"/>
            <w:shd w:val="clear" w:color="auto" w:fill="auto"/>
            <w:noWrap/>
            <w:vAlign w:val="center"/>
            <w:hideMark/>
          </w:tcPr>
          <w:p w14:paraId="48E7DC5C"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Atlīdzība</w:t>
            </w:r>
          </w:p>
        </w:tc>
        <w:tc>
          <w:tcPr>
            <w:tcW w:w="851" w:type="dxa"/>
            <w:shd w:val="clear" w:color="auto" w:fill="auto"/>
            <w:noWrap/>
            <w:vAlign w:val="center"/>
            <w:hideMark/>
          </w:tcPr>
          <w:p w14:paraId="01FDA405"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3 601,4</w:t>
            </w:r>
          </w:p>
        </w:tc>
        <w:tc>
          <w:tcPr>
            <w:tcW w:w="850" w:type="dxa"/>
            <w:shd w:val="clear" w:color="auto" w:fill="auto"/>
            <w:noWrap/>
            <w:vAlign w:val="center"/>
            <w:hideMark/>
          </w:tcPr>
          <w:p w14:paraId="7A8A0B2F"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4 115,7</w:t>
            </w:r>
          </w:p>
        </w:tc>
        <w:tc>
          <w:tcPr>
            <w:tcW w:w="851" w:type="dxa"/>
            <w:shd w:val="clear" w:color="auto" w:fill="auto"/>
            <w:noWrap/>
            <w:hideMark/>
          </w:tcPr>
          <w:p w14:paraId="1CDC1333"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4 222,9</w:t>
            </w:r>
          </w:p>
        </w:tc>
        <w:tc>
          <w:tcPr>
            <w:tcW w:w="850" w:type="dxa"/>
            <w:shd w:val="clear" w:color="auto" w:fill="auto"/>
            <w:noWrap/>
            <w:hideMark/>
          </w:tcPr>
          <w:p w14:paraId="41D93F27"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4 312,0</w:t>
            </w:r>
          </w:p>
        </w:tc>
        <w:tc>
          <w:tcPr>
            <w:tcW w:w="851" w:type="dxa"/>
          </w:tcPr>
          <w:p w14:paraId="46589AC7"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4 395,0</w:t>
            </w:r>
          </w:p>
        </w:tc>
        <w:tc>
          <w:tcPr>
            <w:tcW w:w="850" w:type="dxa"/>
            <w:shd w:val="clear" w:color="auto" w:fill="auto"/>
            <w:noWrap/>
            <w:hideMark/>
          </w:tcPr>
          <w:p w14:paraId="50369571"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4 293,8</w:t>
            </w:r>
          </w:p>
        </w:tc>
        <w:tc>
          <w:tcPr>
            <w:tcW w:w="864" w:type="dxa"/>
            <w:shd w:val="clear" w:color="auto" w:fill="auto"/>
            <w:noWrap/>
            <w:vAlign w:val="center"/>
            <w:hideMark/>
          </w:tcPr>
          <w:p w14:paraId="590FDF06"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4 394,2</w:t>
            </w:r>
          </w:p>
        </w:tc>
        <w:tc>
          <w:tcPr>
            <w:tcW w:w="863" w:type="dxa"/>
            <w:shd w:val="clear" w:color="auto" w:fill="auto"/>
            <w:noWrap/>
            <w:vAlign w:val="center"/>
            <w:hideMark/>
          </w:tcPr>
          <w:p w14:paraId="50EBD440"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4 494,0</w:t>
            </w:r>
          </w:p>
        </w:tc>
      </w:tr>
      <w:tr w:rsidR="00854F1A" w:rsidRPr="00854F1A" w14:paraId="7F30E061" w14:textId="77777777" w:rsidTr="002C61B1">
        <w:trPr>
          <w:trHeight w:val="20"/>
          <w:jc w:val="center"/>
        </w:trPr>
        <w:tc>
          <w:tcPr>
            <w:tcW w:w="2263" w:type="dxa"/>
            <w:shd w:val="clear" w:color="auto" w:fill="auto"/>
            <w:vAlign w:val="center"/>
            <w:hideMark/>
          </w:tcPr>
          <w:p w14:paraId="1AE97FA8"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Preces un pakalpojumi</w:t>
            </w:r>
          </w:p>
        </w:tc>
        <w:tc>
          <w:tcPr>
            <w:tcW w:w="851" w:type="dxa"/>
            <w:shd w:val="clear" w:color="auto" w:fill="auto"/>
            <w:noWrap/>
            <w:vAlign w:val="center"/>
            <w:hideMark/>
          </w:tcPr>
          <w:p w14:paraId="0AD30157"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2 312,9</w:t>
            </w:r>
          </w:p>
        </w:tc>
        <w:tc>
          <w:tcPr>
            <w:tcW w:w="850" w:type="dxa"/>
            <w:shd w:val="clear" w:color="auto" w:fill="auto"/>
            <w:noWrap/>
            <w:vAlign w:val="center"/>
            <w:hideMark/>
          </w:tcPr>
          <w:p w14:paraId="5BE71EA7"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2 170,9</w:t>
            </w:r>
          </w:p>
        </w:tc>
        <w:tc>
          <w:tcPr>
            <w:tcW w:w="851" w:type="dxa"/>
            <w:shd w:val="clear" w:color="auto" w:fill="auto"/>
            <w:noWrap/>
            <w:hideMark/>
          </w:tcPr>
          <w:p w14:paraId="4C8FC169"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2 184,8</w:t>
            </w:r>
          </w:p>
        </w:tc>
        <w:tc>
          <w:tcPr>
            <w:tcW w:w="850" w:type="dxa"/>
            <w:shd w:val="clear" w:color="auto" w:fill="auto"/>
            <w:noWrap/>
            <w:hideMark/>
          </w:tcPr>
          <w:p w14:paraId="41FBC3B1"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2 217,8</w:t>
            </w:r>
          </w:p>
        </w:tc>
        <w:tc>
          <w:tcPr>
            <w:tcW w:w="851" w:type="dxa"/>
          </w:tcPr>
          <w:p w14:paraId="728F4260"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2 297,4</w:t>
            </w:r>
          </w:p>
        </w:tc>
        <w:tc>
          <w:tcPr>
            <w:tcW w:w="850" w:type="dxa"/>
            <w:shd w:val="clear" w:color="auto" w:fill="auto"/>
            <w:noWrap/>
            <w:hideMark/>
          </w:tcPr>
          <w:p w14:paraId="7CF25E59"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2 286,6</w:t>
            </w:r>
          </w:p>
        </w:tc>
        <w:tc>
          <w:tcPr>
            <w:tcW w:w="864" w:type="dxa"/>
            <w:shd w:val="clear" w:color="auto" w:fill="auto"/>
            <w:noWrap/>
            <w:vAlign w:val="center"/>
            <w:hideMark/>
          </w:tcPr>
          <w:p w14:paraId="791A77BC"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2 272,1</w:t>
            </w:r>
          </w:p>
        </w:tc>
        <w:tc>
          <w:tcPr>
            <w:tcW w:w="863" w:type="dxa"/>
            <w:shd w:val="clear" w:color="auto" w:fill="auto"/>
            <w:noWrap/>
            <w:vAlign w:val="center"/>
            <w:hideMark/>
          </w:tcPr>
          <w:p w14:paraId="07706DCC"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2 322,1</w:t>
            </w:r>
          </w:p>
        </w:tc>
      </w:tr>
      <w:tr w:rsidR="00854F1A" w:rsidRPr="00854F1A" w14:paraId="2B911C1B" w14:textId="77777777" w:rsidTr="002C61B1">
        <w:trPr>
          <w:trHeight w:val="20"/>
          <w:jc w:val="center"/>
        </w:trPr>
        <w:tc>
          <w:tcPr>
            <w:tcW w:w="2263" w:type="dxa"/>
            <w:shd w:val="clear" w:color="auto" w:fill="auto"/>
            <w:noWrap/>
            <w:vAlign w:val="center"/>
            <w:hideMark/>
          </w:tcPr>
          <w:p w14:paraId="111CEF10"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Procentu izdevumi</w:t>
            </w:r>
          </w:p>
        </w:tc>
        <w:tc>
          <w:tcPr>
            <w:tcW w:w="851" w:type="dxa"/>
            <w:shd w:val="clear" w:color="auto" w:fill="auto"/>
            <w:noWrap/>
            <w:vAlign w:val="center"/>
            <w:hideMark/>
          </w:tcPr>
          <w:p w14:paraId="1E0BFC2D"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228,9</w:t>
            </w:r>
          </w:p>
        </w:tc>
        <w:tc>
          <w:tcPr>
            <w:tcW w:w="850" w:type="dxa"/>
            <w:shd w:val="clear" w:color="auto" w:fill="auto"/>
            <w:noWrap/>
            <w:vAlign w:val="center"/>
            <w:hideMark/>
          </w:tcPr>
          <w:p w14:paraId="4CD60923"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370,3</w:t>
            </w:r>
          </w:p>
        </w:tc>
        <w:tc>
          <w:tcPr>
            <w:tcW w:w="851" w:type="dxa"/>
            <w:shd w:val="clear" w:color="auto" w:fill="auto"/>
            <w:noWrap/>
            <w:hideMark/>
          </w:tcPr>
          <w:p w14:paraId="4A2965CC"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458,5</w:t>
            </w:r>
          </w:p>
        </w:tc>
        <w:tc>
          <w:tcPr>
            <w:tcW w:w="850" w:type="dxa"/>
            <w:shd w:val="clear" w:color="auto" w:fill="auto"/>
            <w:noWrap/>
            <w:hideMark/>
          </w:tcPr>
          <w:p w14:paraId="31331408"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597,3</w:t>
            </w:r>
          </w:p>
        </w:tc>
        <w:tc>
          <w:tcPr>
            <w:tcW w:w="851" w:type="dxa"/>
          </w:tcPr>
          <w:p w14:paraId="0F945758"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667,2</w:t>
            </w:r>
          </w:p>
        </w:tc>
        <w:tc>
          <w:tcPr>
            <w:tcW w:w="850" w:type="dxa"/>
            <w:shd w:val="clear" w:color="auto" w:fill="auto"/>
            <w:noWrap/>
            <w:hideMark/>
          </w:tcPr>
          <w:p w14:paraId="48E775AD"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458,5</w:t>
            </w:r>
          </w:p>
        </w:tc>
        <w:tc>
          <w:tcPr>
            <w:tcW w:w="864" w:type="dxa"/>
            <w:shd w:val="clear" w:color="auto" w:fill="auto"/>
            <w:noWrap/>
            <w:vAlign w:val="center"/>
            <w:hideMark/>
          </w:tcPr>
          <w:p w14:paraId="729A5C37"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597,3</w:t>
            </w:r>
          </w:p>
        </w:tc>
        <w:tc>
          <w:tcPr>
            <w:tcW w:w="863" w:type="dxa"/>
            <w:shd w:val="clear" w:color="auto" w:fill="auto"/>
            <w:noWrap/>
            <w:vAlign w:val="center"/>
            <w:hideMark/>
          </w:tcPr>
          <w:p w14:paraId="26D0992D"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667,2</w:t>
            </w:r>
          </w:p>
        </w:tc>
      </w:tr>
      <w:tr w:rsidR="00854F1A" w:rsidRPr="00854F1A" w14:paraId="1741DE88" w14:textId="77777777" w:rsidTr="002C61B1">
        <w:trPr>
          <w:trHeight w:val="20"/>
          <w:jc w:val="center"/>
        </w:trPr>
        <w:tc>
          <w:tcPr>
            <w:tcW w:w="2263" w:type="dxa"/>
            <w:shd w:val="clear" w:color="auto" w:fill="auto"/>
            <w:vAlign w:val="center"/>
            <w:hideMark/>
          </w:tcPr>
          <w:p w14:paraId="78EFF998"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Subsīdijas un dotācijas</w:t>
            </w:r>
          </w:p>
        </w:tc>
        <w:tc>
          <w:tcPr>
            <w:tcW w:w="851" w:type="dxa"/>
            <w:shd w:val="clear" w:color="auto" w:fill="auto"/>
            <w:noWrap/>
            <w:vAlign w:val="center"/>
            <w:hideMark/>
          </w:tcPr>
          <w:p w14:paraId="2947287E"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4 036,1</w:t>
            </w:r>
          </w:p>
        </w:tc>
        <w:tc>
          <w:tcPr>
            <w:tcW w:w="850" w:type="dxa"/>
            <w:shd w:val="clear" w:color="auto" w:fill="auto"/>
            <w:noWrap/>
            <w:vAlign w:val="center"/>
            <w:hideMark/>
          </w:tcPr>
          <w:p w14:paraId="29E92F62"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4 277,5</w:t>
            </w:r>
          </w:p>
        </w:tc>
        <w:tc>
          <w:tcPr>
            <w:tcW w:w="851" w:type="dxa"/>
            <w:shd w:val="clear" w:color="auto" w:fill="auto"/>
            <w:noWrap/>
            <w:hideMark/>
          </w:tcPr>
          <w:p w14:paraId="71CB929F"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5 032,1</w:t>
            </w:r>
          </w:p>
        </w:tc>
        <w:tc>
          <w:tcPr>
            <w:tcW w:w="850" w:type="dxa"/>
            <w:shd w:val="clear" w:color="auto" w:fill="auto"/>
            <w:noWrap/>
            <w:hideMark/>
          </w:tcPr>
          <w:p w14:paraId="29C4DDAA"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4 865,7</w:t>
            </w:r>
          </w:p>
        </w:tc>
        <w:tc>
          <w:tcPr>
            <w:tcW w:w="851" w:type="dxa"/>
          </w:tcPr>
          <w:p w14:paraId="00789F00"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4 224,5</w:t>
            </w:r>
          </w:p>
        </w:tc>
        <w:tc>
          <w:tcPr>
            <w:tcW w:w="850" w:type="dxa"/>
            <w:shd w:val="clear" w:color="auto" w:fill="auto"/>
            <w:noWrap/>
            <w:hideMark/>
          </w:tcPr>
          <w:p w14:paraId="2E78671E"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5 180,8</w:t>
            </w:r>
          </w:p>
        </w:tc>
        <w:tc>
          <w:tcPr>
            <w:tcW w:w="864" w:type="dxa"/>
            <w:shd w:val="clear" w:color="auto" w:fill="auto"/>
            <w:noWrap/>
            <w:vAlign w:val="center"/>
            <w:hideMark/>
          </w:tcPr>
          <w:p w14:paraId="5C18B281"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4 886,1</w:t>
            </w:r>
          </w:p>
        </w:tc>
        <w:tc>
          <w:tcPr>
            <w:tcW w:w="863" w:type="dxa"/>
            <w:shd w:val="clear" w:color="auto" w:fill="auto"/>
            <w:noWrap/>
            <w:vAlign w:val="center"/>
            <w:hideMark/>
          </w:tcPr>
          <w:p w14:paraId="3A84E494"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4 248,4</w:t>
            </w:r>
          </w:p>
        </w:tc>
      </w:tr>
      <w:tr w:rsidR="00854F1A" w:rsidRPr="00854F1A" w14:paraId="13F50DBA" w14:textId="77777777" w:rsidTr="002C61B1">
        <w:trPr>
          <w:trHeight w:val="20"/>
          <w:jc w:val="center"/>
        </w:trPr>
        <w:tc>
          <w:tcPr>
            <w:tcW w:w="2263" w:type="dxa"/>
            <w:shd w:val="clear" w:color="auto" w:fill="auto"/>
            <w:noWrap/>
            <w:vAlign w:val="center"/>
            <w:hideMark/>
          </w:tcPr>
          <w:p w14:paraId="5502B5F0"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Sociālie pabalsti</w:t>
            </w:r>
          </w:p>
        </w:tc>
        <w:tc>
          <w:tcPr>
            <w:tcW w:w="851" w:type="dxa"/>
            <w:shd w:val="clear" w:color="auto" w:fill="auto"/>
            <w:noWrap/>
            <w:vAlign w:val="center"/>
            <w:hideMark/>
          </w:tcPr>
          <w:p w14:paraId="640A8A4F"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4 829,5</w:t>
            </w:r>
          </w:p>
        </w:tc>
        <w:tc>
          <w:tcPr>
            <w:tcW w:w="850" w:type="dxa"/>
            <w:shd w:val="clear" w:color="auto" w:fill="auto"/>
            <w:noWrap/>
            <w:vAlign w:val="center"/>
            <w:hideMark/>
          </w:tcPr>
          <w:p w14:paraId="0368D58A"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5242,5</w:t>
            </w:r>
          </w:p>
        </w:tc>
        <w:tc>
          <w:tcPr>
            <w:tcW w:w="851" w:type="dxa"/>
            <w:shd w:val="clear" w:color="auto" w:fill="auto"/>
            <w:noWrap/>
            <w:hideMark/>
          </w:tcPr>
          <w:p w14:paraId="67D4C4A1"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5 625,4</w:t>
            </w:r>
          </w:p>
        </w:tc>
        <w:tc>
          <w:tcPr>
            <w:tcW w:w="850" w:type="dxa"/>
            <w:shd w:val="clear" w:color="auto" w:fill="auto"/>
            <w:noWrap/>
            <w:hideMark/>
          </w:tcPr>
          <w:p w14:paraId="688848DA"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6 058,9</w:t>
            </w:r>
          </w:p>
        </w:tc>
        <w:tc>
          <w:tcPr>
            <w:tcW w:w="851" w:type="dxa"/>
          </w:tcPr>
          <w:p w14:paraId="4F5FB068"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6 423,2</w:t>
            </w:r>
          </w:p>
        </w:tc>
        <w:tc>
          <w:tcPr>
            <w:tcW w:w="850" w:type="dxa"/>
            <w:shd w:val="clear" w:color="auto" w:fill="auto"/>
            <w:noWrap/>
            <w:hideMark/>
          </w:tcPr>
          <w:p w14:paraId="24FF5E20"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5 633,8</w:t>
            </w:r>
          </w:p>
        </w:tc>
        <w:tc>
          <w:tcPr>
            <w:tcW w:w="864" w:type="dxa"/>
            <w:shd w:val="clear" w:color="auto" w:fill="auto"/>
            <w:noWrap/>
            <w:vAlign w:val="center"/>
            <w:hideMark/>
          </w:tcPr>
          <w:p w14:paraId="73CAAB04"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6 056,3</w:t>
            </w:r>
          </w:p>
        </w:tc>
        <w:tc>
          <w:tcPr>
            <w:tcW w:w="863" w:type="dxa"/>
            <w:shd w:val="clear" w:color="auto" w:fill="auto"/>
            <w:noWrap/>
            <w:vAlign w:val="center"/>
            <w:hideMark/>
          </w:tcPr>
          <w:p w14:paraId="410FBDE7"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6 432,6</w:t>
            </w:r>
          </w:p>
        </w:tc>
      </w:tr>
      <w:tr w:rsidR="00854F1A" w:rsidRPr="00854F1A" w14:paraId="768390D8" w14:textId="77777777" w:rsidTr="002C61B1">
        <w:trPr>
          <w:trHeight w:val="20"/>
          <w:jc w:val="center"/>
        </w:trPr>
        <w:tc>
          <w:tcPr>
            <w:tcW w:w="2263" w:type="dxa"/>
            <w:shd w:val="clear" w:color="auto" w:fill="auto"/>
            <w:noWrap/>
            <w:vAlign w:val="center"/>
          </w:tcPr>
          <w:p w14:paraId="3B1C64FF"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Iemaksas ES budžetā</w:t>
            </w:r>
          </w:p>
        </w:tc>
        <w:tc>
          <w:tcPr>
            <w:tcW w:w="851" w:type="dxa"/>
            <w:shd w:val="clear" w:color="auto" w:fill="auto"/>
            <w:noWrap/>
            <w:vAlign w:val="center"/>
          </w:tcPr>
          <w:p w14:paraId="4B5B6EF7"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rFonts w:cs="Times New Roman"/>
                <w:sz w:val="18"/>
                <w:szCs w:val="18"/>
              </w:rPr>
              <w:t>385,0</w:t>
            </w:r>
          </w:p>
        </w:tc>
        <w:tc>
          <w:tcPr>
            <w:tcW w:w="850" w:type="dxa"/>
            <w:shd w:val="clear" w:color="auto" w:fill="auto"/>
            <w:noWrap/>
            <w:vAlign w:val="center"/>
          </w:tcPr>
          <w:p w14:paraId="0DBCDBE4"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rFonts w:cs="Times New Roman"/>
                <w:sz w:val="18"/>
                <w:szCs w:val="18"/>
              </w:rPr>
              <w:t>376,0</w:t>
            </w:r>
          </w:p>
        </w:tc>
        <w:tc>
          <w:tcPr>
            <w:tcW w:w="851" w:type="dxa"/>
            <w:shd w:val="clear" w:color="auto" w:fill="auto"/>
            <w:noWrap/>
          </w:tcPr>
          <w:p w14:paraId="214C6B5C"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384,7</w:t>
            </w:r>
          </w:p>
        </w:tc>
        <w:tc>
          <w:tcPr>
            <w:tcW w:w="850" w:type="dxa"/>
            <w:shd w:val="clear" w:color="auto" w:fill="auto"/>
            <w:noWrap/>
          </w:tcPr>
          <w:p w14:paraId="0BBF5E60"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461,0</w:t>
            </w:r>
          </w:p>
        </w:tc>
        <w:tc>
          <w:tcPr>
            <w:tcW w:w="851" w:type="dxa"/>
          </w:tcPr>
          <w:p w14:paraId="479433F5"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494,4</w:t>
            </w:r>
          </w:p>
        </w:tc>
        <w:tc>
          <w:tcPr>
            <w:tcW w:w="850" w:type="dxa"/>
            <w:shd w:val="clear" w:color="auto" w:fill="auto"/>
            <w:noWrap/>
          </w:tcPr>
          <w:p w14:paraId="1B9A28DB"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364,7</w:t>
            </w:r>
          </w:p>
        </w:tc>
        <w:tc>
          <w:tcPr>
            <w:tcW w:w="864" w:type="dxa"/>
            <w:shd w:val="clear" w:color="auto" w:fill="auto"/>
            <w:noWrap/>
            <w:vAlign w:val="center"/>
          </w:tcPr>
          <w:p w14:paraId="041E0DCA"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rFonts w:cs="Times New Roman"/>
                <w:sz w:val="18"/>
                <w:szCs w:val="18"/>
              </w:rPr>
              <w:t>441,0</w:t>
            </w:r>
          </w:p>
        </w:tc>
        <w:tc>
          <w:tcPr>
            <w:tcW w:w="863" w:type="dxa"/>
            <w:shd w:val="clear" w:color="auto" w:fill="auto"/>
            <w:noWrap/>
            <w:vAlign w:val="center"/>
          </w:tcPr>
          <w:p w14:paraId="1003A2A7" w14:textId="77777777" w:rsidR="00854F1A" w:rsidRPr="00854F1A" w:rsidRDefault="00854F1A" w:rsidP="00854F1A">
            <w:pPr>
              <w:spacing w:after="0"/>
              <w:ind w:firstLine="0"/>
              <w:contextualSpacing/>
              <w:jc w:val="right"/>
              <w:rPr>
                <w:rFonts w:eastAsia="Times New Roman" w:cs="Times New Roman"/>
                <w:color w:val="FF0000"/>
                <w:sz w:val="18"/>
                <w:szCs w:val="18"/>
                <w:lang w:eastAsia="en-US"/>
              </w:rPr>
            </w:pPr>
            <w:r w:rsidRPr="00854F1A">
              <w:rPr>
                <w:rFonts w:cs="Times New Roman"/>
                <w:sz w:val="18"/>
                <w:szCs w:val="18"/>
              </w:rPr>
              <w:t>474,4</w:t>
            </w:r>
          </w:p>
        </w:tc>
      </w:tr>
      <w:tr w:rsidR="00854F1A" w:rsidRPr="00854F1A" w14:paraId="17A5801F" w14:textId="77777777" w:rsidTr="002C61B1">
        <w:trPr>
          <w:trHeight w:val="20"/>
          <w:jc w:val="center"/>
        </w:trPr>
        <w:tc>
          <w:tcPr>
            <w:tcW w:w="2263" w:type="dxa"/>
            <w:shd w:val="clear" w:color="auto" w:fill="auto"/>
            <w:noWrap/>
            <w:vAlign w:val="center"/>
            <w:hideMark/>
          </w:tcPr>
          <w:p w14:paraId="3058A6CE"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Kapitālie izdevumi</w:t>
            </w:r>
          </w:p>
        </w:tc>
        <w:tc>
          <w:tcPr>
            <w:tcW w:w="851" w:type="dxa"/>
            <w:shd w:val="clear" w:color="auto" w:fill="auto"/>
            <w:noWrap/>
            <w:vAlign w:val="center"/>
            <w:hideMark/>
          </w:tcPr>
          <w:p w14:paraId="5403FBE2"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1 457,5</w:t>
            </w:r>
          </w:p>
        </w:tc>
        <w:tc>
          <w:tcPr>
            <w:tcW w:w="850" w:type="dxa"/>
            <w:shd w:val="clear" w:color="auto" w:fill="auto"/>
            <w:noWrap/>
            <w:vAlign w:val="center"/>
            <w:hideMark/>
          </w:tcPr>
          <w:p w14:paraId="37E2FF25"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1 798,8</w:t>
            </w:r>
          </w:p>
        </w:tc>
        <w:tc>
          <w:tcPr>
            <w:tcW w:w="851" w:type="dxa"/>
            <w:shd w:val="clear" w:color="auto" w:fill="auto"/>
            <w:noWrap/>
            <w:hideMark/>
          </w:tcPr>
          <w:p w14:paraId="1A62F374"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1 512,0</w:t>
            </w:r>
          </w:p>
        </w:tc>
        <w:tc>
          <w:tcPr>
            <w:tcW w:w="850" w:type="dxa"/>
            <w:shd w:val="clear" w:color="auto" w:fill="auto"/>
            <w:noWrap/>
            <w:hideMark/>
          </w:tcPr>
          <w:p w14:paraId="612267C7"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1 380,9</w:t>
            </w:r>
          </w:p>
        </w:tc>
        <w:tc>
          <w:tcPr>
            <w:tcW w:w="851" w:type="dxa"/>
          </w:tcPr>
          <w:p w14:paraId="7FF437CC"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1 282,6</w:t>
            </w:r>
          </w:p>
        </w:tc>
        <w:tc>
          <w:tcPr>
            <w:tcW w:w="850" w:type="dxa"/>
            <w:shd w:val="clear" w:color="auto" w:fill="auto"/>
            <w:noWrap/>
            <w:hideMark/>
          </w:tcPr>
          <w:p w14:paraId="570D8CA3"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1 553,0</w:t>
            </w:r>
          </w:p>
        </w:tc>
        <w:tc>
          <w:tcPr>
            <w:tcW w:w="864" w:type="dxa"/>
            <w:shd w:val="clear" w:color="auto" w:fill="auto"/>
            <w:noWrap/>
            <w:vAlign w:val="center"/>
            <w:hideMark/>
          </w:tcPr>
          <w:p w14:paraId="3DD9290C"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1 429,0</w:t>
            </w:r>
          </w:p>
        </w:tc>
        <w:tc>
          <w:tcPr>
            <w:tcW w:w="863" w:type="dxa"/>
            <w:shd w:val="clear" w:color="auto" w:fill="auto"/>
            <w:noWrap/>
            <w:vAlign w:val="center"/>
            <w:hideMark/>
          </w:tcPr>
          <w:p w14:paraId="4F089769"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1 311,2</w:t>
            </w:r>
          </w:p>
        </w:tc>
      </w:tr>
      <w:tr w:rsidR="00854F1A" w:rsidRPr="00854F1A" w14:paraId="41E4F14F" w14:textId="77777777" w:rsidTr="002C61B1">
        <w:trPr>
          <w:trHeight w:val="20"/>
          <w:jc w:val="center"/>
        </w:trPr>
        <w:tc>
          <w:tcPr>
            <w:tcW w:w="2263" w:type="dxa"/>
            <w:shd w:val="clear" w:color="auto" w:fill="auto"/>
            <w:noWrap/>
            <w:vAlign w:val="center"/>
            <w:hideMark/>
          </w:tcPr>
          <w:p w14:paraId="4330EB18" w14:textId="77777777" w:rsidR="00854F1A" w:rsidRPr="00854F1A" w:rsidRDefault="00854F1A" w:rsidP="00854F1A">
            <w:pPr>
              <w:spacing w:after="0"/>
              <w:ind w:firstLineChars="200" w:firstLine="360"/>
              <w:contextualSpacing/>
              <w:jc w:val="left"/>
              <w:rPr>
                <w:rFonts w:eastAsia="Times New Roman" w:cs="Times New Roman"/>
                <w:color w:val="000000"/>
                <w:sz w:val="18"/>
                <w:szCs w:val="18"/>
              </w:rPr>
            </w:pPr>
            <w:r w:rsidRPr="00854F1A">
              <w:rPr>
                <w:rFonts w:eastAsia="Times New Roman" w:cs="Times New Roman"/>
                <w:color w:val="000000"/>
                <w:sz w:val="18"/>
                <w:szCs w:val="18"/>
              </w:rPr>
              <w:t>Pārējie izdevumi</w:t>
            </w:r>
          </w:p>
        </w:tc>
        <w:tc>
          <w:tcPr>
            <w:tcW w:w="851" w:type="dxa"/>
            <w:shd w:val="clear" w:color="auto" w:fill="auto"/>
            <w:noWrap/>
            <w:vAlign w:val="center"/>
            <w:hideMark/>
          </w:tcPr>
          <w:p w14:paraId="46B7DCA6"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106,6</w:t>
            </w:r>
          </w:p>
        </w:tc>
        <w:tc>
          <w:tcPr>
            <w:tcW w:w="850" w:type="dxa"/>
            <w:shd w:val="clear" w:color="auto" w:fill="auto"/>
            <w:noWrap/>
            <w:vAlign w:val="center"/>
            <w:hideMark/>
          </w:tcPr>
          <w:p w14:paraId="1698997C"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69,7</w:t>
            </w:r>
          </w:p>
        </w:tc>
        <w:tc>
          <w:tcPr>
            <w:tcW w:w="851" w:type="dxa"/>
            <w:shd w:val="clear" w:color="auto" w:fill="auto"/>
            <w:noWrap/>
            <w:hideMark/>
          </w:tcPr>
          <w:p w14:paraId="7744E0F7"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65,8</w:t>
            </w:r>
          </w:p>
        </w:tc>
        <w:tc>
          <w:tcPr>
            <w:tcW w:w="850" w:type="dxa"/>
            <w:shd w:val="clear" w:color="auto" w:fill="auto"/>
            <w:noWrap/>
            <w:hideMark/>
          </w:tcPr>
          <w:p w14:paraId="28776968"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71,3</w:t>
            </w:r>
          </w:p>
        </w:tc>
        <w:tc>
          <w:tcPr>
            <w:tcW w:w="851" w:type="dxa"/>
          </w:tcPr>
          <w:p w14:paraId="0813700F"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64,1</w:t>
            </w:r>
          </w:p>
        </w:tc>
        <w:tc>
          <w:tcPr>
            <w:tcW w:w="850" w:type="dxa"/>
            <w:shd w:val="clear" w:color="auto" w:fill="auto"/>
            <w:noWrap/>
            <w:hideMark/>
          </w:tcPr>
          <w:p w14:paraId="6CBEA88B" w14:textId="77777777" w:rsidR="00854F1A" w:rsidRPr="00854F1A" w:rsidRDefault="00854F1A" w:rsidP="00854F1A">
            <w:pPr>
              <w:spacing w:after="0"/>
              <w:ind w:firstLine="0"/>
              <w:contextualSpacing/>
              <w:jc w:val="right"/>
              <w:rPr>
                <w:rFonts w:cs="Times New Roman"/>
                <w:sz w:val="18"/>
                <w:szCs w:val="18"/>
              </w:rPr>
            </w:pPr>
            <w:r w:rsidRPr="00854F1A">
              <w:rPr>
                <w:rFonts w:cs="Times New Roman"/>
                <w:sz w:val="18"/>
                <w:szCs w:val="18"/>
              </w:rPr>
              <w:t>68,3</w:t>
            </w:r>
          </w:p>
        </w:tc>
        <w:tc>
          <w:tcPr>
            <w:tcW w:w="864" w:type="dxa"/>
            <w:shd w:val="clear" w:color="auto" w:fill="auto"/>
            <w:noWrap/>
            <w:vAlign w:val="center"/>
            <w:hideMark/>
          </w:tcPr>
          <w:p w14:paraId="6954C611"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70,7</w:t>
            </w:r>
          </w:p>
        </w:tc>
        <w:tc>
          <w:tcPr>
            <w:tcW w:w="863" w:type="dxa"/>
            <w:shd w:val="clear" w:color="auto" w:fill="auto"/>
            <w:noWrap/>
            <w:vAlign w:val="center"/>
            <w:hideMark/>
          </w:tcPr>
          <w:p w14:paraId="743F77D4" w14:textId="77777777" w:rsidR="00854F1A" w:rsidRPr="00854F1A" w:rsidRDefault="00854F1A" w:rsidP="00854F1A">
            <w:pPr>
              <w:spacing w:after="0"/>
              <w:ind w:firstLine="0"/>
              <w:contextualSpacing/>
              <w:jc w:val="right"/>
              <w:rPr>
                <w:rFonts w:eastAsia="Times New Roman" w:cs="Times New Roman"/>
                <w:color w:val="FF0000"/>
                <w:sz w:val="18"/>
                <w:szCs w:val="18"/>
              </w:rPr>
            </w:pPr>
            <w:r w:rsidRPr="00854F1A">
              <w:rPr>
                <w:rFonts w:cs="Times New Roman"/>
                <w:sz w:val="18"/>
                <w:szCs w:val="18"/>
              </w:rPr>
              <w:t>63,7</w:t>
            </w:r>
          </w:p>
        </w:tc>
      </w:tr>
    </w:tbl>
    <w:p w14:paraId="070A2FC1" w14:textId="77777777" w:rsidR="00854F1A" w:rsidRPr="00854F1A" w:rsidRDefault="00854F1A" w:rsidP="00854F1A">
      <w:pPr>
        <w:spacing w:after="0"/>
        <w:ind w:firstLine="0"/>
        <w:jc w:val="center"/>
        <w:rPr>
          <w:rFonts w:eastAsia="Times New Roman" w:cs="Times New Roman"/>
          <w:b/>
          <w:sz w:val="28"/>
          <w:szCs w:val="32"/>
          <w:lang w:eastAsia="en-US"/>
        </w:rPr>
      </w:pPr>
    </w:p>
    <w:p w14:paraId="2CD6C09A" w14:textId="77777777" w:rsidR="00854F1A" w:rsidRPr="00854F1A" w:rsidRDefault="00854F1A" w:rsidP="00854F1A">
      <w:pPr>
        <w:spacing w:after="240"/>
        <w:ind w:firstLine="0"/>
        <w:jc w:val="center"/>
        <w:rPr>
          <w:rFonts w:eastAsia="Times New Roman" w:cs="Times New Roman"/>
          <w:sz w:val="28"/>
          <w:szCs w:val="32"/>
          <w:lang w:eastAsia="en-US"/>
        </w:rPr>
      </w:pPr>
      <w:r w:rsidRPr="00854F1A">
        <w:rPr>
          <w:rFonts w:eastAsia="Times New Roman" w:cs="Times New Roman"/>
          <w:b/>
          <w:sz w:val="28"/>
          <w:szCs w:val="32"/>
          <w:lang w:eastAsia="en-US"/>
        </w:rPr>
        <w:t>Valsts pamatbudžets</w:t>
      </w:r>
    </w:p>
    <w:p w14:paraId="45A7A458" w14:textId="77777777" w:rsidR="00854F1A" w:rsidRPr="00854F1A" w:rsidRDefault="00854F1A" w:rsidP="00854F1A">
      <w:pPr>
        <w:rPr>
          <w:rFonts w:eastAsia="Times New Roman" w:cs="Times New Roman"/>
          <w:bCs/>
          <w:noProof/>
          <w:szCs w:val="24"/>
          <w:lang w:eastAsia="en-US"/>
        </w:rPr>
      </w:pPr>
      <w:r w:rsidRPr="00854F1A">
        <w:rPr>
          <w:rFonts w:eastAsia="Times New Roman" w:cs="Times New Roman"/>
          <w:bCs/>
          <w:szCs w:val="24"/>
          <w:lang w:eastAsia="en-US"/>
        </w:rPr>
        <w:t xml:space="preserve">Valsts pamatbudžetā kopš Covid-19 pandēmijas izdevumu līmenis ir audzis būtiski straujāk par ieņēmumiem. </w:t>
      </w:r>
      <w:r w:rsidRPr="00854F1A">
        <w:rPr>
          <w:rFonts w:eastAsia="Times New Roman" w:cs="Times New Roman"/>
          <w:szCs w:val="24"/>
          <w:lang w:eastAsia="en-US"/>
        </w:rPr>
        <w:t xml:space="preserve">Lai gan jau 2024. gadā specifisku atbalsta pasākumu finansējums bijis ievērojami mazāks, tomēr kopumā izdevumu līmenis valsts pamatbudžetā joprojām saglabājies augsts, tādējādi valsts pamatbudžetā veidojas arī augsts deficīta līmenis. </w:t>
      </w:r>
      <w:r w:rsidRPr="00854F1A">
        <w:rPr>
          <w:rFonts w:eastAsia="Times New Roman" w:cs="Times New Roman"/>
          <w:bCs/>
          <w:szCs w:val="24"/>
          <w:lang w:eastAsia="en-US"/>
        </w:rPr>
        <w:t>2024. gadā valsts pamatbudžetā sagaidāms 1 </w:t>
      </w:r>
      <w:r w:rsidRPr="00854F1A">
        <w:rPr>
          <w:rFonts w:eastAsia="Times New Roman" w:cs="Times New Roman"/>
          <w:bCs/>
          <w:noProof/>
          <w:szCs w:val="24"/>
          <w:lang w:eastAsia="en-US"/>
        </w:rPr>
        <w:t xml:space="preserve">466,3 milj. </w:t>
      </w:r>
      <w:r w:rsidRPr="00854F1A">
        <w:rPr>
          <w:rFonts w:eastAsia="Times New Roman" w:cs="Times New Roman"/>
          <w:bCs/>
          <w:i/>
          <w:iCs/>
          <w:noProof/>
          <w:szCs w:val="24"/>
          <w:lang w:eastAsia="en-US"/>
        </w:rPr>
        <w:t>euro</w:t>
      </w:r>
      <w:r w:rsidRPr="00854F1A">
        <w:rPr>
          <w:rFonts w:eastAsia="Times New Roman" w:cs="Times New Roman"/>
          <w:bCs/>
          <w:noProof/>
          <w:szCs w:val="24"/>
          <w:lang w:eastAsia="en-US"/>
        </w:rPr>
        <w:t xml:space="preserve"> deficīts, saglabājoties aptuveni tādā pašā līmenī kā 2023. gadā. Savukārt 2025. gadam plānots valsts pamatbudžeta deficīta pieaugums līdz 2 478,0 milj. </w:t>
      </w:r>
      <w:r w:rsidRPr="00854F1A">
        <w:rPr>
          <w:rFonts w:eastAsia="Times New Roman" w:cs="Times New Roman"/>
          <w:bCs/>
          <w:i/>
          <w:iCs/>
          <w:noProof/>
          <w:szCs w:val="24"/>
          <w:lang w:eastAsia="en-US"/>
        </w:rPr>
        <w:t>euro</w:t>
      </w:r>
      <w:r w:rsidRPr="00854F1A">
        <w:rPr>
          <w:rFonts w:eastAsia="Times New Roman" w:cs="Times New Roman"/>
          <w:bCs/>
          <w:noProof/>
          <w:szCs w:val="24"/>
          <w:lang w:eastAsia="en-US"/>
        </w:rPr>
        <w:t>. Ja ieņēmumu pieaugums 2025. gadā sagaidāms tikai 1,2% apmērā, tad izdevumi kāps par 9,8%. Izdevumu pieaugumu galvenokārt sekmēs nozīmīgs ĀFP izdevumu kāpums, kamēr pieaugums izdevumos pamatfunkciju īstenošanai būs krietni mērenāks.</w:t>
      </w:r>
    </w:p>
    <w:p w14:paraId="4B5899FC" w14:textId="77777777" w:rsidR="00854F1A" w:rsidRPr="00854F1A" w:rsidRDefault="00854F1A" w:rsidP="00854F1A">
      <w:pPr>
        <w:rPr>
          <w:rFonts w:eastAsia="Times New Roman" w:cs="Times New Roman"/>
          <w:szCs w:val="24"/>
        </w:rPr>
      </w:pPr>
      <w:r w:rsidRPr="00854F1A">
        <w:rPr>
          <w:rFonts w:eastAsia="Times New Roman" w:cs="Times New Roman"/>
          <w:bCs/>
          <w:noProof/>
          <w:szCs w:val="24"/>
          <w:lang w:eastAsia="en-US"/>
        </w:rPr>
        <w:t>Joprojām arvien pieaugošs finansējums budžetā paredzēts iekšējai un ārējai drošībai, tostarp ar 2025. gadu ievērojams finansējuma pieaugums novirzīts iekšlietu</w:t>
      </w:r>
      <w:r w:rsidRPr="00854F1A">
        <w:rPr>
          <w:rFonts w:eastAsia="Times New Roman" w:cs="Times New Roman"/>
          <w:bCs/>
          <w:szCs w:val="24"/>
          <w:lang w:eastAsia="en-US"/>
        </w:rPr>
        <w:t xml:space="preserve"> resorā nodarbinātajiem. </w:t>
      </w:r>
      <w:r w:rsidRPr="00854F1A">
        <w:rPr>
          <w:rFonts w:eastAsia="Times New Roman" w:cs="Times New Roman"/>
          <w:szCs w:val="24"/>
        </w:rPr>
        <w:t xml:space="preserve">No 2025. gada valsts budžetā paredzēta speciālā dotācija pašvaldībām autonomo funkciju veikšanai kā kompensācija saistībā ar nodokļu politikas izmaiņām. </w:t>
      </w:r>
      <w:r w:rsidRPr="00854F1A">
        <w:rPr>
          <w:rFonts w:eastAsia="Times New Roman" w:cs="Times New Roman"/>
          <w:noProof/>
          <w:szCs w:val="24"/>
        </w:rPr>
        <w:lastRenderedPageBreak/>
        <w:t xml:space="preserve">2025. gadā 65 milj. </w:t>
      </w:r>
      <w:r w:rsidRPr="00854F1A">
        <w:rPr>
          <w:rFonts w:eastAsia="Times New Roman" w:cs="Times New Roman"/>
          <w:i/>
          <w:iCs/>
          <w:noProof/>
          <w:szCs w:val="24"/>
        </w:rPr>
        <w:t>euro</w:t>
      </w:r>
      <w:r w:rsidRPr="00854F1A">
        <w:rPr>
          <w:rFonts w:eastAsia="Times New Roman" w:cs="Times New Roman"/>
          <w:noProof/>
          <w:szCs w:val="24"/>
        </w:rPr>
        <w:t xml:space="preserve"> paredzēti Ukrainas civiliedzīvotāju atbalstam, un šis finansējums saglabāsies tuvu iepriekšējos gados veikto</w:t>
      </w:r>
      <w:r w:rsidRPr="00854F1A">
        <w:rPr>
          <w:rFonts w:eastAsia="Times New Roman" w:cs="Times New Roman"/>
          <w:szCs w:val="24"/>
        </w:rPr>
        <w:t xml:space="preserve"> izdevumu līmenim. Citās specifiskas programmas, kam finansējums tika paredzēts iepriekšējos gados, noslēdzās 2024. gadā. </w:t>
      </w:r>
    </w:p>
    <w:p w14:paraId="21184678" w14:textId="77777777" w:rsidR="00854F1A" w:rsidRPr="00854F1A" w:rsidRDefault="00854F1A" w:rsidP="00854F1A">
      <w:pPr>
        <w:rPr>
          <w:rFonts w:eastAsia="Times New Roman" w:cs="Times New Roman"/>
          <w:noProof/>
          <w:szCs w:val="24"/>
          <w:lang w:eastAsia="en-US"/>
        </w:rPr>
      </w:pPr>
      <w:r w:rsidRPr="00854F1A">
        <w:rPr>
          <w:rFonts w:eastAsia="Times New Roman" w:cs="Times New Roman"/>
          <w:szCs w:val="24"/>
        </w:rPr>
        <w:t xml:space="preserve">Liela daļa finansējuma, kas budžetā paredzēts galvenajām prioritātēm – iekšējai un ārējai drošībai, arī pedagogu darba samaksas paaugstināšanai 30 milj. </w:t>
      </w:r>
      <w:r w:rsidRPr="00854F1A">
        <w:rPr>
          <w:rFonts w:eastAsia="Times New Roman" w:cs="Times New Roman"/>
          <w:i/>
          <w:iCs/>
          <w:noProof/>
          <w:szCs w:val="24"/>
        </w:rPr>
        <w:t>euro</w:t>
      </w:r>
      <w:r w:rsidRPr="00854F1A">
        <w:rPr>
          <w:rFonts w:eastAsia="Times New Roman" w:cs="Times New Roman"/>
          <w:noProof/>
          <w:szCs w:val="24"/>
        </w:rPr>
        <w:t xml:space="preserve"> apmērā nesadalītā veidā ir rezervēts 74. resora “Gadskārtējā valsts budžeta izpildes procesā pārdalāmais finansējums” budžetā. </w:t>
      </w:r>
    </w:p>
    <w:p w14:paraId="3B542EFA" w14:textId="77777777" w:rsidR="00854F1A" w:rsidRPr="00854F1A" w:rsidRDefault="00854F1A" w:rsidP="00854F1A">
      <w:pPr>
        <w:rPr>
          <w:rFonts w:eastAsia="Times New Roman" w:cs="Times New Roman"/>
          <w:noProof/>
          <w:szCs w:val="24"/>
        </w:rPr>
      </w:pPr>
      <w:r w:rsidRPr="00854F1A">
        <w:rPr>
          <w:rFonts w:eastAsia="Times New Roman" w:cs="Times New Roman"/>
          <w:noProof/>
          <w:szCs w:val="24"/>
        </w:rPr>
        <w:t xml:space="preserve">Ņemot vērā augstās procentu likmes valsts parāda finansēšanai, valsts pamatbudžetā procentu izdevumi gadu no gada aug. Vēl 2023. gadā procentu izdevumi veidoja 195,8 milj. </w:t>
      </w:r>
      <w:r w:rsidRPr="00854F1A">
        <w:rPr>
          <w:rFonts w:eastAsia="Times New Roman" w:cs="Times New Roman"/>
          <w:i/>
          <w:iCs/>
          <w:noProof/>
          <w:szCs w:val="24"/>
        </w:rPr>
        <w:t>euro</w:t>
      </w:r>
      <w:r w:rsidRPr="00854F1A">
        <w:rPr>
          <w:rFonts w:eastAsia="Times New Roman" w:cs="Times New Roman"/>
          <w:noProof/>
          <w:szCs w:val="24"/>
        </w:rPr>
        <w:t xml:space="preserve">, bet 2024. un 2025. gadā tie sasniegs jau attiecīgi 348,7 milj. </w:t>
      </w:r>
      <w:r w:rsidRPr="00854F1A">
        <w:rPr>
          <w:rFonts w:eastAsia="Times New Roman" w:cs="Times New Roman"/>
          <w:i/>
          <w:iCs/>
          <w:noProof/>
          <w:szCs w:val="24"/>
        </w:rPr>
        <w:t>euro</w:t>
      </w:r>
      <w:r w:rsidRPr="00854F1A">
        <w:rPr>
          <w:rFonts w:eastAsia="Times New Roman" w:cs="Times New Roman"/>
          <w:noProof/>
          <w:szCs w:val="24"/>
        </w:rPr>
        <w:t xml:space="preserve"> un 507,1 milj. </w:t>
      </w:r>
      <w:r w:rsidRPr="00854F1A">
        <w:rPr>
          <w:rFonts w:eastAsia="Times New Roman" w:cs="Times New Roman"/>
          <w:i/>
          <w:iCs/>
          <w:noProof/>
          <w:szCs w:val="24"/>
        </w:rPr>
        <w:t>euro</w:t>
      </w:r>
      <w:r w:rsidRPr="00854F1A">
        <w:rPr>
          <w:rFonts w:eastAsia="Times New Roman" w:cs="Times New Roman"/>
          <w:noProof/>
          <w:szCs w:val="24"/>
        </w:rPr>
        <w:t xml:space="preserve">. Nomināli procentu izdevumu pieaugums, ņemot vērā valsts parāda pieaugumu, sagaidāms arī turpmākajos gados.  </w:t>
      </w:r>
    </w:p>
    <w:p w14:paraId="028085E1" w14:textId="1F70E154" w:rsidR="00854F1A" w:rsidRDefault="00854F1A" w:rsidP="00F87D38">
      <w:pPr>
        <w:rPr>
          <w:rFonts w:eastAsia="Times New Roman" w:cs="Times New Roman"/>
          <w:szCs w:val="24"/>
        </w:rPr>
      </w:pPr>
      <w:r w:rsidRPr="00854F1A">
        <w:rPr>
          <w:rFonts w:eastAsia="Times New Roman" w:cs="Times New Roman"/>
          <w:noProof/>
          <w:szCs w:val="24"/>
          <w:lang w:eastAsia="en-US"/>
        </w:rPr>
        <w:t xml:space="preserve">2025. un 2026. gadā valsts pamatbudžetā </w:t>
      </w:r>
      <w:r w:rsidRPr="00854F1A">
        <w:rPr>
          <w:rFonts w:eastAsia="Times New Roman" w:cs="Times New Roman"/>
          <w:noProof/>
          <w:szCs w:val="24"/>
        </w:rPr>
        <w:t xml:space="preserve">kopumā </w:t>
      </w:r>
      <w:r w:rsidRPr="00854F1A">
        <w:rPr>
          <w:rFonts w:eastAsia="Times New Roman" w:cs="Times New Roman"/>
          <w:noProof/>
          <w:szCs w:val="24"/>
          <w:lang w:eastAsia="en-US"/>
        </w:rPr>
        <w:t xml:space="preserve">tiek prognozēti ievērojami lielāki izdevumi </w:t>
      </w:r>
      <w:r w:rsidR="005D05A7" w:rsidRPr="00F87D38">
        <w:rPr>
          <w:rFonts w:eastAsia="Times New Roman" w:cs="Times New Roman"/>
          <w:noProof/>
          <w:szCs w:val="24"/>
          <w:lang w:eastAsia="en-US"/>
        </w:rPr>
        <w:t>ĀFP</w:t>
      </w:r>
      <w:r w:rsidRPr="00854F1A">
        <w:rPr>
          <w:rFonts w:eastAsia="Times New Roman" w:cs="Times New Roman"/>
          <w:noProof/>
          <w:szCs w:val="24"/>
          <w:lang w:eastAsia="en-US"/>
        </w:rPr>
        <w:t xml:space="preserve"> līdzfinansēto projektu īstenošanai salīdzinājumā ar iepriekšējiem gadiem. To nosaka augstais finansējums ES fondu 2021.-2027. gada plānošanas perioda projektu īstenošanai, kā arī finansējums </w:t>
      </w:r>
      <w:r w:rsidR="005D05A7" w:rsidRPr="00F87D38">
        <w:rPr>
          <w:rFonts w:eastAsia="Times New Roman" w:cs="Times New Roman"/>
          <w:noProof/>
          <w:szCs w:val="24"/>
          <w:lang w:eastAsia="en-US"/>
        </w:rPr>
        <w:t>ANM</w:t>
      </w:r>
      <w:r w:rsidRPr="00854F1A">
        <w:rPr>
          <w:rFonts w:eastAsia="Times New Roman" w:cs="Times New Roman"/>
          <w:noProof/>
          <w:szCs w:val="24"/>
          <w:lang w:eastAsia="en-US"/>
        </w:rPr>
        <w:t xml:space="preserve"> projektiem un </w:t>
      </w:r>
      <w:r w:rsidRPr="00854F1A">
        <w:rPr>
          <w:rFonts w:eastAsia="Times New Roman" w:cs="Times New Roman"/>
          <w:i/>
          <w:iCs/>
          <w:noProof/>
          <w:szCs w:val="24"/>
          <w:lang w:eastAsia="en-US"/>
        </w:rPr>
        <w:t>Rail Baltica</w:t>
      </w:r>
      <w:r w:rsidRPr="00854F1A">
        <w:rPr>
          <w:rFonts w:eastAsia="Times New Roman" w:cs="Times New Roman"/>
          <w:noProof/>
          <w:szCs w:val="24"/>
          <w:lang w:eastAsia="en-US"/>
        </w:rPr>
        <w:t xml:space="preserve"> </w:t>
      </w:r>
      <w:r w:rsidRPr="00854F1A">
        <w:rPr>
          <w:rFonts w:eastAsia="Times New Roman" w:cs="Times New Roman"/>
          <w:szCs w:val="24"/>
          <w:lang w:eastAsia="en-US"/>
        </w:rPr>
        <w:t xml:space="preserve">īstenošanai. </w:t>
      </w:r>
      <w:r w:rsidR="005D05A7" w:rsidRPr="00F87D38">
        <w:rPr>
          <w:rFonts w:eastAsia="Times New Roman" w:cs="Times New Roman"/>
          <w:szCs w:val="24"/>
          <w:lang w:eastAsia="en-US"/>
        </w:rPr>
        <w:t>ĀFP</w:t>
      </w:r>
      <w:r w:rsidRPr="00854F1A">
        <w:rPr>
          <w:rFonts w:eastAsia="Times New Roman" w:cs="Times New Roman"/>
          <w:szCs w:val="24"/>
          <w:lang w:eastAsia="en-US"/>
        </w:rPr>
        <w:t xml:space="preserve"> izdevumu izlietojums pēdējos gados ievērojami atpaliek no plānotā, tādēļ līdz ar noteiktiem ierobežojumiem laikā investīciju veikšanai 2025. gadā ieplānotā finansējuma izlietošana būs izaicinoša. </w:t>
      </w:r>
    </w:p>
    <w:p w14:paraId="1B857276" w14:textId="77777777" w:rsidR="00F87D38" w:rsidRPr="00854F1A" w:rsidRDefault="00F87D38" w:rsidP="00F87D38">
      <w:pPr>
        <w:spacing w:after="0"/>
        <w:rPr>
          <w:rFonts w:eastAsia="Times New Roman" w:cs="Times New Roman"/>
          <w:szCs w:val="24"/>
        </w:rPr>
      </w:pPr>
    </w:p>
    <w:p w14:paraId="179CBD6A" w14:textId="77777777" w:rsidR="00854F1A" w:rsidRPr="00854F1A" w:rsidRDefault="00854F1A" w:rsidP="00F87D38">
      <w:pPr>
        <w:spacing w:after="240"/>
        <w:ind w:firstLine="0"/>
        <w:jc w:val="center"/>
        <w:rPr>
          <w:rFonts w:eastAsia="Times New Roman" w:cs="Times New Roman"/>
          <w:color w:val="000000"/>
          <w:sz w:val="28"/>
          <w:szCs w:val="32"/>
          <w:lang w:eastAsia="en-US"/>
        </w:rPr>
      </w:pPr>
      <w:r w:rsidRPr="00854F1A">
        <w:rPr>
          <w:rFonts w:eastAsia="Times New Roman" w:cs="Times New Roman"/>
          <w:b/>
          <w:color w:val="000000"/>
          <w:sz w:val="28"/>
          <w:szCs w:val="32"/>
          <w:lang w:eastAsia="en-US"/>
        </w:rPr>
        <w:t>Valsts speciālais budžets</w:t>
      </w:r>
    </w:p>
    <w:p w14:paraId="731B5995" w14:textId="66C51624" w:rsidR="00854F1A" w:rsidRPr="00854F1A" w:rsidRDefault="00854F1A" w:rsidP="00854F1A">
      <w:pPr>
        <w:rPr>
          <w:rFonts w:eastAsia="Times New Roman" w:cs="Times New Roman"/>
          <w:noProof/>
          <w:szCs w:val="20"/>
          <w:lang w:eastAsia="en-US"/>
        </w:rPr>
      </w:pPr>
      <w:r w:rsidRPr="00854F1A">
        <w:rPr>
          <w:rFonts w:eastAsia="Times New Roman" w:cs="Times New Roman"/>
          <w:szCs w:val="20"/>
          <w:lang w:eastAsia="en-US"/>
        </w:rPr>
        <w:t>Vidējā termiņā valsts speciālajā budžetā tiek prognozēts nozīmīgs valsts sociālās apdrošināšanas iemaksu ieņēmumu pieaugums, kuru nodrošinās vidējās darba samaksas tautsaimniecībā pieaugums, savukārt tieši 2025. gadā valsts speciālā budžeta ieņēmumi būs par 10,5% lielāki kā 2024. gadā, jo tiek pārdalīts VSAOI likmes 1 </w:t>
      </w:r>
      <w:proofErr w:type="spellStart"/>
      <w:r w:rsidRPr="00854F1A">
        <w:rPr>
          <w:rFonts w:eastAsia="Times New Roman" w:cs="Times New Roman"/>
          <w:szCs w:val="20"/>
          <w:lang w:eastAsia="en-US"/>
        </w:rPr>
        <w:t>p</w:t>
      </w:r>
      <w:r w:rsidR="00864069" w:rsidRPr="00864069">
        <w:rPr>
          <w:rFonts w:eastAsia="Times New Roman" w:cs="Times New Roman"/>
          <w:szCs w:val="20"/>
          <w:lang w:eastAsia="en-US"/>
        </w:rPr>
        <w:t>p</w:t>
      </w:r>
      <w:proofErr w:type="spellEnd"/>
      <w:r w:rsidRPr="00854F1A">
        <w:rPr>
          <w:rFonts w:eastAsia="Times New Roman" w:cs="Times New Roman"/>
          <w:szCs w:val="20"/>
          <w:lang w:eastAsia="en-US"/>
        </w:rPr>
        <w:t xml:space="preserve"> no </w:t>
      </w:r>
      <w:r w:rsidRPr="00854F1A">
        <w:rPr>
          <w:rFonts w:eastAsia="Times New Roman" w:cs="Times New Roman"/>
          <w:noProof/>
          <w:szCs w:val="20"/>
          <w:lang w:eastAsia="en-US"/>
        </w:rPr>
        <w:t>fondēto pensiju shēmas uz</w:t>
      </w:r>
      <w:r w:rsidRPr="00854F1A">
        <w:rPr>
          <w:rFonts w:eastAsia="Times New Roman" w:cs="Times New Roman"/>
          <w:szCs w:val="20"/>
          <w:lang w:eastAsia="en-US"/>
        </w:rPr>
        <w:t xml:space="preserve"> valsts speciālo budžetu. Izdevumiem vidējā termiņā pieaugot par vidēji 8,1%, valsts speciālajā budžetā veidosies augsts pārpalikums, tostarp 465,3 </w:t>
      </w:r>
      <w:r w:rsidRPr="00854F1A">
        <w:rPr>
          <w:rFonts w:eastAsia="Times New Roman" w:cs="Times New Roman"/>
          <w:noProof/>
          <w:szCs w:val="20"/>
          <w:lang w:eastAsia="en-US"/>
        </w:rPr>
        <w:t xml:space="preserve">milj. </w:t>
      </w:r>
      <w:r w:rsidRPr="00854F1A">
        <w:rPr>
          <w:rFonts w:eastAsia="Times New Roman" w:cs="Times New Roman"/>
          <w:i/>
          <w:iCs/>
          <w:noProof/>
          <w:szCs w:val="20"/>
          <w:lang w:eastAsia="en-US"/>
        </w:rPr>
        <w:t>euro</w:t>
      </w:r>
      <w:r w:rsidRPr="00854F1A">
        <w:rPr>
          <w:rFonts w:eastAsia="Times New Roman" w:cs="Times New Roman"/>
          <w:noProof/>
          <w:szCs w:val="20"/>
          <w:lang w:eastAsia="en-US"/>
        </w:rPr>
        <w:t xml:space="preserve"> 2025. gadā. </w:t>
      </w:r>
    </w:p>
    <w:p w14:paraId="7B48A44F" w14:textId="156C58D9" w:rsidR="00854F1A" w:rsidRPr="00854F1A" w:rsidRDefault="00854F1A" w:rsidP="00854F1A">
      <w:pPr>
        <w:rPr>
          <w:noProof/>
        </w:rPr>
      </w:pPr>
      <w:r w:rsidRPr="00854F1A">
        <w:rPr>
          <w:noProof/>
        </w:rPr>
        <w:t xml:space="preserve">Atbilstoši </w:t>
      </w:r>
      <w:r w:rsidR="00864069">
        <w:rPr>
          <w:noProof/>
        </w:rPr>
        <w:t>LM</w:t>
      </w:r>
      <w:r w:rsidRPr="00854F1A">
        <w:rPr>
          <w:noProof/>
        </w:rPr>
        <w:t xml:space="preserve"> prognozēm vecuma pensiju saņēmēju skaits, noslēdzoties pensionēšanās vecuma reformai, </w:t>
      </w:r>
      <w:r w:rsidR="00AF0216" w:rsidRPr="00AF0216">
        <w:rPr>
          <w:noProof/>
        </w:rPr>
        <w:t xml:space="preserve">palielināsies no 424,7 tūkst. personu 2024. gadā </w:t>
      </w:r>
      <w:r w:rsidRPr="00854F1A">
        <w:rPr>
          <w:noProof/>
        </w:rPr>
        <w:t>līdz 425,4 tūkst. personu 2025. gadā, taču turpmāk, ņemot vērā demogrāfiskās prognozes par 65+ iedzīvotāju skaita pieaugumu, vecuma pensiju saņēmēju skaits pakāpeniski palielināsies līdz sasniegs 428,2 tūkst. personu 2026. gadā un 430,8 tūkst. personu 2027. gadā.</w:t>
      </w:r>
    </w:p>
    <w:p w14:paraId="2CD45C38" w14:textId="77777777" w:rsidR="00854F1A" w:rsidRPr="00854F1A" w:rsidRDefault="00854F1A" w:rsidP="00854F1A">
      <w:pPr>
        <w:rPr>
          <w:rFonts w:eastAsia="Times New Roman" w:cs="Times New Roman"/>
          <w:noProof/>
          <w:szCs w:val="28"/>
          <w:lang w:eastAsia="en-US"/>
        </w:rPr>
      </w:pPr>
      <w:r w:rsidRPr="00854F1A">
        <w:rPr>
          <w:rFonts w:eastAsia="Times New Roman" w:cs="Times New Roman"/>
          <w:noProof/>
          <w:szCs w:val="28"/>
          <w:lang w:eastAsia="en-US"/>
        </w:rPr>
        <w:t>Prognozējot izdevumus pensijām un sociālajiem pabalstiem vidējā termiņā, ir ņemtas vērā šādas iepriekš pieņemtās un jaunas izmaiņas:</w:t>
      </w:r>
    </w:p>
    <w:p w14:paraId="69E28B03" w14:textId="77777777" w:rsidR="00854F1A" w:rsidRPr="00854F1A" w:rsidRDefault="00854F1A" w:rsidP="00854F1A">
      <w:pPr>
        <w:numPr>
          <w:ilvl w:val="0"/>
          <w:numId w:val="8"/>
        </w:numPr>
        <w:rPr>
          <w:rFonts w:eastAsia="Times New Roman" w:cs="Times New Roman"/>
          <w:szCs w:val="28"/>
          <w:lang w:eastAsia="en-US"/>
        </w:rPr>
      </w:pPr>
      <w:r w:rsidRPr="00854F1A">
        <w:rPr>
          <w:rFonts w:eastAsia="Times New Roman" w:cs="Times New Roman"/>
          <w:szCs w:val="28"/>
          <w:lang w:eastAsia="en-US"/>
        </w:rPr>
        <w:t xml:space="preserve">No 2025. gada 1. janvāra tiesības uz vecuma pensiju būs personām, kuras sasniegušas 65 gadu vecumu un kuru apdrošināšanas stāžs nav mazāks par 20 gadiem. Personām, kuru apdrošināšanas stāžs nav mazāks par 30 gadiem, ir tiesības pensionēties priekšlaicīgi – divus gadus pirms vispārējā pensionēšanās vecuma sasniegšanas, tātad 2025. gadā priekšlaicīgi pensionēties var personas, kuras sasniegušas 63 gadu vecumu. </w:t>
      </w:r>
    </w:p>
    <w:p w14:paraId="32FBD48C" w14:textId="77777777" w:rsidR="00854F1A" w:rsidRPr="00854F1A" w:rsidRDefault="00854F1A" w:rsidP="00854F1A">
      <w:pPr>
        <w:numPr>
          <w:ilvl w:val="0"/>
          <w:numId w:val="8"/>
        </w:numPr>
        <w:rPr>
          <w:rFonts w:eastAsia="Times New Roman" w:cs="Times New Roman"/>
          <w:szCs w:val="28"/>
          <w:lang w:eastAsia="en-US"/>
        </w:rPr>
      </w:pPr>
      <w:r w:rsidRPr="00854F1A">
        <w:rPr>
          <w:rFonts w:eastAsia="Times New Roman" w:cs="Times New Roman"/>
          <w:szCs w:val="28"/>
          <w:lang w:eastAsia="en-US"/>
        </w:rPr>
        <w:t xml:space="preserve">2025. gada 1. janvārī pensiju piemaksas pie vecuma un invaliditātes pensijām tiks </w:t>
      </w:r>
      <w:r w:rsidRPr="00854F1A">
        <w:rPr>
          <w:rFonts w:eastAsia="Times New Roman" w:cs="Times New Roman"/>
          <w:noProof/>
          <w:szCs w:val="28"/>
          <w:lang w:eastAsia="en-US"/>
        </w:rPr>
        <w:t>piešķirtas tiem, kuri pensionējās 2015., 2016. un 2017. gadā. Šīs piemaksas attieksies uz apdrošināšanas stāžu, kas uzkrāts līdz 1995. gada beigām, un to apmērs būs 1,62 </w:t>
      </w:r>
      <w:r w:rsidRPr="00854F1A">
        <w:rPr>
          <w:rFonts w:eastAsia="Times New Roman" w:cs="Times New Roman"/>
          <w:i/>
          <w:iCs/>
          <w:noProof/>
          <w:szCs w:val="28"/>
          <w:lang w:eastAsia="en-US"/>
        </w:rPr>
        <w:t>euro</w:t>
      </w:r>
      <w:r w:rsidRPr="00854F1A">
        <w:rPr>
          <w:rFonts w:eastAsia="Times New Roman" w:cs="Times New Roman"/>
          <w:noProof/>
          <w:szCs w:val="28"/>
          <w:lang w:eastAsia="en-US"/>
        </w:rPr>
        <w:t xml:space="preserve"> par katru apdrošināšanas</w:t>
      </w:r>
      <w:r w:rsidRPr="00854F1A">
        <w:rPr>
          <w:rFonts w:eastAsia="Times New Roman" w:cs="Times New Roman"/>
          <w:szCs w:val="28"/>
          <w:lang w:eastAsia="en-US"/>
        </w:rPr>
        <w:t xml:space="preserve"> stāža gadu.</w:t>
      </w:r>
    </w:p>
    <w:p w14:paraId="0215CC44" w14:textId="77777777" w:rsidR="00854F1A" w:rsidRPr="00854F1A" w:rsidRDefault="00854F1A" w:rsidP="00854F1A">
      <w:pPr>
        <w:numPr>
          <w:ilvl w:val="0"/>
          <w:numId w:val="8"/>
        </w:numPr>
        <w:shd w:val="clear" w:color="auto" w:fill="FFFFFF"/>
        <w:rPr>
          <w:szCs w:val="28"/>
          <w:lang w:eastAsia="en-US"/>
        </w:rPr>
      </w:pPr>
      <w:r w:rsidRPr="00854F1A">
        <w:rPr>
          <w:rFonts w:eastAsia="Times New Roman" w:cs="Times New Roman"/>
          <w:szCs w:val="28"/>
          <w:lang w:eastAsia="en-US"/>
        </w:rPr>
        <w:t xml:space="preserve">2024. gada 1. oktobrī indeksē vecuma, invaliditātes, izdienas un apgādnieka zaudējuma pensijas un atlīdzības, kuras piešķirtas vai pārrēķinātas līdz 2024. gada </w:t>
      </w:r>
      <w:r w:rsidRPr="00854F1A">
        <w:rPr>
          <w:rFonts w:eastAsia="Times New Roman" w:cs="Times New Roman"/>
          <w:szCs w:val="28"/>
          <w:lang w:eastAsia="en-US"/>
        </w:rPr>
        <w:lastRenderedPageBreak/>
        <w:t xml:space="preserve">30. septembrim. Indeksē to pensijas vai atlīdzības daļu, kas nepārsniedz </w:t>
      </w:r>
      <w:r w:rsidRPr="00854F1A">
        <w:rPr>
          <w:rFonts w:eastAsia="Times New Roman" w:cs="Times New Roman"/>
          <w:noProof/>
          <w:szCs w:val="28"/>
          <w:lang w:eastAsia="en-US"/>
        </w:rPr>
        <w:t>683</w:t>
      </w:r>
      <w:r w:rsidRPr="00854F1A">
        <w:rPr>
          <w:rFonts w:eastAsia="Times New Roman" w:cs="Times New Roman"/>
          <w:i/>
          <w:iCs/>
          <w:noProof/>
          <w:szCs w:val="28"/>
          <w:lang w:eastAsia="en-US"/>
        </w:rPr>
        <w:t> euro</w:t>
      </w:r>
      <w:r w:rsidRPr="00854F1A">
        <w:rPr>
          <w:rFonts w:eastAsia="Times New Roman" w:cs="Times New Roman"/>
          <w:noProof/>
          <w:szCs w:val="28"/>
          <w:lang w:eastAsia="en-US"/>
        </w:rPr>
        <w:t>.</w:t>
      </w:r>
      <w:r w:rsidRPr="00854F1A">
        <w:rPr>
          <w:rFonts w:eastAsia="Times New Roman" w:cs="Times New Roman"/>
          <w:szCs w:val="28"/>
          <w:lang w:eastAsia="en-US"/>
        </w:rPr>
        <w:t xml:space="preserve"> </w:t>
      </w:r>
      <w:r w:rsidRPr="00854F1A">
        <w:rPr>
          <w:szCs w:val="28"/>
          <w:lang w:eastAsia="en-US"/>
        </w:rPr>
        <w:t>Vecuma pensiju indeksācijā piemēro atšķirīgus indeksus, ņemot vērā apdrošināšanas stāžu, piemēram, līdz 29 gadiem indekss ir 1,0654, no 30 līdz 39 gadiem – 1,0771, no 40 līdz 44 gadiem – 1,0887, ja 45 un vairāk gadu – 1,1004. Invaliditātes, izdienas un apgādnieka zaudējuma pensijām, kā arī apdrošināšanas atlīdzībām piemēro indeksu 1,0654 neatkarīgi no stāža.</w:t>
      </w:r>
    </w:p>
    <w:p w14:paraId="1949F22C" w14:textId="77777777" w:rsidR="00854F1A" w:rsidRPr="00854F1A" w:rsidRDefault="00854F1A" w:rsidP="00854F1A">
      <w:pPr>
        <w:numPr>
          <w:ilvl w:val="0"/>
          <w:numId w:val="8"/>
        </w:numPr>
        <w:rPr>
          <w:rFonts w:eastAsia="Times New Roman" w:cs="Times New Roman"/>
          <w:szCs w:val="28"/>
          <w:lang w:eastAsia="en-US"/>
        </w:rPr>
      </w:pPr>
      <w:r w:rsidRPr="00854F1A">
        <w:rPr>
          <w:rFonts w:cs="Times New Roman"/>
          <w:szCs w:val="24"/>
        </w:rPr>
        <w:t xml:space="preserve">Jauns pasākums  – pensiju indeksācijas mehānisma pilnveidošana. Pasākums paredz palielināt pārskatāmās valsts pensijas vai tās daļas apmēru, t.i., pārskatīt valsts pensijas vai tās daļas apmēru, kas nepārsniedz iepriekšējā kalendārā gada vidējās apdrošināšanas iemaksu algas valstī apmēru </w:t>
      </w:r>
      <w:r w:rsidRPr="00854F1A">
        <w:rPr>
          <w:rFonts w:cs="Times New Roman"/>
          <w:szCs w:val="24"/>
          <w:u w:val="single"/>
        </w:rPr>
        <w:t>(</w:t>
      </w:r>
      <w:r w:rsidRPr="00854F1A">
        <w:rPr>
          <w:rFonts w:cs="Times New Roman"/>
          <w:szCs w:val="24"/>
        </w:rPr>
        <w:t>šobrīd 50% no iepriekšējā kalendārā gada vidējās apdrošināšanas iemaksu algas valstī),  katru gadu 1. oktobrī, sākot ar 2025. gadu, ņemot vērā faktisko patēriņa cenu indeksu un daļu no apdrošināšanas iemaksu algas reālā pieauguma procentiem.</w:t>
      </w:r>
    </w:p>
    <w:p w14:paraId="44DC2E92" w14:textId="77777777" w:rsidR="00854F1A" w:rsidRPr="00854F1A" w:rsidRDefault="00854F1A" w:rsidP="00854F1A">
      <w:pPr>
        <w:numPr>
          <w:ilvl w:val="0"/>
          <w:numId w:val="8"/>
        </w:numPr>
        <w:shd w:val="clear" w:color="auto" w:fill="FFFFFF"/>
        <w:rPr>
          <w:rFonts w:eastAsia="Times New Roman" w:cs="Times New Roman"/>
          <w:szCs w:val="28"/>
          <w:lang w:eastAsia="en-US"/>
        </w:rPr>
      </w:pPr>
      <w:r w:rsidRPr="00854F1A">
        <w:rPr>
          <w:rFonts w:eastAsia="Times New Roman" w:cs="Times New Roman"/>
          <w:szCs w:val="28"/>
          <w:lang w:eastAsia="en-US"/>
        </w:rPr>
        <w:t>2025. gada 1. janvārī tiks pārskatīti (palielināti) minimālo ienākumu sliekšņu apmēri atbilstoši ienākumu mediānas izmaiņām. Tiek plānots jauns pasākums – zemākā minimālo ienākumu sliekšņa paaugstināšana no 20% līdz 22% no ienākumu mediānas.</w:t>
      </w:r>
    </w:p>
    <w:p w14:paraId="4DF36471" w14:textId="77777777" w:rsidR="00854F1A" w:rsidRPr="00854F1A" w:rsidRDefault="00854F1A" w:rsidP="00854F1A">
      <w:pPr>
        <w:numPr>
          <w:ilvl w:val="0"/>
          <w:numId w:val="8"/>
        </w:numPr>
        <w:shd w:val="clear" w:color="auto" w:fill="FFFFFF"/>
        <w:rPr>
          <w:rFonts w:eastAsia="Times New Roman" w:cs="Times New Roman"/>
          <w:noProof/>
          <w:szCs w:val="28"/>
          <w:lang w:eastAsia="en-US"/>
        </w:rPr>
      </w:pPr>
      <w:r w:rsidRPr="00854F1A">
        <w:rPr>
          <w:rFonts w:eastAsia="Times New Roman" w:cs="Times New Roman"/>
          <w:noProof/>
          <w:szCs w:val="28"/>
          <w:lang w:eastAsia="en-US"/>
        </w:rPr>
        <w:t xml:space="preserve">No 2025. gada 1. janvāra tiks palielināts strādājošo vecāku pabalsts. Vecāki, kuri bērna kopšanas laikā nav atvaļinājumā vai gūst ienākumus kā pašnodarbinātie, saņems 75% no piešķirtā vecāku pabalsta (iepriekš 50%). Šīs izmaiņas būs spēkā līdz 2025. gada 31. decembrim.   </w:t>
      </w:r>
    </w:p>
    <w:p w14:paraId="0D610EE2" w14:textId="77777777" w:rsidR="00854F1A" w:rsidRPr="00854F1A" w:rsidRDefault="00854F1A" w:rsidP="00854F1A">
      <w:pPr>
        <w:spacing w:after="0"/>
        <w:ind w:firstLine="0"/>
        <w:jc w:val="center"/>
        <w:rPr>
          <w:rFonts w:eastAsia="Times New Roman" w:cs="Times New Roman"/>
          <w:b/>
          <w:color w:val="000000"/>
          <w:sz w:val="28"/>
          <w:szCs w:val="32"/>
          <w:lang w:eastAsia="en-US"/>
        </w:rPr>
      </w:pPr>
      <w:r w:rsidRPr="00854F1A">
        <w:rPr>
          <w:rFonts w:eastAsia="Times New Roman" w:cs="Times New Roman"/>
          <w:b/>
          <w:color w:val="000000"/>
          <w:sz w:val="28"/>
          <w:szCs w:val="32"/>
          <w:lang w:eastAsia="en-US"/>
        </w:rPr>
        <w:t>Atvasināto publisko personu budžets</w:t>
      </w:r>
    </w:p>
    <w:p w14:paraId="5F84A0AF" w14:textId="77777777" w:rsidR="00854F1A" w:rsidRPr="00854F1A" w:rsidRDefault="00854F1A" w:rsidP="00854F1A">
      <w:pPr>
        <w:spacing w:before="120"/>
        <w:ind w:firstLine="709"/>
        <w:rPr>
          <w:rFonts w:eastAsia="Times New Roman" w:cs="Times New Roman"/>
          <w:noProof/>
          <w:szCs w:val="28"/>
          <w:lang w:eastAsia="en-US"/>
        </w:rPr>
      </w:pPr>
      <w:bookmarkStart w:id="60" w:name="_Hlk83887502"/>
      <w:bookmarkEnd w:id="59"/>
      <w:r w:rsidRPr="00854F1A">
        <w:rPr>
          <w:rFonts w:eastAsia="Times New Roman" w:cs="Times New Roman"/>
          <w:bCs/>
          <w:noProof/>
          <w:szCs w:val="28"/>
          <w:lang w:eastAsia="en-US"/>
        </w:rPr>
        <w:t>Atvasināto publisko personu budžetā (</w:t>
      </w:r>
      <w:r w:rsidRPr="00854F1A">
        <w:rPr>
          <w:rFonts w:eastAsia="Times New Roman" w:cs="Times New Roman"/>
          <w:noProof/>
          <w:szCs w:val="28"/>
          <w:lang w:eastAsia="en-US"/>
        </w:rPr>
        <w:t>turpmāk –</w:t>
      </w:r>
      <w:r w:rsidRPr="00854F1A">
        <w:rPr>
          <w:rFonts w:eastAsia="Times New Roman" w:cs="Times New Roman"/>
          <w:b/>
          <w:noProof/>
          <w:szCs w:val="28"/>
          <w:lang w:eastAsia="en-US"/>
        </w:rPr>
        <w:t xml:space="preserve"> </w:t>
      </w:r>
      <w:r w:rsidRPr="00854F1A">
        <w:rPr>
          <w:rFonts w:eastAsia="Times New Roman" w:cs="Times New Roman"/>
          <w:noProof/>
          <w:szCs w:val="28"/>
          <w:lang w:eastAsia="en-US"/>
        </w:rPr>
        <w:t xml:space="preserve">APP) jau kopš 2016. gada ik gadu veidojas pārpalikums, kas saistīts ar pieaugošajiem valsts budžeta transfertiem un lielākiem pašu ieņēmumiem. Ieņēmumu palielināšanos par saņemtajiem maksas pakalpojumiem lielā mērā ietekmē augošie mācību maksu un citi ieņēmumi universitātēs. </w:t>
      </w:r>
    </w:p>
    <w:p w14:paraId="7E153655" w14:textId="77777777" w:rsidR="00854F1A" w:rsidRPr="00854F1A" w:rsidRDefault="00854F1A" w:rsidP="00854F1A">
      <w:pPr>
        <w:spacing w:before="120"/>
        <w:ind w:firstLine="709"/>
        <w:rPr>
          <w:rFonts w:eastAsia="Times New Roman" w:cs="Times New Roman"/>
          <w:noProof/>
          <w:szCs w:val="28"/>
          <w:lang w:eastAsia="en-US"/>
        </w:rPr>
      </w:pPr>
      <w:r w:rsidRPr="00854F1A">
        <w:rPr>
          <w:rFonts w:eastAsia="Times New Roman" w:cs="Times New Roman"/>
          <w:noProof/>
          <w:szCs w:val="28"/>
          <w:lang w:eastAsia="en-US"/>
        </w:rPr>
        <w:t>Arī vidējā termiņā šajā budžeta līmenī tiek prognozēts pārpalikums, ņemot vērā pieņēmumu par stabilu investīciju līmeni, kas veido aptuveni 10% no kopējiem APP izdevumiem, tai skaitā ES fondu projektiem, kur izdevumi tiek izlietoti atbilstoši saņemtajiem transfertiem no valsts pamatbudžeta.</w:t>
      </w:r>
    </w:p>
    <w:p w14:paraId="0ED25624" w14:textId="358F2549" w:rsidR="00854F1A" w:rsidRPr="00854F1A" w:rsidRDefault="00854F1A" w:rsidP="00854F1A">
      <w:pPr>
        <w:spacing w:after="0"/>
        <w:ind w:firstLine="0"/>
        <w:jc w:val="right"/>
        <w:rPr>
          <w:rFonts w:eastAsia="Times New Roman" w:cs="Times New Roman"/>
          <w:b/>
          <w:i/>
          <w:szCs w:val="24"/>
          <w:lang w:eastAsia="en-US"/>
        </w:rPr>
      </w:pPr>
      <w:r w:rsidRPr="00854F1A">
        <w:rPr>
          <w:rFonts w:eastAsia="Times New Roman" w:cs="Times New Roman"/>
          <w:b/>
          <w:i/>
          <w:szCs w:val="24"/>
          <w:lang w:eastAsia="en-US"/>
        </w:rPr>
        <w:t>2.</w:t>
      </w:r>
      <w:r w:rsidR="00187E6E">
        <w:rPr>
          <w:rFonts w:eastAsia="Times New Roman" w:cs="Times New Roman"/>
          <w:b/>
          <w:i/>
          <w:szCs w:val="24"/>
          <w:lang w:eastAsia="en-US"/>
        </w:rPr>
        <w:t>20</w:t>
      </w:r>
      <w:r w:rsidRPr="00854F1A">
        <w:rPr>
          <w:rFonts w:eastAsia="Times New Roman" w:cs="Times New Roman"/>
          <w:b/>
          <w:i/>
          <w:szCs w:val="24"/>
          <w:lang w:eastAsia="en-US"/>
        </w:rPr>
        <w:t xml:space="preserve">. tabula. Valsts konsolidētā budžeta bilance 2023. – 2027. gadā, milj. </w:t>
      </w:r>
      <w:r w:rsidRPr="00854F1A">
        <w:rPr>
          <w:rFonts w:eastAsia="Times New Roman" w:cs="Times New Roman"/>
          <w:b/>
          <w:i/>
          <w:noProof/>
          <w:szCs w:val="24"/>
          <w:lang w:eastAsia="en-US"/>
        </w:rPr>
        <w:t>euro</w:t>
      </w:r>
    </w:p>
    <w:tbl>
      <w:tblPr>
        <w:tblW w:w="9067" w:type="dxa"/>
        <w:jc w:val="center"/>
        <w:tblLayout w:type="fixed"/>
        <w:tblLook w:val="04A0" w:firstRow="1" w:lastRow="0" w:firstColumn="1" w:lastColumn="0" w:noHBand="0" w:noVBand="1"/>
      </w:tblPr>
      <w:tblGrid>
        <w:gridCol w:w="2263"/>
        <w:gridCol w:w="851"/>
        <w:gridCol w:w="850"/>
        <w:gridCol w:w="851"/>
        <w:gridCol w:w="850"/>
        <w:gridCol w:w="851"/>
        <w:gridCol w:w="850"/>
        <w:gridCol w:w="851"/>
        <w:gridCol w:w="850"/>
      </w:tblGrid>
      <w:tr w:rsidR="00854F1A" w:rsidRPr="00854F1A" w14:paraId="03A3FE54" w14:textId="77777777" w:rsidTr="002C61B1">
        <w:trPr>
          <w:trHeight w:val="75"/>
          <w:tblHeader/>
          <w:jc w:val="center"/>
        </w:trPr>
        <w:tc>
          <w:tcPr>
            <w:tcW w:w="2263" w:type="dxa"/>
            <w:vMerge w:val="restart"/>
            <w:tcBorders>
              <w:top w:val="single" w:sz="4" w:space="0" w:color="auto"/>
              <w:left w:val="single" w:sz="4" w:space="0" w:color="auto"/>
              <w:right w:val="single" w:sz="4" w:space="0" w:color="auto"/>
            </w:tcBorders>
            <w:shd w:val="clear" w:color="auto" w:fill="BDD6EE" w:themeFill="accent1" w:themeFillTint="66"/>
            <w:noWrap/>
            <w:vAlign w:val="bottom"/>
            <w:hideMark/>
          </w:tcPr>
          <w:bookmarkEnd w:id="60"/>
          <w:p w14:paraId="363F4EE9" w14:textId="77777777" w:rsidR="00854F1A" w:rsidRPr="00854F1A" w:rsidRDefault="00854F1A" w:rsidP="00854F1A">
            <w:pPr>
              <w:spacing w:after="0"/>
              <w:ind w:firstLine="0"/>
              <w:jc w:val="left"/>
              <w:rPr>
                <w:rFonts w:eastAsia="Times New Roman" w:cs="Times New Roman"/>
                <w:sz w:val="18"/>
                <w:szCs w:val="18"/>
              </w:rPr>
            </w:pPr>
            <w:r w:rsidRPr="00854F1A">
              <w:rPr>
                <w:rFonts w:eastAsia="Times New Roman" w:cs="Times New Roman"/>
                <w:sz w:val="18"/>
                <w:szCs w:val="18"/>
              </w:rPr>
              <w:t> </w:t>
            </w:r>
          </w:p>
          <w:p w14:paraId="35C32473" w14:textId="77777777" w:rsidR="00854F1A" w:rsidRPr="00854F1A" w:rsidRDefault="00854F1A" w:rsidP="00854F1A">
            <w:pPr>
              <w:spacing w:after="0"/>
              <w:jc w:val="left"/>
              <w:rPr>
                <w:rFonts w:eastAsia="Times New Roman" w:cs="Times New Roman"/>
                <w:sz w:val="18"/>
                <w:szCs w:val="18"/>
              </w:rPr>
            </w:pPr>
            <w:r w:rsidRPr="00854F1A">
              <w:rPr>
                <w:rFonts w:eastAsia="Times New Roman" w:cs="Times New Roman"/>
                <w:b/>
                <w:bCs/>
                <w:sz w:val="18"/>
                <w:szCs w:val="18"/>
              </w:rPr>
              <w:t> </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A5A2785"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sz w:val="18"/>
                <w:szCs w:val="18"/>
              </w:rPr>
              <w:t>2023</w:t>
            </w: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0FAAE7B2"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sz w:val="18"/>
                <w:szCs w:val="18"/>
              </w:rPr>
              <w:t>2024</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2A874AFE"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sz w:val="18"/>
                <w:szCs w:val="18"/>
              </w:rPr>
              <w:t>2025</w:t>
            </w: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2354B603"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sz w:val="18"/>
                <w:szCs w:val="18"/>
              </w:rPr>
              <w:t>2026</w:t>
            </w:r>
          </w:p>
        </w:tc>
        <w:tc>
          <w:tcPr>
            <w:tcW w:w="851" w:type="dxa"/>
            <w:tcBorders>
              <w:top w:val="single" w:sz="4" w:space="0" w:color="auto"/>
              <w:left w:val="nil"/>
              <w:bottom w:val="single" w:sz="4" w:space="0" w:color="auto"/>
              <w:right w:val="single" w:sz="4" w:space="0" w:color="auto"/>
            </w:tcBorders>
            <w:shd w:val="clear" w:color="auto" w:fill="BDD6EE" w:themeFill="accent1" w:themeFillTint="66"/>
          </w:tcPr>
          <w:p w14:paraId="03D74C5D"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sz w:val="18"/>
                <w:szCs w:val="18"/>
              </w:rPr>
              <w:t>2027</w:t>
            </w:r>
          </w:p>
        </w:tc>
        <w:tc>
          <w:tcPr>
            <w:tcW w:w="850"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759932E5"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sz w:val="18"/>
                <w:szCs w:val="18"/>
              </w:rPr>
              <w:t>2025</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142745B"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sz w:val="18"/>
                <w:szCs w:val="18"/>
              </w:rPr>
              <w:t>2026</w:t>
            </w: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hideMark/>
          </w:tcPr>
          <w:p w14:paraId="3D766F98"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sz w:val="18"/>
                <w:szCs w:val="18"/>
              </w:rPr>
              <w:t>2027</w:t>
            </w:r>
          </w:p>
        </w:tc>
      </w:tr>
      <w:tr w:rsidR="00854F1A" w:rsidRPr="00854F1A" w14:paraId="5B07E2DF" w14:textId="77777777" w:rsidTr="002C61B1">
        <w:trPr>
          <w:trHeight w:val="75"/>
          <w:tblHeader/>
          <w:jc w:val="center"/>
        </w:trPr>
        <w:tc>
          <w:tcPr>
            <w:tcW w:w="2263" w:type="dxa"/>
            <w:vMerge/>
            <w:tcBorders>
              <w:left w:val="single" w:sz="4" w:space="0" w:color="auto"/>
              <w:bottom w:val="single" w:sz="4" w:space="0" w:color="auto"/>
              <w:right w:val="single" w:sz="4" w:space="0" w:color="auto"/>
            </w:tcBorders>
            <w:shd w:val="clear" w:color="auto" w:fill="BDD6EE" w:themeFill="accent1" w:themeFillTint="66"/>
            <w:noWrap/>
            <w:vAlign w:val="bottom"/>
            <w:hideMark/>
          </w:tcPr>
          <w:p w14:paraId="45608367" w14:textId="77777777" w:rsidR="00854F1A" w:rsidRPr="00854F1A" w:rsidRDefault="00854F1A" w:rsidP="00854F1A">
            <w:pPr>
              <w:spacing w:after="0"/>
              <w:ind w:firstLine="0"/>
              <w:jc w:val="left"/>
              <w:rPr>
                <w:rFonts w:eastAsia="Times New Roman" w:cs="Times New Roman"/>
                <w:b/>
                <w:bCs/>
                <w:sz w:val="18"/>
                <w:szCs w:val="18"/>
              </w:rPr>
            </w:pP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229DEAAD" w14:textId="77777777" w:rsidR="00854F1A" w:rsidRPr="00854F1A" w:rsidRDefault="00854F1A" w:rsidP="00854F1A">
            <w:pPr>
              <w:spacing w:after="0"/>
              <w:ind w:firstLine="0"/>
              <w:jc w:val="center"/>
              <w:rPr>
                <w:rFonts w:eastAsia="Times New Roman" w:cs="Times New Roman"/>
                <w:b/>
                <w:sz w:val="18"/>
                <w:szCs w:val="18"/>
              </w:rPr>
            </w:pPr>
            <w:r w:rsidRPr="00854F1A">
              <w:rPr>
                <w:rFonts w:eastAsia="Times New Roman" w:cs="Times New Roman"/>
                <w:b/>
                <w:sz w:val="18"/>
                <w:szCs w:val="18"/>
              </w:rPr>
              <w:t>Fakts</w:t>
            </w:r>
          </w:p>
        </w:tc>
        <w:tc>
          <w:tcPr>
            <w:tcW w:w="850" w:type="dxa"/>
            <w:tcBorders>
              <w:top w:val="single" w:sz="4" w:space="0" w:color="auto"/>
              <w:left w:val="nil"/>
              <w:bottom w:val="single" w:sz="4" w:space="0" w:color="auto"/>
              <w:right w:val="single" w:sz="4" w:space="0" w:color="auto"/>
            </w:tcBorders>
            <w:shd w:val="clear" w:color="auto" w:fill="BDD6EE" w:themeFill="accent1" w:themeFillTint="66"/>
            <w:vAlign w:val="center"/>
          </w:tcPr>
          <w:p w14:paraId="1F40A3AD" w14:textId="77777777" w:rsidR="00854F1A" w:rsidRPr="00854F1A" w:rsidRDefault="00854F1A" w:rsidP="00854F1A">
            <w:pPr>
              <w:spacing w:after="0"/>
              <w:ind w:firstLine="0"/>
              <w:jc w:val="center"/>
              <w:rPr>
                <w:rFonts w:eastAsia="Times New Roman" w:cs="Times New Roman"/>
                <w:b/>
                <w:sz w:val="18"/>
                <w:szCs w:val="18"/>
              </w:rPr>
            </w:pPr>
            <w:r w:rsidRPr="00854F1A">
              <w:rPr>
                <w:rFonts w:eastAsia="Times New Roman" w:cs="Times New Roman"/>
                <w:b/>
                <w:sz w:val="18"/>
                <w:szCs w:val="18"/>
              </w:rPr>
              <w:t>Novērt.</w:t>
            </w:r>
          </w:p>
        </w:tc>
        <w:tc>
          <w:tcPr>
            <w:tcW w:w="2552" w:type="dxa"/>
            <w:gridSpan w:val="3"/>
            <w:tcBorders>
              <w:top w:val="single" w:sz="4" w:space="0" w:color="auto"/>
              <w:left w:val="nil"/>
              <w:bottom w:val="single" w:sz="4" w:space="0" w:color="auto"/>
              <w:right w:val="single" w:sz="4" w:space="0" w:color="auto"/>
            </w:tcBorders>
            <w:shd w:val="clear" w:color="auto" w:fill="BDD6EE" w:themeFill="accent1" w:themeFillTint="66"/>
            <w:vAlign w:val="center"/>
          </w:tcPr>
          <w:p w14:paraId="0DD3D980" w14:textId="77777777" w:rsidR="00854F1A" w:rsidRPr="00854F1A" w:rsidRDefault="00854F1A" w:rsidP="00854F1A">
            <w:pPr>
              <w:spacing w:after="0"/>
              <w:ind w:firstLine="0"/>
              <w:jc w:val="center"/>
              <w:rPr>
                <w:rFonts w:eastAsia="Times New Roman" w:cs="Times New Roman"/>
                <w:b/>
                <w:sz w:val="18"/>
                <w:szCs w:val="18"/>
              </w:rPr>
            </w:pPr>
            <w:r w:rsidRPr="00854F1A">
              <w:rPr>
                <w:rFonts w:eastAsia="Times New Roman" w:cs="Times New Roman"/>
                <w:b/>
                <w:sz w:val="18"/>
                <w:szCs w:val="18"/>
              </w:rPr>
              <w:t>Prognoze</w:t>
            </w:r>
            <w:r w:rsidRPr="00854F1A">
              <w:rPr>
                <w:rFonts w:eastAsia="Times New Roman" w:cs="Times New Roman"/>
                <w:b/>
                <w:sz w:val="18"/>
                <w:szCs w:val="18"/>
              </w:rPr>
              <w:br/>
              <w:t>(pie nemainīgas politikas)</w:t>
            </w:r>
            <w:r w:rsidRPr="00854F1A">
              <w:rPr>
                <w:rFonts w:eastAsia="Times New Roman" w:cs="Times New Roman"/>
                <w:b/>
                <w:sz w:val="18"/>
                <w:szCs w:val="18"/>
                <w:vertAlign w:val="superscript"/>
              </w:rPr>
              <w:footnoteReference w:id="26"/>
            </w:r>
          </w:p>
        </w:tc>
        <w:tc>
          <w:tcPr>
            <w:tcW w:w="2551" w:type="dxa"/>
            <w:gridSpan w:val="3"/>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34BB914" w14:textId="77777777" w:rsidR="00854F1A" w:rsidRPr="00854F1A" w:rsidRDefault="00854F1A" w:rsidP="00854F1A">
            <w:pPr>
              <w:spacing w:after="0"/>
              <w:ind w:firstLine="0"/>
              <w:jc w:val="center"/>
              <w:rPr>
                <w:rFonts w:eastAsia="Times New Roman" w:cs="Times New Roman"/>
                <w:b/>
                <w:sz w:val="18"/>
                <w:szCs w:val="18"/>
              </w:rPr>
            </w:pPr>
            <w:r w:rsidRPr="00854F1A">
              <w:rPr>
                <w:rFonts w:eastAsia="Times New Roman" w:cs="Times New Roman"/>
                <w:b/>
                <w:sz w:val="18"/>
                <w:szCs w:val="18"/>
              </w:rPr>
              <w:t xml:space="preserve">Prognoze </w:t>
            </w:r>
          </w:p>
        </w:tc>
      </w:tr>
      <w:tr w:rsidR="00854F1A" w:rsidRPr="00854F1A" w14:paraId="2AA126C1" w14:textId="77777777" w:rsidTr="002C61B1">
        <w:trPr>
          <w:trHeight w:val="75"/>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975E1A" w14:textId="77777777" w:rsidR="00854F1A" w:rsidRPr="00854F1A" w:rsidRDefault="00854F1A" w:rsidP="00854F1A">
            <w:pPr>
              <w:spacing w:after="0"/>
              <w:ind w:firstLine="0"/>
              <w:jc w:val="left"/>
              <w:rPr>
                <w:rFonts w:eastAsia="Times New Roman" w:cs="Times New Roman"/>
                <w:b/>
                <w:bCs/>
                <w:sz w:val="19"/>
                <w:szCs w:val="19"/>
              </w:rPr>
            </w:pPr>
            <w:r w:rsidRPr="00854F1A">
              <w:rPr>
                <w:rFonts w:eastAsia="Times New Roman" w:cs="Times New Roman"/>
                <w:b/>
                <w:bCs/>
                <w:sz w:val="19"/>
                <w:szCs w:val="19"/>
              </w:rPr>
              <w:t>VALSTS BUDŽETA BILANCE</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201E429"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-1 174,0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D9AD521"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-1 065,9</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7EF43D5"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-1 825,8</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10A0AFC"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-1 121,1</w:t>
            </w:r>
          </w:p>
        </w:tc>
        <w:tc>
          <w:tcPr>
            <w:tcW w:w="851" w:type="dxa"/>
            <w:tcBorders>
              <w:top w:val="single" w:sz="4" w:space="0" w:color="auto"/>
              <w:left w:val="nil"/>
              <w:bottom w:val="single" w:sz="4" w:space="0" w:color="auto"/>
              <w:right w:val="single" w:sz="4" w:space="0" w:color="auto"/>
            </w:tcBorders>
            <w:shd w:val="clear" w:color="auto" w:fill="auto"/>
            <w:vAlign w:val="center"/>
          </w:tcPr>
          <w:p w14:paraId="09543FC4"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-1 178,5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EE9FF"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-1 993,9</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D037A0F"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-1 165,0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96E618C"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-1 254,3</w:t>
            </w:r>
          </w:p>
        </w:tc>
      </w:tr>
      <w:tr w:rsidR="00854F1A" w:rsidRPr="00854F1A" w14:paraId="363CC902"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3588D5D" w14:textId="77777777" w:rsidR="00854F1A" w:rsidRPr="00854F1A" w:rsidRDefault="00854F1A" w:rsidP="00854F1A">
            <w:pPr>
              <w:spacing w:after="0"/>
              <w:ind w:left="-183" w:firstLineChars="100" w:firstLine="190"/>
              <w:jc w:val="left"/>
              <w:rPr>
                <w:rFonts w:eastAsia="Times New Roman" w:cs="Times New Roman"/>
                <w:sz w:val="19"/>
                <w:szCs w:val="19"/>
              </w:rPr>
            </w:pPr>
            <w:r w:rsidRPr="00854F1A">
              <w:rPr>
                <w:rFonts w:eastAsia="Times New Roman" w:cs="Times New Roman"/>
                <w:sz w:val="19"/>
                <w:szCs w:val="19"/>
              </w:rPr>
              <w:t>Ieņēmumi</w:t>
            </w:r>
          </w:p>
        </w:tc>
        <w:tc>
          <w:tcPr>
            <w:tcW w:w="851" w:type="dxa"/>
            <w:tcBorders>
              <w:top w:val="nil"/>
              <w:left w:val="nil"/>
              <w:bottom w:val="single" w:sz="4" w:space="0" w:color="auto"/>
              <w:right w:val="single" w:sz="4" w:space="0" w:color="auto"/>
            </w:tcBorders>
            <w:shd w:val="clear" w:color="auto" w:fill="auto"/>
            <w:noWrap/>
            <w:vAlign w:val="center"/>
          </w:tcPr>
          <w:p w14:paraId="7733D4B1"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13 306,8</w:t>
            </w:r>
          </w:p>
        </w:tc>
        <w:tc>
          <w:tcPr>
            <w:tcW w:w="850" w:type="dxa"/>
            <w:tcBorders>
              <w:top w:val="nil"/>
              <w:left w:val="nil"/>
              <w:bottom w:val="single" w:sz="4" w:space="0" w:color="auto"/>
              <w:right w:val="single" w:sz="4" w:space="0" w:color="auto"/>
            </w:tcBorders>
            <w:shd w:val="clear" w:color="auto" w:fill="auto"/>
            <w:noWrap/>
            <w:vAlign w:val="center"/>
          </w:tcPr>
          <w:p w14:paraId="1A737514"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14 721,5</w:t>
            </w:r>
          </w:p>
        </w:tc>
        <w:tc>
          <w:tcPr>
            <w:tcW w:w="851" w:type="dxa"/>
            <w:tcBorders>
              <w:top w:val="nil"/>
              <w:left w:val="nil"/>
              <w:bottom w:val="single" w:sz="4" w:space="0" w:color="auto"/>
              <w:right w:val="single" w:sz="4" w:space="0" w:color="auto"/>
            </w:tcBorders>
            <w:shd w:val="clear" w:color="auto" w:fill="auto"/>
            <w:noWrap/>
            <w:vAlign w:val="center"/>
          </w:tcPr>
          <w:p w14:paraId="5A5F2D9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14 923,8</w:t>
            </w:r>
          </w:p>
        </w:tc>
        <w:tc>
          <w:tcPr>
            <w:tcW w:w="850" w:type="dxa"/>
            <w:tcBorders>
              <w:top w:val="nil"/>
              <w:left w:val="nil"/>
              <w:bottom w:val="single" w:sz="4" w:space="0" w:color="auto"/>
              <w:right w:val="single" w:sz="4" w:space="0" w:color="auto"/>
            </w:tcBorders>
            <w:shd w:val="clear" w:color="auto" w:fill="auto"/>
            <w:noWrap/>
            <w:vAlign w:val="center"/>
          </w:tcPr>
          <w:p w14:paraId="10651C4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15 989,6</w:t>
            </w:r>
          </w:p>
        </w:tc>
        <w:tc>
          <w:tcPr>
            <w:tcW w:w="851" w:type="dxa"/>
            <w:tcBorders>
              <w:top w:val="single" w:sz="4" w:space="0" w:color="auto"/>
              <w:left w:val="nil"/>
              <w:bottom w:val="single" w:sz="4" w:space="0" w:color="auto"/>
              <w:right w:val="single" w:sz="4" w:space="0" w:color="auto"/>
            </w:tcBorders>
            <w:vAlign w:val="center"/>
          </w:tcPr>
          <w:p w14:paraId="11FB880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15 682,5</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99DFDA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15 229,8</w:t>
            </w:r>
          </w:p>
        </w:tc>
        <w:tc>
          <w:tcPr>
            <w:tcW w:w="851" w:type="dxa"/>
            <w:tcBorders>
              <w:top w:val="nil"/>
              <w:left w:val="nil"/>
              <w:bottom w:val="single" w:sz="4" w:space="0" w:color="auto"/>
              <w:right w:val="single" w:sz="4" w:space="0" w:color="auto"/>
            </w:tcBorders>
            <w:shd w:val="clear" w:color="auto" w:fill="auto"/>
            <w:noWrap/>
            <w:vAlign w:val="center"/>
          </w:tcPr>
          <w:p w14:paraId="3D1A028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16 315,3</w:t>
            </w:r>
          </w:p>
        </w:tc>
        <w:tc>
          <w:tcPr>
            <w:tcW w:w="850" w:type="dxa"/>
            <w:tcBorders>
              <w:top w:val="nil"/>
              <w:left w:val="nil"/>
              <w:bottom w:val="single" w:sz="4" w:space="0" w:color="auto"/>
              <w:right w:val="single" w:sz="4" w:space="0" w:color="auto"/>
            </w:tcBorders>
            <w:shd w:val="clear" w:color="auto" w:fill="auto"/>
            <w:noWrap/>
            <w:vAlign w:val="center"/>
          </w:tcPr>
          <w:p w14:paraId="29E0F5A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15 990,4</w:t>
            </w:r>
          </w:p>
        </w:tc>
      </w:tr>
      <w:tr w:rsidR="00854F1A" w:rsidRPr="00854F1A" w14:paraId="1489E80B"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4F81430"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Nodokļu ieņēmumi</w:t>
            </w:r>
          </w:p>
        </w:tc>
        <w:tc>
          <w:tcPr>
            <w:tcW w:w="851" w:type="dxa"/>
            <w:tcBorders>
              <w:top w:val="nil"/>
              <w:left w:val="nil"/>
              <w:bottom w:val="single" w:sz="4" w:space="0" w:color="auto"/>
              <w:right w:val="single" w:sz="4" w:space="0" w:color="auto"/>
            </w:tcBorders>
            <w:shd w:val="clear" w:color="auto" w:fill="auto"/>
            <w:noWrap/>
            <w:vAlign w:val="center"/>
          </w:tcPr>
          <w:p w14:paraId="4C2B53B2"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10 474,8</w:t>
            </w:r>
          </w:p>
        </w:tc>
        <w:tc>
          <w:tcPr>
            <w:tcW w:w="850" w:type="dxa"/>
            <w:tcBorders>
              <w:top w:val="nil"/>
              <w:left w:val="nil"/>
              <w:bottom w:val="single" w:sz="4" w:space="0" w:color="auto"/>
              <w:right w:val="single" w:sz="4" w:space="0" w:color="auto"/>
            </w:tcBorders>
            <w:shd w:val="clear" w:color="auto" w:fill="auto"/>
            <w:noWrap/>
            <w:vAlign w:val="center"/>
          </w:tcPr>
          <w:p w14:paraId="3536C0D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11 367,3</w:t>
            </w:r>
          </w:p>
        </w:tc>
        <w:tc>
          <w:tcPr>
            <w:tcW w:w="851" w:type="dxa"/>
            <w:tcBorders>
              <w:top w:val="nil"/>
              <w:left w:val="nil"/>
              <w:bottom w:val="single" w:sz="4" w:space="0" w:color="auto"/>
              <w:right w:val="single" w:sz="4" w:space="0" w:color="auto"/>
            </w:tcBorders>
            <w:shd w:val="clear" w:color="auto" w:fill="auto"/>
            <w:noWrap/>
            <w:vAlign w:val="center"/>
          </w:tcPr>
          <w:p w14:paraId="10909E2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11 990,5</w:t>
            </w:r>
          </w:p>
        </w:tc>
        <w:tc>
          <w:tcPr>
            <w:tcW w:w="850" w:type="dxa"/>
            <w:tcBorders>
              <w:top w:val="nil"/>
              <w:left w:val="nil"/>
              <w:bottom w:val="single" w:sz="4" w:space="0" w:color="auto"/>
              <w:right w:val="single" w:sz="4" w:space="0" w:color="auto"/>
            </w:tcBorders>
            <w:shd w:val="clear" w:color="auto" w:fill="auto"/>
            <w:noWrap/>
            <w:vAlign w:val="center"/>
          </w:tcPr>
          <w:p w14:paraId="1710BBF4"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12 613,0</w:t>
            </w:r>
          </w:p>
        </w:tc>
        <w:tc>
          <w:tcPr>
            <w:tcW w:w="851" w:type="dxa"/>
            <w:tcBorders>
              <w:top w:val="single" w:sz="4" w:space="0" w:color="auto"/>
              <w:left w:val="nil"/>
              <w:bottom w:val="single" w:sz="4" w:space="0" w:color="auto"/>
              <w:right w:val="single" w:sz="4" w:space="0" w:color="auto"/>
            </w:tcBorders>
            <w:vAlign w:val="center"/>
          </w:tcPr>
          <w:p w14:paraId="78073B6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13 169,2</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487FE93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12 151,3</w:t>
            </w:r>
          </w:p>
        </w:tc>
        <w:tc>
          <w:tcPr>
            <w:tcW w:w="851" w:type="dxa"/>
            <w:tcBorders>
              <w:top w:val="nil"/>
              <w:left w:val="nil"/>
              <w:bottom w:val="single" w:sz="4" w:space="0" w:color="auto"/>
              <w:right w:val="single" w:sz="4" w:space="0" w:color="auto"/>
            </w:tcBorders>
            <w:shd w:val="clear" w:color="auto" w:fill="auto"/>
            <w:noWrap/>
            <w:vAlign w:val="center"/>
          </w:tcPr>
          <w:p w14:paraId="6E22BF5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12 859,5</w:t>
            </w:r>
          </w:p>
        </w:tc>
        <w:tc>
          <w:tcPr>
            <w:tcW w:w="850" w:type="dxa"/>
            <w:tcBorders>
              <w:top w:val="nil"/>
              <w:left w:val="nil"/>
              <w:bottom w:val="single" w:sz="4" w:space="0" w:color="auto"/>
              <w:right w:val="single" w:sz="4" w:space="0" w:color="auto"/>
            </w:tcBorders>
            <w:shd w:val="clear" w:color="auto" w:fill="auto"/>
            <w:noWrap/>
            <w:vAlign w:val="center"/>
          </w:tcPr>
          <w:p w14:paraId="46145190"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13 401,2</w:t>
            </w:r>
          </w:p>
        </w:tc>
      </w:tr>
      <w:tr w:rsidR="00854F1A" w:rsidRPr="00854F1A" w14:paraId="081DAEA1"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997A299"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Ne-nodokļu ieņēmumi</w:t>
            </w:r>
          </w:p>
        </w:tc>
        <w:tc>
          <w:tcPr>
            <w:tcW w:w="851" w:type="dxa"/>
            <w:tcBorders>
              <w:top w:val="nil"/>
              <w:left w:val="nil"/>
              <w:bottom w:val="single" w:sz="4" w:space="0" w:color="auto"/>
              <w:right w:val="single" w:sz="4" w:space="0" w:color="auto"/>
            </w:tcBorders>
            <w:shd w:val="clear" w:color="auto" w:fill="auto"/>
            <w:noWrap/>
            <w:vAlign w:val="center"/>
          </w:tcPr>
          <w:p w14:paraId="19458EB1"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1 034,8</w:t>
            </w:r>
          </w:p>
        </w:tc>
        <w:tc>
          <w:tcPr>
            <w:tcW w:w="850" w:type="dxa"/>
            <w:tcBorders>
              <w:top w:val="nil"/>
              <w:left w:val="nil"/>
              <w:bottom w:val="single" w:sz="4" w:space="0" w:color="auto"/>
              <w:right w:val="single" w:sz="4" w:space="0" w:color="auto"/>
            </w:tcBorders>
            <w:shd w:val="clear" w:color="auto" w:fill="auto"/>
            <w:noWrap/>
            <w:vAlign w:val="center"/>
          </w:tcPr>
          <w:p w14:paraId="1C7FDE3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1 120,7</w:t>
            </w:r>
          </w:p>
        </w:tc>
        <w:tc>
          <w:tcPr>
            <w:tcW w:w="851" w:type="dxa"/>
            <w:tcBorders>
              <w:top w:val="nil"/>
              <w:left w:val="nil"/>
              <w:bottom w:val="single" w:sz="4" w:space="0" w:color="auto"/>
              <w:right w:val="single" w:sz="4" w:space="0" w:color="auto"/>
            </w:tcBorders>
            <w:shd w:val="clear" w:color="auto" w:fill="auto"/>
            <w:noWrap/>
            <w:vAlign w:val="center"/>
          </w:tcPr>
          <w:p w14:paraId="707D9E0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827,7</w:t>
            </w:r>
          </w:p>
        </w:tc>
        <w:tc>
          <w:tcPr>
            <w:tcW w:w="850" w:type="dxa"/>
            <w:tcBorders>
              <w:top w:val="nil"/>
              <w:left w:val="nil"/>
              <w:bottom w:val="single" w:sz="4" w:space="0" w:color="auto"/>
              <w:right w:val="single" w:sz="4" w:space="0" w:color="auto"/>
            </w:tcBorders>
            <w:shd w:val="clear" w:color="auto" w:fill="auto"/>
            <w:noWrap/>
            <w:vAlign w:val="center"/>
          </w:tcPr>
          <w:p w14:paraId="1E23700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797,4</w:t>
            </w:r>
          </w:p>
        </w:tc>
        <w:tc>
          <w:tcPr>
            <w:tcW w:w="851" w:type="dxa"/>
            <w:tcBorders>
              <w:top w:val="single" w:sz="4" w:space="0" w:color="auto"/>
              <w:left w:val="nil"/>
              <w:bottom w:val="single" w:sz="4" w:space="0" w:color="auto"/>
              <w:right w:val="single" w:sz="4" w:space="0" w:color="auto"/>
            </w:tcBorders>
            <w:vAlign w:val="center"/>
          </w:tcPr>
          <w:p w14:paraId="508D39C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805,2</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54EE1F1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960,9</w:t>
            </w:r>
          </w:p>
        </w:tc>
        <w:tc>
          <w:tcPr>
            <w:tcW w:w="851" w:type="dxa"/>
            <w:tcBorders>
              <w:top w:val="nil"/>
              <w:left w:val="nil"/>
              <w:bottom w:val="single" w:sz="4" w:space="0" w:color="auto"/>
              <w:right w:val="single" w:sz="4" w:space="0" w:color="auto"/>
            </w:tcBorders>
            <w:shd w:val="clear" w:color="auto" w:fill="auto"/>
            <w:noWrap/>
            <w:vAlign w:val="center"/>
          </w:tcPr>
          <w:p w14:paraId="4E2CB8F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872,9</w:t>
            </w:r>
          </w:p>
        </w:tc>
        <w:tc>
          <w:tcPr>
            <w:tcW w:w="850" w:type="dxa"/>
            <w:tcBorders>
              <w:top w:val="nil"/>
              <w:left w:val="nil"/>
              <w:bottom w:val="single" w:sz="4" w:space="0" w:color="auto"/>
              <w:right w:val="single" w:sz="4" w:space="0" w:color="auto"/>
            </w:tcBorders>
            <w:shd w:val="clear" w:color="auto" w:fill="auto"/>
            <w:noWrap/>
            <w:vAlign w:val="center"/>
          </w:tcPr>
          <w:p w14:paraId="24C080E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878,5</w:t>
            </w:r>
          </w:p>
        </w:tc>
      </w:tr>
      <w:tr w:rsidR="00854F1A" w:rsidRPr="00854F1A" w14:paraId="4A3006BE"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5C11D5E" w14:textId="2ABAF87F" w:rsidR="00854F1A" w:rsidRPr="00854F1A" w:rsidRDefault="00F87D38" w:rsidP="00854F1A">
            <w:pPr>
              <w:spacing w:after="0"/>
              <w:ind w:firstLineChars="74" w:firstLine="141"/>
              <w:jc w:val="left"/>
              <w:rPr>
                <w:rFonts w:eastAsia="Times New Roman" w:cs="Times New Roman"/>
                <w:sz w:val="19"/>
                <w:szCs w:val="19"/>
              </w:rPr>
            </w:pPr>
            <w:r w:rsidRPr="005156E5">
              <w:rPr>
                <w:rFonts w:eastAsia="Times New Roman" w:cs="Times New Roman"/>
                <w:sz w:val="19"/>
                <w:szCs w:val="19"/>
              </w:rPr>
              <w:t>ĀFP</w:t>
            </w:r>
          </w:p>
        </w:tc>
        <w:tc>
          <w:tcPr>
            <w:tcW w:w="851" w:type="dxa"/>
            <w:tcBorders>
              <w:top w:val="nil"/>
              <w:left w:val="nil"/>
              <w:bottom w:val="single" w:sz="4" w:space="0" w:color="auto"/>
              <w:right w:val="single" w:sz="4" w:space="0" w:color="auto"/>
            </w:tcBorders>
            <w:shd w:val="clear" w:color="auto" w:fill="auto"/>
            <w:noWrap/>
            <w:vAlign w:val="center"/>
          </w:tcPr>
          <w:p w14:paraId="0C9098E9"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1 470,7</w:t>
            </w:r>
          </w:p>
        </w:tc>
        <w:tc>
          <w:tcPr>
            <w:tcW w:w="850" w:type="dxa"/>
            <w:tcBorders>
              <w:top w:val="nil"/>
              <w:left w:val="nil"/>
              <w:bottom w:val="single" w:sz="4" w:space="0" w:color="auto"/>
              <w:right w:val="single" w:sz="4" w:space="0" w:color="auto"/>
            </w:tcBorders>
            <w:shd w:val="clear" w:color="auto" w:fill="auto"/>
            <w:noWrap/>
            <w:vAlign w:val="center"/>
          </w:tcPr>
          <w:p w14:paraId="2246DC9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1 891,4</w:t>
            </w:r>
          </w:p>
        </w:tc>
        <w:tc>
          <w:tcPr>
            <w:tcW w:w="851" w:type="dxa"/>
            <w:tcBorders>
              <w:top w:val="nil"/>
              <w:left w:val="nil"/>
              <w:bottom w:val="single" w:sz="4" w:space="0" w:color="auto"/>
              <w:right w:val="single" w:sz="4" w:space="0" w:color="auto"/>
            </w:tcBorders>
            <w:shd w:val="clear" w:color="auto" w:fill="auto"/>
            <w:noWrap/>
            <w:vAlign w:val="center"/>
          </w:tcPr>
          <w:p w14:paraId="138869D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1 768,7</w:t>
            </w:r>
          </w:p>
        </w:tc>
        <w:tc>
          <w:tcPr>
            <w:tcW w:w="850" w:type="dxa"/>
            <w:tcBorders>
              <w:top w:val="nil"/>
              <w:left w:val="nil"/>
              <w:bottom w:val="single" w:sz="4" w:space="0" w:color="auto"/>
              <w:right w:val="single" w:sz="4" w:space="0" w:color="auto"/>
            </w:tcBorders>
            <w:shd w:val="clear" w:color="auto" w:fill="auto"/>
            <w:noWrap/>
            <w:vAlign w:val="center"/>
          </w:tcPr>
          <w:p w14:paraId="735020C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2 239,0</w:t>
            </w:r>
          </w:p>
        </w:tc>
        <w:tc>
          <w:tcPr>
            <w:tcW w:w="851" w:type="dxa"/>
            <w:tcBorders>
              <w:top w:val="single" w:sz="4" w:space="0" w:color="auto"/>
              <w:left w:val="nil"/>
              <w:bottom w:val="single" w:sz="4" w:space="0" w:color="auto"/>
              <w:right w:val="single" w:sz="4" w:space="0" w:color="auto"/>
            </w:tcBorders>
            <w:vAlign w:val="center"/>
          </w:tcPr>
          <w:p w14:paraId="640793A4"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1 363,3</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11B7F0E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1 777,9</w:t>
            </w:r>
          </w:p>
        </w:tc>
        <w:tc>
          <w:tcPr>
            <w:tcW w:w="851" w:type="dxa"/>
            <w:tcBorders>
              <w:top w:val="nil"/>
              <w:left w:val="nil"/>
              <w:bottom w:val="single" w:sz="4" w:space="0" w:color="auto"/>
              <w:right w:val="single" w:sz="4" w:space="0" w:color="auto"/>
            </w:tcBorders>
            <w:shd w:val="clear" w:color="auto" w:fill="auto"/>
            <w:noWrap/>
            <w:vAlign w:val="center"/>
          </w:tcPr>
          <w:p w14:paraId="58A12D6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2 239,9</w:t>
            </w:r>
          </w:p>
        </w:tc>
        <w:tc>
          <w:tcPr>
            <w:tcW w:w="850" w:type="dxa"/>
            <w:tcBorders>
              <w:top w:val="nil"/>
              <w:left w:val="nil"/>
              <w:bottom w:val="single" w:sz="4" w:space="0" w:color="auto"/>
              <w:right w:val="single" w:sz="4" w:space="0" w:color="auto"/>
            </w:tcBorders>
            <w:shd w:val="clear" w:color="auto" w:fill="auto"/>
            <w:noWrap/>
            <w:vAlign w:val="center"/>
          </w:tcPr>
          <w:p w14:paraId="3A57825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1 363,4</w:t>
            </w:r>
          </w:p>
        </w:tc>
      </w:tr>
      <w:tr w:rsidR="00854F1A" w:rsidRPr="00854F1A" w14:paraId="7885857E"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F7F7746"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Pārējie ieņēmumi</w:t>
            </w:r>
          </w:p>
        </w:tc>
        <w:tc>
          <w:tcPr>
            <w:tcW w:w="851" w:type="dxa"/>
            <w:tcBorders>
              <w:top w:val="nil"/>
              <w:left w:val="nil"/>
              <w:bottom w:val="single" w:sz="4" w:space="0" w:color="auto"/>
              <w:right w:val="single" w:sz="4" w:space="0" w:color="auto"/>
            </w:tcBorders>
            <w:shd w:val="clear" w:color="auto" w:fill="auto"/>
            <w:noWrap/>
            <w:vAlign w:val="center"/>
          </w:tcPr>
          <w:p w14:paraId="480F8083"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326,5</w:t>
            </w:r>
          </w:p>
        </w:tc>
        <w:tc>
          <w:tcPr>
            <w:tcW w:w="850" w:type="dxa"/>
            <w:tcBorders>
              <w:top w:val="nil"/>
              <w:left w:val="nil"/>
              <w:bottom w:val="single" w:sz="4" w:space="0" w:color="auto"/>
              <w:right w:val="single" w:sz="4" w:space="0" w:color="auto"/>
            </w:tcBorders>
            <w:shd w:val="clear" w:color="auto" w:fill="auto"/>
            <w:noWrap/>
            <w:vAlign w:val="center"/>
          </w:tcPr>
          <w:p w14:paraId="15C1F164"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342,1</w:t>
            </w:r>
          </w:p>
        </w:tc>
        <w:tc>
          <w:tcPr>
            <w:tcW w:w="851" w:type="dxa"/>
            <w:tcBorders>
              <w:top w:val="nil"/>
              <w:left w:val="nil"/>
              <w:bottom w:val="single" w:sz="4" w:space="0" w:color="auto"/>
              <w:right w:val="single" w:sz="4" w:space="0" w:color="auto"/>
            </w:tcBorders>
            <w:shd w:val="clear" w:color="auto" w:fill="auto"/>
            <w:noWrap/>
            <w:vAlign w:val="center"/>
          </w:tcPr>
          <w:p w14:paraId="4C564DF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336,9</w:t>
            </w:r>
          </w:p>
        </w:tc>
        <w:tc>
          <w:tcPr>
            <w:tcW w:w="850" w:type="dxa"/>
            <w:tcBorders>
              <w:top w:val="nil"/>
              <w:left w:val="nil"/>
              <w:bottom w:val="single" w:sz="4" w:space="0" w:color="auto"/>
              <w:right w:val="single" w:sz="4" w:space="0" w:color="auto"/>
            </w:tcBorders>
            <w:shd w:val="clear" w:color="auto" w:fill="auto"/>
            <w:noWrap/>
            <w:vAlign w:val="center"/>
          </w:tcPr>
          <w:p w14:paraId="25F9BEE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340,2</w:t>
            </w:r>
          </w:p>
        </w:tc>
        <w:tc>
          <w:tcPr>
            <w:tcW w:w="851" w:type="dxa"/>
            <w:tcBorders>
              <w:top w:val="single" w:sz="4" w:space="0" w:color="auto"/>
              <w:left w:val="nil"/>
              <w:bottom w:val="single" w:sz="4" w:space="0" w:color="auto"/>
              <w:right w:val="single" w:sz="4" w:space="0" w:color="auto"/>
            </w:tcBorders>
            <w:vAlign w:val="center"/>
          </w:tcPr>
          <w:p w14:paraId="791D1993"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344,8</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6C6B1A0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339,7</w:t>
            </w:r>
          </w:p>
        </w:tc>
        <w:tc>
          <w:tcPr>
            <w:tcW w:w="851" w:type="dxa"/>
            <w:tcBorders>
              <w:top w:val="nil"/>
              <w:left w:val="nil"/>
              <w:bottom w:val="single" w:sz="4" w:space="0" w:color="auto"/>
              <w:right w:val="single" w:sz="4" w:space="0" w:color="auto"/>
            </w:tcBorders>
            <w:shd w:val="clear" w:color="auto" w:fill="auto"/>
            <w:noWrap/>
            <w:vAlign w:val="center"/>
          </w:tcPr>
          <w:p w14:paraId="63D37C73"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343,1</w:t>
            </w:r>
          </w:p>
        </w:tc>
        <w:tc>
          <w:tcPr>
            <w:tcW w:w="850" w:type="dxa"/>
            <w:tcBorders>
              <w:top w:val="nil"/>
              <w:left w:val="nil"/>
              <w:bottom w:val="single" w:sz="4" w:space="0" w:color="auto"/>
              <w:right w:val="single" w:sz="4" w:space="0" w:color="auto"/>
            </w:tcBorders>
            <w:shd w:val="clear" w:color="auto" w:fill="auto"/>
            <w:noWrap/>
            <w:vAlign w:val="center"/>
          </w:tcPr>
          <w:p w14:paraId="435A413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347,3</w:t>
            </w:r>
          </w:p>
        </w:tc>
      </w:tr>
      <w:tr w:rsidR="00854F1A" w:rsidRPr="00854F1A" w14:paraId="4B5CFAE0"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55F25CA" w14:textId="77777777" w:rsidR="00854F1A" w:rsidRPr="00854F1A" w:rsidRDefault="00854F1A" w:rsidP="00854F1A">
            <w:pPr>
              <w:spacing w:after="0"/>
              <w:ind w:left="-183" w:firstLineChars="100" w:firstLine="190"/>
              <w:jc w:val="left"/>
              <w:rPr>
                <w:rFonts w:eastAsia="Times New Roman" w:cs="Times New Roman"/>
                <w:sz w:val="19"/>
                <w:szCs w:val="19"/>
              </w:rPr>
            </w:pPr>
            <w:r w:rsidRPr="00854F1A">
              <w:rPr>
                <w:rFonts w:eastAsia="Times New Roman" w:cs="Times New Roman"/>
                <w:sz w:val="19"/>
                <w:szCs w:val="19"/>
              </w:rPr>
              <w:t>Izdevumi</w:t>
            </w:r>
          </w:p>
        </w:tc>
        <w:tc>
          <w:tcPr>
            <w:tcW w:w="851" w:type="dxa"/>
            <w:tcBorders>
              <w:top w:val="nil"/>
              <w:left w:val="nil"/>
              <w:bottom w:val="single" w:sz="4" w:space="0" w:color="auto"/>
              <w:right w:val="single" w:sz="4" w:space="0" w:color="auto"/>
            </w:tcBorders>
            <w:shd w:val="clear" w:color="auto" w:fill="auto"/>
            <w:noWrap/>
            <w:vAlign w:val="center"/>
          </w:tcPr>
          <w:p w14:paraId="1E398955"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14 480,8</w:t>
            </w:r>
          </w:p>
        </w:tc>
        <w:tc>
          <w:tcPr>
            <w:tcW w:w="850" w:type="dxa"/>
            <w:tcBorders>
              <w:top w:val="nil"/>
              <w:left w:val="nil"/>
              <w:bottom w:val="single" w:sz="4" w:space="0" w:color="auto"/>
              <w:right w:val="single" w:sz="4" w:space="0" w:color="auto"/>
            </w:tcBorders>
            <w:shd w:val="clear" w:color="auto" w:fill="auto"/>
            <w:noWrap/>
            <w:vAlign w:val="center"/>
          </w:tcPr>
          <w:p w14:paraId="2056384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15 787,4</w:t>
            </w:r>
          </w:p>
        </w:tc>
        <w:tc>
          <w:tcPr>
            <w:tcW w:w="851" w:type="dxa"/>
            <w:tcBorders>
              <w:top w:val="nil"/>
              <w:left w:val="nil"/>
              <w:bottom w:val="single" w:sz="4" w:space="0" w:color="auto"/>
              <w:right w:val="single" w:sz="4" w:space="0" w:color="auto"/>
            </w:tcBorders>
            <w:shd w:val="clear" w:color="auto" w:fill="auto"/>
            <w:noWrap/>
            <w:vAlign w:val="center"/>
          </w:tcPr>
          <w:p w14:paraId="26B9D0B0"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16 749,6</w:t>
            </w:r>
          </w:p>
        </w:tc>
        <w:tc>
          <w:tcPr>
            <w:tcW w:w="850" w:type="dxa"/>
            <w:tcBorders>
              <w:top w:val="nil"/>
              <w:left w:val="nil"/>
              <w:bottom w:val="single" w:sz="4" w:space="0" w:color="auto"/>
              <w:right w:val="single" w:sz="4" w:space="0" w:color="auto"/>
            </w:tcBorders>
            <w:shd w:val="clear" w:color="auto" w:fill="auto"/>
            <w:noWrap/>
            <w:vAlign w:val="center"/>
          </w:tcPr>
          <w:p w14:paraId="4187C20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17 110,6</w:t>
            </w:r>
          </w:p>
        </w:tc>
        <w:tc>
          <w:tcPr>
            <w:tcW w:w="851" w:type="dxa"/>
            <w:tcBorders>
              <w:top w:val="single" w:sz="4" w:space="0" w:color="auto"/>
              <w:left w:val="nil"/>
              <w:bottom w:val="single" w:sz="4" w:space="0" w:color="auto"/>
              <w:right w:val="single" w:sz="4" w:space="0" w:color="auto"/>
            </w:tcBorders>
            <w:vAlign w:val="center"/>
          </w:tcPr>
          <w:p w14:paraId="102C964A"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16 861,0</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198E4A62"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17 223,7</w:t>
            </w:r>
          </w:p>
        </w:tc>
        <w:tc>
          <w:tcPr>
            <w:tcW w:w="851" w:type="dxa"/>
            <w:tcBorders>
              <w:top w:val="nil"/>
              <w:left w:val="nil"/>
              <w:bottom w:val="single" w:sz="4" w:space="0" w:color="auto"/>
              <w:right w:val="single" w:sz="4" w:space="0" w:color="auto"/>
            </w:tcBorders>
            <w:shd w:val="clear" w:color="auto" w:fill="auto"/>
            <w:noWrap/>
            <w:vAlign w:val="center"/>
          </w:tcPr>
          <w:p w14:paraId="02C85F9B"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17 480,3</w:t>
            </w:r>
          </w:p>
        </w:tc>
        <w:tc>
          <w:tcPr>
            <w:tcW w:w="850" w:type="dxa"/>
            <w:tcBorders>
              <w:top w:val="nil"/>
              <w:left w:val="nil"/>
              <w:bottom w:val="single" w:sz="4" w:space="0" w:color="auto"/>
              <w:right w:val="single" w:sz="4" w:space="0" w:color="auto"/>
            </w:tcBorders>
            <w:shd w:val="clear" w:color="auto" w:fill="auto"/>
            <w:noWrap/>
            <w:vAlign w:val="center"/>
          </w:tcPr>
          <w:p w14:paraId="5C08742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17 244,7</w:t>
            </w:r>
          </w:p>
        </w:tc>
      </w:tr>
      <w:tr w:rsidR="00854F1A" w:rsidRPr="00854F1A" w14:paraId="3B503CA1" w14:textId="77777777" w:rsidTr="002C61B1">
        <w:trPr>
          <w:trHeight w:val="7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91133C6"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Uzturēšanas izdevumi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C08F3"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13 414,9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6F019D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14 327,4</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41BEC2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15 642,9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E3E691B"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16 227,3</w:t>
            </w:r>
          </w:p>
        </w:tc>
        <w:tc>
          <w:tcPr>
            <w:tcW w:w="851" w:type="dxa"/>
            <w:tcBorders>
              <w:top w:val="single" w:sz="4" w:space="0" w:color="auto"/>
              <w:left w:val="nil"/>
              <w:bottom w:val="single" w:sz="4" w:space="0" w:color="auto"/>
              <w:right w:val="single" w:sz="4" w:space="0" w:color="auto"/>
            </w:tcBorders>
            <w:vAlign w:val="center"/>
          </w:tcPr>
          <w:p w14:paraId="1B5316B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16 145,3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B1F2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16 061,8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3070F9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16 524,3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0EE917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16 469,2</w:t>
            </w:r>
          </w:p>
        </w:tc>
      </w:tr>
      <w:tr w:rsidR="00854F1A" w:rsidRPr="00854F1A" w14:paraId="7966239F"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032CCA0"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Kapitālie 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0CB54"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1 065,9</w:t>
            </w:r>
          </w:p>
        </w:tc>
        <w:tc>
          <w:tcPr>
            <w:tcW w:w="850" w:type="dxa"/>
            <w:tcBorders>
              <w:top w:val="nil"/>
              <w:left w:val="nil"/>
              <w:bottom w:val="single" w:sz="4" w:space="0" w:color="auto"/>
              <w:right w:val="single" w:sz="4" w:space="0" w:color="auto"/>
            </w:tcBorders>
            <w:shd w:val="clear" w:color="auto" w:fill="auto"/>
            <w:noWrap/>
            <w:vAlign w:val="center"/>
          </w:tcPr>
          <w:p w14:paraId="55E507A4"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1 459,9</w:t>
            </w:r>
          </w:p>
        </w:tc>
        <w:tc>
          <w:tcPr>
            <w:tcW w:w="851" w:type="dxa"/>
            <w:tcBorders>
              <w:top w:val="nil"/>
              <w:left w:val="nil"/>
              <w:bottom w:val="single" w:sz="4" w:space="0" w:color="auto"/>
              <w:right w:val="single" w:sz="4" w:space="0" w:color="auto"/>
            </w:tcBorders>
            <w:shd w:val="clear" w:color="auto" w:fill="auto"/>
            <w:noWrap/>
            <w:vAlign w:val="center"/>
          </w:tcPr>
          <w:p w14:paraId="4E630C4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1 106,7</w:t>
            </w:r>
          </w:p>
        </w:tc>
        <w:tc>
          <w:tcPr>
            <w:tcW w:w="850" w:type="dxa"/>
            <w:tcBorders>
              <w:top w:val="nil"/>
              <w:left w:val="nil"/>
              <w:bottom w:val="single" w:sz="4" w:space="0" w:color="auto"/>
              <w:right w:val="single" w:sz="4" w:space="0" w:color="auto"/>
            </w:tcBorders>
            <w:shd w:val="clear" w:color="auto" w:fill="auto"/>
            <w:noWrap/>
            <w:vAlign w:val="center"/>
          </w:tcPr>
          <w:p w14:paraId="48DAB04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883,4</w:t>
            </w:r>
          </w:p>
        </w:tc>
        <w:tc>
          <w:tcPr>
            <w:tcW w:w="851" w:type="dxa"/>
            <w:tcBorders>
              <w:top w:val="single" w:sz="4" w:space="0" w:color="auto"/>
              <w:left w:val="nil"/>
              <w:bottom w:val="single" w:sz="4" w:space="0" w:color="auto"/>
              <w:right w:val="single" w:sz="4" w:space="0" w:color="auto"/>
            </w:tcBorders>
            <w:vAlign w:val="center"/>
          </w:tcPr>
          <w:p w14:paraId="08A934EA"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715,7</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5E5FB36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1 161,9</w:t>
            </w:r>
          </w:p>
        </w:tc>
        <w:tc>
          <w:tcPr>
            <w:tcW w:w="851" w:type="dxa"/>
            <w:tcBorders>
              <w:top w:val="nil"/>
              <w:left w:val="nil"/>
              <w:bottom w:val="single" w:sz="4" w:space="0" w:color="auto"/>
              <w:right w:val="single" w:sz="4" w:space="0" w:color="auto"/>
            </w:tcBorders>
            <w:shd w:val="clear" w:color="auto" w:fill="auto"/>
            <w:noWrap/>
            <w:vAlign w:val="center"/>
          </w:tcPr>
          <w:p w14:paraId="18731BD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956,0</w:t>
            </w:r>
          </w:p>
        </w:tc>
        <w:tc>
          <w:tcPr>
            <w:tcW w:w="850" w:type="dxa"/>
            <w:tcBorders>
              <w:top w:val="nil"/>
              <w:left w:val="nil"/>
              <w:bottom w:val="single" w:sz="4" w:space="0" w:color="auto"/>
              <w:right w:val="single" w:sz="4" w:space="0" w:color="auto"/>
            </w:tcBorders>
            <w:shd w:val="clear" w:color="auto" w:fill="auto"/>
            <w:noWrap/>
            <w:vAlign w:val="center"/>
          </w:tcPr>
          <w:p w14:paraId="12FFC64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775,5</w:t>
            </w:r>
          </w:p>
        </w:tc>
      </w:tr>
      <w:tr w:rsidR="00854F1A" w:rsidRPr="00854F1A" w14:paraId="1729FC1F"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E7193CE" w14:textId="77777777" w:rsidR="00854F1A" w:rsidRPr="00854F1A" w:rsidRDefault="00854F1A" w:rsidP="00854F1A">
            <w:pPr>
              <w:spacing w:after="0"/>
              <w:ind w:firstLine="0"/>
              <w:jc w:val="left"/>
              <w:rPr>
                <w:rFonts w:eastAsia="Times New Roman" w:cs="Times New Roman"/>
                <w:b/>
                <w:bCs/>
                <w:i/>
                <w:iCs/>
                <w:sz w:val="19"/>
                <w:szCs w:val="19"/>
              </w:rPr>
            </w:pPr>
            <w:r w:rsidRPr="00854F1A">
              <w:rPr>
                <w:rFonts w:eastAsia="Times New Roman" w:cs="Times New Roman"/>
                <w:b/>
                <w:bCs/>
                <w:i/>
                <w:iCs/>
                <w:sz w:val="19"/>
                <w:szCs w:val="19"/>
              </w:rPr>
              <w:t>VALSTS PAMATBUDŽETA BILANCE</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6402837"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-1 438,1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653B2C7"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-1 466,3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3FE4C3D"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-2 182,6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DBFB917"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-1 383,1</w:t>
            </w:r>
          </w:p>
        </w:tc>
        <w:tc>
          <w:tcPr>
            <w:tcW w:w="851" w:type="dxa"/>
            <w:tcBorders>
              <w:top w:val="single" w:sz="4" w:space="0" w:color="auto"/>
              <w:left w:val="nil"/>
              <w:bottom w:val="single" w:sz="4" w:space="0" w:color="auto"/>
              <w:right w:val="single" w:sz="4" w:space="0" w:color="auto"/>
            </w:tcBorders>
            <w:vAlign w:val="center"/>
          </w:tcPr>
          <w:p w14:paraId="3F2CAE27"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-1.395,5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1DF51" w14:textId="77777777" w:rsidR="00854F1A" w:rsidRPr="00854F1A" w:rsidRDefault="00854F1A" w:rsidP="00854F1A">
            <w:pPr>
              <w:spacing w:after="0"/>
              <w:ind w:firstLine="0"/>
              <w:jc w:val="right"/>
              <w:rPr>
                <w:rFonts w:eastAsia="Times New Roman" w:cs="Times New Roman"/>
                <w:b/>
                <w:bCs/>
                <w:i/>
                <w:color w:val="FF0000"/>
                <w:sz w:val="18"/>
                <w:szCs w:val="18"/>
              </w:rPr>
            </w:pPr>
            <w:r w:rsidRPr="00854F1A">
              <w:rPr>
                <w:b/>
                <w:bCs/>
                <w:sz w:val="18"/>
                <w:szCs w:val="18"/>
              </w:rPr>
              <w:t>-2 478,0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E80F567" w14:textId="77777777" w:rsidR="00854F1A" w:rsidRPr="00854F1A" w:rsidRDefault="00854F1A" w:rsidP="00854F1A">
            <w:pPr>
              <w:spacing w:after="0"/>
              <w:ind w:firstLine="0"/>
              <w:jc w:val="right"/>
              <w:rPr>
                <w:rFonts w:eastAsia="Times New Roman" w:cs="Times New Roman"/>
                <w:b/>
                <w:bCs/>
                <w:i/>
                <w:color w:val="FF0000"/>
                <w:sz w:val="18"/>
                <w:szCs w:val="18"/>
              </w:rPr>
            </w:pPr>
            <w:r w:rsidRPr="00854F1A">
              <w:rPr>
                <w:b/>
                <w:bCs/>
                <w:sz w:val="18"/>
                <w:szCs w:val="18"/>
              </w:rPr>
              <w:t>-1 610,9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4533520" w14:textId="77777777" w:rsidR="00854F1A" w:rsidRPr="00854F1A" w:rsidRDefault="00854F1A" w:rsidP="00854F1A">
            <w:pPr>
              <w:spacing w:after="0"/>
              <w:ind w:firstLine="0"/>
              <w:jc w:val="right"/>
              <w:rPr>
                <w:rFonts w:eastAsia="Times New Roman" w:cs="Times New Roman"/>
                <w:b/>
                <w:bCs/>
                <w:i/>
                <w:color w:val="FF0000"/>
                <w:sz w:val="18"/>
                <w:szCs w:val="18"/>
              </w:rPr>
            </w:pPr>
            <w:r w:rsidRPr="00854F1A">
              <w:rPr>
                <w:b/>
                <w:bCs/>
                <w:sz w:val="18"/>
                <w:szCs w:val="18"/>
              </w:rPr>
              <w:t>-1 658,3</w:t>
            </w:r>
          </w:p>
        </w:tc>
      </w:tr>
      <w:tr w:rsidR="00854F1A" w:rsidRPr="00854F1A" w14:paraId="397BAB50"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0B9EF87" w14:textId="77777777" w:rsidR="00854F1A" w:rsidRPr="00854F1A" w:rsidRDefault="00854F1A" w:rsidP="00854F1A">
            <w:pPr>
              <w:spacing w:after="0"/>
              <w:ind w:left="-183" w:firstLineChars="100" w:firstLine="190"/>
              <w:jc w:val="left"/>
              <w:rPr>
                <w:rFonts w:eastAsia="Times New Roman" w:cs="Times New Roman"/>
                <w:sz w:val="19"/>
                <w:szCs w:val="19"/>
              </w:rPr>
            </w:pPr>
            <w:r w:rsidRPr="00854F1A">
              <w:rPr>
                <w:rFonts w:eastAsia="Times New Roman" w:cs="Times New Roman"/>
                <w:sz w:val="19"/>
                <w:szCs w:val="19"/>
              </w:rPr>
              <w:t>Ieņēmumi</w:t>
            </w:r>
          </w:p>
        </w:tc>
        <w:tc>
          <w:tcPr>
            <w:tcW w:w="851" w:type="dxa"/>
            <w:tcBorders>
              <w:top w:val="nil"/>
              <w:left w:val="nil"/>
              <w:bottom w:val="single" w:sz="4" w:space="0" w:color="auto"/>
              <w:right w:val="single" w:sz="4" w:space="0" w:color="auto"/>
            </w:tcBorders>
            <w:shd w:val="clear" w:color="auto" w:fill="auto"/>
            <w:noWrap/>
            <w:vAlign w:val="center"/>
          </w:tcPr>
          <w:p w14:paraId="3826E5B6"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9 129,4</w:t>
            </w:r>
          </w:p>
        </w:tc>
        <w:tc>
          <w:tcPr>
            <w:tcW w:w="850" w:type="dxa"/>
            <w:tcBorders>
              <w:top w:val="nil"/>
              <w:left w:val="nil"/>
              <w:bottom w:val="single" w:sz="4" w:space="0" w:color="auto"/>
              <w:right w:val="single" w:sz="4" w:space="0" w:color="auto"/>
            </w:tcBorders>
            <w:shd w:val="clear" w:color="auto" w:fill="auto"/>
            <w:noWrap/>
            <w:vAlign w:val="center"/>
          </w:tcPr>
          <w:p w14:paraId="47473E8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10 081,8</w:t>
            </w:r>
          </w:p>
        </w:tc>
        <w:tc>
          <w:tcPr>
            <w:tcW w:w="851" w:type="dxa"/>
            <w:tcBorders>
              <w:top w:val="nil"/>
              <w:left w:val="nil"/>
              <w:bottom w:val="single" w:sz="4" w:space="0" w:color="auto"/>
              <w:right w:val="single" w:sz="4" w:space="0" w:color="auto"/>
            </w:tcBorders>
            <w:shd w:val="clear" w:color="auto" w:fill="auto"/>
            <w:noWrap/>
            <w:vAlign w:val="center"/>
          </w:tcPr>
          <w:p w14:paraId="1336787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10 012,0</w:t>
            </w:r>
          </w:p>
        </w:tc>
        <w:tc>
          <w:tcPr>
            <w:tcW w:w="850" w:type="dxa"/>
            <w:tcBorders>
              <w:top w:val="nil"/>
              <w:left w:val="nil"/>
              <w:bottom w:val="single" w:sz="4" w:space="0" w:color="auto"/>
              <w:right w:val="single" w:sz="4" w:space="0" w:color="auto"/>
            </w:tcBorders>
            <w:shd w:val="clear" w:color="auto" w:fill="auto"/>
            <w:noWrap/>
            <w:vAlign w:val="center"/>
          </w:tcPr>
          <w:p w14:paraId="2BB93D23"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10 769,5</w:t>
            </w:r>
          </w:p>
        </w:tc>
        <w:tc>
          <w:tcPr>
            <w:tcW w:w="851" w:type="dxa"/>
            <w:tcBorders>
              <w:top w:val="single" w:sz="4" w:space="0" w:color="auto"/>
              <w:left w:val="nil"/>
              <w:bottom w:val="single" w:sz="4" w:space="0" w:color="auto"/>
              <w:right w:val="single" w:sz="4" w:space="0" w:color="auto"/>
            </w:tcBorders>
            <w:vAlign w:val="center"/>
          </w:tcPr>
          <w:p w14:paraId="7C6B2680"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10 192,1</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35B104F2"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10 201,3</w:t>
            </w:r>
          </w:p>
        </w:tc>
        <w:tc>
          <w:tcPr>
            <w:tcW w:w="851" w:type="dxa"/>
            <w:tcBorders>
              <w:top w:val="nil"/>
              <w:left w:val="nil"/>
              <w:bottom w:val="single" w:sz="4" w:space="0" w:color="auto"/>
              <w:right w:val="single" w:sz="4" w:space="0" w:color="auto"/>
            </w:tcBorders>
            <w:shd w:val="clear" w:color="auto" w:fill="auto"/>
            <w:noWrap/>
            <w:vAlign w:val="center"/>
          </w:tcPr>
          <w:p w14:paraId="631788E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10 914,6</w:t>
            </w:r>
          </w:p>
        </w:tc>
        <w:tc>
          <w:tcPr>
            <w:tcW w:w="850" w:type="dxa"/>
            <w:tcBorders>
              <w:top w:val="nil"/>
              <w:left w:val="nil"/>
              <w:bottom w:val="single" w:sz="4" w:space="0" w:color="auto"/>
              <w:right w:val="single" w:sz="4" w:space="0" w:color="auto"/>
            </w:tcBorders>
            <w:shd w:val="clear" w:color="auto" w:fill="auto"/>
            <w:noWrap/>
            <w:vAlign w:val="center"/>
          </w:tcPr>
          <w:p w14:paraId="18EC3A0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10 304,9</w:t>
            </w:r>
          </w:p>
        </w:tc>
      </w:tr>
      <w:tr w:rsidR="00854F1A" w:rsidRPr="00854F1A" w14:paraId="4E952DCA"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867E471"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lastRenderedPageBreak/>
              <w:t>Nodokļu ieņēmumi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3AEBA"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6 591,2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C42C9B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7 051,5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94181D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7 410,4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11FFC4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7 742,0</w:t>
            </w:r>
          </w:p>
        </w:tc>
        <w:tc>
          <w:tcPr>
            <w:tcW w:w="851" w:type="dxa"/>
            <w:tcBorders>
              <w:top w:val="single" w:sz="4" w:space="0" w:color="auto"/>
              <w:left w:val="nil"/>
              <w:bottom w:val="single" w:sz="4" w:space="0" w:color="auto"/>
              <w:right w:val="single" w:sz="4" w:space="0" w:color="auto"/>
            </w:tcBorders>
            <w:vAlign w:val="center"/>
          </w:tcPr>
          <w:p w14:paraId="731F5AA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8 045,9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5D7E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7 454,1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0981F3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7 807,3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6F2759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8 082,6</w:t>
            </w:r>
          </w:p>
        </w:tc>
      </w:tr>
      <w:tr w:rsidR="00854F1A" w:rsidRPr="00854F1A" w14:paraId="050EB3D1"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C0A90CC"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Ne-nodokļu ieņēmumi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61C9F6"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955,6</w:t>
            </w:r>
          </w:p>
        </w:tc>
        <w:tc>
          <w:tcPr>
            <w:tcW w:w="850" w:type="dxa"/>
            <w:tcBorders>
              <w:top w:val="nil"/>
              <w:left w:val="nil"/>
              <w:bottom w:val="single" w:sz="4" w:space="0" w:color="auto"/>
              <w:right w:val="single" w:sz="4" w:space="0" w:color="auto"/>
            </w:tcBorders>
            <w:shd w:val="clear" w:color="auto" w:fill="auto"/>
            <w:noWrap/>
            <w:vAlign w:val="center"/>
          </w:tcPr>
          <w:p w14:paraId="5E8DB2C4"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1 025,9</w:t>
            </w:r>
          </w:p>
        </w:tc>
        <w:tc>
          <w:tcPr>
            <w:tcW w:w="851" w:type="dxa"/>
            <w:tcBorders>
              <w:top w:val="nil"/>
              <w:left w:val="nil"/>
              <w:bottom w:val="single" w:sz="4" w:space="0" w:color="auto"/>
              <w:right w:val="single" w:sz="4" w:space="0" w:color="auto"/>
            </w:tcBorders>
            <w:shd w:val="clear" w:color="auto" w:fill="auto"/>
            <w:noWrap/>
            <w:vAlign w:val="center"/>
          </w:tcPr>
          <w:p w14:paraId="7D0FDF3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723,9</w:t>
            </w:r>
          </w:p>
        </w:tc>
        <w:tc>
          <w:tcPr>
            <w:tcW w:w="850" w:type="dxa"/>
            <w:tcBorders>
              <w:top w:val="nil"/>
              <w:left w:val="nil"/>
              <w:bottom w:val="single" w:sz="4" w:space="0" w:color="auto"/>
              <w:right w:val="single" w:sz="4" w:space="0" w:color="auto"/>
            </w:tcBorders>
            <w:shd w:val="clear" w:color="auto" w:fill="auto"/>
            <w:noWrap/>
            <w:vAlign w:val="center"/>
          </w:tcPr>
          <w:p w14:paraId="64F35543"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683,3</w:t>
            </w:r>
          </w:p>
        </w:tc>
        <w:tc>
          <w:tcPr>
            <w:tcW w:w="851" w:type="dxa"/>
            <w:tcBorders>
              <w:top w:val="single" w:sz="4" w:space="0" w:color="auto"/>
              <w:left w:val="nil"/>
              <w:bottom w:val="single" w:sz="4" w:space="0" w:color="auto"/>
              <w:right w:val="single" w:sz="4" w:space="0" w:color="auto"/>
            </w:tcBorders>
            <w:vAlign w:val="center"/>
          </w:tcPr>
          <w:p w14:paraId="661AD72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679,2</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2EBD285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857,1</w:t>
            </w:r>
          </w:p>
        </w:tc>
        <w:tc>
          <w:tcPr>
            <w:tcW w:w="851" w:type="dxa"/>
            <w:tcBorders>
              <w:top w:val="nil"/>
              <w:left w:val="nil"/>
              <w:bottom w:val="single" w:sz="4" w:space="0" w:color="auto"/>
              <w:right w:val="single" w:sz="4" w:space="0" w:color="auto"/>
            </w:tcBorders>
            <w:shd w:val="clear" w:color="auto" w:fill="auto"/>
            <w:noWrap/>
            <w:vAlign w:val="center"/>
          </w:tcPr>
          <w:p w14:paraId="29C199C0"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758,7</w:t>
            </w:r>
          </w:p>
        </w:tc>
        <w:tc>
          <w:tcPr>
            <w:tcW w:w="850" w:type="dxa"/>
            <w:tcBorders>
              <w:top w:val="nil"/>
              <w:left w:val="nil"/>
              <w:bottom w:val="single" w:sz="4" w:space="0" w:color="auto"/>
              <w:right w:val="single" w:sz="4" w:space="0" w:color="auto"/>
            </w:tcBorders>
            <w:shd w:val="clear" w:color="auto" w:fill="auto"/>
            <w:noWrap/>
            <w:vAlign w:val="center"/>
          </w:tcPr>
          <w:p w14:paraId="0334362B"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752,5</w:t>
            </w:r>
          </w:p>
        </w:tc>
      </w:tr>
      <w:tr w:rsidR="00854F1A" w:rsidRPr="00854F1A" w14:paraId="3C02AAA9"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0150224" w14:textId="579C1ECA" w:rsidR="00854F1A" w:rsidRPr="00854F1A" w:rsidRDefault="00F87D38" w:rsidP="00854F1A">
            <w:pPr>
              <w:spacing w:after="0"/>
              <w:ind w:left="27" w:firstLineChars="60" w:firstLine="114"/>
              <w:jc w:val="left"/>
              <w:rPr>
                <w:rFonts w:eastAsia="Times New Roman" w:cs="Times New Roman"/>
                <w:sz w:val="19"/>
                <w:szCs w:val="19"/>
              </w:rPr>
            </w:pPr>
            <w:r w:rsidRPr="005156E5">
              <w:rPr>
                <w:rFonts w:eastAsia="Times New Roman" w:cs="Times New Roman"/>
                <w:sz w:val="19"/>
                <w:szCs w:val="19"/>
              </w:rPr>
              <w:t>ĀFP</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0FFE5CD"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1 433,6</w:t>
            </w:r>
          </w:p>
        </w:tc>
        <w:tc>
          <w:tcPr>
            <w:tcW w:w="850" w:type="dxa"/>
            <w:tcBorders>
              <w:top w:val="nil"/>
              <w:left w:val="nil"/>
              <w:bottom w:val="single" w:sz="4" w:space="0" w:color="auto"/>
              <w:right w:val="single" w:sz="4" w:space="0" w:color="auto"/>
            </w:tcBorders>
            <w:shd w:val="clear" w:color="auto" w:fill="auto"/>
            <w:noWrap/>
            <w:vAlign w:val="center"/>
          </w:tcPr>
          <w:p w14:paraId="541FC60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1 851,4</w:t>
            </w:r>
          </w:p>
        </w:tc>
        <w:tc>
          <w:tcPr>
            <w:tcW w:w="851" w:type="dxa"/>
            <w:tcBorders>
              <w:top w:val="nil"/>
              <w:left w:val="nil"/>
              <w:bottom w:val="single" w:sz="4" w:space="0" w:color="auto"/>
              <w:right w:val="single" w:sz="4" w:space="0" w:color="auto"/>
            </w:tcBorders>
            <w:shd w:val="clear" w:color="auto" w:fill="auto"/>
            <w:noWrap/>
            <w:vAlign w:val="center"/>
          </w:tcPr>
          <w:p w14:paraId="61FD90FA"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1 733,7</w:t>
            </w:r>
          </w:p>
        </w:tc>
        <w:tc>
          <w:tcPr>
            <w:tcW w:w="850" w:type="dxa"/>
            <w:tcBorders>
              <w:top w:val="nil"/>
              <w:left w:val="nil"/>
              <w:bottom w:val="single" w:sz="4" w:space="0" w:color="auto"/>
              <w:right w:val="single" w:sz="4" w:space="0" w:color="auto"/>
            </w:tcBorders>
            <w:shd w:val="clear" w:color="auto" w:fill="auto"/>
            <w:noWrap/>
            <w:vAlign w:val="center"/>
          </w:tcPr>
          <w:p w14:paraId="57AF9FC2"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2 204,0</w:t>
            </w:r>
          </w:p>
        </w:tc>
        <w:tc>
          <w:tcPr>
            <w:tcW w:w="851" w:type="dxa"/>
            <w:tcBorders>
              <w:top w:val="single" w:sz="4" w:space="0" w:color="auto"/>
              <w:left w:val="nil"/>
              <w:bottom w:val="single" w:sz="4" w:space="0" w:color="auto"/>
              <w:right w:val="single" w:sz="4" w:space="0" w:color="auto"/>
            </w:tcBorders>
            <w:vAlign w:val="center"/>
          </w:tcPr>
          <w:p w14:paraId="0790C69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1 328,3</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58207FE0"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1 742,9</w:t>
            </w:r>
          </w:p>
        </w:tc>
        <w:tc>
          <w:tcPr>
            <w:tcW w:w="851" w:type="dxa"/>
            <w:tcBorders>
              <w:top w:val="nil"/>
              <w:left w:val="nil"/>
              <w:bottom w:val="single" w:sz="4" w:space="0" w:color="auto"/>
              <w:right w:val="single" w:sz="4" w:space="0" w:color="auto"/>
            </w:tcBorders>
            <w:shd w:val="clear" w:color="auto" w:fill="auto"/>
            <w:noWrap/>
            <w:vAlign w:val="center"/>
          </w:tcPr>
          <w:p w14:paraId="71D6A47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2 204,9</w:t>
            </w:r>
          </w:p>
        </w:tc>
        <w:tc>
          <w:tcPr>
            <w:tcW w:w="850" w:type="dxa"/>
            <w:tcBorders>
              <w:top w:val="nil"/>
              <w:left w:val="nil"/>
              <w:bottom w:val="single" w:sz="4" w:space="0" w:color="auto"/>
              <w:right w:val="single" w:sz="4" w:space="0" w:color="auto"/>
            </w:tcBorders>
            <w:shd w:val="clear" w:color="auto" w:fill="auto"/>
            <w:noWrap/>
            <w:vAlign w:val="center"/>
          </w:tcPr>
          <w:p w14:paraId="52705F3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1 328,4</w:t>
            </w:r>
          </w:p>
        </w:tc>
      </w:tr>
      <w:tr w:rsidR="00854F1A" w:rsidRPr="00854F1A" w14:paraId="5E08D486"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D59E6C4"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Pārējie ieņēmumi</w:t>
            </w:r>
          </w:p>
        </w:tc>
        <w:tc>
          <w:tcPr>
            <w:tcW w:w="851" w:type="dxa"/>
            <w:tcBorders>
              <w:top w:val="nil"/>
              <w:left w:val="nil"/>
              <w:bottom w:val="single" w:sz="4" w:space="0" w:color="auto"/>
              <w:right w:val="single" w:sz="4" w:space="0" w:color="auto"/>
            </w:tcBorders>
            <w:shd w:val="clear" w:color="auto" w:fill="auto"/>
            <w:noWrap/>
            <w:vAlign w:val="center"/>
          </w:tcPr>
          <w:p w14:paraId="0CF6D116"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149,0</w:t>
            </w:r>
          </w:p>
        </w:tc>
        <w:tc>
          <w:tcPr>
            <w:tcW w:w="850" w:type="dxa"/>
            <w:tcBorders>
              <w:top w:val="nil"/>
              <w:left w:val="nil"/>
              <w:bottom w:val="single" w:sz="4" w:space="0" w:color="auto"/>
              <w:right w:val="single" w:sz="4" w:space="0" w:color="auto"/>
            </w:tcBorders>
            <w:shd w:val="clear" w:color="auto" w:fill="auto"/>
            <w:noWrap/>
            <w:vAlign w:val="center"/>
          </w:tcPr>
          <w:p w14:paraId="73BFF15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153,0</w:t>
            </w:r>
          </w:p>
        </w:tc>
        <w:tc>
          <w:tcPr>
            <w:tcW w:w="851" w:type="dxa"/>
            <w:tcBorders>
              <w:top w:val="nil"/>
              <w:left w:val="nil"/>
              <w:bottom w:val="single" w:sz="4" w:space="0" w:color="auto"/>
              <w:right w:val="single" w:sz="4" w:space="0" w:color="auto"/>
            </w:tcBorders>
            <w:shd w:val="clear" w:color="auto" w:fill="auto"/>
            <w:noWrap/>
            <w:vAlign w:val="center"/>
          </w:tcPr>
          <w:p w14:paraId="259A60D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144,0</w:t>
            </w:r>
          </w:p>
        </w:tc>
        <w:tc>
          <w:tcPr>
            <w:tcW w:w="850" w:type="dxa"/>
            <w:tcBorders>
              <w:top w:val="nil"/>
              <w:left w:val="nil"/>
              <w:bottom w:val="single" w:sz="4" w:space="0" w:color="auto"/>
              <w:right w:val="single" w:sz="4" w:space="0" w:color="auto"/>
            </w:tcBorders>
            <w:shd w:val="clear" w:color="auto" w:fill="auto"/>
            <w:noWrap/>
            <w:vAlign w:val="center"/>
          </w:tcPr>
          <w:p w14:paraId="2E82B210"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140,2</w:t>
            </w:r>
          </w:p>
        </w:tc>
        <w:tc>
          <w:tcPr>
            <w:tcW w:w="851" w:type="dxa"/>
            <w:tcBorders>
              <w:top w:val="single" w:sz="4" w:space="0" w:color="auto"/>
              <w:left w:val="nil"/>
              <w:bottom w:val="single" w:sz="4" w:space="0" w:color="auto"/>
              <w:right w:val="single" w:sz="4" w:space="0" w:color="auto"/>
            </w:tcBorders>
            <w:vAlign w:val="center"/>
          </w:tcPr>
          <w:p w14:paraId="66F5D6F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138,7</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0045BD8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147,3</w:t>
            </w:r>
          </w:p>
        </w:tc>
        <w:tc>
          <w:tcPr>
            <w:tcW w:w="851" w:type="dxa"/>
            <w:tcBorders>
              <w:top w:val="nil"/>
              <w:left w:val="nil"/>
              <w:bottom w:val="single" w:sz="4" w:space="0" w:color="auto"/>
              <w:right w:val="single" w:sz="4" w:space="0" w:color="auto"/>
            </w:tcBorders>
            <w:shd w:val="clear" w:color="auto" w:fill="auto"/>
            <w:noWrap/>
            <w:vAlign w:val="center"/>
          </w:tcPr>
          <w:p w14:paraId="0E854D3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143,6</w:t>
            </w:r>
          </w:p>
        </w:tc>
        <w:tc>
          <w:tcPr>
            <w:tcW w:w="850" w:type="dxa"/>
            <w:tcBorders>
              <w:top w:val="nil"/>
              <w:left w:val="nil"/>
              <w:bottom w:val="single" w:sz="4" w:space="0" w:color="auto"/>
              <w:right w:val="single" w:sz="4" w:space="0" w:color="auto"/>
            </w:tcBorders>
            <w:shd w:val="clear" w:color="auto" w:fill="auto"/>
            <w:noWrap/>
            <w:vAlign w:val="center"/>
          </w:tcPr>
          <w:p w14:paraId="2AF04160"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141,5</w:t>
            </w:r>
          </w:p>
        </w:tc>
      </w:tr>
      <w:tr w:rsidR="00854F1A" w:rsidRPr="00854F1A" w14:paraId="7C5AE3B5" w14:textId="77777777" w:rsidTr="002C61B1">
        <w:trPr>
          <w:trHeight w:val="104"/>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3CE0421" w14:textId="77777777" w:rsidR="00854F1A" w:rsidRPr="00854F1A" w:rsidRDefault="00854F1A" w:rsidP="00854F1A">
            <w:pPr>
              <w:spacing w:after="0"/>
              <w:ind w:left="-183" w:firstLineChars="100" w:firstLine="190"/>
              <w:jc w:val="left"/>
              <w:rPr>
                <w:rFonts w:eastAsia="Times New Roman" w:cs="Times New Roman"/>
                <w:sz w:val="19"/>
                <w:szCs w:val="19"/>
              </w:rPr>
            </w:pPr>
            <w:r w:rsidRPr="00854F1A">
              <w:rPr>
                <w:rFonts w:eastAsia="Times New Roman" w:cs="Times New Roman"/>
                <w:sz w:val="19"/>
                <w:szCs w:val="19"/>
              </w:rPr>
              <w:t>Izdevumi</w:t>
            </w:r>
          </w:p>
        </w:tc>
        <w:tc>
          <w:tcPr>
            <w:tcW w:w="851" w:type="dxa"/>
            <w:tcBorders>
              <w:top w:val="nil"/>
              <w:left w:val="nil"/>
              <w:bottom w:val="single" w:sz="4" w:space="0" w:color="auto"/>
              <w:right w:val="single" w:sz="4" w:space="0" w:color="auto"/>
            </w:tcBorders>
            <w:shd w:val="clear" w:color="auto" w:fill="auto"/>
            <w:noWrap/>
            <w:vAlign w:val="center"/>
          </w:tcPr>
          <w:p w14:paraId="61812B98"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10 567,5</w:t>
            </w:r>
          </w:p>
        </w:tc>
        <w:tc>
          <w:tcPr>
            <w:tcW w:w="850" w:type="dxa"/>
            <w:tcBorders>
              <w:top w:val="nil"/>
              <w:left w:val="nil"/>
              <w:bottom w:val="single" w:sz="4" w:space="0" w:color="auto"/>
              <w:right w:val="single" w:sz="4" w:space="0" w:color="auto"/>
            </w:tcBorders>
            <w:shd w:val="clear" w:color="auto" w:fill="auto"/>
            <w:noWrap/>
            <w:vAlign w:val="center"/>
          </w:tcPr>
          <w:p w14:paraId="33725C9B"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11 548,1</w:t>
            </w:r>
          </w:p>
        </w:tc>
        <w:tc>
          <w:tcPr>
            <w:tcW w:w="851" w:type="dxa"/>
            <w:tcBorders>
              <w:top w:val="nil"/>
              <w:left w:val="nil"/>
              <w:bottom w:val="single" w:sz="4" w:space="0" w:color="auto"/>
              <w:right w:val="single" w:sz="4" w:space="0" w:color="auto"/>
            </w:tcBorders>
            <w:shd w:val="clear" w:color="auto" w:fill="auto"/>
            <w:noWrap/>
            <w:vAlign w:val="center"/>
          </w:tcPr>
          <w:p w14:paraId="45577FD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12 194,5</w:t>
            </w:r>
          </w:p>
        </w:tc>
        <w:tc>
          <w:tcPr>
            <w:tcW w:w="850" w:type="dxa"/>
            <w:tcBorders>
              <w:top w:val="nil"/>
              <w:left w:val="nil"/>
              <w:bottom w:val="single" w:sz="4" w:space="0" w:color="auto"/>
              <w:right w:val="single" w:sz="4" w:space="0" w:color="auto"/>
            </w:tcBorders>
            <w:shd w:val="clear" w:color="auto" w:fill="auto"/>
            <w:noWrap/>
            <w:vAlign w:val="center"/>
          </w:tcPr>
          <w:p w14:paraId="48D083F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12 152,5</w:t>
            </w:r>
          </w:p>
        </w:tc>
        <w:tc>
          <w:tcPr>
            <w:tcW w:w="851" w:type="dxa"/>
            <w:tcBorders>
              <w:top w:val="single" w:sz="4" w:space="0" w:color="auto"/>
              <w:left w:val="nil"/>
              <w:bottom w:val="single" w:sz="4" w:space="0" w:color="auto"/>
              <w:right w:val="single" w:sz="4" w:space="0" w:color="auto"/>
            </w:tcBorders>
            <w:vAlign w:val="center"/>
          </w:tcPr>
          <w:p w14:paraId="0264912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11 587,6</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67212B8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12 679,4</w:t>
            </w:r>
          </w:p>
        </w:tc>
        <w:tc>
          <w:tcPr>
            <w:tcW w:w="851" w:type="dxa"/>
            <w:tcBorders>
              <w:top w:val="nil"/>
              <w:left w:val="nil"/>
              <w:bottom w:val="single" w:sz="4" w:space="0" w:color="auto"/>
              <w:right w:val="single" w:sz="4" w:space="0" w:color="auto"/>
            </w:tcBorders>
            <w:shd w:val="clear" w:color="auto" w:fill="auto"/>
            <w:noWrap/>
            <w:vAlign w:val="center"/>
          </w:tcPr>
          <w:p w14:paraId="7E8FDA3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12 525,4</w:t>
            </w:r>
          </w:p>
        </w:tc>
        <w:tc>
          <w:tcPr>
            <w:tcW w:w="850" w:type="dxa"/>
            <w:tcBorders>
              <w:top w:val="nil"/>
              <w:left w:val="nil"/>
              <w:bottom w:val="single" w:sz="4" w:space="0" w:color="auto"/>
              <w:right w:val="single" w:sz="4" w:space="0" w:color="auto"/>
            </w:tcBorders>
            <w:shd w:val="clear" w:color="auto" w:fill="auto"/>
            <w:noWrap/>
            <w:vAlign w:val="center"/>
          </w:tcPr>
          <w:p w14:paraId="6FB48B8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11 963,2</w:t>
            </w:r>
          </w:p>
        </w:tc>
      </w:tr>
      <w:tr w:rsidR="00854F1A" w:rsidRPr="00854F1A" w14:paraId="4E257855"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5DE9336"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Uzturēšanas izdevumi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24D39"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 xml:space="preserve">9 553,6 </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7192593"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10 132,3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AC35623"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11 144,8</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CC5F7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11 330,5</w:t>
            </w:r>
          </w:p>
        </w:tc>
        <w:tc>
          <w:tcPr>
            <w:tcW w:w="851" w:type="dxa"/>
            <w:tcBorders>
              <w:top w:val="single" w:sz="4" w:space="0" w:color="auto"/>
              <w:left w:val="nil"/>
              <w:bottom w:val="single" w:sz="4" w:space="0" w:color="auto"/>
              <w:right w:val="single" w:sz="4" w:space="0" w:color="auto"/>
            </w:tcBorders>
            <w:vAlign w:val="center"/>
          </w:tcPr>
          <w:p w14:paraId="357767D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10 934,2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8915B"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11 578,1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F4D248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11 632,6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D7E378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11 251,3</w:t>
            </w:r>
          </w:p>
        </w:tc>
      </w:tr>
      <w:tr w:rsidR="00854F1A" w:rsidRPr="00854F1A" w14:paraId="40648BC3"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E862E7F"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Kapitālie 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B27AE7"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1 013,9</w:t>
            </w:r>
          </w:p>
        </w:tc>
        <w:tc>
          <w:tcPr>
            <w:tcW w:w="850" w:type="dxa"/>
            <w:tcBorders>
              <w:top w:val="nil"/>
              <w:left w:val="nil"/>
              <w:bottom w:val="single" w:sz="4" w:space="0" w:color="auto"/>
              <w:right w:val="single" w:sz="4" w:space="0" w:color="auto"/>
            </w:tcBorders>
            <w:shd w:val="clear" w:color="auto" w:fill="auto"/>
            <w:noWrap/>
            <w:vAlign w:val="center"/>
          </w:tcPr>
          <w:p w14:paraId="7621D5AB"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1 415,8</w:t>
            </w:r>
          </w:p>
        </w:tc>
        <w:tc>
          <w:tcPr>
            <w:tcW w:w="851" w:type="dxa"/>
            <w:tcBorders>
              <w:top w:val="nil"/>
              <w:left w:val="nil"/>
              <w:bottom w:val="single" w:sz="4" w:space="0" w:color="auto"/>
              <w:right w:val="single" w:sz="4" w:space="0" w:color="auto"/>
            </w:tcBorders>
            <w:shd w:val="clear" w:color="auto" w:fill="auto"/>
            <w:noWrap/>
            <w:vAlign w:val="center"/>
          </w:tcPr>
          <w:p w14:paraId="0B0EF49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1 049,8</w:t>
            </w:r>
          </w:p>
        </w:tc>
        <w:tc>
          <w:tcPr>
            <w:tcW w:w="850" w:type="dxa"/>
            <w:tcBorders>
              <w:top w:val="nil"/>
              <w:left w:val="nil"/>
              <w:bottom w:val="single" w:sz="4" w:space="0" w:color="auto"/>
              <w:right w:val="single" w:sz="4" w:space="0" w:color="auto"/>
            </w:tcBorders>
            <w:shd w:val="clear" w:color="auto" w:fill="auto"/>
            <w:noWrap/>
            <w:vAlign w:val="center"/>
          </w:tcPr>
          <w:p w14:paraId="57C9F4E2"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822,0</w:t>
            </w:r>
          </w:p>
        </w:tc>
        <w:tc>
          <w:tcPr>
            <w:tcW w:w="851" w:type="dxa"/>
            <w:tcBorders>
              <w:top w:val="single" w:sz="4" w:space="0" w:color="auto"/>
              <w:left w:val="nil"/>
              <w:bottom w:val="single" w:sz="4" w:space="0" w:color="auto"/>
              <w:right w:val="single" w:sz="4" w:space="0" w:color="auto"/>
            </w:tcBorders>
            <w:vAlign w:val="center"/>
          </w:tcPr>
          <w:p w14:paraId="79C46C7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653,4</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F8341A3"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1 101,3</w:t>
            </w:r>
          </w:p>
        </w:tc>
        <w:tc>
          <w:tcPr>
            <w:tcW w:w="851" w:type="dxa"/>
            <w:tcBorders>
              <w:top w:val="nil"/>
              <w:left w:val="nil"/>
              <w:bottom w:val="single" w:sz="4" w:space="0" w:color="auto"/>
              <w:right w:val="single" w:sz="4" w:space="0" w:color="auto"/>
            </w:tcBorders>
            <w:shd w:val="clear" w:color="auto" w:fill="auto"/>
            <w:noWrap/>
            <w:vAlign w:val="center"/>
          </w:tcPr>
          <w:p w14:paraId="697A140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892,9</w:t>
            </w:r>
          </w:p>
        </w:tc>
        <w:tc>
          <w:tcPr>
            <w:tcW w:w="850" w:type="dxa"/>
            <w:tcBorders>
              <w:top w:val="nil"/>
              <w:left w:val="nil"/>
              <w:bottom w:val="single" w:sz="4" w:space="0" w:color="auto"/>
              <w:right w:val="single" w:sz="4" w:space="0" w:color="auto"/>
            </w:tcBorders>
            <w:shd w:val="clear" w:color="auto" w:fill="auto"/>
            <w:noWrap/>
            <w:vAlign w:val="center"/>
          </w:tcPr>
          <w:p w14:paraId="0B5E6C1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711,9</w:t>
            </w:r>
          </w:p>
        </w:tc>
      </w:tr>
      <w:tr w:rsidR="00854F1A" w:rsidRPr="00854F1A" w14:paraId="5F8147A7"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C528B88" w14:textId="77777777" w:rsidR="00854F1A" w:rsidRPr="00854F1A" w:rsidRDefault="00854F1A" w:rsidP="00854F1A">
            <w:pPr>
              <w:spacing w:after="0"/>
              <w:ind w:firstLine="0"/>
              <w:jc w:val="left"/>
              <w:rPr>
                <w:rFonts w:eastAsia="Times New Roman" w:cs="Times New Roman"/>
                <w:b/>
                <w:bCs/>
                <w:i/>
                <w:iCs/>
                <w:sz w:val="19"/>
                <w:szCs w:val="19"/>
              </w:rPr>
            </w:pPr>
            <w:r w:rsidRPr="00854F1A">
              <w:rPr>
                <w:rFonts w:eastAsia="Times New Roman" w:cs="Times New Roman"/>
                <w:b/>
                <w:bCs/>
                <w:i/>
                <w:iCs/>
                <w:sz w:val="19"/>
                <w:szCs w:val="19"/>
              </w:rPr>
              <w:t>VALSTS SPECIĀLĀ BUDŽETA BILANCE</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5BFDC7D"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251,4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C7A7976"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362,5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1925360"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338,3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5954380"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247,1</w:t>
            </w:r>
          </w:p>
        </w:tc>
        <w:tc>
          <w:tcPr>
            <w:tcW w:w="851" w:type="dxa"/>
            <w:tcBorders>
              <w:top w:val="single" w:sz="4" w:space="0" w:color="auto"/>
              <w:left w:val="nil"/>
              <w:bottom w:val="single" w:sz="4" w:space="0" w:color="auto"/>
              <w:right w:val="single" w:sz="4" w:space="0" w:color="auto"/>
            </w:tcBorders>
            <w:vAlign w:val="center"/>
          </w:tcPr>
          <w:p w14:paraId="4A4B2CC3"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222,9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11593" w14:textId="77777777" w:rsidR="00854F1A" w:rsidRPr="00854F1A" w:rsidRDefault="00854F1A" w:rsidP="00854F1A">
            <w:pPr>
              <w:spacing w:after="0"/>
              <w:ind w:firstLine="0"/>
              <w:jc w:val="right"/>
              <w:rPr>
                <w:rFonts w:eastAsia="Times New Roman" w:cs="Times New Roman"/>
                <w:b/>
                <w:bCs/>
                <w:i/>
                <w:color w:val="FF0000"/>
                <w:sz w:val="18"/>
                <w:szCs w:val="18"/>
              </w:rPr>
            </w:pPr>
            <w:r w:rsidRPr="00854F1A">
              <w:rPr>
                <w:b/>
                <w:bCs/>
                <w:sz w:val="18"/>
                <w:szCs w:val="18"/>
              </w:rPr>
              <w:t>465,3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1A56EFC" w14:textId="77777777" w:rsidR="00854F1A" w:rsidRPr="00854F1A" w:rsidRDefault="00854F1A" w:rsidP="00854F1A">
            <w:pPr>
              <w:spacing w:after="0"/>
              <w:ind w:firstLine="0"/>
              <w:jc w:val="right"/>
              <w:rPr>
                <w:rFonts w:eastAsia="Times New Roman" w:cs="Times New Roman"/>
                <w:b/>
                <w:bCs/>
                <w:i/>
                <w:color w:val="FF0000"/>
                <w:sz w:val="18"/>
                <w:szCs w:val="18"/>
              </w:rPr>
            </w:pPr>
            <w:r w:rsidRPr="00854F1A">
              <w:rPr>
                <w:b/>
                <w:bCs/>
                <w:sz w:val="18"/>
                <w:szCs w:val="18"/>
              </w:rPr>
              <w:t>430,6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9F976F" w14:textId="77777777" w:rsidR="00854F1A" w:rsidRPr="00854F1A" w:rsidRDefault="00854F1A" w:rsidP="00854F1A">
            <w:pPr>
              <w:spacing w:after="0"/>
              <w:ind w:firstLine="0"/>
              <w:jc w:val="right"/>
              <w:rPr>
                <w:rFonts w:eastAsia="Times New Roman" w:cs="Times New Roman"/>
                <w:b/>
                <w:bCs/>
                <w:i/>
                <w:color w:val="FF0000"/>
                <w:sz w:val="18"/>
                <w:szCs w:val="18"/>
              </w:rPr>
            </w:pPr>
            <w:r w:rsidRPr="00854F1A">
              <w:rPr>
                <w:b/>
                <w:bCs/>
                <w:sz w:val="18"/>
                <w:szCs w:val="18"/>
              </w:rPr>
              <w:t>409,4</w:t>
            </w:r>
          </w:p>
        </w:tc>
      </w:tr>
      <w:tr w:rsidR="00854F1A" w:rsidRPr="00854F1A" w14:paraId="77585AFE"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DA6B2B2" w14:textId="77777777" w:rsidR="00854F1A" w:rsidRPr="00854F1A" w:rsidRDefault="00854F1A" w:rsidP="00854F1A">
            <w:pPr>
              <w:spacing w:after="0"/>
              <w:ind w:left="-183" w:firstLineChars="100" w:firstLine="190"/>
              <w:jc w:val="left"/>
              <w:rPr>
                <w:rFonts w:eastAsia="Times New Roman" w:cs="Times New Roman"/>
                <w:sz w:val="19"/>
                <w:szCs w:val="19"/>
              </w:rPr>
            </w:pPr>
            <w:r w:rsidRPr="00854F1A">
              <w:rPr>
                <w:rFonts w:eastAsia="Times New Roman" w:cs="Times New Roman"/>
                <w:sz w:val="19"/>
                <w:szCs w:val="19"/>
              </w:rPr>
              <w:t>Ieņēmumi</w:t>
            </w:r>
          </w:p>
        </w:tc>
        <w:tc>
          <w:tcPr>
            <w:tcW w:w="851" w:type="dxa"/>
            <w:tcBorders>
              <w:top w:val="nil"/>
              <w:left w:val="nil"/>
              <w:bottom w:val="single" w:sz="4" w:space="0" w:color="auto"/>
              <w:right w:val="single" w:sz="4" w:space="0" w:color="auto"/>
            </w:tcBorders>
            <w:shd w:val="clear" w:color="auto" w:fill="auto"/>
            <w:noWrap/>
            <w:vAlign w:val="center"/>
          </w:tcPr>
          <w:p w14:paraId="7F225F7B"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4 239,7</w:t>
            </w:r>
          </w:p>
        </w:tc>
        <w:tc>
          <w:tcPr>
            <w:tcW w:w="850" w:type="dxa"/>
            <w:tcBorders>
              <w:top w:val="nil"/>
              <w:left w:val="nil"/>
              <w:bottom w:val="single" w:sz="4" w:space="0" w:color="auto"/>
              <w:right w:val="single" w:sz="4" w:space="0" w:color="auto"/>
            </w:tcBorders>
            <w:shd w:val="clear" w:color="auto" w:fill="auto"/>
            <w:noWrap/>
            <w:vAlign w:val="center"/>
          </w:tcPr>
          <w:p w14:paraId="64B5E59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4 713,5</w:t>
            </w:r>
          </w:p>
        </w:tc>
        <w:tc>
          <w:tcPr>
            <w:tcW w:w="851" w:type="dxa"/>
            <w:tcBorders>
              <w:top w:val="nil"/>
              <w:left w:val="nil"/>
              <w:bottom w:val="single" w:sz="4" w:space="0" w:color="auto"/>
              <w:right w:val="single" w:sz="4" w:space="0" w:color="auto"/>
            </w:tcBorders>
            <w:shd w:val="clear" w:color="auto" w:fill="auto"/>
            <w:noWrap/>
            <w:vAlign w:val="center"/>
          </w:tcPr>
          <w:p w14:paraId="3135F86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5 092,2</w:t>
            </w:r>
          </w:p>
        </w:tc>
        <w:tc>
          <w:tcPr>
            <w:tcW w:w="850" w:type="dxa"/>
            <w:tcBorders>
              <w:top w:val="nil"/>
              <w:left w:val="nil"/>
              <w:bottom w:val="single" w:sz="4" w:space="0" w:color="auto"/>
              <w:right w:val="single" w:sz="4" w:space="0" w:color="auto"/>
            </w:tcBorders>
            <w:shd w:val="clear" w:color="auto" w:fill="auto"/>
            <w:noWrap/>
            <w:vAlign w:val="center"/>
          </w:tcPr>
          <w:p w14:paraId="7E8818E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5 405,1</w:t>
            </w:r>
          </w:p>
        </w:tc>
        <w:tc>
          <w:tcPr>
            <w:tcW w:w="851" w:type="dxa"/>
            <w:tcBorders>
              <w:top w:val="single" w:sz="4" w:space="0" w:color="auto"/>
              <w:left w:val="nil"/>
              <w:bottom w:val="single" w:sz="4" w:space="0" w:color="auto"/>
              <w:right w:val="single" w:sz="4" w:space="0" w:color="auto"/>
            </w:tcBorders>
            <w:vAlign w:val="center"/>
          </w:tcPr>
          <w:p w14:paraId="463055A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5 714,8</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475375C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5 209,0</w:t>
            </w:r>
          </w:p>
        </w:tc>
        <w:tc>
          <w:tcPr>
            <w:tcW w:w="851" w:type="dxa"/>
            <w:tcBorders>
              <w:top w:val="nil"/>
              <w:left w:val="nil"/>
              <w:bottom w:val="single" w:sz="4" w:space="0" w:color="auto"/>
              <w:right w:val="single" w:sz="4" w:space="0" w:color="auto"/>
            </w:tcBorders>
            <w:shd w:val="clear" w:color="auto" w:fill="auto"/>
            <w:noWrap/>
            <w:vAlign w:val="center"/>
          </w:tcPr>
          <w:p w14:paraId="67DA72B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5 585,9</w:t>
            </w:r>
          </w:p>
        </w:tc>
        <w:tc>
          <w:tcPr>
            <w:tcW w:w="850" w:type="dxa"/>
            <w:tcBorders>
              <w:top w:val="nil"/>
              <w:left w:val="nil"/>
              <w:bottom w:val="single" w:sz="4" w:space="0" w:color="auto"/>
              <w:right w:val="single" w:sz="4" w:space="0" w:color="auto"/>
            </w:tcBorders>
            <w:shd w:val="clear" w:color="auto" w:fill="auto"/>
            <w:noWrap/>
            <w:vAlign w:val="center"/>
          </w:tcPr>
          <w:p w14:paraId="4270AAE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5 909,8</w:t>
            </w:r>
          </w:p>
        </w:tc>
      </w:tr>
      <w:tr w:rsidR="00854F1A" w:rsidRPr="00854F1A" w14:paraId="544B5FF2"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3A7B9A3"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Nodokļu ieņēmumi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96354"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3 883,6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5B4616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4 315,8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40AC9F3"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4 580,1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CF234F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4 871,0</w:t>
            </w:r>
          </w:p>
        </w:tc>
        <w:tc>
          <w:tcPr>
            <w:tcW w:w="851" w:type="dxa"/>
            <w:tcBorders>
              <w:top w:val="single" w:sz="4" w:space="0" w:color="auto"/>
              <w:left w:val="nil"/>
              <w:bottom w:val="single" w:sz="4" w:space="0" w:color="auto"/>
              <w:right w:val="single" w:sz="4" w:space="0" w:color="auto"/>
            </w:tcBorders>
            <w:vAlign w:val="center"/>
          </w:tcPr>
          <w:p w14:paraId="12E6985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5 123,3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FD6D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4 697,2</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491D2A4"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5 052,1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94AC3E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5 318,7</w:t>
            </w:r>
          </w:p>
        </w:tc>
      </w:tr>
      <w:tr w:rsidR="00854F1A" w:rsidRPr="00854F1A" w14:paraId="2C86E31C"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AACA2A0"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Pārējie ieņēmumi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E7BA8C"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356,0</w:t>
            </w:r>
          </w:p>
        </w:tc>
        <w:tc>
          <w:tcPr>
            <w:tcW w:w="850" w:type="dxa"/>
            <w:tcBorders>
              <w:top w:val="nil"/>
              <w:left w:val="nil"/>
              <w:bottom w:val="single" w:sz="4" w:space="0" w:color="auto"/>
              <w:right w:val="single" w:sz="4" w:space="0" w:color="auto"/>
            </w:tcBorders>
            <w:shd w:val="clear" w:color="auto" w:fill="auto"/>
            <w:noWrap/>
            <w:vAlign w:val="center"/>
          </w:tcPr>
          <w:p w14:paraId="03EC98A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397,7</w:t>
            </w:r>
          </w:p>
        </w:tc>
        <w:tc>
          <w:tcPr>
            <w:tcW w:w="851" w:type="dxa"/>
            <w:tcBorders>
              <w:top w:val="nil"/>
              <w:left w:val="nil"/>
              <w:bottom w:val="single" w:sz="4" w:space="0" w:color="auto"/>
              <w:right w:val="single" w:sz="4" w:space="0" w:color="auto"/>
            </w:tcBorders>
            <w:shd w:val="clear" w:color="auto" w:fill="auto"/>
            <w:noWrap/>
            <w:vAlign w:val="center"/>
          </w:tcPr>
          <w:p w14:paraId="26A9FC97"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512,0</w:t>
            </w:r>
          </w:p>
        </w:tc>
        <w:tc>
          <w:tcPr>
            <w:tcW w:w="850" w:type="dxa"/>
            <w:tcBorders>
              <w:top w:val="nil"/>
              <w:left w:val="nil"/>
              <w:bottom w:val="single" w:sz="4" w:space="0" w:color="auto"/>
              <w:right w:val="single" w:sz="4" w:space="0" w:color="auto"/>
            </w:tcBorders>
            <w:shd w:val="clear" w:color="auto" w:fill="auto"/>
            <w:noWrap/>
            <w:vAlign w:val="center"/>
          </w:tcPr>
          <w:p w14:paraId="624BFB3B"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534,0</w:t>
            </w:r>
          </w:p>
        </w:tc>
        <w:tc>
          <w:tcPr>
            <w:tcW w:w="851" w:type="dxa"/>
            <w:tcBorders>
              <w:top w:val="single" w:sz="4" w:space="0" w:color="auto"/>
              <w:left w:val="nil"/>
              <w:bottom w:val="single" w:sz="4" w:space="0" w:color="auto"/>
              <w:right w:val="single" w:sz="4" w:space="0" w:color="auto"/>
            </w:tcBorders>
            <w:vAlign w:val="center"/>
          </w:tcPr>
          <w:p w14:paraId="17F1E020"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591,6</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352FEF5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511,8</w:t>
            </w:r>
          </w:p>
        </w:tc>
        <w:tc>
          <w:tcPr>
            <w:tcW w:w="851" w:type="dxa"/>
            <w:tcBorders>
              <w:top w:val="nil"/>
              <w:left w:val="nil"/>
              <w:bottom w:val="single" w:sz="4" w:space="0" w:color="auto"/>
              <w:right w:val="single" w:sz="4" w:space="0" w:color="auto"/>
            </w:tcBorders>
            <w:shd w:val="clear" w:color="auto" w:fill="auto"/>
            <w:noWrap/>
            <w:vAlign w:val="center"/>
          </w:tcPr>
          <w:p w14:paraId="0AFE7E0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533,7</w:t>
            </w:r>
          </w:p>
        </w:tc>
        <w:tc>
          <w:tcPr>
            <w:tcW w:w="850" w:type="dxa"/>
            <w:tcBorders>
              <w:top w:val="nil"/>
              <w:left w:val="nil"/>
              <w:bottom w:val="single" w:sz="4" w:space="0" w:color="auto"/>
              <w:right w:val="single" w:sz="4" w:space="0" w:color="auto"/>
            </w:tcBorders>
            <w:shd w:val="clear" w:color="auto" w:fill="auto"/>
            <w:noWrap/>
            <w:vAlign w:val="center"/>
          </w:tcPr>
          <w:p w14:paraId="6036AC8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591,2</w:t>
            </w:r>
          </w:p>
        </w:tc>
      </w:tr>
      <w:tr w:rsidR="00854F1A" w:rsidRPr="00854F1A" w14:paraId="3389AB42"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DC377FF" w14:textId="77777777" w:rsidR="00854F1A" w:rsidRPr="00854F1A" w:rsidRDefault="00854F1A" w:rsidP="00854F1A">
            <w:pPr>
              <w:spacing w:after="0"/>
              <w:ind w:left="-183" w:firstLineChars="100" w:firstLine="190"/>
              <w:jc w:val="left"/>
              <w:rPr>
                <w:rFonts w:eastAsia="Times New Roman" w:cs="Times New Roman"/>
                <w:sz w:val="19"/>
                <w:szCs w:val="19"/>
              </w:rPr>
            </w:pPr>
            <w:r w:rsidRPr="00854F1A">
              <w:rPr>
                <w:rFonts w:eastAsia="Times New Roman" w:cs="Times New Roman"/>
                <w:sz w:val="19"/>
                <w:szCs w:val="19"/>
              </w:rPr>
              <w:t>Izdevumi</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EDF4EC5"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3 988,3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7DDD34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4 350,9</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40014DA"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4 753,8</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2CCDE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5 158,0</w:t>
            </w:r>
          </w:p>
        </w:tc>
        <w:tc>
          <w:tcPr>
            <w:tcW w:w="851" w:type="dxa"/>
            <w:tcBorders>
              <w:top w:val="single" w:sz="4" w:space="0" w:color="auto"/>
              <w:left w:val="nil"/>
              <w:bottom w:val="single" w:sz="4" w:space="0" w:color="auto"/>
              <w:right w:val="single" w:sz="4" w:space="0" w:color="auto"/>
            </w:tcBorders>
            <w:vAlign w:val="center"/>
          </w:tcPr>
          <w:p w14:paraId="2BE4078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5 491,9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1ECD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4 743,6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2E78DF4"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5 155,2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83DBD0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5 500,4</w:t>
            </w:r>
          </w:p>
        </w:tc>
      </w:tr>
      <w:tr w:rsidR="00854F1A" w:rsidRPr="00854F1A" w14:paraId="473B04ED"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37BC42A"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Uzturēšanas izdevumi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15A24"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3 986,4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08C23F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4 349,8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B4BC0F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4 752,8</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436E3EE"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5 157,0</w:t>
            </w:r>
          </w:p>
        </w:tc>
        <w:tc>
          <w:tcPr>
            <w:tcW w:w="851" w:type="dxa"/>
            <w:tcBorders>
              <w:top w:val="single" w:sz="4" w:space="0" w:color="auto"/>
              <w:left w:val="nil"/>
              <w:bottom w:val="single" w:sz="4" w:space="0" w:color="auto"/>
              <w:right w:val="single" w:sz="4" w:space="0" w:color="auto"/>
            </w:tcBorders>
            <w:vAlign w:val="center"/>
          </w:tcPr>
          <w:p w14:paraId="68D2E26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5 490,8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53594"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4 742,6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32561A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5 154,2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C1F48D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5 498,6</w:t>
            </w:r>
          </w:p>
        </w:tc>
      </w:tr>
      <w:tr w:rsidR="00854F1A" w:rsidRPr="00854F1A" w14:paraId="1092A2BC"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E38CC3E" w14:textId="77777777" w:rsidR="00854F1A" w:rsidRPr="00854F1A" w:rsidRDefault="00854F1A" w:rsidP="00854F1A">
            <w:pPr>
              <w:spacing w:after="0"/>
              <w:ind w:left="-239" w:firstLineChars="200" w:firstLine="380"/>
              <w:jc w:val="left"/>
              <w:rPr>
                <w:rFonts w:eastAsia="Times New Roman" w:cs="Times New Roman"/>
                <w:sz w:val="19"/>
                <w:szCs w:val="19"/>
              </w:rPr>
            </w:pPr>
            <w:r w:rsidRPr="00854F1A">
              <w:rPr>
                <w:rFonts w:eastAsia="Times New Roman" w:cs="Times New Roman"/>
                <w:sz w:val="19"/>
                <w:szCs w:val="19"/>
              </w:rPr>
              <w:t>Kapitālie 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4003FB1"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1,8</w:t>
            </w:r>
          </w:p>
        </w:tc>
        <w:tc>
          <w:tcPr>
            <w:tcW w:w="850" w:type="dxa"/>
            <w:tcBorders>
              <w:top w:val="nil"/>
              <w:left w:val="nil"/>
              <w:bottom w:val="single" w:sz="4" w:space="0" w:color="auto"/>
              <w:right w:val="single" w:sz="4" w:space="0" w:color="auto"/>
            </w:tcBorders>
            <w:shd w:val="clear" w:color="auto" w:fill="auto"/>
            <w:noWrap/>
            <w:vAlign w:val="center"/>
          </w:tcPr>
          <w:p w14:paraId="3898229F"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w:t>
            </w:r>
          </w:p>
        </w:tc>
        <w:tc>
          <w:tcPr>
            <w:tcW w:w="851" w:type="dxa"/>
            <w:tcBorders>
              <w:top w:val="nil"/>
              <w:left w:val="nil"/>
              <w:bottom w:val="single" w:sz="4" w:space="0" w:color="auto"/>
              <w:right w:val="single" w:sz="4" w:space="0" w:color="auto"/>
            </w:tcBorders>
            <w:shd w:val="clear" w:color="auto" w:fill="auto"/>
            <w:noWrap/>
            <w:vAlign w:val="center"/>
          </w:tcPr>
          <w:p w14:paraId="3F7505E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w:t>
            </w:r>
          </w:p>
        </w:tc>
        <w:tc>
          <w:tcPr>
            <w:tcW w:w="850" w:type="dxa"/>
            <w:tcBorders>
              <w:top w:val="nil"/>
              <w:left w:val="nil"/>
              <w:bottom w:val="single" w:sz="4" w:space="0" w:color="auto"/>
              <w:right w:val="single" w:sz="4" w:space="0" w:color="auto"/>
            </w:tcBorders>
            <w:shd w:val="clear" w:color="auto" w:fill="auto"/>
            <w:noWrap/>
            <w:vAlign w:val="center"/>
          </w:tcPr>
          <w:p w14:paraId="076F539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w:t>
            </w:r>
          </w:p>
        </w:tc>
        <w:tc>
          <w:tcPr>
            <w:tcW w:w="851" w:type="dxa"/>
            <w:tcBorders>
              <w:top w:val="single" w:sz="4" w:space="0" w:color="auto"/>
              <w:left w:val="nil"/>
              <w:bottom w:val="single" w:sz="4" w:space="0" w:color="auto"/>
              <w:right w:val="single" w:sz="4" w:space="0" w:color="auto"/>
            </w:tcBorders>
            <w:vAlign w:val="center"/>
          </w:tcPr>
          <w:p w14:paraId="54E6B34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31797CF2"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1,1</w:t>
            </w:r>
          </w:p>
        </w:tc>
        <w:tc>
          <w:tcPr>
            <w:tcW w:w="851" w:type="dxa"/>
            <w:tcBorders>
              <w:top w:val="nil"/>
              <w:left w:val="nil"/>
              <w:bottom w:val="single" w:sz="4" w:space="0" w:color="auto"/>
              <w:right w:val="single" w:sz="4" w:space="0" w:color="auto"/>
            </w:tcBorders>
            <w:shd w:val="clear" w:color="auto" w:fill="auto"/>
            <w:noWrap/>
            <w:vAlign w:val="center"/>
          </w:tcPr>
          <w:p w14:paraId="1CBB1FF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1,0</w:t>
            </w:r>
          </w:p>
        </w:tc>
        <w:tc>
          <w:tcPr>
            <w:tcW w:w="850" w:type="dxa"/>
            <w:tcBorders>
              <w:top w:val="nil"/>
              <w:left w:val="nil"/>
              <w:bottom w:val="single" w:sz="4" w:space="0" w:color="auto"/>
              <w:right w:val="single" w:sz="4" w:space="0" w:color="auto"/>
            </w:tcBorders>
            <w:shd w:val="clear" w:color="auto" w:fill="auto"/>
            <w:noWrap/>
            <w:vAlign w:val="center"/>
          </w:tcPr>
          <w:p w14:paraId="51C513BA"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1,8</w:t>
            </w:r>
          </w:p>
        </w:tc>
      </w:tr>
      <w:tr w:rsidR="00854F1A" w:rsidRPr="00854F1A" w14:paraId="639A8818"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479C9CE" w14:textId="77777777" w:rsidR="00854F1A" w:rsidRPr="00854F1A" w:rsidRDefault="00854F1A" w:rsidP="00854F1A">
            <w:pPr>
              <w:spacing w:after="0"/>
              <w:ind w:firstLine="0"/>
              <w:jc w:val="left"/>
              <w:rPr>
                <w:rFonts w:eastAsia="Times New Roman" w:cs="Times New Roman"/>
                <w:b/>
                <w:bCs/>
                <w:i/>
                <w:iCs/>
                <w:sz w:val="19"/>
                <w:szCs w:val="19"/>
              </w:rPr>
            </w:pPr>
            <w:r w:rsidRPr="00854F1A">
              <w:rPr>
                <w:rFonts w:eastAsia="Times New Roman" w:cs="Times New Roman"/>
                <w:b/>
                <w:bCs/>
                <w:i/>
                <w:iCs/>
                <w:sz w:val="19"/>
                <w:szCs w:val="19"/>
              </w:rPr>
              <w:t>ATVAS. PUBL. PERS. BUDŽETA BILANCE</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F3FD6ED"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12,6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F251BF0"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37,9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DAD97DD"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7A7AC4F"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14,9</w:t>
            </w:r>
          </w:p>
        </w:tc>
        <w:tc>
          <w:tcPr>
            <w:tcW w:w="851" w:type="dxa"/>
            <w:tcBorders>
              <w:top w:val="single" w:sz="4" w:space="0" w:color="auto"/>
              <w:left w:val="nil"/>
              <w:bottom w:val="single" w:sz="4" w:space="0" w:color="auto"/>
              <w:right w:val="single" w:sz="4" w:space="0" w:color="auto"/>
            </w:tcBorders>
            <w:vAlign w:val="center"/>
          </w:tcPr>
          <w:p w14:paraId="568A4749"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-5,9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DADA3" w14:textId="77777777" w:rsidR="00854F1A" w:rsidRPr="00854F1A" w:rsidRDefault="00854F1A" w:rsidP="00854F1A">
            <w:pPr>
              <w:spacing w:after="0"/>
              <w:ind w:firstLine="0"/>
              <w:jc w:val="right"/>
              <w:rPr>
                <w:rFonts w:eastAsia="Times New Roman" w:cs="Times New Roman"/>
                <w:b/>
                <w:bCs/>
                <w:i/>
                <w:color w:val="FF0000"/>
                <w:sz w:val="18"/>
                <w:szCs w:val="18"/>
              </w:rPr>
            </w:pPr>
            <w:r w:rsidRPr="00854F1A">
              <w:rPr>
                <w:b/>
                <w:bCs/>
                <w:sz w:val="18"/>
                <w:szCs w:val="18"/>
              </w:rPr>
              <w:t>18,8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05B1232" w14:textId="77777777" w:rsidR="00854F1A" w:rsidRPr="00854F1A" w:rsidRDefault="00854F1A" w:rsidP="00854F1A">
            <w:pPr>
              <w:spacing w:after="0"/>
              <w:ind w:firstLine="0"/>
              <w:jc w:val="right"/>
              <w:rPr>
                <w:rFonts w:eastAsia="Times New Roman" w:cs="Times New Roman"/>
                <w:b/>
                <w:bCs/>
                <w:i/>
                <w:color w:val="FF0000"/>
                <w:sz w:val="18"/>
                <w:szCs w:val="18"/>
              </w:rPr>
            </w:pPr>
            <w:r w:rsidRPr="00854F1A">
              <w:rPr>
                <w:b/>
                <w:bCs/>
                <w:sz w:val="18"/>
                <w:szCs w:val="18"/>
              </w:rPr>
              <w:t>15,2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0D5C2AF"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-5,5</w:t>
            </w:r>
          </w:p>
        </w:tc>
      </w:tr>
      <w:tr w:rsidR="00854F1A" w:rsidRPr="00854F1A" w14:paraId="34673590" w14:textId="77777777" w:rsidTr="002C61B1">
        <w:trPr>
          <w:trHeight w:val="75"/>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A63E4C0" w14:textId="77777777" w:rsidR="00854F1A" w:rsidRPr="00854F1A" w:rsidRDefault="00854F1A" w:rsidP="00854F1A">
            <w:pPr>
              <w:spacing w:after="0"/>
              <w:ind w:left="-183" w:firstLineChars="100" w:firstLine="190"/>
              <w:jc w:val="left"/>
              <w:rPr>
                <w:rFonts w:eastAsia="Times New Roman" w:cs="Times New Roman"/>
                <w:sz w:val="19"/>
                <w:szCs w:val="19"/>
              </w:rPr>
            </w:pPr>
            <w:r w:rsidRPr="00854F1A">
              <w:rPr>
                <w:rFonts w:eastAsia="Times New Roman" w:cs="Times New Roman"/>
                <w:sz w:val="19"/>
                <w:szCs w:val="19"/>
              </w:rPr>
              <w:t>Ieņēmumi</w:t>
            </w:r>
          </w:p>
        </w:tc>
        <w:tc>
          <w:tcPr>
            <w:tcW w:w="851" w:type="dxa"/>
            <w:tcBorders>
              <w:top w:val="nil"/>
              <w:left w:val="nil"/>
              <w:bottom w:val="single" w:sz="4" w:space="0" w:color="auto"/>
              <w:right w:val="single" w:sz="4" w:space="0" w:color="auto"/>
            </w:tcBorders>
            <w:shd w:val="clear" w:color="auto" w:fill="auto"/>
            <w:noWrap/>
            <w:vAlign w:val="center"/>
            <w:hideMark/>
          </w:tcPr>
          <w:p w14:paraId="254B6009"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603,6</w:t>
            </w:r>
          </w:p>
        </w:tc>
        <w:tc>
          <w:tcPr>
            <w:tcW w:w="850" w:type="dxa"/>
            <w:tcBorders>
              <w:top w:val="nil"/>
              <w:left w:val="nil"/>
              <w:bottom w:val="single" w:sz="4" w:space="0" w:color="auto"/>
              <w:right w:val="single" w:sz="4" w:space="0" w:color="auto"/>
            </w:tcBorders>
            <w:shd w:val="clear" w:color="auto" w:fill="auto"/>
            <w:noWrap/>
            <w:vAlign w:val="center"/>
            <w:hideMark/>
          </w:tcPr>
          <w:p w14:paraId="57AFFB48"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657,4</w:t>
            </w:r>
          </w:p>
        </w:tc>
        <w:tc>
          <w:tcPr>
            <w:tcW w:w="851" w:type="dxa"/>
            <w:tcBorders>
              <w:top w:val="nil"/>
              <w:left w:val="nil"/>
              <w:bottom w:val="single" w:sz="4" w:space="0" w:color="auto"/>
              <w:right w:val="single" w:sz="4" w:space="0" w:color="auto"/>
            </w:tcBorders>
            <w:shd w:val="clear" w:color="auto" w:fill="auto"/>
            <w:noWrap/>
            <w:vAlign w:val="center"/>
            <w:hideMark/>
          </w:tcPr>
          <w:p w14:paraId="1547D3F9"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677,7</w:t>
            </w:r>
          </w:p>
        </w:tc>
        <w:tc>
          <w:tcPr>
            <w:tcW w:w="850" w:type="dxa"/>
            <w:tcBorders>
              <w:top w:val="nil"/>
              <w:left w:val="nil"/>
              <w:bottom w:val="single" w:sz="4" w:space="0" w:color="auto"/>
              <w:right w:val="single" w:sz="4" w:space="0" w:color="auto"/>
            </w:tcBorders>
            <w:shd w:val="clear" w:color="auto" w:fill="auto"/>
            <w:noWrap/>
            <w:vAlign w:val="center"/>
            <w:hideMark/>
          </w:tcPr>
          <w:p w14:paraId="7F9BB0A0"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675,6</w:t>
            </w:r>
          </w:p>
        </w:tc>
        <w:tc>
          <w:tcPr>
            <w:tcW w:w="851" w:type="dxa"/>
            <w:tcBorders>
              <w:top w:val="single" w:sz="4" w:space="0" w:color="auto"/>
              <w:left w:val="nil"/>
              <w:bottom w:val="single" w:sz="4" w:space="0" w:color="auto"/>
              <w:right w:val="single" w:sz="4" w:space="0" w:color="auto"/>
            </w:tcBorders>
            <w:vAlign w:val="center"/>
          </w:tcPr>
          <w:p w14:paraId="12D3DAA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666,6</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478A55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678,4</w:t>
            </w:r>
          </w:p>
        </w:tc>
        <w:tc>
          <w:tcPr>
            <w:tcW w:w="851" w:type="dxa"/>
            <w:tcBorders>
              <w:top w:val="nil"/>
              <w:left w:val="nil"/>
              <w:bottom w:val="single" w:sz="4" w:space="0" w:color="auto"/>
              <w:right w:val="single" w:sz="4" w:space="0" w:color="auto"/>
            </w:tcBorders>
            <w:shd w:val="clear" w:color="auto" w:fill="auto"/>
            <w:noWrap/>
            <w:vAlign w:val="center"/>
            <w:hideMark/>
          </w:tcPr>
          <w:p w14:paraId="036CD96C" w14:textId="77777777" w:rsidR="00854F1A" w:rsidRPr="00854F1A" w:rsidRDefault="00854F1A" w:rsidP="00854F1A">
            <w:pPr>
              <w:spacing w:after="0"/>
              <w:ind w:firstLine="0"/>
              <w:jc w:val="right"/>
              <w:rPr>
                <w:rFonts w:eastAsia="Times New Roman" w:cs="Times New Roman"/>
                <w:bCs/>
                <w:color w:val="FF0000"/>
                <w:sz w:val="18"/>
                <w:szCs w:val="18"/>
              </w:rPr>
            </w:pPr>
            <w:r w:rsidRPr="00854F1A">
              <w:rPr>
                <w:sz w:val="18"/>
                <w:szCs w:val="18"/>
              </w:rPr>
              <w:t>674,2</w:t>
            </w:r>
          </w:p>
        </w:tc>
        <w:tc>
          <w:tcPr>
            <w:tcW w:w="850" w:type="dxa"/>
            <w:tcBorders>
              <w:top w:val="nil"/>
              <w:left w:val="nil"/>
              <w:bottom w:val="single" w:sz="4" w:space="0" w:color="auto"/>
              <w:right w:val="single" w:sz="4" w:space="0" w:color="auto"/>
            </w:tcBorders>
            <w:shd w:val="clear" w:color="auto" w:fill="auto"/>
            <w:noWrap/>
            <w:vAlign w:val="center"/>
            <w:hideMark/>
          </w:tcPr>
          <w:p w14:paraId="01DDC8A6" w14:textId="77777777" w:rsidR="00854F1A" w:rsidRPr="00854F1A" w:rsidRDefault="00854F1A" w:rsidP="00854F1A">
            <w:pPr>
              <w:spacing w:after="0"/>
              <w:ind w:firstLine="0"/>
              <w:jc w:val="right"/>
              <w:rPr>
                <w:rFonts w:eastAsia="Times New Roman" w:cs="Times New Roman"/>
                <w:bCs/>
                <w:color w:val="FF0000"/>
                <w:sz w:val="18"/>
                <w:szCs w:val="18"/>
              </w:rPr>
            </w:pPr>
            <w:r w:rsidRPr="00854F1A">
              <w:rPr>
                <w:sz w:val="18"/>
                <w:szCs w:val="18"/>
              </w:rPr>
              <w:t>664,0</w:t>
            </w:r>
          </w:p>
        </w:tc>
      </w:tr>
      <w:tr w:rsidR="00854F1A" w:rsidRPr="00854F1A" w14:paraId="1762AD3E" w14:textId="77777777" w:rsidTr="002C61B1">
        <w:trPr>
          <w:trHeight w:val="75"/>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EA410" w14:textId="77777777" w:rsidR="00854F1A" w:rsidRPr="00854F1A" w:rsidRDefault="00854F1A" w:rsidP="00854F1A">
            <w:pPr>
              <w:spacing w:after="0"/>
              <w:ind w:left="-183" w:firstLineChars="100" w:firstLine="190"/>
              <w:jc w:val="left"/>
              <w:rPr>
                <w:rFonts w:eastAsia="Times New Roman" w:cs="Times New Roman"/>
                <w:sz w:val="19"/>
                <w:szCs w:val="19"/>
              </w:rPr>
            </w:pPr>
            <w:r w:rsidRPr="00854F1A">
              <w:rPr>
                <w:rFonts w:eastAsia="Times New Roman" w:cs="Times New Roman"/>
                <w:sz w:val="19"/>
                <w:szCs w:val="19"/>
              </w:rPr>
              <w:t>Izdevumi</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368E6FB"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590,9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A721E0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619,5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6F79DBC"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659,2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46AF3F1"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660,7</w:t>
            </w:r>
          </w:p>
        </w:tc>
        <w:tc>
          <w:tcPr>
            <w:tcW w:w="851" w:type="dxa"/>
            <w:tcBorders>
              <w:top w:val="single" w:sz="4" w:space="0" w:color="auto"/>
              <w:left w:val="nil"/>
              <w:bottom w:val="single" w:sz="4" w:space="0" w:color="auto"/>
              <w:right w:val="single" w:sz="4" w:space="0" w:color="auto"/>
            </w:tcBorders>
            <w:vAlign w:val="center"/>
          </w:tcPr>
          <w:p w14:paraId="161D125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672,5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55200A" w14:textId="77777777" w:rsidR="00854F1A" w:rsidRPr="00854F1A" w:rsidRDefault="00854F1A" w:rsidP="00854F1A">
            <w:pPr>
              <w:spacing w:after="0"/>
              <w:ind w:firstLine="0"/>
              <w:jc w:val="right"/>
              <w:rPr>
                <w:rFonts w:eastAsia="Times New Roman" w:cs="Times New Roman"/>
                <w:bCs/>
                <w:color w:val="FF0000"/>
                <w:sz w:val="18"/>
                <w:szCs w:val="18"/>
              </w:rPr>
            </w:pPr>
            <w:r w:rsidRPr="00854F1A">
              <w:rPr>
                <w:sz w:val="18"/>
                <w:szCs w:val="18"/>
              </w:rPr>
              <w:t>659,5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0BB25AF" w14:textId="77777777" w:rsidR="00854F1A" w:rsidRPr="00854F1A" w:rsidRDefault="00854F1A" w:rsidP="00854F1A">
            <w:pPr>
              <w:spacing w:after="0"/>
              <w:ind w:firstLine="0"/>
              <w:jc w:val="right"/>
              <w:rPr>
                <w:rFonts w:eastAsia="Times New Roman" w:cs="Times New Roman"/>
                <w:bCs/>
                <w:color w:val="FF0000"/>
                <w:sz w:val="18"/>
                <w:szCs w:val="18"/>
              </w:rPr>
            </w:pPr>
            <w:r w:rsidRPr="00854F1A">
              <w:rPr>
                <w:sz w:val="18"/>
                <w:szCs w:val="18"/>
              </w:rPr>
              <w:t>659,0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6A15C67" w14:textId="77777777" w:rsidR="00854F1A" w:rsidRPr="00854F1A" w:rsidRDefault="00854F1A" w:rsidP="00854F1A">
            <w:pPr>
              <w:spacing w:after="0"/>
              <w:ind w:firstLine="0"/>
              <w:jc w:val="right"/>
              <w:rPr>
                <w:rFonts w:eastAsia="Times New Roman" w:cs="Times New Roman"/>
                <w:bCs/>
                <w:color w:val="FF0000"/>
                <w:sz w:val="18"/>
                <w:szCs w:val="18"/>
              </w:rPr>
            </w:pPr>
            <w:r w:rsidRPr="00854F1A">
              <w:rPr>
                <w:sz w:val="18"/>
                <w:szCs w:val="18"/>
              </w:rPr>
              <w:t>669,5</w:t>
            </w:r>
          </w:p>
        </w:tc>
      </w:tr>
    </w:tbl>
    <w:p w14:paraId="3F9CEFFD" w14:textId="77777777" w:rsidR="00854F1A" w:rsidRPr="00854F1A" w:rsidRDefault="00854F1A" w:rsidP="00854F1A">
      <w:pPr>
        <w:tabs>
          <w:tab w:val="left" w:pos="1965"/>
        </w:tabs>
        <w:spacing w:after="0"/>
        <w:ind w:firstLine="0"/>
        <w:jc w:val="center"/>
        <w:rPr>
          <w:rFonts w:eastAsia="Times New Roman" w:cs="Times New Roman"/>
          <w:b/>
          <w:color w:val="000000"/>
          <w:sz w:val="28"/>
          <w:szCs w:val="32"/>
          <w:lang w:eastAsia="en-US"/>
        </w:rPr>
      </w:pPr>
      <w:bookmarkStart w:id="61" w:name="_Hlk83887516"/>
    </w:p>
    <w:p w14:paraId="02AF918C" w14:textId="77777777" w:rsidR="00854F1A" w:rsidRPr="00854F1A" w:rsidRDefault="00854F1A" w:rsidP="00854F1A">
      <w:pPr>
        <w:tabs>
          <w:tab w:val="left" w:pos="1965"/>
        </w:tabs>
        <w:spacing w:after="240"/>
        <w:ind w:firstLine="0"/>
        <w:jc w:val="center"/>
        <w:rPr>
          <w:rFonts w:eastAsia="Times New Roman" w:cs="Times New Roman"/>
          <w:b/>
          <w:color w:val="000000"/>
          <w:sz w:val="28"/>
          <w:szCs w:val="32"/>
          <w:lang w:eastAsia="en-US"/>
        </w:rPr>
      </w:pPr>
      <w:r w:rsidRPr="00854F1A">
        <w:rPr>
          <w:rFonts w:eastAsia="Times New Roman" w:cs="Times New Roman"/>
          <w:b/>
          <w:color w:val="000000"/>
          <w:sz w:val="28"/>
          <w:szCs w:val="32"/>
          <w:lang w:eastAsia="en-US"/>
        </w:rPr>
        <w:t>Pašvaldību budžets</w:t>
      </w:r>
    </w:p>
    <w:bookmarkEnd w:id="61"/>
    <w:p w14:paraId="246F4E60" w14:textId="6618A7F5" w:rsidR="00854F1A" w:rsidRPr="00854F1A" w:rsidRDefault="00854F1A" w:rsidP="00854F1A">
      <w:pPr>
        <w:rPr>
          <w:rFonts w:eastAsia="Times New Roman" w:cs="Times New Roman"/>
          <w:noProof/>
          <w:szCs w:val="20"/>
          <w:lang w:eastAsia="en-US"/>
        </w:rPr>
      </w:pPr>
      <w:r w:rsidRPr="00854F1A">
        <w:rPr>
          <w:rFonts w:eastAsia="Times New Roman" w:cs="Times New Roman"/>
          <w:noProof/>
          <w:szCs w:val="20"/>
          <w:lang w:eastAsia="en-US"/>
        </w:rPr>
        <w:t>Pašvaldību budžetā 2025. gadā sagaidāms pārpalikums, ieņēmumiem pieaugot straujāk nekā izdevumiem. Prognozētā IIN ieņēmumu krituma kompensēšanai no valsts budžeta</w:t>
      </w:r>
      <w:r w:rsidR="005156E5" w:rsidRPr="005156E5">
        <w:rPr>
          <w:rFonts w:eastAsia="Times New Roman" w:cs="Times New Roman"/>
          <w:noProof/>
          <w:szCs w:val="20"/>
          <w:lang w:eastAsia="en-US"/>
        </w:rPr>
        <w:t>,</w:t>
      </w:r>
      <w:r w:rsidRPr="00854F1A">
        <w:rPr>
          <w:rFonts w:eastAsia="Times New Roman" w:cs="Times New Roman"/>
          <w:noProof/>
          <w:szCs w:val="20"/>
          <w:lang w:eastAsia="en-US"/>
        </w:rPr>
        <w:t xml:space="preserve"> saistībā ar izmaiņām nodokļu politikā</w:t>
      </w:r>
      <w:r w:rsidR="005156E5" w:rsidRPr="005156E5">
        <w:rPr>
          <w:rFonts w:eastAsia="Times New Roman" w:cs="Times New Roman"/>
          <w:noProof/>
          <w:szCs w:val="20"/>
          <w:lang w:eastAsia="en-US"/>
        </w:rPr>
        <w:t>,</w:t>
      </w:r>
      <w:r w:rsidRPr="00854F1A">
        <w:rPr>
          <w:rFonts w:eastAsia="Times New Roman" w:cs="Times New Roman"/>
          <w:noProof/>
          <w:szCs w:val="20"/>
          <w:lang w:eastAsia="en-US"/>
        </w:rPr>
        <w:t xml:space="preserve"> tiek paredzēta speciālā valsts budžeta dotācija pašvaldībām 2025. gadā – 67,5 milj. </w:t>
      </w:r>
      <w:r w:rsidRPr="00854F1A">
        <w:rPr>
          <w:rFonts w:eastAsia="Times New Roman" w:cs="Times New Roman"/>
          <w:i/>
          <w:iCs/>
          <w:noProof/>
          <w:szCs w:val="20"/>
          <w:lang w:eastAsia="en-US"/>
        </w:rPr>
        <w:t>euro</w:t>
      </w:r>
      <w:r w:rsidRPr="00854F1A">
        <w:rPr>
          <w:rFonts w:eastAsia="Times New Roman" w:cs="Times New Roman"/>
          <w:noProof/>
          <w:szCs w:val="20"/>
          <w:lang w:eastAsia="en-US"/>
        </w:rPr>
        <w:t xml:space="preserve">, 2026. gadā – 125,5 milj. </w:t>
      </w:r>
      <w:r w:rsidRPr="00854F1A">
        <w:rPr>
          <w:rFonts w:eastAsia="Times New Roman" w:cs="Times New Roman"/>
          <w:i/>
          <w:iCs/>
          <w:noProof/>
          <w:szCs w:val="20"/>
          <w:lang w:eastAsia="en-US"/>
        </w:rPr>
        <w:t>euro</w:t>
      </w:r>
      <w:r w:rsidRPr="00854F1A">
        <w:rPr>
          <w:rFonts w:eastAsia="Times New Roman" w:cs="Times New Roman"/>
          <w:noProof/>
          <w:szCs w:val="20"/>
          <w:lang w:eastAsia="en-US"/>
        </w:rPr>
        <w:t xml:space="preserve">, 2027. gadā – 147,1 milj. </w:t>
      </w:r>
      <w:r w:rsidRPr="00854F1A">
        <w:rPr>
          <w:rFonts w:eastAsia="Times New Roman" w:cs="Times New Roman"/>
          <w:i/>
          <w:iCs/>
          <w:noProof/>
          <w:szCs w:val="20"/>
          <w:lang w:eastAsia="en-US"/>
        </w:rPr>
        <w:t>euro</w:t>
      </w:r>
      <w:r w:rsidRPr="00854F1A">
        <w:rPr>
          <w:rFonts w:eastAsia="Times New Roman" w:cs="Times New Roman"/>
          <w:noProof/>
          <w:szCs w:val="20"/>
          <w:lang w:eastAsia="en-US"/>
        </w:rPr>
        <w:t xml:space="preserve">, 2028. gadā – 144,4 milj. </w:t>
      </w:r>
      <w:r w:rsidRPr="00854F1A">
        <w:rPr>
          <w:rFonts w:eastAsia="Times New Roman" w:cs="Times New Roman"/>
          <w:i/>
          <w:iCs/>
          <w:noProof/>
          <w:szCs w:val="20"/>
          <w:lang w:eastAsia="en-US"/>
        </w:rPr>
        <w:t>euro</w:t>
      </w:r>
      <w:r w:rsidRPr="00854F1A">
        <w:rPr>
          <w:rFonts w:eastAsia="Times New Roman" w:cs="Times New Roman"/>
          <w:noProof/>
          <w:szCs w:val="20"/>
          <w:lang w:eastAsia="en-US"/>
        </w:rPr>
        <w:t xml:space="preserve">. Tāpat 2025. gadā tiek paredzēta papildu valsts budžeta dotācija piecām pierobežas pašvaldībām 2,5 milj. </w:t>
      </w:r>
      <w:r w:rsidRPr="00854F1A">
        <w:rPr>
          <w:rFonts w:eastAsia="Times New Roman" w:cs="Times New Roman"/>
          <w:i/>
          <w:iCs/>
          <w:noProof/>
          <w:szCs w:val="20"/>
          <w:lang w:eastAsia="en-US"/>
        </w:rPr>
        <w:t>euro</w:t>
      </w:r>
      <w:r w:rsidRPr="00854F1A">
        <w:rPr>
          <w:rFonts w:eastAsia="Times New Roman" w:cs="Times New Roman"/>
          <w:noProof/>
          <w:szCs w:val="20"/>
          <w:lang w:eastAsia="en-US"/>
        </w:rPr>
        <w:t xml:space="preserve"> apmērā ES ārējās robežas drošības stiprināšanai. Tādējādi tiek nodrošināts, ka pašvaldību budžeta ieņēmumi 2025. gadā paliek prognozētajā apmērā, tiem kopumā pieaugot straujāk (+6,6%) nekā pašvaldību budžeta izdevumiem (+4,0%). Budžeta sagatavošanas procesā tika panākta vienošanās par IIN ieņēmumu proporcijas izmaiņām starp valsts un pašvaldību budžetu, nosakot, ka IIN sadalījums pašvaldību budžetiem no 2025. gada ir 78</w:t>
      </w:r>
      <w:r w:rsidR="005156E5" w:rsidRPr="005156E5">
        <w:rPr>
          <w:rFonts w:eastAsia="Times New Roman" w:cs="Times New Roman"/>
          <w:noProof/>
          <w:szCs w:val="20"/>
          <w:lang w:eastAsia="en-US"/>
        </w:rPr>
        <w:t>%</w:t>
      </w:r>
      <w:r w:rsidRPr="00854F1A">
        <w:rPr>
          <w:rFonts w:eastAsia="Times New Roman" w:cs="Times New Roman"/>
          <w:noProof/>
          <w:szCs w:val="20"/>
          <w:lang w:eastAsia="en-US"/>
        </w:rPr>
        <w:t xml:space="preserve"> un valsts budžetam – 22</w:t>
      </w:r>
      <w:r w:rsidR="005156E5" w:rsidRPr="005156E5">
        <w:rPr>
          <w:rFonts w:eastAsia="Times New Roman" w:cs="Times New Roman"/>
          <w:noProof/>
          <w:szCs w:val="20"/>
          <w:lang w:eastAsia="en-US"/>
        </w:rPr>
        <w:t>%</w:t>
      </w:r>
      <w:r w:rsidRPr="00854F1A">
        <w:rPr>
          <w:rFonts w:eastAsia="Times New Roman" w:cs="Times New Roman"/>
          <w:noProof/>
          <w:szCs w:val="20"/>
          <w:lang w:eastAsia="en-US"/>
        </w:rPr>
        <w:t>.</w:t>
      </w:r>
    </w:p>
    <w:p w14:paraId="5D1E7A4A" w14:textId="77777777" w:rsidR="00854F1A" w:rsidRPr="00854F1A" w:rsidRDefault="00854F1A" w:rsidP="00854F1A">
      <w:pPr>
        <w:rPr>
          <w:rFonts w:eastAsia="Times New Roman" w:cs="Times New Roman"/>
          <w:noProof/>
          <w:szCs w:val="20"/>
          <w:lang w:eastAsia="en-US"/>
        </w:rPr>
      </w:pPr>
      <w:r w:rsidRPr="00854F1A">
        <w:rPr>
          <w:rFonts w:eastAsia="Times New Roman" w:cs="Times New Roman"/>
          <w:noProof/>
          <w:szCs w:val="20"/>
          <w:lang w:eastAsia="en-US"/>
        </w:rPr>
        <w:t>Pašvaldību budžeta izdevumu prognozes atlīdzībai vidējam termiņam tika sagatavotas, ņemot vērā gan makroekonomisko rādītāju (vidējās darba samaksas tautsaimniecībā)  prognozējamo attīstību, gan minimālās darba samaksas paaugstināšanu, gan izdevumu pieaugumu pedagogu atlīdzībai, kas var atšķirties no valdības noteiktajiem pieauguma griestiem 2025. gadā, pamatojoties uz LPS un valdības vienošanos.</w:t>
      </w:r>
    </w:p>
    <w:p w14:paraId="75464950" w14:textId="77777777" w:rsidR="00854F1A" w:rsidRPr="00854F1A" w:rsidRDefault="00854F1A" w:rsidP="00854F1A">
      <w:pPr>
        <w:rPr>
          <w:rFonts w:eastAsia="Times New Roman" w:cs="Times New Roman"/>
          <w:noProof/>
          <w:szCs w:val="28"/>
          <w:lang w:eastAsia="en-US"/>
        </w:rPr>
      </w:pPr>
      <w:r w:rsidRPr="00854F1A">
        <w:rPr>
          <w:rFonts w:eastAsia="Times New Roman" w:cs="Times New Roman"/>
          <w:noProof/>
          <w:szCs w:val="28"/>
          <w:lang w:eastAsia="en-US"/>
        </w:rPr>
        <w:t>Izdevumi precēm un pakalpojumiem 2025. gadā un vidējā termiņā tiek prognozēti ar mērenu kāpumu, ko nosaka lielāki izdevumi ēdināšanai, autoceļu un ielu pārvaldīšanai,  nekustamo īpašumu uzturēšanai u.c., ņemot vērā izpildi 2024. gada pirmajā pusē. Savukārt, pašvaldību budžeta izdevumi par komunālajiem pakalpojumiem, tostarp par siltumenerģiju, elektroenerģiju un kurināmo, vidējā termiņā tiek prognozēti 2024. gada līmenī, kad tie bija būtiski sarukuši, samazinoties energoresursu cenām.</w:t>
      </w:r>
    </w:p>
    <w:p w14:paraId="24777980" w14:textId="77777777" w:rsidR="00854F1A" w:rsidRPr="00854F1A" w:rsidRDefault="00854F1A" w:rsidP="00854F1A">
      <w:pPr>
        <w:rPr>
          <w:rFonts w:eastAsia="Times New Roman" w:cs="Times New Roman"/>
          <w:noProof/>
          <w:szCs w:val="28"/>
          <w:lang w:eastAsia="en-US"/>
        </w:rPr>
      </w:pPr>
      <w:r w:rsidRPr="00854F1A">
        <w:rPr>
          <w:rFonts w:eastAsia="Times New Roman" w:cs="Times New Roman"/>
          <w:noProof/>
          <w:szCs w:val="28"/>
          <w:lang w:eastAsia="en-US"/>
        </w:rPr>
        <w:t>Sociāla rakstura maksājumi 2025. gadā un vidējā termiņā tiek prognozēti augstāki salīdzinājumā ar iepriekšējo gadu, pieaugot samaksai par pašvaldību sociālajiem pakalpojumiem, tostarp par sociālo aprūpi mājās un sociālās rehabilitācijas institūciju sniegtajiem pakalpojumiem.</w:t>
      </w:r>
    </w:p>
    <w:p w14:paraId="167CEBA9" w14:textId="77777777" w:rsidR="00854F1A" w:rsidRPr="00854F1A" w:rsidRDefault="00854F1A" w:rsidP="00854F1A">
      <w:pPr>
        <w:rPr>
          <w:rFonts w:eastAsia="Times New Roman" w:cs="Times New Roman"/>
          <w:noProof/>
          <w:szCs w:val="28"/>
          <w:lang w:eastAsia="en-US"/>
        </w:rPr>
      </w:pPr>
      <w:bookmarkStart w:id="62" w:name="_Hlk179282634"/>
      <w:r w:rsidRPr="00854F1A">
        <w:rPr>
          <w:rFonts w:eastAsia="Times New Roman" w:cs="Times New Roman"/>
          <w:noProof/>
          <w:szCs w:val="28"/>
          <w:lang w:eastAsia="en-US"/>
        </w:rPr>
        <w:t xml:space="preserve">2025. gadā un vidējā termiņā tiek prognozēts ikgadējs pašvaldību budžeta kapitālo izdevumu pieaugums, gan pamatfunkcijām, gan ES fondu projektu īstenošanai. Neskatoties uz </w:t>
      </w:r>
      <w:r w:rsidRPr="00854F1A">
        <w:rPr>
          <w:rFonts w:eastAsia="Times New Roman" w:cs="Times New Roman"/>
          <w:noProof/>
          <w:szCs w:val="28"/>
          <w:lang w:eastAsia="en-US"/>
        </w:rPr>
        <w:lastRenderedPageBreak/>
        <w:t xml:space="preserve">to, ka 2024. gadā kapitālie izdevumi tiek sagaidīti būtiski zemākā apmērā nekā 2023. gadā, sevišķi ES fondu projektiem, noslēdzoties iepriekšējam ES fondu plānošanas periodam, 2025. gadā un turpmāk FM prognozē ES fondu investīciju pieaugumu, pašvaldībām aktīvāk uzsākot jaunā plānošanas perioda projektus. </w:t>
      </w:r>
      <w:bookmarkStart w:id="63" w:name="_Hlk179283202"/>
      <w:r w:rsidRPr="00854F1A">
        <w:rPr>
          <w:rFonts w:eastAsia="Times New Roman" w:cs="Times New Roman"/>
          <w:noProof/>
          <w:szCs w:val="28"/>
          <w:lang w:eastAsia="en-US"/>
        </w:rPr>
        <w:t xml:space="preserve">Tāpat vidējā termiņā FM prognozē mērenu investīciju pieaugumu pamatfunkcijās, atbilstoši 2024. gada pieauguma tempam, kas varētu paātrināties, </w:t>
      </w:r>
      <w:bookmarkEnd w:id="63"/>
      <w:r w:rsidRPr="00854F1A">
        <w:rPr>
          <w:rFonts w:eastAsia="Times New Roman" w:cs="Times New Roman"/>
          <w:noProof/>
          <w:szCs w:val="28"/>
          <w:lang w:eastAsia="en-US"/>
        </w:rPr>
        <w:t>palielinoties pieļaujamajam aizņemšanās limitam.</w:t>
      </w:r>
    </w:p>
    <w:bookmarkEnd w:id="62"/>
    <w:p w14:paraId="516962CC" w14:textId="60A85684" w:rsidR="00854F1A" w:rsidRPr="00854F1A" w:rsidRDefault="00854F1A" w:rsidP="00854F1A">
      <w:pPr>
        <w:ind w:firstLine="0"/>
        <w:jc w:val="right"/>
        <w:rPr>
          <w:rFonts w:eastAsia="Times New Roman" w:cs="Times New Roman"/>
          <w:b/>
          <w:i/>
          <w:szCs w:val="24"/>
          <w:lang w:eastAsia="en-US"/>
        </w:rPr>
      </w:pPr>
      <w:r w:rsidRPr="00854F1A">
        <w:rPr>
          <w:rFonts w:eastAsia="Times New Roman" w:cs="Times New Roman"/>
          <w:b/>
          <w:i/>
          <w:szCs w:val="24"/>
          <w:lang w:eastAsia="en-US"/>
        </w:rPr>
        <w:t>2.</w:t>
      </w:r>
      <w:r w:rsidR="00187E6E">
        <w:rPr>
          <w:rFonts w:eastAsia="Times New Roman" w:cs="Times New Roman"/>
          <w:b/>
          <w:i/>
          <w:szCs w:val="24"/>
          <w:lang w:eastAsia="en-US"/>
        </w:rPr>
        <w:t>21</w:t>
      </w:r>
      <w:r w:rsidRPr="00854F1A">
        <w:rPr>
          <w:rFonts w:eastAsia="Times New Roman" w:cs="Times New Roman"/>
          <w:b/>
          <w:i/>
          <w:szCs w:val="24"/>
          <w:lang w:eastAsia="en-US"/>
        </w:rPr>
        <w:t xml:space="preserve">. tabula. Pašvaldību konsolidētā budžeta bilance 2023.-2027. gadā, milj. </w:t>
      </w:r>
      <w:r w:rsidRPr="00854F1A">
        <w:rPr>
          <w:rFonts w:eastAsia="Times New Roman" w:cs="Times New Roman"/>
          <w:b/>
          <w:i/>
          <w:noProof/>
          <w:szCs w:val="24"/>
          <w:lang w:eastAsia="en-US"/>
        </w:rPr>
        <w:t>euro</w:t>
      </w:r>
    </w:p>
    <w:tbl>
      <w:tblPr>
        <w:tblW w:w="8947" w:type="dxa"/>
        <w:jc w:val="center"/>
        <w:tblLayout w:type="fixed"/>
        <w:tblLook w:val="04A0" w:firstRow="1" w:lastRow="0" w:firstColumn="1" w:lastColumn="0" w:noHBand="0" w:noVBand="1"/>
      </w:tblPr>
      <w:tblGrid>
        <w:gridCol w:w="2141"/>
        <w:gridCol w:w="851"/>
        <w:gridCol w:w="850"/>
        <w:gridCol w:w="851"/>
        <w:gridCol w:w="850"/>
        <w:gridCol w:w="851"/>
        <w:gridCol w:w="851"/>
        <w:gridCol w:w="850"/>
        <w:gridCol w:w="852"/>
      </w:tblGrid>
      <w:tr w:rsidR="00854F1A" w:rsidRPr="00854F1A" w14:paraId="5F43AD4C" w14:textId="77777777" w:rsidTr="002C61B1">
        <w:trPr>
          <w:trHeight w:val="113"/>
          <w:tblHeader/>
          <w:jc w:val="center"/>
        </w:trPr>
        <w:tc>
          <w:tcPr>
            <w:tcW w:w="2141" w:type="dxa"/>
            <w:tcBorders>
              <w:top w:val="single" w:sz="4" w:space="0" w:color="auto"/>
              <w:left w:val="single" w:sz="4" w:space="0" w:color="auto"/>
              <w:bottom w:val="single" w:sz="4" w:space="0" w:color="auto"/>
              <w:right w:val="single" w:sz="4" w:space="0" w:color="auto"/>
            </w:tcBorders>
            <w:shd w:val="clear" w:color="auto" w:fill="C6D9F1"/>
            <w:noWrap/>
            <w:vAlign w:val="bottom"/>
            <w:hideMark/>
          </w:tcPr>
          <w:p w14:paraId="530012FC" w14:textId="77777777" w:rsidR="00854F1A" w:rsidRPr="00854F1A" w:rsidRDefault="00854F1A" w:rsidP="00854F1A">
            <w:pPr>
              <w:spacing w:after="0"/>
              <w:ind w:firstLine="0"/>
              <w:jc w:val="left"/>
              <w:rPr>
                <w:rFonts w:eastAsia="Times New Roman" w:cs="Times New Roman"/>
                <w:color w:val="000000"/>
                <w:sz w:val="18"/>
                <w:szCs w:val="18"/>
              </w:rPr>
            </w:pPr>
            <w:r w:rsidRPr="00854F1A">
              <w:rPr>
                <w:rFonts w:eastAsia="Times New Roman" w:cs="Times New Roman"/>
                <w:color w:val="000000"/>
                <w:sz w:val="18"/>
                <w:szCs w:val="18"/>
              </w:rPr>
              <w:t> </w:t>
            </w:r>
          </w:p>
        </w:tc>
        <w:tc>
          <w:tcPr>
            <w:tcW w:w="851" w:type="dxa"/>
            <w:tcBorders>
              <w:top w:val="single" w:sz="4" w:space="0" w:color="auto"/>
              <w:left w:val="nil"/>
              <w:bottom w:val="single" w:sz="4" w:space="0" w:color="auto"/>
              <w:right w:val="single" w:sz="4" w:space="0" w:color="auto"/>
            </w:tcBorders>
            <w:shd w:val="clear" w:color="auto" w:fill="C6D9F1"/>
            <w:noWrap/>
            <w:vAlign w:val="center"/>
            <w:hideMark/>
          </w:tcPr>
          <w:p w14:paraId="44E53672"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color w:val="000000"/>
                <w:sz w:val="18"/>
                <w:szCs w:val="18"/>
              </w:rPr>
              <w:t>2023</w:t>
            </w:r>
          </w:p>
        </w:tc>
        <w:tc>
          <w:tcPr>
            <w:tcW w:w="850" w:type="dxa"/>
            <w:tcBorders>
              <w:top w:val="single" w:sz="4" w:space="0" w:color="auto"/>
              <w:left w:val="nil"/>
              <w:bottom w:val="single" w:sz="4" w:space="0" w:color="auto"/>
              <w:right w:val="single" w:sz="4" w:space="0" w:color="auto"/>
            </w:tcBorders>
            <w:shd w:val="clear" w:color="auto" w:fill="C6D9F1"/>
            <w:noWrap/>
            <w:vAlign w:val="center"/>
            <w:hideMark/>
          </w:tcPr>
          <w:p w14:paraId="286698A5"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color w:val="000000"/>
                <w:sz w:val="18"/>
                <w:szCs w:val="18"/>
              </w:rPr>
              <w:t>2024</w:t>
            </w:r>
          </w:p>
        </w:tc>
        <w:tc>
          <w:tcPr>
            <w:tcW w:w="851" w:type="dxa"/>
            <w:tcBorders>
              <w:top w:val="single" w:sz="4" w:space="0" w:color="auto"/>
              <w:left w:val="nil"/>
              <w:bottom w:val="single" w:sz="4" w:space="0" w:color="auto"/>
              <w:right w:val="single" w:sz="4" w:space="0" w:color="auto"/>
            </w:tcBorders>
            <w:shd w:val="clear" w:color="auto" w:fill="C6D9F1"/>
            <w:noWrap/>
            <w:vAlign w:val="center"/>
            <w:hideMark/>
          </w:tcPr>
          <w:p w14:paraId="02FAB4A2"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color w:val="000000"/>
                <w:sz w:val="18"/>
                <w:szCs w:val="18"/>
              </w:rPr>
              <w:t>2025</w:t>
            </w:r>
          </w:p>
        </w:tc>
        <w:tc>
          <w:tcPr>
            <w:tcW w:w="850" w:type="dxa"/>
            <w:tcBorders>
              <w:top w:val="single" w:sz="4" w:space="0" w:color="auto"/>
              <w:left w:val="nil"/>
              <w:bottom w:val="single" w:sz="4" w:space="0" w:color="auto"/>
              <w:right w:val="single" w:sz="4" w:space="0" w:color="auto"/>
            </w:tcBorders>
            <w:shd w:val="clear" w:color="auto" w:fill="C6D9F1"/>
            <w:noWrap/>
            <w:vAlign w:val="center"/>
            <w:hideMark/>
          </w:tcPr>
          <w:p w14:paraId="66F0514A"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color w:val="000000"/>
                <w:sz w:val="18"/>
                <w:szCs w:val="18"/>
              </w:rPr>
              <w:t>2026</w:t>
            </w:r>
          </w:p>
        </w:tc>
        <w:tc>
          <w:tcPr>
            <w:tcW w:w="851" w:type="dxa"/>
            <w:tcBorders>
              <w:top w:val="single" w:sz="4" w:space="0" w:color="auto"/>
              <w:left w:val="nil"/>
              <w:bottom w:val="single" w:sz="4" w:space="0" w:color="auto"/>
              <w:right w:val="single" w:sz="4" w:space="0" w:color="auto"/>
            </w:tcBorders>
            <w:shd w:val="clear" w:color="auto" w:fill="C6D9F1"/>
          </w:tcPr>
          <w:p w14:paraId="2C6B64B2" w14:textId="77777777" w:rsidR="00854F1A" w:rsidRPr="00854F1A" w:rsidRDefault="00854F1A" w:rsidP="00854F1A">
            <w:pPr>
              <w:spacing w:after="0"/>
              <w:ind w:firstLine="0"/>
              <w:jc w:val="center"/>
              <w:rPr>
                <w:rFonts w:eastAsia="Times New Roman" w:cs="Times New Roman"/>
                <w:b/>
                <w:bCs/>
                <w:color w:val="000000"/>
                <w:sz w:val="18"/>
                <w:szCs w:val="18"/>
              </w:rPr>
            </w:pPr>
            <w:r w:rsidRPr="00854F1A">
              <w:rPr>
                <w:rFonts w:eastAsia="Times New Roman" w:cs="Times New Roman"/>
                <w:b/>
                <w:bCs/>
                <w:color w:val="000000"/>
                <w:sz w:val="18"/>
                <w:szCs w:val="18"/>
              </w:rPr>
              <w:t>2027</w:t>
            </w:r>
          </w:p>
        </w:tc>
        <w:tc>
          <w:tcPr>
            <w:tcW w:w="851" w:type="dxa"/>
            <w:tcBorders>
              <w:top w:val="single" w:sz="4" w:space="0" w:color="auto"/>
              <w:left w:val="nil"/>
              <w:bottom w:val="single" w:sz="4" w:space="0" w:color="auto"/>
              <w:right w:val="single" w:sz="4" w:space="0" w:color="auto"/>
            </w:tcBorders>
            <w:shd w:val="clear" w:color="auto" w:fill="C6D9F1"/>
            <w:vAlign w:val="center"/>
          </w:tcPr>
          <w:p w14:paraId="2F02BEDB" w14:textId="77777777" w:rsidR="00854F1A" w:rsidRPr="00854F1A" w:rsidRDefault="00854F1A" w:rsidP="00854F1A">
            <w:pPr>
              <w:spacing w:after="0"/>
              <w:ind w:firstLine="0"/>
              <w:jc w:val="center"/>
              <w:rPr>
                <w:rFonts w:eastAsia="Times New Roman" w:cs="Times New Roman"/>
                <w:b/>
                <w:bCs/>
                <w:color w:val="000000"/>
                <w:sz w:val="18"/>
                <w:szCs w:val="18"/>
              </w:rPr>
            </w:pPr>
            <w:r w:rsidRPr="00854F1A">
              <w:rPr>
                <w:rFonts w:eastAsia="Times New Roman" w:cs="Times New Roman"/>
                <w:b/>
                <w:bCs/>
                <w:color w:val="000000"/>
                <w:sz w:val="18"/>
                <w:szCs w:val="18"/>
              </w:rPr>
              <w:t>2025</w:t>
            </w:r>
          </w:p>
        </w:tc>
        <w:tc>
          <w:tcPr>
            <w:tcW w:w="850" w:type="dxa"/>
            <w:tcBorders>
              <w:top w:val="single" w:sz="4" w:space="0" w:color="auto"/>
              <w:left w:val="single" w:sz="4" w:space="0" w:color="auto"/>
              <w:bottom w:val="single" w:sz="4" w:space="0" w:color="auto"/>
              <w:right w:val="single" w:sz="4" w:space="0" w:color="auto"/>
            </w:tcBorders>
            <w:shd w:val="clear" w:color="auto" w:fill="C6D9F1"/>
          </w:tcPr>
          <w:p w14:paraId="1760A842" w14:textId="77777777" w:rsidR="00854F1A" w:rsidRPr="00854F1A" w:rsidRDefault="00854F1A" w:rsidP="00854F1A">
            <w:pPr>
              <w:spacing w:after="0"/>
              <w:ind w:firstLine="0"/>
              <w:jc w:val="center"/>
              <w:rPr>
                <w:rFonts w:eastAsia="Times New Roman" w:cs="Times New Roman"/>
                <w:b/>
                <w:bCs/>
                <w:color w:val="000000"/>
                <w:sz w:val="18"/>
                <w:szCs w:val="18"/>
              </w:rPr>
            </w:pPr>
            <w:r w:rsidRPr="00854F1A">
              <w:rPr>
                <w:rFonts w:eastAsia="Times New Roman" w:cs="Times New Roman"/>
                <w:b/>
                <w:bCs/>
                <w:color w:val="000000"/>
                <w:sz w:val="18"/>
                <w:szCs w:val="18"/>
              </w:rPr>
              <w:t>2026</w:t>
            </w:r>
          </w:p>
        </w:tc>
        <w:tc>
          <w:tcPr>
            <w:tcW w:w="852" w:type="dxa"/>
            <w:tcBorders>
              <w:top w:val="single" w:sz="4" w:space="0" w:color="auto"/>
              <w:left w:val="single" w:sz="4" w:space="0" w:color="auto"/>
              <w:bottom w:val="single" w:sz="4" w:space="0" w:color="auto"/>
              <w:right w:val="single" w:sz="4" w:space="0" w:color="auto"/>
            </w:tcBorders>
            <w:shd w:val="clear" w:color="auto" w:fill="C6D9F1"/>
            <w:noWrap/>
            <w:vAlign w:val="center"/>
            <w:hideMark/>
          </w:tcPr>
          <w:p w14:paraId="7223B780" w14:textId="77777777" w:rsidR="00854F1A" w:rsidRPr="00854F1A" w:rsidRDefault="00854F1A" w:rsidP="00854F1A">
            <w:pPr>
              <w:spacing w:after="0"/>
              <w:ind w:firstLine="0"/>
              <w:jc w:val="center"/>
              <w:rPr>
                <w:rFonts w:eastAsia="Times New Roman" w:cs="Times New Roman"/>
                <w:b/>
                <w:bCs/>
                <w:sz w:val="18"/>
                <w:szCs w:val="18"/>
              </w:rPr>
            </w:pPr>
            <w:r w:rsidRPr="00854F1A">
              <w:rPr>
                <w:rFonts w:eastAsia="Times New Roman" w:cs="Times New Roman"/>
                <w:b/>
                <w:bCs/>
                <w:color w:val="000000"/>
                <w:sz w:val="18"/>
                <w:szCs w:val="18"/>
              </w:rPr>
              <w:t>2027</w:t>
            </w:r>
          </w:p>
        </w:tc>
      </w:tr>
      <w:tr w:rsidR="00854F1A" w:rsidRPr="00854F1A" w14:paraId="6A1F2524" w14:textId="77777777" w:rsidTr="002C61B1">
        <w:trPr>
          <w:trHeight w:val="423"/>
          <w:tblHeader/>
          <w:jc w:val="center"/>
        </w:trPr>
        <w:tc>
          <w:tcPr>
            <w:tcW w:w="2141" w:type="dxa"/>
            <w:tcBorders>
              <w:top w:val="nil"/>
              <w:left w:val="single" w:sz="4" w:space="0" w:color="auto"/>
              <w:bottom w:val="single" w:sz="4" w:space="0" w:color="auto"/>
              <w:right w:val="single" w:sz="4" w:space="0" w:color="auto"/>
            </w:tcBorders>
            <w:shd w:val="clear" w:color="auto" w:fill="C6D9F1"/>
            <w:noWrap/>
            <w:vAlign w:val="bottom"/>
            <w:hideMark/>
          </w:tcPr>
          <w:p w14:paraId="425C29EE" w14:textId="77777777" w:rsidR="00854F1A" w:rsidRPr="00854F1A" w:rsidRDefault="00854F1A" w:rsidP="00854F1A">
            <w:pPr>
              <w:spacing w:after="0"/>
              <w:ind w:firstLine="0"/>
              <w:jc w:val="left"/>
              <w:rPr>
                <w:rFonts w:eastAsia="Times New Roman" w:cs="Times New Roman"/>
                <w:b/>
                <w:bCs/>
                <w:color w:val="000000"/>
                <w:sz w:val="18"/>
                <w:szCs w:val="18"/>
              </w:rPr>
            </w:pPr>
            <w:r w:rsidRPr="00854F1A">
              <w:rPr>
                <w:rFonts w:eastAsia="Times New Roman" w:cs="Times New Roman"/>
                <w:b/>
                <w:bCs/>
                <w:color w:val="000000"/>
                <w:sz w:val="18"/>
                <w:szCs w:val="18"/>
              </w:rPr>
              <w:t> </w:t>
            </w:r>
          </w:p>
        </w:tc>
        <w:tc>
          <w:tcPr>
            <w:tcW w:w="851" w:type="dxa"/>
            <w:tcBorders>
              <w:top w:val="single" w:sz="4" w:space="0" w:color="auto"/>
              <w:left w:val="nil"/>
              <w:bottom w:val="single" w:sz="4" w:space="0" w:color="auto"/>
              <w:right w:val="single" w:sz="4" w:space="0" w:color="auto"/>
            </w:tcBorders>
            <w:shd w:val="clear" w:color="auto" w:fill="C6D9F1"/>
            <w:noWrap/>
            <w:vAlign w:val="center"/>
            <w:hideMark/>
          </w:tcPr>
          <w:p w14:paraId="64C169D3" w14:textId="77777777" w:rsidR="00854F1A" w:rsidRPr="00854F1A" w:rsidRDefault="00854F1A" w:rsidP="00854F1A">
            <w:pPr>
              <w:spacing w:after="0"/>
              <w:ind w:firstLine="0"/>
              <w:jc w:val="center"/>
              <w:rPr>
                <w:rFonts w:eastAsia="Times New Roman" w:cs="Times New Roman"/>
                <w:b/>
                <w:sz w:val="18"/>
                <w:szCs w:val="18"/>
              </w:rPr>
            </w:pPr>
            <w:r w:rsidRPr="00854F1A">
              <w:rPr>
                <w:rFonts w:eastAsia="Times New Roman" w:cs="Times New Roman"/>
                <w:b/>
                <w:color w:val="000000"/>
                <w:sz w:val="18"/>
                <w:szCs w:val="18"/>
              </w:rPr>
              <w:t>Fakts</w:t>
            </w:r>
          </w:p>
        </w:tc>
        <w:tc>
          <w:tcPr>
            <w:tcW w:w="850" w:type="dxa"/>
            <w:tcBorders>
              <w:top w:val="single" w:sz="4" w:space="0" w:color="auto"/>
              <w:left w:val="nil"/>
              <w:bottom w:val="single" w:sz="4" w:space="0" w:color="auto"/>
              <w:right w:val="single" w:sz="4" w:space="0" w:color="auto"/>
            </w:tcBorders>
            <w:shd w:val="clear" w:color="auto" w:fill="C6D9F1"/>
            <w:vAlign w:val="center"/>
          </w:tcPr>
          <w:p w14:paraId="6B059FBD" w14:textId="77777777" w:rsidR="00854F1A" w:rsidRPr="00854F1A" w:rsidRDefault="00854F1A" w:rsidP="00854F1A">
            <w:pPr>
              <w:spacing w:after="0"/>
              <w:ind w:firstLine="0"/>
              <w:jc w:val="center"/>
              <w:rPr>
                <w:rFonts w:eastAsia="Times New Roman" w:cs="Times New Roman"/>
                <w:b/>
                <w:sz w:val="18"/>
                <w:szCs w:val="18"/>
              </w:rPr>
            </w:pPr>
            <w:r w:rsidRPr="00854F1A">
              <w:rPr>
                <w:rFonts w:eastAsia="Times New Roman" w:cs="Times New Roman"/>
                <w:b/>
                <w:color w:val="000000"/>
                <w:sz w:val="18"/>
                <w:szCs w:val="18"/>
              </w:rPr>
              <w:t>Novērt.</w:t>
            </w:r>
          </w:p>
        </w:tc>
        <w:tc>
          <w:tcPr>
            <w:tcW w:w="2552" w:type="dxa"/>
            <w:gridSpan w:val="3"/>
            <w:tcBorders>
              <w:top w:val="single" w:sz="4" w:space="0" w:color="auto"/>
              <w:left w:val="nil"/>
              <w:bottom w:val="single" w:sz="4" w:space="0" w:color="auto"/>
              <w:right w:val="single" w:sz="4" w:space="0" w:color="auto"/>
            </w:tcBorders>
            <w:shd w:val="clear" w:color="auto" w:fill="C6D9F1"/>
          </w:tcPr>
          <w:p w14:paraId="51CDF891" w14:textId="77777777" w:rsidR="00854F1A" w:rsidRPr="00854F1A" w:rsidRDefault="00854F1A" w:rsidP="00854F1A">
            <w:pPr>
              <w:spacing w:after="0"/>
              <w:ind w:firstLine="0"/>
              <w:jc w:val="center"/>
              <w:rPr>
                <w:rFonts w:eastAsia="Times New Roman" w:cs="Times New Roman"/>
                <w:b/>
                <w:sz w:val="18"/>
                <w:szCs w:val="18"/>
              </w:rPr>
            </w:pPr>
            <w:r w:rsidRPr="00854F1A">
              <w:rPr>
                <w:rFonts w:eastAsia="Times New Roman" w:cs="Times New Roman"/>
                <w:b/>
                <w:color w:val="000000"/>
                <w:sz w:val="18"/>
                <w:szCs w:val="18"/>
              </w:rPr>
              <w:t>Prognoze</w:t>
            </w:r>
            <w:r w:rsidRPr="00854F1A">
              <w:rPr>
                <w:rFonts w:eastAsia="Times New Roman" w:cs="Times New Roman"/>
                <w:b/>
                <w:color w:val="000000"/>
                <w:sz w:val="18"/>
                <w:szCs w:val="18"/>
              </w:rPr>
              <w:br/>
              <w:t>(pie nemainīgas politikas)</w:t>
            </w:r>
            <w:r w:rsidRPr="00854F1A">
              <w:rPr>
                <w:rFonts w:eastAsia="Times New Roman" w:cs="Times New Roman"/>
                <w:b/>
                <w:color w:val="000000"/>
                <w:sz w:val="18"/>
                <w:szCs w:val="18"/>
                <w:vertAlign w:val="superscript"/>
              </w:rPr>
              <w:footnoteReference w:id="27"/>
            </w:r>
          </w:p>
        </w:tc>
        <w:tc>
          <w:tcPr>
            <w:tcW w:w="2553" w:type="dxa"/>
            <w:gridSpan w:val="3"/>
            <w:tcBorders>
              <w:top w:val="single" w:sz="4" w:space="0" w:color="auto"/>
              <w:left w:val="single" w:sz="4" w:space="0" w:color="auto"/>
              <w:bottom w:val="single" w:sz="4" w:space="0" w:color="auto"/>
              <w:right w:val="single" w:sz="4" w:space="0" w:color="auto"/>
            </w:tcBorders>
            <w:shd w:val="clear" w:color="auto" w:fill="C6D9F1"/>
            <w:vAlign w:val="center"/>
          </w:tcPr>
          <w:p w14:paraId="65C5A385" w14:textId="77777777" w:rsidR="00854F1A" w:rsidRPr="00854F1A" w:rsidRDefault="00854F1A" w:rsidP="00854F1A">
            <w:pPr>
              <w:spacing w:after="0"/>
              <w:ind w:firstLine="0"/>
              <w:jc w:val="center"/>
              <w:rPr>
                <w:rFonts w:eastAsia="Times New Roman" w:cs="Times New Roman"/>
                <w:b/>
                <w:sz w:val="18"/>
                <w:szCs w:val="18"/>
              </w:rPr>
            </w:pPr>
            <w:r w:rsidRPr="00854F1A">
              <w:rPr>
                <w:rFonts w:eastAsia="Times New Roman" w:cs="Times New Roman"/>
                <w:b/>
                <w:sz w:val="18"/>
                <w:szCs w:val="18"/>
              </w:rPr>
              <w:t>Prognoze</w:t>
            </w:r>
          </w:p>
        </w:tc>
      </w:tr>
      <w:tr w:rsidR="00854F1A" w:rsidRPr="00854F1A" w14:paraId="09FE305C" w14:textId="77777777" w:rsidTr="002C61B1">
        <w:trPr>
          <w:trHeight w:val="207"/>
          <w:jc w:val="center"/>
        </w:trPr>
        <w:tc>
          <w:tcPr>
            <w:tcW w:w="21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0D1A2" w14:textId="77777777" w:rsidR="00854F1A" w:rsidRPr="00854F1A" w:rsidRDefault="00854F1A" w:rsidP="00854F1A">
            <w:pPr>
              <w:spacing w:after="0"/>
              <w:ind w:firstLine="0"/>
              <w:jc w:val="left"/>
              <w:rPr>
                <w:rFonts w:eastAsia="Times New Roman" w:cs="Times New Roman"/>
                <w:b/>
                <w:bCs/>
                <w:sz w:val="16"/>
                <w:szCs w:val="16"/>
              </w:rPr>
            </w:pPr>
            <w:r w:rsidRPr="00854F1A">
              <w:rPr>
                <w:rFonts w:eastAsia="Times New Roman" w:cs="Times New Roman"/>
                <w:b/>
                <w:bCs/>
                <w:sz w:val="16"/>
                <w:szCs w:val="16"/>
              </w:rPr>
              <w:t>BILANCE</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6D721D9"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-155,9</w:t>
            </w:r>
          </w:p>
        </w:tc>
        <w:tc>
          <w:tcPr>
            <w:tcW w:w="850" w:type="dxa"/>
            <w:tcBorders>
              <w:top w:val="single" w:sz="4" w:space="0" w:color="auto"/>
              <w:left w:val="nil"/>
              <w:bottom w:val="single" w:sz="4" w:space="0" w:color="auto"/>
              <w:right w:val="single" w:sz="4" w:space="0" w:color="auto"/>
            </w:tcBorders>
            <w:shd w:val="clear" w:color="auto" w:fill="auto"/>
            <w:noWrap/>
            <w:hideMark/>
          </w:tcPr>
          <w:p w14:paraId="563A4E2F"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-86,3</w:t>
            </w:r>
          </w:p>
        </w:tc>
        <w:tc>
          <w:tcPr>
            <w:tcW w:w="851" w:type="dxa"/>
            <w:tcBorders>
              <w:top w:val="single" w:sz="4" w:space="0" w:color="auto"/>
              <w:left w:val="nil"/>
              <w:bottom w:val="single" w:sz="4" w:space="0" w:color="auto"/>
              <w:right w:val="single" w:sz="4" w:space="0" w:color="auto"/>
            </w:tcBorders>
            <w:shd w:val="clear" w:color="auto" w:fill="auto"/>
            <w:noWrap/>
            <w:hideMark/>
          </w:tcPr>
          <w:p w14:paraId="15D63E70"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-44,4</w:t>
            </w:r>
          </w:p>
        </w:tc>
        <w:tc>
          <w:tcPr>
            <w:tcW w:w="850" w:type="dxa"/>
            <w:tcBorders>
              <w:top w:val="single" w:sz="4" w:space="0" w:color="auto"/>
              <w:left w:val="nil"/>
              <w:bottom w:val="single" w:sz="4" w:space="0" w:color="auto"/>
              <w:right w:val="single" w:sz="4" w:space="0" w:color="auto"/>
            </w:tcBorders>
            <w:shd w:val="clear" w:color="auto" w:fill="auto"/>
            <w:noWrap/>
            <w:hideMark/>
          </w:tcPr>
          <w:p w14:paraId="57260E9A"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-1,4</w:t>
            </w:r>
          </w:p>
        </w:tc>
        <w:tc>
          <w:tcPr>
            <w:tcW w:w="851" w:type="dxa"/>
            <w:tcBorders>
              <w:top w:val="single" w:sz="4" w:space="0" w:color="auto"/>
              <w:left w:val="nil"/>
              <w:bottom w:val="single" w:sz="4" w:space="0" w:color="auto"/>
              <w:right w:val="single" w:sz="4" w:space="0" w:color="auto"/>
            </w:tcBorders>
            <w:shd w:val="clear" w:color="auto" w:fill="auto"/>
          </w:tcPr>
          <w:p w14:paraId="6A0B0176" w14:textId="77777777" w:rsidR="00854F1A" w:rsidRPr="00854F1A" w:rsidRDefault="00854F1A" w:rsidP="00854F1A">
            <w:pPr>
              <w:spacing w:after="0"/>
              <w:ind w:firstLine="0"/>
              <w:jc w:val="right"/>
              <w:rPr>
                <w:b/>
                <w:bCs/>
                <w:sz w:val="18"/>
                <w:szCs w:val="18"/>
              </w:rPr>
            </w:pPr>
            <w:r w:rsidRPr="00854F1A">
              <w:rPr>
                <w:b/>
                <w:bCs/>
                <w:sz w:val="18"/>
                <w:szCs w:val="18"/>
              </w:rPr>
              <w:t>2,9</w:t>
            </w:r>
          </w:p>
        </w:tc>
        <w:tc>
          <w:tcPr>
            <w:tcW w:w="851" w:type="dxa"/>
            <w:tcBorders>
              <w:top w:val="single" w:sz="4" w:space="0" w:color="auto"/>
              <w:left w:val="nil"/>
              <w:bottom w:val="single" w:sz="4" w:space="0" w:color="auto"/>
              <w:right w:val="single" w:sz="4" w:space="0" w:color="auto"/>
            </w:tcBorders>
            <w:shd w:val="clear" w:color="auto" w:fill="auto"/>
            <w:vAlign w:val="center"/>
          </w:tcPr>
          <w:p w14:paraId="4343EBB3"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10,0</w:t>
            </w:r>
          </w:p>
        </w:tc>
        <w:tc>
          <w:tcPr>
            <w:tcW w:w="850" w:type="dxa"/>
            <w:tcBorders>
              <w:top w:val="single" w:sz="4" w:space="0" w:color="auto"/>
              <w:left w:val="nil"/>
              <w:bottom w:val="single" w:sz="4" w:space="0" w:color="auto"/>
              <w:right w:val="single" w:sz="4" w:space="0" w:color="auto"/>
            </w:tcBorders>
            <w:shd w:val="clear" w:color="auto" w:fill="auto"/>
            <w:vAlign w:val="center"/>
          </w:tcPr>
          <w:p w14:paraId="1FB61815" w14:textId="77777777" w:rsidR="00854F1A" w:rsidRPr="00854F1A" w:rsidRDefault="00854F1A" w:rsidP="00854F1A">
            <w:pPr>
              <w:spacing w:after="0"/>
              <w:ind w:firstLine="0"/>
              <w:jc w:val="right"/>
              <w:rPr>
                <w:b/>
                <w:bCs/>
                <w:sz w:val="18"/>
                <w:szCs w:val="18"/>
              </w:rPr>
            </w:pPr>
            <w:r w:rsidRPr="00854F1A">
              <w:rPr>
                <w:b/>
                <w:bCs/>
                <w:sz w:val="18"/>
                <w:szCs w:val="18"/>
              </w:rPr>
              <w:t>65,4</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6A03E"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79,8</w:t>
            </w:r>
          </w:p>
        </w:tc>
      </w:tr>
      <w:tr w:rsidR="00854F1A" w:rsidRPr="00854F1A" w14:paraId="2767A714" w14:textId="77777777" w:rsidTr="002C61B1">
        <w:trPr>
          <w:trHeight w:val="80"/>
          <w:jc w:val="center"/>
        </w:trPr>
        <w:tc>
          <w:tcPr>
            <w:tcW w:w="21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1F7FC" w14:textId="77777777" w:rsidR="00854F1A" w:rsidRPr="00854F1A" w:rsidRDefault="00854F1A" w:rsidP="00854F1A">
            <w:pPr>
              <w:spacing w:after="0"/>
              <w:ind w:left="-225" w:firstLineChars="100" w:firstLine="181"/>
              <w:rPr>
                <w:rFonts w:eastAsia="Times New Roman" w:cs="Times New Roman"/>
                <w:b/>
                <w:bCs/>
                <w:sz w:val="18"/>
                <w:szCs w:val="18"/>
              </w:rPr>
            </w:pPr>
            <w:r w:rsidRPr="00854F1A">
              <w:rPr>
                <w:rFonts w:eastAsia="Times New Roman" w:cs="Times New Roman"/>
                <w:b/>
                <w:bCs/>
                <w:sz w:val="18"/>
                <w:szCs w:val="18"/>
              </w:rPr>
              <w:t>Ieņēmumi</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5E37216"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3 479,1</w:t>
            </w:r>
          </w:p>
        </w:tc>
        <w:tc>
          <w:tcPr>
            <w:tcW w:w="850" w:type="dxa"/>
            <w:tcBorders>
              <w:top w:val="single" w:sz="4" w:space="0" w:color="auto"/>
              <w:left w:val="nil"/>
              <w:bottom w:val="single" w:sz="4" w:space="0" w:color="auto"/>
              <w:right w:val="single" w:sz="4" w:space="0" w:color="auto"/>
            </w:tcBorders>
            <w:shd w:val="clear" w:color="auto" w:fill="auto"/>
            <w:noWrap/>
            <w:hideMark/>
          </w:tcPr>
          <w:p w14:paraId="719C936D"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3 719,5</w:t>
            </w:r>
          </w:p>
        </w:tc>
        <w:tc>
          <w:tcPr>
            <w:tcW w:w="851" w:type="dxa"/>
            <w:tcBorders>
              <w:top w:val="single" w:sz="4" w:space="0" w:color="auto"/>
              <w:left w:val="nil"/>
              <w:bottom w:val="single" w:sz="4" w:space="0" w:color="auto"/>
              <w:right w:val="single" w:sz="4" w:space="0" w:color="auto"/>
            </w:tcBorders>
            <w:shd w:val="clear" w:color="auto" w:fill="auto"/>
            <w:noWrap/>
            <w:hideMark/>
          </w:tcPr>
          <w:p w14:paraId="1ED0A9D8"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3 941,6</w:t>
            </w:r>
          </w:p>
        </w:tc>
        <w:tc>
          <w:tcPr>
            <w:tcW w:w="850" w:type="dxa"/>
            <w:tcBorders>
              <w:top w:val="single" w:sz="4" w:space="0" w:color="auto"/>
              <w:left w:val="nil"/>
              <w:bottom w:val="single" w:sz="4" w:space="0" w:color="auto"/>
              <w:right w:val="single" w:sz="4" w:space="0" w:color="auto"/>
            </w:tcBorders>
            <w:shd w:val="clear" w:color="auto" w:fill="auto"/>
            <w:noWrap/>
            <w:hideMark/>
          </w:tcPr>
          <w:p w14:paraId="46109704"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4 125,4</w:t>
            </w:r>
          </w:p>
        </w:tc>
        <w:tc>
          <w:tcPr>
            <w:tcW w:w="851" w:type="dxa"/>
            <w:tcBorders>
              <w:top w:val="single" w:sz="4" w:space="0" w:color="auto"/>
              <w:left w:val="nil"/>
              <w:bottom w:val="single" w:sz="4" w:space="0" w:color="auto"/>
              <w:right w:val="single" w:sz="4" w:space="0" w:color="auto"/>
            </w:tcBorders>
            <w:shd w:val="clear" w:color="auto" w:fill="auto"/>
          </w:tcPr>
          <w:p w14:paraId="057E3C3D" w14:textId="77777777" w:rsidR="00854F1A" w:rsidRPr="00854F1A" w:rsidRDefault="00854F1A" w:rsidP="00854F1A">
            <w:pPr>
              <w:spacing w:after="0"/>
              <w:ind w:firstLine="0"/>
              <w:jc w:val="right"/>
              <w:rPr>
                <w:b/>
                <w:bCs/>
                <w:sz w:val="18"/>
                <w:szCs w:val="18"/>
              </w:rPr>
            </w:pPr>
            <w:r w:rsidRPr="00854F1A">
              <w:rPr>
                <w:b/>
                <w:bCs/>
                <w:sz w:val="18"/>
                <w:szCs w:val="18"/>
              </w:rPr>
              <w:t>4 242,5</w:t>
            </w:r>
          </w:p>
        </w:tc>
        <w:tc>
          <w:tcPr>
            <w:tcW w:w="851" w:type="dxa"/>
            <w:tcBorders>
              <w:top w:val="single" w:sz="4" w:space="0" w:color="auto"/>
              <w:left w:val="nil"/>
              <w:bottom w:val="single" w:sz="4" w:space="0" w:color="auto"/>
              <w:right w:val="single" w:sz="4" w:space="0" w:color="auto"/>
            </w:tcBorders>
            <w:shd w:val="clear" w:color="auto" w:fill="auto"/>
            <w:vAlign w:val="center"/>
          </w:tcPr>
          <w:p w14:paraId="56D9A416"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3 966,2</w:t>
            </w:r>
          </w:p>
        </w:tc>
        <w:tc>
          <w:tcPr>
            <w:tcW w:w="850" w:type="dxa"/>
            <w:tcBorders>
              <w:top w:val="single" w:sz="4" w:space="0" w:color="auto"/>
              <w:left w:val="nil"/>
              <w:bottom w:val="single" w:sz="4" w:space="0" w:color="auto"/>
              <w:right w:val="single" w:sz="4" w:space="0" w:color="auto"/>
            </w:tcBorders>
            <w:shd w:val="clear" w:color="auto" w:fill="auto"/>
            <w:vAlign w:val="center"/>
          </w:tcPr>
          <w:p w14:paraId="7678B51C" w14:textId="77777777" w:rsidR="00854F1A" w:rsidRPr="00854F1A" w:rsidRDefault="00854F1A" w:rsidP="00854F1A">
            <w:pPr>
              <w:spacing w:after="0"/>
              <w:ind w:firstLine="0"/>
              <w:jc w:val="right"/>
              <w:rPr>
                <w:b/>
                <w:bCs/>
                <w:sz w:val="18"/>
                <w:szCs w:val="18"/>
              </w:rPr>
            </w:pPr>
            <w:r w:rsidRPr="00854F1A">
              <w:rPr>
                <w:b/>
                <w:bCs/>
                <w:sz w:val="18"/>
                <w:szCs w:val="18"/>
              </w:rPr>
              <w:t>4 143,3</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8DA34"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4 258,5</w:t>
            </w:r>
          </w:p>
        </w:tc>
      </w:tr>
      <w:tr w:rsidR="00854F1A" w:rsidRPr="00854F1A" w14:paraId="5F879E80" w14:textId="77777777" w:rsidTr="002C61B1">
        <w:trPr>
          <w:trHeight w:val="88"/>
          <w:jc w:val="center"/>
        </w:trPr>
        <w:tc>
          <w:tcPr>
            <w:tcW w:w="2141" w:type="dxa"/>
            <w:tcBorders>
              <w:top w:val="nil"/>
              <w:left w:val="single" w:sz="4" w:space="0" w:color="auto"/>
              <w:bottom w:val="single" w:sz="4" w:space="0" w:color="auto"/>
              <w:right w:val="single" w:sz="4" w:space="0" w:color="auto"/>
            </w:tcBorders>
            <w:shd w:val="clear" w:color="auto" w:fill="auto"/>
            <w:noWrap/>
            <w:vAlign w:val="center"/>
            <w:hideMark/>
          </w:tcPr>
          <w:p w14:paraId="4E8167DB" w14:textId="77777777" w:rsidR="00854F1A" w:rsidRPr="00854F1A" w:rsidRDefault="00854F1A" w:rsidP="00854F1A">
            <w:pPr>
              <w:spacing w:after="0"/>
              <w:ind w:firstLine="0"/>
              <w:jc w:val="left"/>
              <w:rPr>
                <w:rFonts w:eastAsia="Times New Roman" w:cs="Times New Roman"/>
                <w:sz w:val="18"/>
                <w:szCs w:val="18"/>
              </w:rPr>
            </w:pPr>
            <w:r w:rsidRPr="00854F1A">
              <w:rPr>
                <w:rFonts w:eastAsia="Times New Roman" w:cs="Times New Roman"/>
                <w:sz w:val="18"/>
                <w:szCs w:val="18"/>
              </w:rPr>
              <w:t>Nodokļu ieņēmumi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A223C"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2 125,6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980444B" w14:textId="77777777" w:rsidR="00854F1A" w:rsidRPr="00854F1A" w:rsidRDefault="00854F1A" w:rsidP="00854F1A">
            <w:pPr>
              <w:spacing w:after="0"/>
              <w:ind w:firstLine="0"/>
              <w:jc w:val="center"/>
              <w:rPr>
                <w:sz w:val="18"/>
                <w:szCs w:val="18"/>
              </w:rPr>
            </w:pPr>
            <w:r w:rsidRPr="00854F1A">
              <w:rPr>
                <w:sz w:val="18"/>
                <w:szCs w:val="18"/>
              </w:rPr>
              <w:t>2 336,4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8C8CBAF" w14:textId="77777777" w:rsidR="00854F1A" w:rsidRPr="00854F1A" w:rsidRDefault="00854F1A" w:rsidP="00854F1A">
            <w:pPr>
              <w:spacing w:after="0"/>
              <w:ind w:firstLine="0"/>
              <w:jc w:val="center"/>
              <w:rPr>
                <w:sz w:val="18"/>
                <w:szCs w:val="18"/>
              </w:rPr>
            </w:pPr>
            <w:r w:rsidRPr="00854F1A">
              <w:rPr>
                <w:sz w:val="18"/>
                <w:szCs w:val="18"/>
              </w:rPr>
              <w:t>2 468,0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A3ADBA2" w14:textId="77777777" w:rsidR="00854F1A" w:rsidRPr="00854F1A" w:rsidRDefault="00854F1A" w:rsidP="00854F1A">
            <w:pPr>
              <w:spacing w:after="0"/>
              <w:ind w:firstLine="0"/>
              <w:jc w:val="center"/>
              <w:rPr>
                <w:sz w:val="18"/>
                <w:szCs w:val="18"/>
              </w:rPr>
            </w:pPr>
            <w:r w:rsidRPr="00854F1A">
              <w:rPr>
                <w:sz w:val="18"/>
                <w:szCs w:val="18"/>
              </w:rPr>
              <w:t>2 615,7</w:t>
            </w:r>
          </w:p>
        </w:tc>
        <w:tc>
          <w:tcPr>
            <w:tcW w:w="851" w:type="dxa"/>
            <w:tcBorders>
              <w:top w:val="single" w:sz="4" w:space="0" w:color="auto"/>
              <w:left w:val="nil"/>
              <w:bottom w:val="single" w:sz="4" w:space="0" w:color="auto"/>
              <w:right w:val="single" w:sz="4" w:space="0" w:color="auto"/>
            </w:tcBorders>
            <w:shd w:val="clear" w:color="auto" w:fill="auto"/>
            <w:vAlign w:val="center"/>
          </w:tcPr>
          <w:p w14:paraId="2F088E46" w14:textId="77777777" w:rsidR="00854F1A" w:rsidRPr="00854F1A" w:rsidRDefault="00854F1A" w:rsidP="00854F1A">
            <w:pPr>
              <w:spacing w:after="0"/>
              <w:ind w:firstLine="0"/>
              <w:jc w:val="center"/>
              <w:rPr>
                <w:sz w:val="18"/>
                <w:szCs w:val="18"/>
              </w:rPr>
            </w:pPr>
            <w:r w:rsidRPr="00854F1A">
              <w:rPr>
                <w:sz w:val="18"/>
                <w:szCs w:val="18"/>
              </w:rPr>
              <w:t>2 740,1</w:t>
            </w:r>
          </w:p>
        </w:tc>
        <w:tc>
          <w:tcPr>
            <w:tcW w:w="851" w:type="dxa"/>
            <w:tcBorders>
              <w:top w:val="single" w:sz="4" w:space="0" w:color="auto"/>
              <w:left w:val="nil"/>
              <w:bottom w:val="single" w:sz="4" w:space="0" w:color="auto"/>
              <w:right w:val="single" w:sz="4" w:space="0" w:color="auto"/>
            </w:tcBorders>
            <w:shd w:val="clear" w:color="auto" w:fill="auto"/>
            <w:vAlign w:val="center"/>
          </w:tcPr>
          <w:p w14:paraId="7646E4A6"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2 401,5</w:t>
            </w:r>
          </w:p>
        </w:tc>
        <w:tc>
          <w:tcPr>
            <w:tcW w:w="850" w:type="dxa"/>
            <w:tcBorders>
              <w:top w:val="single" w:sz="4" w:space="0" w:color="auto"/>
              <w:left w:val="nil"/>
              <w:bottom w:val="single" w:sz="4" w:space="0" w:color="auto"/>
              <w:right w:val="single" w:sz="4" w:space="0" w:color="auto"/>
            </w:tcBorders>
            <w:shd w:val="clear" w:color="auto" w:fill="auto"/>
            <w:vAlign w:val="center"/>
          </w:tcPr>
          <w:p w14:paraId="18BEB09D" w14:textId="77777777" w:rsidR="00854F1A" w:rsidRPr="00854F1A" w:rsidRDefault="00854F1A" w:rsidP="00854F1A">
            <w:pPr>
              <w:spacing w:after="0"/>
              <w:ind w:firstLine="0"/>
              <w:jc w:val="right"/>
              <w:rPr>
                <w:sz w:val="18"/>
                <w:szCs w:val="18"/>
              </w:rPr>
            </w:pPr>
            <w:r w:rsidRPr="00854F1A">
              <w:rPr>
                <w:sz w:val="18"/>
                <w:szCs w:val="18"/>
              </w:rPr>
              <w:t>2 494,4</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A37B2"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2 598,4</w:t>
            </w:r>
          </w:p>
        </w:tc>
      </w:tr>
      <w:tr w:rsidR="00854F1A" w:rsidRPr="00854F1A" w14:paraId="095C6921" w14:textId="77777777" w:rsidTr="002C61B1">
        <w:trPr>
          <w:trHeight w:val="97"/>
          <w:jc w:val="center"/>
        </w:trPr>
        <w:tc>
          <w:tcPr>
            <w:tcW w:w="2141" w:type="dxa"/>
            <w:tcBorders>
              <w:top w:val="nil"/>
              <w:left w:val="single" w:sz="4" w:space="0" w:color="auto"/>
              <w:bottom w:val="single" w:sz="4" w:space="0" w:color="auto"/>
              <w:right w:val="single" w:sz="4" w:space="0" w:color="auto"/>
            </w:tcBorders>
            <w:shd w:val="clear" w:color="auto" w:fill="auto"/>
            <w:noWrap/>
            <w:vAlign w:val="center"/>
            <w:hideMark/>
          </w:tcPr>
          <w:p w14:paraId="70D8717C" w14:textId="77777777" w:rsidR="00854F1A" w:rsidRPr="00854F1A" w:rsidRDefault="00854F1A" w:rsidP="00854F1A">
            <w:pPr>
              <w:spacing w:after="0"/>
              <w:ind w:firstLine="0"/>
              <w:jc w:val="left"/>
              <w:rPr>
                <w:rFonts w:eastAsia="Times New Roman" w:cs="Times New Roman"/>
                <w:sz w:val="18"/>
                <w:szCs w:val="18"/>
              </w:rPr>
            </w:pPr>
            <w:r w:rsidRPr="00854F1A">
              <w:rPr>
                <w:rFonts w:eastAsia="Times New Roman" w:cs="Times New Roman"/>
                <w:noProof/>
                <w:sz w:val="18"/>
                <w:szCs w:val="18"/>
              </w:rPr>
              <w:t xml:space="preserve">Transferts </w:t>
            </w:r>
            <w:r w:rsidRPr="00854F1A">
              <w:rPr>
                <w:rFonts w:eastAsia="Times New Roman" w:cs="Times New Roman"/>
                <w:sz w:val="18"/>
                <w:szCs w:val="18"/>
              </w:rPr>
              <w:t>no valsts budžeta</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A868BD9"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1 063,0</w:t>
            </w:r>
          </w:p>
        </w:tc>
        <w:tc>
          <w:tcPr>
            <w:tcW w:w="850" w:type="dxa"/>
            <w:tcBorders>
              <w:top w:val="nil"/>
              <w:left w:val="nil"/>
              <w:bottom w:val="single" w:sz="4" w:space="0" w:color="auto"/>
              <w:right w:val="single" w:sz="4" w:space="0" w:color="auto"/>
            </w:tcBorders>
            <w:shd w:val="clear" w:color="auto" w:fill="auto"/>
            <w:noWrap/>
            <w:vAlign w:val="center"/>
            <w:hideMark/>
          </w:tcPr>
          <w:p w14:paraId="56AFC997" w14:textId="77777777" w:rsidR="00854F1A" w:rsidRPr="00854F1A" w:rsidRDefault="00854F1A" w:rsidP="00854F1A">
            <w:pPr>
              <w:spacing w:after="0"/>
              <w:ind w:firstLine="0"/>
              <w:jc w:val="center"/>
              <w:rPr>
                <w:sz w:val="18"/>
                <w:szCs w:val="18"/>
              </w:rPr>
            </w:pPr>
            <w:r w:rsidRPr="00854F1A">
              <w:rPr>
                <w:sz w:val="18"/>
                <w:szCs w:val="18"/>
              </w:rPr>
              <w:t>1 092,2</w:t>
            </w:r>
          </w:p>
        </w:tc>
        <w:tc>
          <w:tcPr>
            <w:tcW w:w="851" w:type="dxa"/>
            <w:tcBorders>
              <w:top w:val="nil"/>
              <w:left w:val="nil"/>
              <w:bottom w:val="single" w:sz="4" w:space="0" w:color="auto"/>
              <w:right w:val="single" w:sz="4" w:space="0" w:color="auto"/>
            </w:tcBorders>
            <w:shd w:val="clear" w:color="auto" w:fill="auto"/>
            <w:noWrap/>
            <w:vAlign w:val="center"/>
            <w:hideMark/>
          </w:tcPr>
          <w:p w14:paraId="30D583D1" w14:textId="77777777" w:rsidR="00854F1A" w:rsidRPr="00854F1A" w:rsidRDefault="00854F1A" w:rsidP="00854F1A">
            <w:pPr>
              <w:spacing w:after="0"/>
              <w:ind w:firstLine="0"/>
              <w:jc w:val="center"/>
              <w:rPr>
                <w:sz w:val="18"/>
                <w:szCs w:val="18"/>
              </w:rPr>
            </w:pPr>
            <w:r w:rsidRPr="00854F1A">
              <w:rPr>
                <w:sz w:val="18"/>
                <w:szCs w:val="18"/>
              </w:rPr>
              <w:t>1 175,6</w:t>
            </w:r>
          </w:p>
        </w:tc>
        <w:tc>
          <w:tcPr>
            <w:tcW w:w="850" w:type="dxa"/>
            <w:tcBorders>
              <w:top w:val="nil"/>
              <w:left w:val="nil"/>
              <w:bottom w:val="single" w:sz="4" w:space="0" w:color="auto"/>
              <w:right w:val="single" w:sz="4" w:space="0" w:color="auto"/>
            </w:tcBorders>
            <w:shd w:val="clear" w:color="auto" w:fill="auto"/>
            <w:noWrap/>
            <w:vAlign w:val="center"/>
            <w:hideMark/>
          </w:tcPr>
          <w:p w14:paraId="0A2EBA3A" w14:textId="77777777" w:rsidR="00854F1A" w:rsidRPr="00854F1A" w:rsidRDefault="00854F1A" w:rsidP="00854F1A">
            <w:pPr>
              <w:spacing w:after="0"/>
              <w:ind w:firstLine="0"/>
              <w:jc w:val="center"/>
              <w:rPr>
                <w:sz w:val="18"/>
                <w:szCs w:val="18"/>
              </w:rPr>
            </w:pPr>
            <w:r w:rsidRPr="00854F1A">
              <w:rPr>
                <w:sz w:val="18"/>
                <w:szCs w:val="18"/>
              </w:rPr>
              <w:t>1 204,3</w:t>
            </w:r>
          </w:p>
        </w:tc>
        <w:tc>
          <w:tcPr>
            <w:tcW w:w="851" w:type="dxa"/>
            <w:tcBorders>
              <w:top w:val="nil"/>
              <w:left w:val="nil"/>
              <w:bottom w:val="single" w:sz="4" w:space="0" w:color="auto"/>
              <w:right w:val="single" w:sz="4" w:space="0" w:color="auto"/>
            </w:tcBorders>
            <w:shd w:val="clear" w:color="auto" w:fill="auto"/>
            <w:vAlign w:val="center"/>
          </w:tcPr>
          <w:p w14:paraId="3DAAF99E" w14:textId="77777777" w:rsidR="00854F1A" w:rsidRPr="00854F1A" w:rsidRDefault="00854F1A" w:rsidP="00854F1A">
            <w:pPr>
              <w:spacing w:after="0"/>
              <w:ind w:firstLine="0"/>
              <w:jc w:val="center"/>
              <w:rPr>
                <w:sz w:val="18"/>
                <w:szCs w:val="18"/>
              </w:rPr>
            </w:pPr>
            <w:r w:rsidRPr="00854F1A">
              <w:rPr>
                <w:sz w:val="18"/>
                <w:szCs w:val="18"/>
              </w:rPr>
              <w:t>1 189,4</w:t>
            </w:r>
          </w:p>
        </w:tc>
        <w:tc>
          <w:tcPr>
            <w:tcW w:w="851" w:type="dxa"/>
            <w:tcBorders>
              <w:top w:val="single" w:sz="4" w:space="0" w:color="auto"/>
              <w:left w:val="nil"/>
              <w:bottom w:val="single" w:sz="4" w:space="0" w:color="auto"/>
              <w:right w:val="single" w:sz="4" w:space="0" w:color="auto"/>
            </w:tcBorders>
            <w:shd w:val="clear" w:color="auto" w:fill="auto"/>
            <w:vAlign w:val="center"/>
          </w:tcPr>
          <w:p w14:paraId="6337053A" w14:textId="77777777" w:rsidR="00854F1A" w:rsidRPr="00854F1A" w:rsidRDefault="00854F1A" w:rsidP="00854F1A">
            <w:pPr>
              <w:spacing w:after="0"/>
              <w:ind w:firstLine="0"/>
              <w:jc w:val="right"/>
              <w:rPr>
                <w:rFonts w:eastAsia="Times New Roman" w:cs="Times New Roman"/>
                <w:color w:val="000000"/>
                <w:sz w:val="18"/>
                <w:szCs w:val="18"/>
                <w:lang w:eastAsia="en-US"/>
              </w:rPr>
            </w:pPr>
            <w:r w:rsidRPr="00854F1A">
              <w:rPr>
                <w:sz w:val="18"/>
                <w:szCs w:val="18"/>
              </w:rPr>
              <w:t>1 266,7</w:t>
            </w:r>
          </w:p>
        </w:tc>
        <w:tc>
          <w:tcPr>
            <w:tcW w:w="850" w:type="dxa"/>
            <w:tcBorders>
              <w:top w:val="nil"/>
              <w:left w:val="nil"/>
              <w:bottom w:val="single" w:sz="4" w:space="0" w:color="auto"/>
              <w:right w:val="single" w:sz="4" w:space="0" w:color="auto"/>
            </w:tcBorders>
            <w:shd w:val="clear" w:color="auto" w:fill="auto"/>
            <w:vAlign w:val="center"/>
          </w:tcPr>
          <w:p w14:paraId="50D07250" w14:textId="77777777" w:rsidR="00854F1A" w:rsidRPr="00854F1A" w:rsidRDefault="00854F1A" w:rsidP="00854F1A">
            <w:pPr>
              <w:spacing w:after="0"/>
              <w:ind w:firstLine="0"/>
              <w:jc w:val="right"/>
              <w:rPr>
                <w:sz w:val="18"/>
                <w:szCs w:val="18"/>
              </w:rPr>
            </w:pPr>
            <w:r w:rsidRPr="00854F1A">
              <w:rPr>
                <w:sz w:val="18"/>
                <w:szCs w:val="18"/>
              </w:rPr>
              <w:t>1 343,4</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14:paraId="67BE44A5"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1 347,1</w:t>
            </w:r>
          </w:p>
        </w:tc>
      </w:tr>
      <w:tr w:rsidR="00854F1A" w:rsidRPr="00854F1A" w14:paraId="01B622C3" w14:textId="77777777" w:rsidTr="002C61B1">
        <w:trPr>
          <w:trHeight w:val="88"/>
          <w:jc w:val="center"/>
        </w:trPr>
        <w:tc>
          <w:tcPr>
            <w:tcW w:w="2141" w:type="dxa"/>
            <w:tcBorders>
              <w:top w:val="nil"/>
              <w:left w:val="single" w:sz="4" w:space="0" w:color="auto"/>
              <w:bottom w:val="single" w:sz="4" w:space="0" w:color="auto"/>
              <w:right w:val="single" w:sz="4" w:space="0" w:color="auto"/>
            </w:tcBorders>
            <w:shd w:val="clear" w:color="auto" w:fill="auto"/>
            <w:noWrap/>
            <w:vAlign w:val="center"/>
            <w:hideMark/>
          </w:tcPr>
          <w:p w14:paraId="3939BBC7" w14:textId="77777777" w:rsidR="00854F1A" w:rsidRPr="00854F1A" w:rsidRDefault="00854F1A" w:rsidP="00854F1A">
            <w:pPr>
              <w:spacing w:after="0"/>
              <w:ind w:firstLine="0"/>
              <w:jc w:val="left"/>
              <w:rPr>
                <w:rFonts w:eastAsia="Times New Roman" w:cs="Times New Roman"/>
                <w:sz w:val="18"/>
                <w:szCs w:val="18"/>
              </w:rPr>
            </w:pPr>
            <w:r w:rsidRPr="00854F1A">
              <w:rPr>
                <w:rFonts w:eastAsia="Times New Roman" w:cs="Times New Roman"/>
                <w:sz w:val="18"/>
                <w:szCs w:val="18"/>
              </w:rPr>
              <w:t>Pārējie ieņēmumi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6E5A23F" w14:textId="77777777" w:rsidR="00854F1A" w:rsidRPr="00854F1A" w:rsidRDefault="00854F1A" w:rsidP="00854F1A">
            <w:pPr>
              <w:spacing w:after="0"/>
              <w:ind w:firstLine="0"/>
              <w:jc w:val="right"/>
              <w:rPr>
                <w:rFonts w:eastAsia="Times New Roman" w:cs="Times New Roman"/>
                <w:iCs/>
                <w:sz w:val="18"/>
                <w:szCs w:val="18"/>
              </w:rPr>
            </w:pPr>
            <w:r w:rsidRPr="00854F1A">
              <w:rPr>
                <w:sz w:val="18"/>
                <w:szCs w:val="18"/>
              </w:rPr>
              <w:t>290,5</w:t>
            </w:r>
          </w:p>
        </w:tc>
        <w:tc>
          <w:tcPr>
            <w:tcW w:w="850" w:type="dxa"/>
            <w:tcBorders>
              <w:top w:val="nil"/>
              <w:left w:val="nil"/>
              <w:bottom w:val="single" w:sz="4" w:space="0" w:color="auto"/>
              <w:right w:val="single" w:sz="4" w:space="0" w:color="auto"/>
            </w:tcBorders>
            <w:shd w:val="clear" w:color="auto" w:fill="auto"/>
            <w:noWrap/>
            <w:vAlign w:val="center"/>
          </w:tcPr>
          <w:p w14:paraId="628E4CBC" w14:textId="77777777" w:rsidR="00854F1A" w:rsidRPr="00854F1A" w:rsidRDefault="00854F1A" w:rsidP="00854F1A">
            <w:pPr>
              <w:spacing w:after="0"/>
              <w:ind w:firstLine="0"/>
              <w:jc w:val="center"/>
              <w:rPr>
                <w:sz w:val="18"/>
                <w:szCs w:val="18"/>
              </w:rPr>
            </w:pPr>
            <w:r w:rsidRPr="00854F1A">
              <w:rPr>
                <w:sz w:val="18"/>
                <w:szCs w:val="18"/>
              </w:rPr>
              <w:t>290,9</w:t>
            </w:r>
          </w:p>
        </w:tc>
        <w:tc>
          <w:tcPr>
            <w:tcW w:w="851" w:type="dxa"/>
            <w:tcBorders>
              <w:top w:val="nil"/>
              <w:left w:val="nil"/>
              <w:bottom w:val="single" w:sz="4" w:space="0" w:color="auto"/>
              <w:right w:val="single" w:sz="4" w:space="0" w:color="auto"/>
            </w:tcBorders>
            <w:shd w:val="clear" w:color="auto" w:fill="auto"/>
            <w:noWrap/>
            <w:vAlign w:val="center"/>
          </w:tcPr>
          <w:p w14:paraId="0822C043" w14:textId="77777777" w:rsidR="00854F1A" w:rsidRPr="00854F1A" w:rsidRDefault="00854F1A" w:rsidP="00854F1A">
            <w:pPr>
              <w:spacing w:after="0"/>
              <w:ind w:firstLine="0"/>
              <w:jc w:val="center"/>
              <w:rPr>
                <w:sz w:val="18"/>
                <w:szCs w:val="18"/>
              </w:rPr>
            </w:pPr>
            <w:r w:rsidRPr="00854F1A">
              <w:rPr>
                <w:sz w:val="18"/>
                <w:szCs w:val="18"/>
              </w:rPr>
              <w:t>298,0</w:t>
            </w:r>
          </w:p>
        </w:tc>
        <w:tc>
          <w:tcPr>
            <w:tcW w:w="850" w:type="dxa"/>
            <w:tcBorders>
              <w:top w:val="nil"/>
              <w:left w:val="nil"/>
              <w:bottom w:val="single" w:sz="4" w:space="0" w:color="auto"/>
              <w:right w:val="single" w:sz="4" w:space="0" w:color="auto"/>
            </w:tcBorders>
            <w:shd w:val="clear" w:color="auto" w:fill="auto"/>
            <w:noWrap/>
            <w:vAlign w:val="center"/>
          </w:tcPr>
          <w:p w14:paraId="38367666" w14:textId="77777777" w:rsidR="00854F1A" w:rsidRPr="00854F1A" w:rsidRDefault="00854F1A" w:rsidP="00854F1A">
            <w:pPr>
              <w:spacing w:after="0"/>
              <w:ind w:firstLine="0"/>
              <w:jc w:val="center"/>
              <w:rPr>
                <w:sz w:val="18"/>
                <w:szCs w:val="18"/>
              </w:rPr>
            </w:pPr>
            <w:r w:rsidRPr="00854F1A">
              <w:rPr>
                <w:sz w:val="18"/>
                <w:szCs w:val="18"/>
              </w:rPr>
              <w:t>305,5</w:t>
            </w:r>
          </w:p>
        </w:tc>
        <w:tc>
          <w:tcPr>
            <w:tcW w:w="851" w:type="dxa"/>
            <w:tcBorders>
              <w:top w:val="nil"/>
              <w:left w:val="nil"/>
              <w:bottom w:val="single" w:sz="4" w:space="0" w:color="auto"/>
              <w:right w:val="single" w:sz="4" w:space="0" w:color="auto"/>
            </w:tcBorders>
            <w:shd w:val="clear" w:color="auto" w:fill="auto"/>
            <w:vAlign w:val="center"/>
          </w:tcPr>
          <w:p w14:paraId="1C68F967" w14:textId="77777777" w:rsidR="00854F1A" w:rsidRPr="00854F1A" w:rsidRDefault="00854F1A" w:rsidP="00854F1A">
            <w:pPr>
              <w:spacing w:after="0"/>
              <w:ind w:firstLine="0"/>
              <w:jc w:val="center"/>
              <w:rPr>
                <w:sz w:val="18"/>
                <w:szCs w:val="18"/>
              </w:rPr>
            </w:pPr>
            <w:r w:rsidRPr="00854F1A">
              <w:rPr>
                <w:sz w:val="18"/>
                <w:szCs w:val="18"/>
              </w:rPr>
              <w:t>313,0</w:t>
            </w:r>
          </w:p>
        </w:tc>
        <w:tc>
          <w:tcPr>
            <w:tcW w:w="851" w:type="dxa"/>
            <w:tcBorders>
              <w:top w:val="single" w:sz="4" w:space="0" w:color="auto"/>
              <w:left w:val="nil"/>
              <w:bottom w:val="single" w:sz="4" w:space="0" w:color="auto"/>
              <w:right w:val="single" w:sz="4" w:space="0" w:color="auto"/>
            </w:tcBorders>
            <w:shd w:val="clear" w:color="auto" w:fill="auto"/>
            <w:vAlign w:val="center"/>
          </w:tcPr>
          <w:p w14:paraId="0234AFC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298,0</w:t>
            </w:r>
          </w:p>
        </w:tc>
        <w:tc>
          <w:tcPr>
            <w:tcW w:w="850" w:type="dxa"/>
            <w:tcBorders>
              <w:top w:val="nil"/>
              <w:left w:val="nil"/>
              <w:bottom w:val="single" w:sz="4" w:space="0" w:color="auto"/>
              <w:right w:val="single" w:sz="4" w:space="0" w:color="auto"/>
            </w:tcBorders>
            <w:shd w:val="clear" w:color="auto" w:fill="auto"/>
            <w:vAlign w:val="center"/>
          </w:tcPr>
          <w:p w14:paraId="3A48F49C" w14:textId="77777777" w:rsidR="00854F1A" w:rsidRPr="00854F1A" w:rsidRDefault="00854F1A" w:rsidP="00854F1A">
            <w:pPr>
              <w:spacing w:after="0"/>
              <w:ind w:firstLine="0"/>
              <w:jc w:val="right"/>
              <w:rPr>
                <w:sz w:val="18"/>
                <w:szCs w:val="18"/>
              </w:rPr>
            </w:pPr>
            <w:r w:rsidRPr="00854F1A">
              <w:rPr>
                <w:sz w:val="18"/>
                <w:szCs w:val="18"/>
              </w:rPr>
              <w:t>305,5</w:t>
            </w:r>
          </w:p>
        </w:tc>
        <w:tc>
          <w:tcPr>
            <w:tcW w:w="852" w:type="dxa"/>
            <w:tcBorders>
              <w:top w:val="nil"/>
              <w:left w:val="single" w:sz="4" w:space="0" w:color="auto"/>
              <w:bottom w:val="single" w:sz="4" w:space="0" w:color="auto"/>
              <w:right w:val="single" w:sz="4" w:space="0" w:color="auto"/>
            </w:tcBorders>
            <w:shd w:val="clear" w:color="auto" w:fill="auto"/>
            <w:noWrap/>
            <w:vAlign w:val="center"/>
          </w:tcPr>
          <w:p w14:paraId="1BDCD3CD" w14:textId="77777777" w:rsidR="00854F1A" w:rsidRPr="00854F1A" w:rsidRDefault="00854F1A" w:rsidP="00854F1A">
            <w:pPr>
              <w:spacing w:after="0"/>
              <w:ind w:firstLine="0"/>
              <w:jc w:val="right"/>
              <w:rPr>
                <w:rFonts w:eastAsia="Times New Roman" w:cs="Times New Roman"/>
                <w:color w:val="FF0000"/>
                <w:sz w:val="18"/>
                <w:szCs w:val="18"/>
              </w:rPr>
            </w:pPr>
            <w:r w:rsidRPr="00854F1A">
              <w:rPr>
                <w:sz w:val="18"/>
                <w:szCs w:val="18"/>
              </w:rPr>
              <w:t>313,0</w:t>
            </w:r>
          </w:p>
        </w:tc>
      </w:tr>
      <w:tr w:rsidR="00854F1A" w:rsidRPr="00854F1A" w14:paraId="2CB47532" w14:textId="77777777" w:rsidTr="002C61B1">
        <w:trPr>
          <w:trHeight w:val="80"/>
          <w:jc w:val="center"/>
        </w:trPr>
        <w:tc>
          <w:tcPr>
            <w:tcW w:w="2141" w:type="dxa"/>
            <w:tcBorders>
              <w:top w:val="nil"/>
              <w:left w:val="single" w:sz="4" w:space="0" w:color="auto"/>
              <w:bottom w:val="single" w:sz="4" w:space="0" w:color="auto"/>
              <w:right w:val="single" w:sz="4" w:space="0" w:color="auto"/>
            </w:tcBorders>
            <w:shd w:val="clear" w:color="auto" w:fill="auto"/>
            <w:noWrap/>
            <w:vAlign w:val="center"/>
            <w:hideMark/>
          </w:tcPr>
          <w:p w14:paraId="43604AA9" w14:textId="77777777" w:rsidR="00854F1A" w:rsidRPr="00854F1A" w:rsidRDefault="00854F1A" w:rsidP="00854F1A">
            <w:pPr>
              <w:spacing w:after="0"/>
              <w:ind w:left="-225" w:firstLineChars="100" w:firstLine="181"/>
              <w:rPr>
                <w:rFonts w:eastAsia="Times New Roman" w:cs="Times New Roman"/>
                <w:b/>
                <w:bCs/>
                <w:sz w:val="18"/>
                <w:szCs w:val="18"/>
              </w:rPr>
            </w:pPr>
            <w:r w:rsidRPr="00854F1A">
              <w:rPr>
                <w:rFonts w:eastAsia="Times New Roman" w:cs="Times New Roman"/>
                <w:b/>
                <w:bCs/>
                <w:sz w:val="18"/>
                <w:szCs w:val="18"/>
              </w:rPr>
              <w:t>Izdevumi</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01D1B99" w14:textId="77777777" w:rsidR="00854F1A" w:rsidRPr="00854F1A" w:rsidRDefault="00854F1A" w:rsidP="00854F1A">
            <w:pPr>
              <w:spacing w:after="0"/>
              <w:ind w:firstLine="0"/>
              <w:jc w:val="right"/>
              <w:rPr>
                <w:rFonts w:eastAsia="Times New Roman" w:cs="Times New Roman"/>
                <w:b/>
                <w:bCs/>
                <w:sz w:val="18"/>
                <w:szCs w:val="18"/>
              </w:rPr>
            </w:pPr>
            <w:r w:rsidRPr="00854F1A">
              <w:rPr>
                <w:b/>
                <w:bCs/>
                <w:sz w:val="18"/>
                <w:szCs w:val="18"/>
              </w:rPr>
              <w:t>3 635,0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7B8A422" w14:textId="77777777" w:rsidR="00854F1A" w:rsidRPr="00854F1A" w:rsidRDefault="00854F1A" w:rsidP="00854F1A">
            <w:pPr>
              <w:spacing w:after="0"/>
              <w:ind w:firstLine="0"/>
              <w:jc w:val="center"/>
              <w:rPr>
                <w:b/>
                <w:bCs/>
                <w:sz w:val="18"/>
                <w:szCs w:val="18"/>
              </w:rPr>
            </w:pPr>
            <w:r w:rsidRPr="00854F1A">
              <w:rPr>
                <w:b/>
                <w:bCs/>
                <w:sz w:val="18"/>
                <w:szCs w:val="18"/>
              </w:rPr>
              <w:t>3 805,8</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17D873D" w14:textId="77777777" w:rsidR="00854F1A" w:rsidRPr="00854F1A" w:rsidRDefault="00854F1A" w:rsidP="00854F1A">
            <w:pPr>
              <w:spacing w:after="0"/>
              <w:ind w:firstLine="0"/>
              <w:jc w:val="center"/>
              <w:rPr>
                <w:b/>
                <w:bCs/>
                <w:sz w:val="18"/>
                <w:szCs w:val="18"/>
              </w:rPr>
            </w:pPr>
            <w:r w:rsidRPr="00854F1A">
              <w:rPr>
                <w:b/>
                <w:bCs/>
                <w:sz w:val="18"/>
                <w:szCs w:val="18"/>
              </w:rPr>
              <w:t>3 986,1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7BA15AA" w14:textId="77777777" w:rsidR="00854F1A" w:rsidRPr="00854F1A" w:rsidRDefault="00854F1A" w:rsidP="00854F1A">
            <w:pPr>
              <w:spacing w:after="0"/>
              <w:ind w:firstLine="0"/>
              <w:jc w:val="center"/>
              <w:rPr>
                <w:b/>
                <w:bCs/>
                <w:sz w:val="18"/>
                <w:szCs w:val="18"/>
              </w:rPr>
            </w:pPr>
            <w:r w:rsidRPr="00854F1A">
              <w:rPr>
                <w:b/>
                <w:bCs/>
                <w:sz w:val="18"/>
                <w:szCs w:val="18"/>
              </w:rPr>
              <w:t>4 126,8</w:t>
            </w:r>
          </w:p>
        </w:tc>
        <w:tc>
          <w:tcPr>
            <w:tcW w:w="851" w:type="dxa"/>
            <w:tcBorders>
              <w:top w:val="single" w:sz="4" w:space="0" w:color="auto"/>
              <w:left w:val="nil"/>
              <w:bottom w:val="single" w:sz="4" w:space="0" w:color="auto"/>
              <w:right w:val="single" w:sz="4" w:space="0" w:color="auto"/>
            </w:tcBorders>
            <w:shd w:val="clear" w:color="auto" w:fill="auto"/>
            <w:vAlign w:val="center"/>
          </w:tcPr>
          <w:p w14:paraId="28DDE0D1" w14:textId="77777777" w:rsidR="00854F1A" w:rsidRPr="00854F1A" w:rsidRDefault="00854F1A" w:rsidP="00854F1A">
            <w:pPr>
              <w:spacing w:after="0"/>
              <w:ind w:firstLine="0"/>
              <w:jc w:val="center"/>
              <w:rPr>
                <w:b/>
                <w:bCs/>
                <w:sz w:val="18"/>
                <w:szCs w:val="18"/>
              </w:rPr>
            </w:pPr>
            <w:r w:rsidRPr="00854F1A">
              <w:rPr>
                <w:b/>
                <w:bCs/>
                <w:sz w:val="18"/>
                <w:szCs w:val="18"/>
              </w:rPr>
              <w:t>4 239,6</w:t>
            </w:r>
          </w:p>
        </w:tc>
        <w:tc>
          <w:tcPr>
            <w:tcW w:w="851" w:type="dxa"/>
            <w:tcBorders>
              <w:top w:val="single" w:sz="4" w:space="0" w:color="auto"/>
              <w:left w:val="nil"/>
              <w:bottom w:val="single" w:sz="4" w:space="0" w:color="auto"/>
              <w:right w:val="single" w:sz="4" w:space="0" w:color="auto"/>
            </w:tcBorders>
            <w:shd w:val="clear" w:color="auto" w:fill="auto"/>
            <w:vAlign w:val="center"/>
          </w:tcPr>
          <w:p w14:paraId="63068565"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3 956,2</w:t>
            </w:r>
          </w:p>
        </w:tc>
        <w:tc>
          <w:tcPr>
            <w:tcW w:w="850" w:type="dxa"/>
            <w:tcBorders>
              <w:top w:val="single" w:sz="4" w:space="0" w:color="auto"/>
              <w:left w:val="nil"/>
              <w:bottom w:val="single" w:sz="4" w:space="0" w:color="auto"/>
              <w:right w:val="single" w:sz="4" w:space="0" w:color="auto"/>
            </w:tcBorders>
            <w:shd w:val="clear" w:color="auto" w:fill="auto"/>
            <w:vAlign w:val="center"/>
          </w:tcPr>
          <w:p w14:paraId="0C385ADF" w14:textId="77777777" w:rsidR="00854F1A" w:rsidRPr="00854F1A" w:rsidRDefault="00854F1A" w:rsidP="00854F1A">
            <w:pPr>
              <w:spacing w:after="0"/>
              <w:ind w:firstLine="0"/>
              <w:jc w:val="right"/>
              <w:rPr>
                <w:b/>
                <w:bCs/>
                <w:sz w:val="18"/>
                <w:szCs w:val="18"/>
              </w:rPr>
            </w:pPr>
            <w:r w:rsidRPr="00854F1A">
              <w:rPr>
                <w:b/>
                <w:bCs/>
                <w:sz w:val="18"/>
                <w:szCs w:val="18"/>
              </w:rPr>
              <w:t>4 077,9</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2D50E" w14:textId="77777777" w:rsidR="00854F1A" w:rsidRPr="00854F1A" w:rsidRDefault="00854F1A" w:rsidP="00854F1A">
            <w:pPr>
              <w:spacing w:after="0"/>
              <w:ind w:firstLine="0"/>
              <w:jc w:val="right"/>
              <w:rPr>
                <w:rFonts w:eastAsia="Times New Roman" w:cs="Times New Roman"/>
                <w:b/>
                <w:bCs/>
                <w:color w:val="FF0000"/>
                <w:sz w:val="18"/>
                <w:szCs w:val="18"/>
              </w:rPr>
            </w:pPr>
            <w:r w:rsidRPr="00854F1A">
              <w:rPr>
                <w:b/>
                <w:bCs/>
                <w:sz w:val="18"/>
                <w:szCs w:val="18"/>
              </w:rPr>
              <w:t>4 178,8</w:t>
            </w:r>
          </w:p>
        </w:tc>
      </w:tr>
      <w:tr w:rsidR="00854F1A" w:rsidRPr="00854F1A" w14:paraId="0C9CC6DE" w14:textId="77777777" w:rsidTr="002C61B1">
        <w:trPr>
          <w:trHeight w:val="88"/>
          <w:jc w:val="center"/>
        </w:trPr>
        <w:tc>
          <w:tcPr>
            <w:tcW w:w="2141" w:type="dxa"/>
            <w:tcBorders>
              <w:top w:val="nil"/>
              <w:left w:val="single" w:sz="4" w:space="0" w:color="auto"/>
              <w:bottom w:val="single" w:sz="4" w:space="0" w:color="auto"/>
              <w:right w:val="single" w:sz="4" w:space="0" w:color="auto"/>
            </w:tcBorders>
            <w:shd w:val="clear" w:color="auto" w:fill="auto"/>
            <w:noWrap/>
            <w:vAlign w:val="center"/>
            <w:hideMark/>
          </w:tcPr>
          <w:p w14:paraId="2200C35A" w14:textId="77777777" w:rsidR="00854F1A" w:rsidRPr="00854F1A" w:rsidRDefault="00854F1A" w:rsidP="00854F1A">
            <w:pPr>
              <w:spacing w:after="0"/>
              <w:ind w:left="32" w:firstLine="0"/>
              <w:rPr>
                <w:rFonts w:eastAsia="Times New Roman" w:cs="Times New Roman"/>
                <w:sz w:val="18"/>
                <w:szCs w:val="18"/>
              </w:rPr>
            </w:pPr>
            <w:r w:rsidRPr="00854F1A">
              <w:rPr>
                <w:rFonts w:eastAsia="Times New Roman" w:cs="Times New Roman"/>
                <w:sz w:val="18"/>
                <w:szCs w:val="18"/>
              </w:rPr>
              <w:t>Uzturēšanas izdevumi</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3126A"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3 060,3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7F62143" w14:textId="77777777" w:rsidR="00854F1A" w:rsidRPr="00854F1A" w:rsidRDefault="00854F1A" w:rsidP="00854F1A">
            <w:pPr>
              <w:spacing w:after="0"/>
              <w:ind w:firstLine="0"/>
              <w:jc w:val="center"/>
              <w:rPr>
                <w:sz w:val="18"/>
                <w:szCs w:val="18"/>
              </w:rPr>
            </w:pPr>
            <w:r w:rsidRPr="00854F1A">
              <w:rPr>
                <w:sz w:val="18"/>
                <w:szCs w:val="18"/>
              </w:rPr>
              <w:t>3 334,5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866B605" w14:textId="77777777" w:rsidR="00854F1A" w:rsidRPr="00854F1A" w:rsidRDefault="00854F1A" w:rsidP="00854F1A">
            <w:pPr>
              <w:spacing w:after="0"/>
              <w:ind w:firstLine="0"/>
              <w:jc w:val="center"/>
              <w:rPr>
                <w:sz w:val="18"/>
                <w:szCs w:val="18"/>
              </w:rPr>
            </w:pPr>
            <w:r w:rsidRPr="00854F1A">
              <w:rPr>
                <w:sz w:val="18"/>
                <w:szCs w:val="18"/>
              </w:rPr>
              <w:t>3 439,6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761BDDF" w14:textId="77777777" w:rsidR="00854F1A" w:rsidRPr="00854F1A" w:rsidRDefault="00854F1A" w:rsidP="00854F1A">
            <w:pPr>
              <w:spacing w:after="0"/>
              <w:ind w:firstLine="0"/>
              <w:jc w:val="center"/>
              <w:rPr>
                <w:sz w:val="18"/>
                <w:szCs w:val="18"/>
              </w:rPr>
            </w:pPr>
            <w:r w:rsidRPr="00854F1A">
              <w:rPr>
                <w:sz w:val="18"/>
                <w:szCs w:val="18"/>
              </w:rPr>
              <w:t>3 547,8</w:t>
            </w:r>
          </w:p>
        </w:tc>
        <w:tc>
          <w:tcPr>
            <w:tcW w:w="851" w:type="dxa"/>
            <w:tcBorders>
              <w:top w:val="single" w:sz="4" w:space="0" w:color="auto"/>
              <w:left w:val="nil"/>
              <w:bottom w:val="single" w:sz="4" w:space="0" w:color="auto"/>
              <w:right w:val="single" w:sz="4" w:space="0" w:color="auto"/>
            </w:tcBorders>
            <w:shd w:val="clear" w:color="auto" w:fill="auto"/>
            <w:vAlign w:val="center"/>
          </w:tcPr>
          <w:p w14:paraId="7BBE0EF7" w14:textId="77777777" w:rsidR="00854F1A" w:rsidRPr="00854F1A" w:rsidRDefault="00854F1A" w:rsidP="00854F1A">
            <w:pPr>
              <w:spacing w:after="0"/>
              <w:ind w:firstLine="0"/>
              <w:jc w:val="center"/>
              <w:rPr>
                <w:sz w:val="18"/>
                <w:szCs w:val="18"/>
              </w:rPr>
            </w:pPr>
            <w:r w:rsidRPr="00854F1A">
              <w:rPr>
                <w:sz w:val="18"/>
                <w:szCs w:val="18"/>
              </w:rPr>
              <w:t>3 646,7</w:t>
            </w:r>
          </w:p>
        </w:tc>
        <w:tc>
          <w:tcPr>
            <w:tcW w:w="851" w:type="dxa"/>
            <w:tcBorders>
              <w:top w:val="single" w:sz="4" w:space="0" w:color="auto"/>
              <w:left w:val="nil"/>
              <w:bottom w:val="single" w:sz="4" w:space="0" w:color="auto"/>
              <w:right w:val="single" w:sz="4" w:space="0" w:color="auto"/>
            </w:tcBorders>
            <w:shd w:val="clear" w:color="auto" w:fill="auto"/>
            <w:vAlign w:val="center"/>
          </w:tcPr>
          <w:p w14:paraId="45511CC8"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3 411,0</w:t>
            </w:r>
          </w:p>
        </w:tc>
        <w:tc>
          <w:tcPr>
            <w:tcW w:w="850" w:type="dxa"/>
            <w:tcBorders>
              <w:top w:val="single" w:sz="4" w:space="0" w:color="auto"/>
              <w:left w:val="nil"/>
              <w:bottom w:val="single" w:sz="4" w:space="0" w:color="auto"/>
              <w:right w:val="single" w:sz="4" w:space="0" w:color="auto"/>
            </w:tcBorders>
            <w:shd w:val="clear" w:color="auto" w:fill="auto"/>
            <w:vAlign w:val="center"/>
          </w:tcPr>
          <w:p w14:paraId="53C9F2A8" w14:textId="77777777" w:rsidR="00854F1A" w:rsidRPr="00854F1A" w:rsidRDefault="00854F1A" w:rsidP="00854F1A">
            <w:pPr>
              <w:spacing w:after="0"/>
              <w:ind w:firstLine="0"/>
              <w:jc w:val="right"/>
              <w:rPr>
                <w:sz w:val="18"/>
                <w:szCs w:val="18"/>
              </w:rPr>
            </w:pPr>
            <w:r w:rsidRPr="00854F1A">
              <w:rPr>
                <w:sz w:val="18"/>
                <w:szCs w:val="18"/>
              </w:rPr>
              <w:t>3 514,5</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EF43F"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3 611,6</w:t>
            </w:r>
          </w:p>
        </w:tc>
      </w:tr>
      <w:tr w:rsidR="00854F1A" w:rsidRPr="00854F1A" w14:paraId="0F075B9E" w14:textId="77777777" w:rsidTr="002C61B1">
        <w:trPr>
          <w:trHeight w:val="88"/>
          <w:jc w:val="center"/>
        </w:trPr>
        <w:tc>
          <w:tcPr>
            <w:tcW w:w="2141" w:type="dxa"/>
            <w:tcBorders>
              <w:top w:val="nil"/>
              <w:left w:val="single" w:sz="4" w:space="0" w:color="auto"/>
              <w:bottom w:val="single" w:sz="4" w:space="0" w:color="auto"/>
              <w:right w:val="single" w:sz="4" w:space="0" w:color="auto"/>
            </w:tcBorders>
            <w:shd w:val="clear" w:color="auto" w:fill="auto"/>
            <w:noWrap/>
            <w:vAlign w:val="center"/>
            <w:hideMark/>
          </w:tcPr>
          <w:p w14:paraId="7585EC0A" w14:textId="77777777" w:rsidR="00854F1A" w:rsidRPr="00854F1A" w:rsidRDefault="00854F1A" w:rsidP="00854F1A">
            <w:pPr>
              <w:spacing w:after="0"/>
              <w:ind w:left="32" w:firstLine="0"/>
              <w:rPr>
                <w:rFonts w:eastAsia="Times New Roman" w:cs="Times New Roman"/>
                <w:sz w:val="18"/>
                <w:szCs w:val="18"/>
              </w:rPr>
            </w:pPr>
            <w:r w:rsidRPr="00854F1A">
              <w:rPr>
                <w:rFonts w:eastAsia="Times New Roman" w:cs="Times New Roman"/>
                <w:sz w:val="18"/>
                <w:szCs w:val="18"/>
              </w:rPr>
              <w:t>Kapitālie izdevumi</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DBD4115"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574,7</w:t>
            </w:r>
          </w:p>
        </w:tc>
        <w:tc>
          <w:tcPr>
            <w:tcW w:w="850" w:type="dxa"/>
            <w:tcBorders>
              <w:top w:val="nil"/>
              <w:left w:val="nil"/>
              <w:bottom w:val="single" w:sz="4" w:space="0" w:color="auto"/>
              <w:right w:val="single" w:sz="4" w:space="0" w:color="auto"/>
            </w:tcBorders>
            <w:shd w:val="clear" w:color="auto" w:fill="auto"/>
            <w:noWrap/>
            <w:vAlign w:val="center"/>
            <w:hideMark/>
          </w:tcPr>
          <w:p w14:paraId="5076896F" w14:textId="77777777" w:rsidR="00854F1A" w:rsidRPr="00854F1A" w:rsidRDefault="00854F1A" w:rsidP="00854F1A">
            <w:pPr>
              <w:spacing w:after="0"/>
              <w:ind w:firstLine="0"/>
              <w:jc w:val="center"/>
              <w:rPr>
                <w:sz w:val="18"/>
                <w:szCs w:val="18"/>
              </w:rPr>
            </w:pPr>
            <w:r w:rsidRPr="00854F1A">
              <w:rPr>
                <w:sz w:val="18"/>
                <w:szCs w:val="18"/>
              </w:rPr>
              <w:t>471,3</w:t>
            </w:r>
          </w:p>
        </w:tc>
        <w:tc>
          <w:tcPr>
            <w:tcW w:w="851" w:type="dxa"/>
            <w:tcBorders>
              <w:top w:val="nil"/>
              <w:left w:val="nil"/>
              <w:bottom w:val="single" w:sz="4" w:space="0" w:color="auto"/>
              <w:right w:val="single" w:sz="4" w:space="0" w:color="auto"/>
            </w:tcBorders>
            <w:shd w:val="clear" w:color="auto" w:fill="auto"/>
            <w:noWrap/>
            <w:vAlign w:val="center"/>
            <w:hideMark/>
          </w:tcPr>
          <w:p w14:paraId="6E835A1D" w14:textId="77777777" w:rsidR="00854F1A" w:rsidRPr="00854F1A" w:rsidRDefault="00854F1A" w:rsidP="00854F1A">
            <w:pPr>
              <w:spacing w:after="0"/>
              <w:ind w:firstLine="0"/>
              <w:jc w:val="center"/>
              <w:rPr>
                <w:sz w:val="18"/>
                <w:szCs w:val="18"/>
              </w:rPr>
            </w:pPr>
            <w:r w:rsidRPr="00854F1A">
              <w:rPr>
                <w:sz w:val="18"/>
                <w:szCs w:val="18"/>
              </w:rPr>
              <w:t>546,5</w:t>
            </w:r>
          </w:p>
        </w:tc>
        <w:tc>
          <w:tcPr>
            <w:tcW w:w="850" w:type="dxa"/>
            <w:tcBorders>
              <w:top w:val="nil"/>
              <w:left w:val="nil"/>
              <w:bottom w:val="single" w:sz="4" w:space="0" w:color="auto"/>
              <w:right w:val="single" w:sz="4" w:space="0" w:color="auto"/>
            </w:tcBorders>
            <w:shd w:val="clear" w:color="auto" w:fill="auto"/>
            <w:noWrap/>
            <w:vAlign w:val="center"/>
            <w:hideMark/>
          </w:tcPr>
          <w:p w14:paraId="4024EEDD" w14:textId="77777777" w:rsidR="00854F1A" w:rsidRPr="00854F1A" w:rsidRDefault="00854F1A" w:rsidP="00854F1A">
            <w:pPr>
              <w:spacing w:after="0"/>
              <w:ind w:firstLine="0"/>
              <w:jc w:val="center"/>
              <w:rPr>
                <w:sz w:val="18"/>
                <w:szCs w:val="18"/>
              </w:rPr>
            </w:pPr>
            <w:r w:rsidRPr="00854F1A">
              <w:rPr>
                <w:sz w:val="18"/>
                <w:szCs w:val="18"/>
              </w:rPr>
              <w:t>579,0</w:t>
            </w:r>
          </w:p>
        </w:tc>
        <w:tc>
          <w:tcPr>
            <w:tcW w:w="851" w:type="dxa"/>
            <w:tcBorders>
              <w:top w:val="nil"/>
              <w:left w:val="nil"/>
              <w:bottom w:val="single" w:sz="4" w:space="0" w:color="auto"/>
              <w:right w:val="single" w:sz="4" w:space="0" w:color="auto"/>
            </w:tcBorders>
            <w:shd w:val="clear" w:color="auto" w:fill="auto"/>
            <w:vAlign w:val="center"/>
          </w:tcPr>
          <w:p w14:paraId="63EC7684" w14:textId="77777777" w:rsidR="00854F1A" w:rsidRPr="00854F1A" w:rsidRDefault="00854F1A" w:rsidP="00854F1A">
            <w:pPr>
              <w:spacing w:after="0"/>
              <w:ind w:firstLine="0"/>
              <w:jc w:val="center"/>
              <w:rPr>
                <w:sz w:val="18"/>
                <w:szCs w:val="18"/>
              </w:rPr>
            </w:pPr>
            <w:r w:rsidRPr="00854F1A">
              <w:rPr>
                <w:sz w:val="18"/>
                <w:szCs w:val="18"/>
              </w:rPr>
              <w:t>592,9</w:t>
            </w:r>
          </w:p>
        </w:tc>
        <w:tc>
          <w:tcPr>
            <w:tcW w:w="851" w:type="dxa"/>
            <w:tcBorders>
              <w:top w:val="single" w:sz="4" w:space="0" w:color="auto"/>
              <w:left w:val="nil"/>
              <w:bottom w:val="single" w:sz="4" w:space="0" w:color="auto"/>
              <w:right w:val="single" w:sz="4" w:space="0" w:color="auto"/>
            </w:tcBorders>
            <w:shd w:val="clear" w:color="auto" w:fill="auto"/>
            <w:vAlign w:val="center"/>
          </w:tcPr>
          <w:p w14:paraId="018B84D1"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545,2</w:t>
            </w:r>
          </w:p>
        </w:tc>
        <w:tc>
          <w:tcPr>
            <w:tcW w:w="850" w:type="dxa"/>
            <w:tcBorders>
              <w:top w:val="nil"/>
              <w:left w:val="nil"/>
              <w:bottom w:val="single" w:sz="4" w:space="0" w:color="auto"/>
              <w:right w:val="single" w:sz="4" w:space="0" w:color="auto"/>
            </w:tcBorders>
            <w:shd w:val="clear" w:color="auto" w:fill="auto"/>
            <w:vAlign w:val="center"/>
          </w:tcPr>
          <w:p w14:paraId="6072F7C0" w14:textId="77777777" w:rsidR="00854F1A" w:rsidRPr="00854F1A" w:rsidRDefault="00854F1A" w:rsidP="00854F1A">
            <w:pPr>
              <w:spacing w:after="0"/>
              <w:ind w:firstLine="0"/>
              <w:jc w:val="right"/>
              <w:rPr>
                <w:sz w:val="18"/>
                <w:szCs w:val="18"/>
              </w:rPr>
            </w:pPr>
            <w:r w:rsidRPr="00854F1A">
              <w:rPr>
                <w:sz w:val="18"/>
                <w:szCs w:val="18"/>
              </w:rPr>
              <w:t>563,4</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14:paraId="359778F0" w14:textId="77777777" w:rsidR="00854F1A" w:rsidRPr="00854F1A" w:rsidRDefault="00854F1A" w:rsidP="00854F1A">
            <w:pPr>
              <w:spacing w:after="0"/>
              <w:ind w:firstLine="0"/>
              <w:jc w:val="right"/>
              <w:rPr>
                <w:rFonts w:eastAsia="Times New Roman" w:cs="Times New Roman"/>
                <w:sz w:val="18"/>
                <w:szCs w:val="18"/>
              </w:rPr>
            </w:pPr>
            <w:r w:rsidRPr="00854F1A">
              <w:rPr>
                <w:sz w:val="18"/>
                <w:szCs w:val="18"/>
              </w:rPr>
              <w:t>567,2</w:t>
            </w:r>
          </w:p>
        </w:tc>
      </w:tr>
    </w:tbl>
    <w:p w14:paraId="5232A7A9" w14:textId="77777777" w:rsidR="00BC40C9" w:rsidRDefault="00BC40C9" w:rsidP="0087114C"/>
    <w:p w14:paraId="42F5B13D" w14:textId="6DA79CAE" w:rsidR="00FB5161" w:rsidRPr="00BC40C9" w:rsidRDefault="005D361F" w:rsidP="00BC40C9">
      <w:pPr>
        <w:pStyle w:val="Heading3"/>
        <w:numPr>
          <w:ilvl w:val="0"/>
          <w:numId w:val="0"/>
        </w:numPr>
        <w:spacing w:before="0"/>
      </w:pPr>
      <w:bookmarkStart w:id="64" w:name="_Toc179356089"/>
      <w:r w:rsidRPr="00BC40C9">
        <w:t xml:space="preserve">2.2.3. </w:t>
      </w:r>
      <w:r w:rsidR="00246DB7" w:rsidRPr="00BC40C9">
        <w:t>Atbalsta pasākumi krīžu seku mazināšanai</w:t>
      </w:r>
      <w:bookmarkEnd w:id="64"/>
    </w:p>
    <w:p w14:paraId="4EE83BD3" w14:textId="49299C8B" w:rsidR="00BC40C9" w:rsidRDefault="00BC40C9" w:rsidP="00BC40C9">
      <w:pPr>
        <w:spacing w:before="240"/>
        <w:ind w:firstLine="709"/>
        <w:rPr>
          <w:rFonts w:eastAsia="Calibri" w:cs="Times New Roman"/>
          <w:noProof/>
          <w:color w:val="000000"/>
          <w:szCs w:val="24"/>
        </w:rPr>
      </w:pPr>
      <w:r>
        <w:rPr>
          <w:rFonts w:eastAsia="Calibri" w:cs="Times New Roman"/>
          <w:noProof/>
          <w:color w:val="000000"/>
          <w:szCs w:val="24"/>
        </w:rPr>
        <w:t>2024. gadā p</w:t>
      </w:r>
      <w:r w:rsidRPr="00716138">
        <w:rPr>
          <w:rFonts w:eastAsia="Calibri" w:cs="Times New Roman"/>
          <w:noProof/>
          <w:color w:val="000000"/>
          <w:szCs w:val="24"/>
        </w:rPr>
        <w:t>laša energoatbalsta sniegšana kā iepriekšējos gados vairs nav paredzēta. Vienlaikus</w:t>
      </w:r>
      <w:r>
        <w:rPr>
          <w:rFonts w:eastAsia="Calibri" w:cs="Times New Roman"/>
          <w:noProof/>
          <w:color w:val="000000"/>
          <w:szCs w:val="24"/>
        </w:rPr>
        <w:t>,</w:t>
      </w:r>
      <w:r w:rsidRPr="00716138">
        <w:rPr>
          <w:rFonts w:eastAsia="Calibri" w:cs="Times New Roman"/>
          <w:noProof/>
          <w:color w:val="000000"/>
          <w:szCs w:val="24"/>
        </w:rPr>
        <w:t xml:space="preserve"> elektroenerģijas tarifu pieauguma ietekmes mazināšanai valdība 2024. gada budžetā ir atvēlējusi 50 milj. </w:t>
      </w:r>
      <w:r w:rsidRPr="00D35C22">
        <w:rPr>
          <w:rFonts w:eastAsia="Calibri" w:cs="Times New Roman"/>
          <w:i/>
          <w:iCs/>
          <w:noProof/>
          <w:color w:val="000000"/>
          <w:szCs w:val="24"/>
        </w:rPr>
        <w:t>euro</w:t>
      </w:r>
      <w:r w:rsidRPr="00716138">
        <w:rPr>
          <w:rFonts w:eastAsia="Calibri" w:cs="Times New Roman"/>
          <w:noProof/>
          <w:color w:val="000000"/>
          <w:szCs w:val="24"/>
        </w:rPr>
        <w:t xml:space="preserve">, no kuriem </w:t>
      </w:r>
      <w:r>
        <w:rPr>
          <w:rFonts w:eastAsia="Calibri" w:cs="Times New Roman"/>
          <w:noProof/>
          <w:color w:val="000000"/>
          <w:szCs w:val="24"/>
        </w:rPr>
        <w:t>2024. </w:t>
      </w:r>
      <w:r w:rsidRPr="00716138">
        <w:rPr>
          <w:rFonts w:eastAsia="Calibri" w:cs="Times New Roman"/>
          <w:noProof/>
          <w:color w:val="000000"/>
          <w:szCs w:val="24"/>
        </w:rPr>
        <w:t>gada pirmajā pusgadā</w:t>
      </w:r>
      <w:r>
        <w:rPr>
          <w:rFonts w:eastAsia="Calibri" w:cs="Times New Roman"/>
          <w:noProof/>
          <w:color w:val="000000"/>
          <w:szCs w:val="24"/>
        </w:rPr>
        <w:t>,</w:t>
      </w:r>
      <w:r w:rsidRPr="00716138">
        <w:rPr>
          <w:rFonts w:eastAsia="Calibri" w:cs="Times New Roman"/>
          <w:noProof/>
          <w:color w:val="000000"/>
          <w:szCs w:val="24"/>
        </w:rPr>
        <w:t xml:space="preserve"> atbilstoši Klimata un enerģētikas ministrijas sniegtajai informācijai</w:t>
      </w:r>
      <w:r>
        <w:rPr>
          <w:rFonts w:eastAsia="Calibri" w:cs="Times New Roman"/>
          <w:noProof/>
          <w:color w:val="000000"/>
          <w:szCs w:val="24"/>
        </w:rPr>
        <w:t>,</w:t>
      </w:r>
      <w:r w:rsidRPr="00716138">
        <w:rPr>
          <w:rFonts w:eastAsia="Calibri" w:cs="Times New Roman"/>
          <w:noProof/>
          <w:color w:val="000000"/>
          <w:szCs w:val="24"/>
        </w:rPr>
        <w:t xml:space="preserve"> izlietoti 25,7</w:t>
      </w:r>
      <w:r>
        <w:rPr>
          <w:rFonts w:eastAsia="Calibri" w:cs="Times New Roman"/>
          <w:noProof/>
          <w:color w:val="000000"/>
          <w:szCs w:val="24"/>
        </w:rPr>
        <w:t> </w:t>
      </w:r>
      <w:r w:rsidRPr="00716138">
        <w:rPr>
          <w:rFonts w:eastAsia="Calibri" w:cs="Times New Roman"/>
          <w:noProof/>
          <w:color w:val="000000"/>
          <w:szCs w:val="24"/>
        </w:rPr>
        <w:t xml:space="preserve">milj. </w:t>
      </w:r>
      <w:r w:rsidRPr="00716138">
        <w:rPr>
          <w:rFonts w:eastAsia="Calibri" w:cs="Times New Roman"/>
          <w:i/>
          <w:iCs/>
          <w:noProof/>
          <w:color w:val="000000"/>
          <w:szCs w:val="24"/>
        </w:rPr>
        <w:t>euro</w:t>
      </w:r>
      <w:r w:rsidRPr="00716138">
        <w:rPr>
          <w:rFonts w:eastAsia="Calibri" w:cs="Times New Roman"/>
          <w:noProof/>
          <w:color w:val="000000"/>
          <w:szCs w:val="24"/>
        </w:rPr>
        <w:t xml:space="preserve">. Tāpat 2024. gada budžetā ir paredzēti 70 milj. </w:t>
      </w:r>
      <w:r w:rsidRPr="00716138">
        <w:rPr>
          <w:rFonts w:eastAsia="Calibri" w:cs="Times New Roman"/>
          <w:i/>
          <w:iCs/>
          <w:noProof/>
          <w:color w:val="000000"/>
          <w:szCs w:val="24"/>
        </w:rPr>
        <w:t>euro</w:t>
      </w:r>
      <w:r w:rsidRPr="00716138">
        <w:rPr>
          <w:rFonts w:eastAsia="Calibri" w:cs="Times New Roman"/>
          <w:noProof/>
          <w:color w:val="000000"/>
          <w:szCs w:val="24"/>
        </w:rPr>
        <w:t xml:space="preserve"> Ukrainas civiliedzīvotāju atbalstam, no tiem </w:t>
      </w:r>
      <w:r>
        <w:rPr>
          <w:rFonts w:eastAsia="Calibri" w:cs="Times New Roman"/>
          <w:noProof/>
          <w:color w:val="000000"/>
          <w:szCs w:val="24"/>
        </w:rPr>
        <w:t>2024. gada</w:t>
      </w:r>
      <w:r w:rsidRPr="00716138">
        <w:rPr>
          <w:rFonts w:eastAsia="Calibri" w:cs="Times New Roman"/>
          <w:noProof/>
          <w:color w:val="000000"/>
          <w:szCs w:val="24"/>
        </w:rPr>
        <w:t xml:space="preserve"> pirmajā pusgadā</w:t>
      </w:r>
      <w:r>
        <w:rPr>
          <w:rFonts w:eastAsia="Calibri" w:cs="Times New Roman"/>
          <w:noProof/>
          <w:color w:val="000000"/>
          <w:szCs w:val="24"/>
        </w:rPr>
        <w:t xml:space="preserve">, </w:t>
      </w:r>
      <w:r w:rsidRPr="00716138">
        <w:rPr>
          <w:rFonts w:eastAsia="Calibri" w:cs="Times New Roman"/>
          <w:noProof/>
          <w:color w:val="000000"/>
          <w:szCs w:val="24"/>
        </w:rPr>
        <w:t xml:space="preserve">atbilstoši </w:t>
      </w:r>
      <w:r>
        <w:rPr>
          <w:rFonts w:eastAsia="Calibri" w:cs="Times New Roman"/>
          <w:noProof/>
          <w:color w:val="000000"/>
          <w:szCs w:val="24"/>
        </w:rPr>
        <w:t>FM</w:t>
      </w:r>
      <w:r w:rsidRPr="00716138">
        <w:rPr>
          <w:rFonts w:eastAsia="Calibri" w:cs="Times New Roman"/>
          <w:noProof/>
          <w:color w:val="000000"/>
          <w:szCs w:val="24"/>
        </w:rPr>
        <w:t xml:space="preserve"> novērtējumam</w:t>
      </w:r>
      <w:r>
        <w:rPr>
          <w:rFonts w:eastAsia="Calibri" w:cs="Times New Roman"/>
          <w:noProof/>
          <w:color w:val="000000"/>
          <w:szCs w:val="24"/>
        </w:rPr>
        <w:t>,</w:t>
      </w:r>
      <w:r w:rsidRPr="00716138">
        <w:rPr>
          <w:rFonts w:eastAsia="Calibri" w:cs="Times New Roman"/>
          <w:noProof/>
          <w:color w:val="000000"/>
          <w:szCs w:val="24"/>
        </w:rPr>
        <w:t xml:space="preserve"> izlietoti 20,8</w:t>
      </w:r>
      <w:r>
        <w:rPr>
          <w:rFonts w:eastAsia="Calibri" w:cs="Times New Roman"/>
          <w:noProof/>
          <w:color w:val="000000"/>
          <w:szCs w:val="24"/>
        </w:rPr>
        <w:t> </w:t>
      </w:r>
      <w:r w:rsidRPr="00716138">
        <w:rPr>
          <w:rFonts w:eastAsia="Calibri" w:cs="Times New Roman"/>
          <w:noProof/>
          <w:color w:val="000000"/>
          <w:szCs w:val="24"/>
        </w:rPr>
        <w:t xml:space="preserve">milj. </w:t>
      </w:r>
      <w:r w:rsidRPr="00716138">
        <w:rPr>
          <w:rFonts w:eastAsia="Calibri" w:cs="Times New Roman"/>
          <w:i/>
          <w:iCs/>
          <w:noProof/>
          <w:color w:val="000000"/>
          <w:szCs w:val="24"/>
        </w:rPr>
        <w:t>euro</w:t>
      </w:r>
      <w:r w:rsidRPr="00716138">
        <w:rPr>
          <w:rFonts w:eastAsia="Calibri" w:cs="Times New Roman"/>
          <w:noProof/>
          <w:color w:val="000000"/>
          <w:szCs w:val="24"/>
        </w:rPr>
        <w:t>.</w:t>
      </w:r>
    </w:p>
    <w:p w14:paraId="3E4BE77E" w14:textId="77777777" w:rsidR="00BC40C9" w:rsidRPr="00716138" w:rsidRDefault="00BC40C9" w:rsidP="00BC40C9">
      <w:pPr>
        <w:ind w:firstLine="709"/>
        <w:rPr>
          <w:rFonts w:eastAsia="Calibri" w:cs="Times New Roman"/>
          <w:noProof/>
          <w:color w:val="000000"/>
          <w:szCs w:val="24"/>
        </w:rPr>
      </w:pPr>
      <w:r>
        <w:rPr>
          <w:rFonts w:eastAsia="Calibri" w:cs="Times New Roman"/>
          <w:noProof/>
          <w:color w:val="000000"/>
          <w:szCs w:val="24"/>
        </w:rPr>
        <w:t>2025. gada valsts budžetā ir ieplānots 65 milj.</w:t>
      </w:r>
      <w:r w:rsidRPr="005B0C25">
        <w:rPr>
          <w:rFonts w:eastAsia="Calibri" w:cs="Times New Roman"/>
          <w:i/>
          <w:iCs/>
          <w:noProof/>
          <w:color w:val="000000"/>
          <w:szCs w:val="24"/>
        </w:rPr>
        <w:t xml:space="preserve"> </w:t>
      </w:r>
      <w:r w:rsidRPr="00716138">
        <w:rPr>
          <w:rFonts w:eastAsia="Calibri" w:cs="Times New Roman"/>
          <w:i/>
          <w:iCs/>
          <w:noProof/>
          <w:color w:val="000000"/>
          <w:szCs w:val="24"/>
        </w:rPr>
        <w:t>euro</w:t>
      </w:r>
      <w:r w:rsidRPr="00716138">
        <w:rPr>
          <w:rFonts w:eastAsia="Calibri" w:cs="Times New Roman"/>
          <w:noProof/>
          <w:color w:val="000000"/>
          <w:szCs w:val="24"/>
        </w:rPr>
        <w:t xml:space="preserve"> </w:t>
      </w:r>
      <w:r>
        <w:rPr>
          <w:rFonts w:eastAsia="Calibri" w:cs="Times New Roman"/>
          <w:noProof/>
          <w:color w:val="000000"/>
          <w:szCs w:val="24"/>
        </w:rPr>
        <w:t xml:space="preserve">finansējums </w:t>
      </w:r>
      <w:r w:rsidRPr="00716138">
        <w:rPr>
          <w:rFonts w:eastAsia="Calibri" w:cs="Times New Roman"/>
          <w:noProof/>
          <w:color w:val="000000"/>
          <w:szCs w:val="24"/>
        </w:rPr>
        <w:t>Ukrainas civiliedzīvotāju atbalstam</w:t>
      </w:r>
      <w:r>
        <w:rPr>
          <w:rFonts w:eastAsia="Calibri" w:cs="Times New Roman"/>
          <w:noProof/>
          <w:color w:val="000000"/>
          <w:szCs w:val="24"/>
        </w:rPr>
        <w:t xml:space="preserve">. </w:t>
      </w:r>
    </w:p>
    <w:p w14:paraId="00FC9E73" w14:textId="0E87A0CD" w:rsidR="00BC40C9" w:rsidRPr="00CE65D8" w:rsidRDefault="00BC40C9" w:rsidP="00BC40C9">
      <w:pPr>
        <w:spacing w:before="240"/>
        <w:ind w:firstLine="709"/>
        <w:jc w:val="right"/>
        <w:rPr>
          <w:rFonts w:eastAsia="Calibri" w:cs="Times New Roman"/>
          <w:b/>
          <w:bCs/>
          <w:i/>
          <w:szCs w:val="24"/>
        </w:rPr>
      </w:pPr>
      <w:r w:rsidRPr="00CE65D8">
        <w:rPr>
          <w:rFonts w:eastAsia="Times New Roman" w:cs="Times New Roman"/>
          <w:b/>
          <w:i/>
          <w:szCs w:val="24"/>
          <w:lang w:eastAsia="en-US"/>
        </w:rPr>
        <w:t>2.</w:t>
      </w:r>
      <w:r w:rsidR="00187E6E">
        <w:rPr>
          <w:rFonts w:eastAsia="Times New Roman" w:cs="Times New Roman"/>
          <w:b/>
          <w:i/>
          <w:szCs w:val="24"/>
          <w:lang w:eastAsia="en-US"/>
        </w:rPr>
        <w:t>22.</w:t>
      </w:r>
      <w:r w:rsidRPr="00CE65D8">
        <w:rPr>
          <w:rFonts w:eastAsia="Times New Roman" w:cs="Times New Roman"/>
          <w:b/>
          <w:i/>
          <w:szCs w:val="24"/>
          <w:lang w:eastAsia="en-US"/>
        </w:rPr>
        <w:t> tabula. Atbalsta apmērs un ietekme uz vispārējās valdības budžeta bilanci,</w:t>
      </w:r>
      <w:r w:rsidRPr="00CE65D8">
        <w:rPr>
          <w:rFonts w:eastAsia="Times New Roman" w:cs="Times New Roman"/>
          <w:b/>
          <w:i/>
          <w:szCs w:val="24"/>
          <w:lang w:eastAsia="en-US"/>
        </w:rPr>
        <w:br/>
        <w:t>milj.</w:t>
      </w:r>
      <w:r w:rsidRPr="00CE65D8">
        <w:rPr>
          <w:rFonts w:eastAsia="Calibri" w:cs="Times New Roman"/>
          <w:b/>
          <w:bCs/>
          <w:i/>
          <w:noProof/>
          <w:szCs w:val="24"/>
        </w:rPr>
        <w:t xml:space="preserve"> euro un</w:t>
      </w:r>
      <w:r w:rsidRPr="00CE65D8">
        <w:rPr>
          <w:rFonts w:eastAsia="Calibri" w:cs="Times New Roman"/>
          <w:b/>
          <w:bCs/>
          <w:i/>
          <w:szCs w:val="24"/>
        </w:rPr>
        <w:t xml:space="preserve"> % no IKP</w:t>
      </w:r>
    </w:p>
    <w:tbl>
      <w:tblPr>
        <w:tblW w:w="7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864"/>
        <w:gridCol w:w="842"/>
        <w:gridCol w:w="1146"/>
        <w:gridCol w:w="936"/>
        <w:gridCol w:w="765"/>
        <w:gridCol w:w="1146"/>
      </w:tblGrid>
      <w:tr w:rsidR="00BC40C9" w:rsidRPr="00CE65D8" w14:paraId="1F0078BD" w14:textId="77777777" w:rsidTr="002C61B1">
        <w:trPr>
          <w:trHeight w:val="219"/>
          <w:jc w:val="center"/>
        </w:trPr>
        <w:tc>
          <w:tcPr>
            <w:tcW w:w="1655" w:type="dxa"/>
            <w:vMerge w:val="restart"/>
            <w:shd w:val="clear" w:color="auto" w:fill="BDD6EE" w:themeFill="accent1" w:themeFillTint="66"/>
            <w:noWrap/>
            <w:vAlign w:val="center"/>
          </w:tcPr>
          <w:p w14:paraId="765754CD" w14:textId="77777777" w:rsidR="00BC40C9" w:rsidRPr="00CE65D8" w:rsidRDefault="00BC40C9" w:rsidP="002C61B1">
            <w:pPr>
              <w:spacing w:after="0"/>
              <w:ind w:firstLine="0"/>
              <w:jc w:val="center"/>
              <w:rPr>
                <w:rFonts w:eastAsia="Times New Roman" w:cs="Times New Roman"/>
                <w:sz w:val="18"/>
                <w:szCs w:val="18"/>
              </w:rPr>
            </w:pPr>
          </w:p>
        </w:tc>
        <w:tc>
          <w:tcPr>
            <w:tcW w:w="2852" w:type="dxa"/>
            <w:gridSpan w:val="3"/>
            <w:shd w:val="clear" w:color="auto" w:fill="BDD6EE" w:themeFill="accent1" w:themeFillTint="66"/>
            <w:noWrap/>
          </w:tcPr>
          <w:p w14:paraId="0F5D3111"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Atbalsta apmērs</w:t>
            </w:r>
          </w:p>
        </w:tc>
        <w:tc>
          <w:tcPr>
            <w:tcW w:w="2847" w:type="dxa"/>
            <w:gridSpan w:val="3"/>
            <w:tcBorders>
              <w:left w:val="single" w:sz="4" w:space="0" w:color="auto"/>
            </w:tcBorders>
            <w:shd w:val="clear" w:color="auto" w:fill="BDD6EE" w:themeFill="accent1" w:themeFillTint="66"/>
            <w:noWrap/>
          </w:tcPr>
          <w:p w14:paraId="05300A1C"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Ietekme uz vispārējās valdības budžeta bilanci</w:t>
            </w:r>
          </w:p>
        </w:tc>
      </w:tr>
      <w:tr w:rsidR="00BC40C9" w:rsidRPr="00CE65D8" w14:paraId="3BCC6920" w14:textId="77777777" w:rsidTr="002C61B1">
        <w:trPr>
          <w:trHeight w:val="219"/>
          <w:jc w:val="center"/>
        </w:trPr>
        <w:tc>
          <w:tcPr>
            <w:tcW w:w="1655" w:type="dxa"/>
            <w:vMerge/>
            <w:shd w:val="clear" w:color="auto" w:fill="BDD6EE" w:themeFill="accent1" w:themeFillTint="66"/>
            <w:vAlign w:val="center"/>
            <w:hideMark/>
          </w:tcPr>
          <w:p w14:paraId="7024B6B6" w14:textId="77777777" w:rsidR="00BC40C9" w:rsidRPr="00CE65D8" w:rsidRDefault="00BC40C9" w:rsidP="002C61B1">
            <w:pPr>
              <w:spacing w:after="0"/>
              <w:ind w:firstLine="0"/>
              <w:jc w:val="left"/>
              <w:rPr>
                <w:rFonts w:eastAsia="Times New Roman" w:cs="Times New Roman"/>
                <w:sz w:val="18"/>
                <w:szCs w:val="18"/>
              </w:rPr>
            </w:pPr>
          </w:p>
        </w:tc>
        <w:tc>
          <w:tcPr>
            <w:tcW w:w="864" w:type="dxa"/>
            <w:shd w:val="clear" w:color="auto" w:fill="BDD6EE" w:themeFill="accent1" w:themeFillTint="66"/>
            <w:noWrap/>
            <w:vAlign w:val="center"/>
            <w:hideMark/>
          </w:tcPr>
          <w:p w14:paraId="4B824BF8" w14:textId="77777777" w:rsidR="00BC40C9" w:rsidRPr="00CE65D8" w:rsidRDefault="00BC40C9" w:rsidP="002C61B1">
            <w:pPr>
              <w:spacing w:after="0"/>
              <w:ind w:firstLine="0"/>
              <w:jc w:val="center"/>
              <w:rPr>
                <w:rFonts w:eastAsia="Times New Roman" w:cs="Times New Roman"/>
                <w:b/>
                <w:bCs/>
                <w:sz w:val="18"/>
                <w:szCs w:val="18"/>
              </w:rPr>
            </w:pPr>
            <w:r w:rsidRPr="00CE65D8">
              <w:rPr>
                <w:rFonts w:eastAsia="Times New Roman" w:cs="Times New Roman"/>
                <w:b/>
                <w:bCs/>
                <w:sz w:val="18"/>
                <w:szCs w:val="18"/>
              </w:rPr>
              <w:t>202</w:t>
            </w:r>
            <w:r>
              <w:rPr>
                <w:rFonts w:eastAsia="Times New Roman" w:cs="Times New Roman"/>
                <w:b/>
                <w:bCs/>
                <w:sz w:val="18"/>
                <w:szCs w:val="18"/>
              </w:rPr>
              <w:t>3</w:t>
            </w:r>
          </w:p>
        </w:tc>
        <w:tc>
          <w:tcPr>
            <w:tcW w:w="1988" w:type="dxa"/>
            <w:gridSpan w:val="2"/>
            <w:shd w:val="clear" w:color="auto" w:fill="BDD6EE" w:themeFill="accent1" w:themeFillTint="66"/>
            <w:noWrap/>
            <w:vAlign w:val="center"/>
            <w:hideMark/>
          </w:tcPr>
          <w:p w14:paraId="60A939A4"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2024</w:t>
            </w:r>
          </w:p>
        </w:tc>
        <w:tc>
          <w:tcPr>
            <w:tcW w:w="936" w:type="dxa"/>
            <w:tcBorders>
              <w:left w:val="single" w:sz="4" w:space="0" w:color="auto"/>
            </w:tcBorders>
            <w:shd w:val="clear" w:color="auto" w:fill="BDD6EE" w:themeFill="accent1" w:themeFillTint="66"/>
            <w:noWrap/>
            <w:vAlign w:val="center"/>
            <w:hideMark/>
          </w:tcPr>
          <w:p w14:paraId="57152C88" w14:textId="77777777" w:rsidR="00BC40C9" w:rsidRPr="00CE65D8" w:rsidRDefault="00BC40C9" w:rsidP="002C61B1">
            <w:pPr>
              <w:spacing w:after="0"/>
              <w:ind w:firstLine="0"/>
              <w:jc w:val="center"/>
              <w:rPr>
                <w:rFonts w:eastAsia="Times New Roman" w:cs="Times New Roman"/>
                <w:b/>
                <w:bCs/>
                <w:sz w:val="18"/>
                <w:szCs w:val="18"/>
              </w:rPr>
            </w:pPr>
            <w:r w:rsidRPr="00CE65D8">
              <w:rPr>
                <w:rFonts w:eastAsia="Times New Roman" w:cs="Times New Roman"/>
                <w:b/>
                <w:bCs/>
                <w:sz w:val="18"/>
                <w:szCs w:val="18"/>
              </w:rPr>
              <w:t>202</w:t>
            </w:r>
            <w:r>
              <w:rPr>
                <w:rFonts w:eastAsia="Times New Roman" w:cs="Times New Roman"/>
                <w:b/>
                <w:bCs/>
                <w:sz w:val="18"/>
                <w:szCs w:val="18"/>
              </w:rPr>
              <w:t>3</w:t>
            </w:r>
          </w:p>
        </w:tc>
        <w:tc>
          <w:tcPr>
            <w:tcW w:w="1911" w:type="dxa"/>
            <w:gridSpan w:val="2"/>
            <w:shd w:val="clear" w:color="auto" w:fill="BDD6EE" w:themeFill="accent1" w:themeFillTint="66"/>
            <w:noWrap/>
            <w:vAlign w:val="center"/>
            <w:hideMark/>
          </w:tcPr>
          <w:p w14:paraId="625A4315" w14:textId="77777777" w:rsidR="00BC40C9" w:rsidRPr="00CE65D8" w:rsidRDefault="00BC40C9" w:rsidP="002C61B1">
            <w:pPr>
              <w:spacing w:after="0"/>
              <w:ind w:firstLine="0"/>
              <w:jc w:val="center"/>
              <w:rPr>
                <w:rFonts w:eastAsia="Times New Roman" w:cs="Times New Roman"/>
                <w:b/>
                <w:bCs/>
                <w:sz w:val="18"/>
                <w:szCs w:val="18"/>
              </w:rPr>
            </w:pPr>
            <w:r w:rsidRPr="00CE65D8">
              <w:rPr>
                <w:rFonts w:eastAsia="Times New Roman" w:cs="Times New Roman"/>
                <w:b/>
                <w:bCs/>
                <w:sz w:val="18"/>
                <w:szCs w:val="18"/>
              </w:rPr>
              <w:t>202</w:t>
            </w:r>
            <w:r>
              <w:rPr>
                <w:rFonts w:eastAsia="Times New Roman" w:cs="Times New Roman"/>
                <w:b/>
                <w:bCs/>
                <w:sz w:val="18"/>
                <w:szCs w:val="18"/>
              </w:rPr>
              <w:t>4</w:t>
            </w:r>
          </w:p>
        </w:tc>
      </w:tr>
      <w:tr w:rsidR="00BC40C9" w:rsidRPr="00CE65D8" w14:paraId="3C9BA94B" w14:textId="77777777" w:rsidTr="002C61B1">
        <w:trPr>
          <w:trHeight w:val="219"/>
          <w:jc w:val="center"/>
        </w:trPr>
        <w:tc>
          <w:tcPr>
            <w:tcW w:w="1655" w:type="dxa"/>
            <w:vMerge/>
            <w:shd w:val="clear" w:color="auto" w:fill="BDD6EE" w:themeFill="accent1" w:themeFillTint="66"/>
            <w:noWrap/>
            <w:vAlign w:val="center"/>
          </w:tcPr>
          <w:p w14:paraId="2BE9CB11" w14:textId="77777777" w:rsidR="00BC40C9" w:rsidRPr="00CE65D8" w:rsidRDefault="00BC40C9" w:rsidP="002C61B1">
            <w:pPr>
              <w:spacing w:after="0"/>
              <w:ind w:firstLine="0"/>
              <w:jc w:val="left"/>
              <w:rPr>
                <w:rFonts w:eastAsia="Times New Roman" w:cs="Times New Roman"/>
                <w:noProof/>
                <w:sz w:val="18"/>
                <w:szCs w:val="18"/>
              </w:rPr>
            </w:pPr>
          </w:p>
        </w:tc>
        <w:tc>
          <w:tcPr>
            <w:tcW w:w="864" w:type="dxa"/>
            <w:shd w:val="clear" w:color="auto" w:fill="BDD6EE" w:themeFill="accent1" w:themeFillTint="66"/>
            <w:noWrap/>
            <w:vAlign w:val="center"/>
          </w:tcPr>
          <w:p w14:paraId="432007DE" w14:textId="77777777" w:rsidR="00BC40C9" w:rsidRPr="000566E4" w:rsidRDefault="00BC40C9" w:rsidP="002C61B1">
            <w:pPr>
              <w:spacing w:after="0"/>
              <w:ind w:firstLine="0"/>
              <w:jc w:val="center"/>
              <w:rPr>
                <w:rFonts w:eastAsia="Times New Roman" w:cs="Times New Roman"/>
                <w:b/>
                <w:bCs/>
                <w:sz w:val="18"/>
                <w:szCs w:val="18"/>
              </w:rPr>
            </w:pPr>
            <w:r w:rsidRPr="000566E4">
              <w:rPr>
                <w:rFonts w:eastAsia="Times New Roman" w:cs="Times New Roman"/>
                <w:b/>
                <w:bCs/>
                <w:sz w:val="18"/>
                <w:szCs w:val="18"/>
              </w:rPr>
              <w:t>Fakts</w:t>
            </w:r>
          </w:p>
        </w:tc>
        <w:tc>
          <w:tcPr>
            <w:tcW w:w="842" w:type="dxa"/>
            <w:shd w:val="clear" w:color="auto" w:fill="BDD6EE" w:themeFill="accent1" w:themeFillTint="66"/>
            <w:noWrap/>
            <w:vAlign w:val="center"/>
          </w:tcPr>
          <w:p w14:paraId="3EDAAE6F" w14:textId="77777777" w:rsidR="00BC40C9" w:rsidRPr="000566E4" w:rsidRDefault="00BC40C9" w:rsidP="002C61B1">
            <w:pPr>
              <w:spacing w:after="0"/>
              <w:ind w:firstLine="0"/>
              <w:jc w:val="center"/>
              <w:rPr>
                <w:rFonts w:eastAsia="Times New Roman" w:cs="Times New Roman"/>
                <w:b/>
                <w:bCs/>
                <w:sz w:val="18"/>
                <w:szCs w:val="18"/>
              </w:rPr>
            </w:pPr>
            <w:r w:rsidRPr="000566E4">
              <w:rPr>
                <w:rFonts w:eastAsia="Times New Roman" w:cs="Times New Roman"/>
                <w:b/>
                <w:bCs/>
                <w:sz w:val="18"/>
                <w:szCs w:val="18"/>
              </w:rPr>
              <w:t>Plāns</w:t>
            </w:r>
          </w:p>
        </w:tc>
        <w:tc>
          <w:tcPr>
            <w:tcW w:w="1146" w:type="dxa"/>
            <w:shd w:val="clear" w:color="auto" w:fill="BDD6EE" w:themeFill="accent1" w:themeFillTint="66"/>
            <w:noWrap/>
            <w:vAlign w:val="center"/>
          </w:tcPr>
          <w:p w14:paraId="6662A98B" w14:textId="77777777" w:rsidR="00BC40C9" w:rsidRPr="000566E4" w:rsidRDefault="00BC40C9" w:rsidP="002C61B1">
            <w:pPr>
              <w:spacing w:after="0"/>
              <w:ind w:firstLine="0"/>
              <w:jc w:val="center"/>
              <w:rPr>
                <w:rFonts w:eastAsia="Times New Roman" w:cs="Times New Roman"/>
                <w:b/>
                <w:bCs/>
                <w:sz w:val="18"/>
                <w:szCs w:val="18"/>
              </w:rPr>
            </w:pPr>
            <w:r w:rsidRPr="000566E4">
              <w:rPr>
                <w:rFonts w:eastAsia="Times New Roman" w:cs="Times New Roman"/>
                <w:b/>
                <w:bCs/>
                <w:sz w:val="18"/>
                <w:szCs w:val="18"/>
              </w:rPr>
              <w:t>Izpilde (3</w:t>
            </w:r>
            <w:r>
              <w:rPr>
                <w:rFonts w:eastAsia="Times New Roman" w:cs="Times New Roman"/>
                <w:b/>
                <w:bCs/>
                <w:sz w:val="18"/>
                <w:szCs w:val="18"/>
              </w:rPr>
              <w:t>0</w:t>
            </w:r>
            <w:r w:rsidRPr="000566E4">
              <w:rPr>
                <w:rFonts w:eastAsia="Times New Roman" w:cs="Times New Roman"/>
                <w:b/>
                <w:bCs/>
                <w:sz w:val="18"/>
                <w:szCs w:val="18"/>
              </w:rPr>
              <w:t>.0</w:t>
            </w:r>
            <w:r>
              <w:rPr>
                <w:rFonts w:eastAsia="Times New Roman" w:cs="Times New Roman"/>
                <w:b/>
                <w:bCs/>
                <w:sz w:val="18"/>
                <w:szCs w:val="18"/>
              </w:rPr>
              <w:t>6</w:t>
            </w:r>
            <w:r w:rsidRPr="000566E4">
              <w:rPr>
                <w:rFonts w:eastAsia="Times New Roman" w:cs="Times New Roman"/>
                <w:b/>
                <w:bCs/>
                <w:sz w:val="18"/>
                <w:szCs w:val="18"/>
              </w:rPr>
              <w:t>.2024)</w:t>
            </w:r>
          </w:p>
        </w:tc>
        <w:tc>
          <w:tcPr>
            <w:tcW w:w="936" w:type="dxa"/>
            <w:tcBorders>
              <w:left w:val="single" w:sz="4" w:space="0" w:color="auto"/>
            </w:tcBorders>
            <w:shd w:val="clear" w:color="auto" w:fill="BDD6EE" w:themeFill="accent1" w:themeFillTint="66"/>
            <w:noWrap/>
            <w:vAlign w:val="center"/>
          </w:tcPr>
          <w:p w14:paraId="720F35CD" w14:textId="77777777" w:rsidR="00BC40C9" w:rsidRPr="000566E4" w:rsidRDefault="00BC40C9" w:rsidP="002C61B1">
            <w:pPr>
              <w:spacing w:after="0"/>
              <w:ind w:firstLine="0"/>
              <w:jc w:val="center"/>
              <w:rPr>
                <w:rFonts w:eastAsia="Times New Roman" w:cs="Times New Roman"/>
                <w:b/>
                <w:bCs/>
                <w:sz w:val="18"/>
                <w:szCs w:val="18"/>
              </w:rPr>
            </w:pPr>
            <w:r w:rsidRPr="000566E4">
              <w:rPr>
                <w:rFonts w:eastAsia="Times New Roman" w:cs="Times New Roman"/>
                <w:b/>
                <w:bCs/>
                <w:sz w:val="18"/>
                <w:szCs w:val="18"/>
              </w:rPr>
              <w:t>Fakts</w:t>
            </w:r>
          </w:p>
        </w:tc>
        <w:tc>
          <w:tcPr>
            <w:tcW w:w="765" w:type="dxa"/>
            <w:shd w:val="clear" w:color="auto" w:fill="BDD6EE" w:themeFill="accent1" w:themeFillTint="66"/>
            <w:noWrap/>
            <w:vAlign w:val="center"/>
          </w:tcPr>
          <w:p w14:paraId="4C8FE06C" w14:textId="77777777" w:rsidR="00BC40C9" w:rsidRPr="000566E4" w:rsidRDefault="00BC40C9" w:rsidP="002C61B1">
            <w:pPr>
              <w:spacing w:after="0"/>
              <w:ind w:firstLine="0"/>
              <w:jc w:val="center"/>
              <w:rPr>
                <w:rFonts w:eastAsia="Times New Roman" w:cs="Times New Roman"/>
                <w:b/>
                <w:bCs/>
                <w:sz w:val="18"/>
                <w:szCs w:val="18"/>
              </w:rPr>
            </w:pPr>
            <w:r w:rsidRPr="000566E4">
              <w:rPr>
                <w:rFonts w:eastAsia="Times New Roman" w:cs="Times New Roman"/>
                <w:b/>
                <w:bCs/>
                <w:sz w:val="18"/>
                <w:szCs w:val="18"/>
              </w:rPr>
              <w:t>Plāns</w:t>
            </w:r>
          </w:p>
        </w:tc>
        <w:tc>
          <w:tcPr>
            <w:tcW w:w="1146" w:type="dxa"/>
            <w:shd w:val="clear" w:color="auto" w:fill="BDD6EE" w:themeFill="accent1" w:themeFillTint="66"/>
            <w:noWrap/>
            <w:vAlign w:val="center"/>
          </w:tcPr>
          <w:p w14:paraId="46A17F41" w14:textId="77777777" w:rsidR="00BC40C9" w:rsidRPr="000566E4" w:rsidRDefault="00BC40C9" w:rsidP="002C61B1">
            <w:pPr>
              <w:spacing w:after="0"/>
              <w:ind w:firstLine="0"/>
              <w:jc w:val="center"/>
              <w:rPr>
                <w:rFonts w:eastAsia="Times New Roman" w:cs="Times New Roman"/>
                <w:b/>
                <w:bCs/>
                <w:sz w:val="18"/>
                <w:szCs w:val="18"/>
              </w:rPr>
            </w:pPr>
            <w:r w:rsidRPr="000566E4">
              <w:rPr>
                <w:rFonts w:eastAsia="Times New Roman" w:cs="Times New Roman"/>
                <w:b/>
                <w:bCs/>
                <w:sz w:val="18"/>
                <w:szCs w:val="18"/>
              </w:rPr>
              <w:t>Izpilde (3</w:t>
            </w:r>
            <w:r>
              <w:rPr>
                <w:rFonts w:eastAsia="Times New Roman" w:cs="Times New Roman"/>
                <w:b/>
                <w:bCs/>
                <w:sz w:val="18"/>
                <w:szCs w:val="18"/>
              </w:rPr>
              <w:t>0</w:t>
            </w:r>
            <w:r w:rsidRPr="000566E4">
              <w:rPr>
                <w:rFonts w:eastAsia="Times New Roman" w:cs="Times New Roman"/>
                <w:b/>
                <w:bCs/>
                <w:sz w:val="18"/>
                <w:szCs w:val="18"/>
              </w:rPr>
              <w:t>.0</w:t>
            </w:r>
            <w:r>
              <w:rPr>
                <w:rFonts w:eastAsia="Times New Roman" w:cs="Times New Roman"/>
                <w:b/>
                <w:bCs/>
                <w:sz w:val="18"/>
                <w:szCs w:val="18"/>
              </w:rPr>
              <w:t>6</w:t>
            </w:r>
            <w:r w:rsidRPr="000566E4">
              <w:rPr>
                <w:rFonts w:eastAsia="Times New Roman" w:cs="Times New Roman"/>
                <w:b/>
                <w:bCs/>
                <w:sz w:val="18"/>
                <w:szCs w:val="18"/>
              </w:rPr>
              <w:t>.2024)</w:t>
            </w:r>
          </w:p>
        </w:tc>
      </w:tr>
      <w:tr w:rsidR="00BC40C9" w:rsidRPr="00CE65D8" w14:paraId="048757AE" w14:textId="77777777" w:rsidTr="002C61B1">
        <w:trPr>
          <w:trHeight w:val="219"/>
          <w:jc w:val="center"/>
        </w:trPr>
        <w:tc>
          <w:tcPr>
            <w:tcW w:w="1655" w:type="dxa"/>
            <w:shd w:val="clear" w:color="auto" w:fill="auto"/>
            <w:noWrap/>
            <w:vAlign w:val="center"/>
            <w:hideMark/>
          </w:tcPr>
          <w:p w14:paraId="3ABA836E" w14:textId="77777777" w:rsidR="00BC40C9" w:rsidRPr="00CE65D8" w:rsidRDefault="00BC40C9" w:rsidP="002C61B1">
            <w:pPr>
              <w:spacing w:after="0"/>
              <w:ind w:firstLine="0"/>
              <w:jc w:val="left"/>
              <w:rPr>
                <w:rFonts w:eastAsia="Times New Roman" w:cs="Times New Roman"/>
                <w:noProof/>
                <w:sz w:val="18"/>
                <w:szCs w:val="18"/>
              </w:rPr>
            </w:pPr>
            <w:r w:rsidRPr="00CE65D8">
              <w:rPr>
                <w:rFonts w:eastAsia="Times New Roman" w:cs="Times New Roman"/>
                <w:noProof/>
                <w:sz w:val="18"/>
                <w:szCs w:val="18"/>
              </w:rPr>
              <w:t>Covid-19 atbalsts</w:t>
            </w:r>
          </w:p>
        </w:tc>
        <w:tc>
          <w:tcPr>
            <w:tcW w:w="864" w:type="dxa"/>
            <w:shd w:val="clear" w:color="auto" w:fill="auto"/>
            <w:noWrap/>
            <w:vAlign w:val="center"/>
            <w:hideMark/>
          </w:tcPr>
          <w:p w14:paraId="2050DCFE"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76,8</w:t>
            </w:r>
          </w:p>
        </w:tc>
        <w:tc>
          <w:tcPr>
            <w:tcW w:w="842" w:type="dxa"/>
            <w:shd w:val="clear" w:color="auto" w:fill="auto"/>
            <w:noWrap/>
            <w:vAlign w:val="center"/>
            <w:hideMark/>
          </w:tcPr>
          <w:p w14:paraId="593AC16E"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19,1</w:t>
            </w:r>
          </w:p>
        </w:tc>
        <w:tc>
          <w:tcPr>
            <w:tcW w:w="1146" w:type="dxa"/>
            <w:shd w:val="clear" w:color="auto" w:fill="auto"/>
            <w:noWrap/>
            <w:vAlign w:val="center"/>
            <w:hideMark/>
          </w:tcPr>
          <w:p w14:paraId="3E1B8BE7"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6,6</w:t>
            </w:r>
          </w:p>
        </w:tc>
        <w:tc>
          <w:tcPr>
            <w:tcW w:w="936" w:type="dxa"/>
            <w:tcBorders>
              <w:left w:val="single" w:sz="4" w:space="0" w:color="auto"/>
            </w:tcBorders>
            <w:shd w:val="clear" w:color="auto" w:fill="auto"/>
            <w:noWrap/>
            <w:vAlign w:val="center"/>
          </w:tcPr>
          <w:p w14:paraId="41D2E8D2"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-95,3</w:t>
            </w:r>
          </w:p>
        </w:tc>
        <w:tc>
          <w:tcPr>
            <w:tcW w:w="765" w:type="dxa"/>
            <w:shd w:val="clear" w:color="auto" w:fill="auto"/>
            <w:noWrap/>
            <w:vAlign w:val="center"/>
          </w:tcPr>
          <w:p w14:paraId="533A9A34"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-28,0</w:t>
            </w:r>
          </w:p>
        </w:tc>
        <w:tc>
          <w:tcPr>
            <w:tcW w:w="1146" w:type="dxa"/>
            <w:shd w:val="clear" w:color="auto" w:fill="auto"/>
            <w:noWrap/>
            <w:vAlign w:val="center"/>
          </w:tcPr>
          <w:p w14:paraId="0A3A9589"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-12,1</w:t>
            </w:r>
          </w:p>
        </w:tc>
      </w:tr>
      <w:tr w:rsidR="00BC40C9" w:rsidRPr="00CE65D8" w14:paraId="61C52E60" w14:textId="77777777" w:rsidTr="002C61B1">
        <w:trPr>
          <w:trHeight w:val="219"/>
          <w:jc w:val="center"/>
        </w:trPr>
        <w:tc>
          <w:tcPr>
            <w:tcW w:w="1655" w:type="dxa"/>
            <w:shd w:val="clear" w:color="auto" w:fill="auto"/>
            <w:noWrap/>
            <w:vAlign w:val="center"/>
            <w:hideMark/>
          </w:tcPr>
          <w:p w14:paraId="573B5672" w14:textId="77777777" w:rsidR="00BC40C9" w:rsidRPr="00CE65D8" w:rsidRDefault="00BC40C9" w:rsidP="002C61B1">
            <w:pPr>
              <w:spacing w:after="0"/>
              <w:ind w:firstLine="0"/>
              <w:jc w:val="left"/>
              <w:rPr>
                <w:rFonts w:eastAsia="Times New Roman" w:cs="Times New Roman"/>
                <w:noProof/>
                <w:sz w:val="18"/>
                <w:szCs w:val="18"/>
              </w:rPr>
            </w:pPr>
            <w:r w:rsidRPr="00CE65D8">
              <w:rPr>
                <w:rFonts w:eastAsia="Times New Roman" w:cs="Times New Roman"/>
                <w:noProof/>
                <w:sz w:val="18"/>
                <w:szCs w:val="18"/>
              </w:rPr>
              <w:t>Energoatbalsts</w:t>
            </w:r>
          </w:p>
        </w:tc>
        <w:tc>
          <w:tcPr>
            <w:tcW w:w="864" w:type="dxa"/>
            <w:shd w:val="clear" w:color="auto" w:fill="auto"/>
            <w:noWrap/>
            <w:vAlign w:val="center"/>
            <w:hideMark/>
          </w:tcPr>
          <w:p w14:paraId="1A704203"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454,4</w:t>
            </w:r>
          </w:p>
        </w:tc>
        <w:tc>
          <w:tcPr>
            <w:tcW w:w="842" w:type="dxa"/>
            <w:shd w:val="clear" w:color="auto" w:fill="auto"/>
            <w:noWrap/>
            <w:vAlign w:val="center"/>
            <w:hideMark/>
          </w:tcPr>
          <w:p w14:paraId="5FA12476"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50,0</w:t>
            </w:r>
          </w:p>
        </w:tc>
        <w:tc>
          <w:tcPr>
            <w:tcW w:w="1146" w:type="dxa"/>
            <w:shd w:val="clear" w:color="auto" w:fill="auto"/>
            <w:noWrap/>
            <w:vAlign w:val="center"/>
            <w:hideMark/>
          </w:tcPr>
          <w:p w14:paraId="4400A59F"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25,7</w:t>
            </w:r>
          </w:p>
        </w:tc>
        <w:tc>
          <w:tcPr>
            <w:tcW w:w="936" w:type="dxa"/>
            <w:tcBorders>
              <w:left w:val="single" w:sz="4" w:space="0" w:color="auto"/>
            </w:tcBorders>
            <w:shd w:val="clear" w:color="auto" w:fill="auto"/>
            <w:noWrap/>
            <w:vAlign w:val="center"/>
          </w:tcPr>
          <w:p w14:paraId="67DEAE09"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-435,9</w:t>
            </w:r>
          </w:p>
        </w:tc>
        <w:tc>
          <w:tcPr>
            <w:tcW w:w="765" w:type="dxa"/>
            <w:shd w:val="clear" w:color="auto" w:fill="auto"/>
            <w:noWrap/>
            <w:vAlign w:val="center"/>
          </w:tcPr>
          <w:p w14:paraId="64C770F9"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0,0</w:t>
            </w:r>
          </w:p>
        </w:tc>
        <w:tc>
          <w:tcPr>
            <w:tcW w:w="1146" w:type="dxa"/>
            <w:shd w:val="clear" w:color="auto" w:fill="auto"/>
            <w:noWrap/>
            <w:vAlign w:val="center"/>
          </w:tcPr>
          <w:p w14:paraId="5245FB44"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0,0</w:t>
            </w:r>
          </w:p>
        </w:tc>
      </w:tr>
      <w:tr w:rsidR="00BC40C9" w:rsidRPr="00CE65D8" w14:paraId="6A2BC6CD" w14:textId="77777777" w:rsidTr="002C61B1">
        <w:trPr>
          <w:trHeight w:val="395"/>
          <w:jc w:val="center"/>
        </w:trPr>
        <w:tc>
          <w:tcPr>
            <w:tcW w:w="1655" w:type="dxa"/>
            <w:shd w:val="clear" w:color="auto" w:fill="auto"/>
            <w:vAlign w:val="center"/>
            <w:hideMark/>
          </w:tcPr>
          <w:p w14:paraId="64910E70" w14:textId="77777777" w:rsidR="00BC40C9" w:rsidRPr="00CE65D8" w:rsidRDefault="00BC40C9" w:rsidP="002C61B1">
            <w:pPr>
              <w:spacing w:after="0"/>
              <w:ind w:firstLine="0"/>
              <w:jc w:val="left"/>
              <w:rPr>
                <w:rFonts w:eastAsia="Times New Roman" w:cs="Times New Roman"/>
                <w:sz w:val="18"/>
                <w:szCs w:val="18"/>
              </w:rPr>
            </w:pPr>
            <w:r w:rsidRPr="00CE65D8">
              <w:rPr>
                <w:rFonts w:eastAsia="Times New Roman" w:cs="Times New Roman"/>
                <w:sz w:val="18"/>
                <w:szCs w:val="18"/>
              </w:rPr>
              <w:t>Atbalsts Ukrainas civiliedzīvotājiem</w:t>
            </w:r>
          </w:p>
        </w:tc>
        <w:tc>
          <w:tcPr>
            <w:tcW w:w="864" w:type="dxa"/>
            <w:shd w:val="clear" w:color="auto" w:fill="auto"/>
            <w:noWrap/>
            <w:vAlign w:val="center"/>
            <w:hideMark/>
          </w:tcPr>
          <w:p w14:paraId="2BE3B84E"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67,9</w:t>
            </w:r>
          </w:p>
        </w:tc>
        <w:tc>
          <w:tcPr>
            <w:tcW w:w="842" w:type="dxa"/>
            <w:shd w:val="clear" w:color="auto" w:fill="auto"/>
            <w:noWrap/>
            <w:vAlign w:val="center"/>
            <w:hideMark/>
          </w:tcPr>
          <w:p w14:paraId="5A22451A"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70,0</w:t>
            </w:r>
          </w:p>
        </w:tc>
        <w:tc>
          <w:tcPr>
            <w:tcW w:w="1146" w:type="dxa"/>
            <w:shd w:val="clear" w:color="auto" w:fill="auto"/>
            <w:noWrap/>
            <w:vAlign w:val="center"/>
            <w:hideMark/>
          </w:tcPr>
          <w:p w14:paraId="6FC1DC32"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20,8</w:t>
            </w:r>
          </w:p>
        </w:tc>
        <w:tc>
          <w:tcPr>
            <w:tcW w:w="936" w:type="dxa"/>
            <w:tcBorders>
              <w:left w:val="single" w:sz="4" w:space="0" w:color="auto"/>
            </w:tcBorders>
            <w:shd w:val="clear" w:color="auto" w:fill="auto"/>
            <w:noWrap/>
            <w:vAlign w:val="center"/>
          </w:tcPr>
          <w:p w14:paraId="7B295DA0"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-67,9</w:t>
            </w:r>
          </w:p>
        </w:tc>
        <w:tc>
          <w:tcPr>
            <w:tcW w:w="765" w:type="dxa"/>
            <w:shd w:val="clear" w:color="auto" w:fill="auto"/>
            <w:noWrap/>
            <w:vAlign w:val="center"/>
          </w:tcPr>
          <w:p w14:paraId="7CF9BFE1"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-70,0</w:t>
            </w:r>
          </w:p>
        </w:tc>
        <w:tc>
          <w:tcPr>
            <w:tcW w:w="1146" w:type="dxa"/>
            <w:shd w:val="clear" w:color="auto" w:fill="auto"/>
            <w:noWrap/>
            <w:vAlign w:val="center"/>
          </w:tcPr>
          <w:p w14:paraId="14430537" w14:textId="77777777" w:rsidR="00BC40C9" w:rsidRPr="00CE65D8" w:rsidRDefault="00BC40C9" w:rsidP="002C61B1">
            <w:pPr>
              <w:spacing w:after="0"/>
              <w:ind w:firstLine="0"/>
              <w:jc w:val="center"/>
              <w:rPr>
                <w:rFonts w:eastAsia="Times New Roman" w:cs="Times New Roman"/>
                <w:sz w:val="18"/>
                <w:szCs w:val="18"/>
              </w:rPr>
            </w:pPr>
            <w:r>
              <w:rPr>
                <w:rFonts w:eastAsia="Times New Roman" w:cs="Times New Roman"/>
                <w:sz w:val="18"/>
                <w:szCs w:val="18"/>
              </w:rPr>
              <w:t>-20,8</w:t>
            </w:r>
          </w:p>
        </w:tc>
      </w:tr>
      <w:tr w:rsidR="00BC40C9" w:rsidRPr="00CE65D8" w14:paraId="6A5BD847" w14:textId="77777777" w:rsidTr="002C61B1">
        <w:trPr>
          <w:trHeight w:val="219"/>
          <w:jc w:val="center"/>
        </w:trPr>
        <w:tc>
          <w:tcPr>
            <w:tcW w:w="1655" w:type="dxa"/>
            <w:shd w:val="clear" w:color="auto" w:fill="auto"/>
            <w:noWrap/>
            <w:vAlign w:val="center"/>
            <w:hideMark/>
          </w:tcPr>
          <w:p w14:paraId="2C768CAD" w14:textId="77777777" w:rsidR="00BC40C9" w:rsidRPr="00CE65D8" w:rsidRDefault="00BC40C9" w:rsidP="002C61B1">
            <w:pPr>
              <w:spacing w:after="0"/>
              <w:ind w:firstLine="0"/>
              <w:jc w:val="left"/>
              <w:rPr>
                <w:rFonts w:eastAsia="Times New Roman" w:cs="Times New Roman"/>
                <w:b/>
                <w:bCs/>
                <w:sz w:val="18"/>
                <w:szCs w:val="18"/>
              </w:rPr>
            </w:pPr>
            <w:r w:rsidRPr="00CE65D8">
              <w:rPr>
                <w:rFonts w:eastAsia="Times New Roman" w:cs="Times New Roman"/>
                <w:b/>
                <w:bCs/>
                <w:sz w:val="18"/>
                <w:szCs w:val="18"/>
              </w:rPr>
              <w:t>KOPĀ</w:t>
            </w:r>
          </w:p>
        </w:tc>
        <w:tc>
          <w:tcPr>
            <w:tcW w:w="864" w:type="dxa"/>
            <w:shd w:val="clear" w:color="auto" w:fill="auto"/>
            <w:noWrap/>
            <w:vAlign w:val="center"/>
          </w:tcPr>
          <w:p w14:paraId="5AFF9965"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599,1</w:t>
            </w:r>
          </w:p>
        </w:tc>
        <w:tc>
          <w:tcPr>
            <w:tcW w:w="842" w:type="dxa"/>
            <w:shd w:val="clear" w:color="auto" w:fill="auto"/>
            <w:noWrap/>
            <w:vAlign w:val="center"/>
          </w:tcPr>
          <w:p w14:paraId="1AAC9BA6"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139,1</w:t>
            </w:r>
          </w:p>
        </w:tc>
        <w:tc>
          <w:tcPr>
            <w:tcW w:w="1146" w:type="dxa"/>
            <w:shd w:val="clear" w:color="auto" w:fill="auto"/>
            <w:noWrap/>
            <w:vAlign w:val="center"/>
          </w:tcPr>
          <w:p w14:paraId="6ADBEE9E"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53,1</w:t>
            </w:r>
          </w:p>
        </w:tc>
        <w:tc>
          <w:tcPr>
            <w:tcW w:w="936" w:type="dxa"/>
            <w:tcBorders>
              <w:left w:val="single" w:sz="4" w:space="0" w:color="auto"/>
            </w:tcBorders>
            <w:shd w:val="clear" w:color="auto" w:fill="auto"/>
            <w:noWrap/>
            <w:vAlign w:val="center"/>
          </w:tcPr>
          <w:p w14:paraId="125E0FE6"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-599,1</w:t>
            </w:r>
          </w:p>
        </w:tc>
        <w:tc>
          <w:tcPr>
            <w:tcW w:w="765" w:type="dxa"/>
            <w:shd w:val="clear" w:color="auto" w:fill="auto"/>
            <w:noWrap/>
            <w:vAlign w:val="center"/>
          </w:tcPr>
          <w:p w14:paraId="3D949EA1"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-98,0</w:t>
            </w:r>
          </w:p>
        </w:tc>
        <w:tc>
          <w:tcPr>
            <w:tcW w:w="1146" w:type="dxa"/>
            <w:shd w:val="clear" w:color="auto" w:fill="auto"/>
            <w:noWrap/>
            <w:vAlign w:val="center"/>
          </w:tcPr>
          <w:p w14:paraId="0996698C"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-32,9</w:t>
            </w:r>
          </w:p>
        </w:tc>
      </w:tr>
      <w:tr w:rsidR="00BC40C9" w:rsidRPr="00CE65D8" w14:paraId="04362AE9" w14:textId="77777777" w:rsidTr="002C61B1">
        <w:trPr>
          <w:trHeight w:val="226"/>
          <w:jc w:val="center"/>
        </w:trPr>
        <w:tc>
          <w:tcPr>
            <w:tcW w:w="1655" w:type="dxa"/>
            <w:shd w:val="clear" w:color="auto" w:fill="auto"/>
            <w:noWrap/>
            <w:vAlign w:val="center"/>
            <w:hideMark/>
          </w:tcPr>
          <w:p w14:paraId="60851360" w14:textId="77777777" w:rsidR="00BC40C9" w:rsidRPr="00CE65D8" w:rsidRDefault="00BC40C9" w:rsidP="002C61B1">
            <w:pPr>
              <w:spacing w:after="0"/>
              <w:ind w:firstLine="0"/>
              <w:jc w:val="left"/>
              <w:rPr>
                <w:rFonts w:eastAsia="Times New Roman" w:cs="Times New Roman"/>
                <w:b/>
                <w:bCs/>
                <w:sz w:val="18"/>
                <w:szCs w:val="18"/>
              </w:rPr>
            </w:pPr>
            <w:r w:rsidRPr="00CE65D8">
              <w:rPr>
                <w:rFonts w:eastAsia="Times New Roman" w:cs="Times New Roman"/>
                <w:b/>
                <w:bCs/>
                <w:sz w:val="18"/>
                <w:szCs w:val="18"/>
              </w:rPr>
              <w:t>% no IKP</w:t>
            </w:r>
          </w:p>
        </w:tc>
        <w:tc>
          <w:tcPr>
            <w:tcW w:w="864" w:type="dxa"/>
            <w:shd w:val="clear" w:color="auto" w:fill="auto"/>
            <w:noWrap/>
            <w:vAlign w:val="center"/>
          </w:tcPr>
          <w:p w14:paraId="6C45462E"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1,5%</w:t>
            </w:r>
          </w:p>
        </w:tc>
        <w:tc>
          <w:tcPr>
            <w:tcW w:w="842" w:type="dxa"/>
            <w:shd w:val="clear" w:color="auto" w:fill="auto"/>
            <w:noWrap/>
            <w:vAlign w:val="center"/>
          </w:tcPr>
          <w:p w14:paraId="38A239AA"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0,3%</w:t>
            </w:r>
          </w:p>
        </w:tc>
        <w:tc>
          <w:tcPr>
            <w:tcW w:w="1146" w:type="dxa"/>
            <w:shd w:val="clear" w:color="auto" w:fill="auto"/>
            <w:noWrap/>
            <w:vAlign w:val="center"/>
          </w:tcPr>
          <w:p w14:paraId="428AF86A"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0,1%</w:t>
            </w:r>
          </w:p>
        </w:tc>
        <w:tc>
          <w:tcPr>
            <w:tcW w:w="936" w:type="dxa"/>
            <w:tcBorders>
              <w:left w:val="single" w:sz="4" w:space="0" w:color="auto"/>
            </w:tcBorders>
            <w:shd w:val="clear" w:color="auto" w:fill="auto"/>
            <w:noWrap/>
            <w:vAlign w:val="center"/>
          </w:tcPr>
          <w:p w14:paraId="6868C330"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-1,5%</w:t>
            </w:r>
          </w:p>
        </w:tc>
        <w:tc>
          <w:tcPr>
            <w:tcW w:w="765" w:type="dxa"/>
            <w:shd w:val="clear" w:color="auto" w:fill="auto"/>
            <w:noWrap/>
            <w:vAlign w:val="center"/>
          </w:tcPr>
          <w:p w14:paraId="1614E99F"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-0,2%</w:t>
            </w:r>
          </w:p>
        </w:tc>
        <w:tc>
          <w:tcPr>
            <w:tcW w:w="1146" w:type="dxa"/>
            <w:shd w:val="clear" w:color="auto" w:fill="auto"/>
            <w:noWrap/>
            <w:vAlign w:val="center"/>
          </w:tcPr>
          <w:p w14:paraId="3B5342CB" w14:textId="77777777" w:rsidR="00BC40C9" w:rsidRPr="00CE65D8" w:rsidRDefault="00BC40C9" w:rsidP="002C61B1">
            <w:pPr>
              <w:spacing w:after="0"/>
              <w:ind w:firstLine="0"/>
              <w:jc w:val="center"/>
              <w:rPr>
                <w:rFonts w:eastAsia="Times New Roman" w:cs="Times New Roman"/>
                <w:b/>
                <w:bCs/>
                <w:sz w:val="18"/>
                <w:szCs w:val="18"/>
              </w:rPr>
            </w:pPr>
            <w:r>
              <w:rPr>
                <w:rFonts w:eastAsia="Times New Roman" w:cs="Times New Roman"/>
                <w:b/>
                <w:bCs/>
                <w:sz w:val="18"/>
                <w:szCs w:val="18"/>
              </w:rPr>
              <w:t>-0,1%</w:t>
            </w:r>
          </w:p>
        </w:tc>
      </w:tr>
    </w:tbl>
    <w:p w14:paraId="7BDFAF6F" w14:textId="77777777" w:rsidR="00BC40C9" w:rsidRDefault="00BC40C9" w:rsidP="0087114C">
      <w:pPr>
        <w:rPr>
          <w:highlight w:val="lightGray"/>
        </w:rPr>
      </w:pPr>
    </w:p>
    <w:p w14:paraId="406C13F2" w14:textId="3DC2F938" w:rsidR="003F3FCD" w:rsidRPr="0087114C" w:rsidRDefault="005D361F" w:rsidP="008349F0">
      <w:pPr>
        <w:pStyle w:val="Heading3"/>
        <w:numPr>
          <w:ilvl w:val="0"/>
          <w:numId w:val="0"/>
        </w:numPr>
        <w:ind w:left="426"/>
      </w:pPr>
      <w:bookmarkStart w:id="65" w:name="_Toc179356090"/>
      <w:r w:rsidRPr="0087114C">
        <w:lastRenderedPageBreak/>
        <w:t>2.2.4.</w:t>
      </w:r>
      <w:r w:rsidR="006C030A" w:rsidRPr="0087114C">
        <w:t xml:space="preserve"> </w:t>
      </w:r>
      <w:r w:rsidR="000548A5" w:rsidRPr="0087114C">
        <w:t xml:space="preserve">Budžeta prognožu salīdzinājums ar aktuālajām </w:t>
      </w:r>
      <w:r w:rsidR="00531C50" w:rsidRPr="0087114C">
        <w:t>EK</w:t>
      </w:r>
      <w:r w:rsidR="000548A5" w:rsidRPr="0087114C">
        <w:t xml:space="preserve"> prognozēm</w:t>
      </w:r>
      <w:bookmarkEnd w:id="65"/>
    </w:p>
    <w:p w14:paraId="14FDFA95" w14:textId="77777777" w:rsidR="0087114C" w:rsidRPr="00C50141" w:rsidRDefault="0087114C" w:rsidP="0087114C">
      <w:pPr>
        <w:rPr>
          <w:rFonts w:eastAsia="Calibri" w:cs="Times New Roman"/>
          <w:bCs/>
          <w:szCs w:val="28"/>
          <w:lang w:eastAsia="en-US"/>
        </w:rPr>
      </w:pPr>
      <w:r w:rsidRPr="00C50141">
        <w:rPr>
          <w:rFonts w:eastAsia="Calibri" w:cs="Times New Roman"/>
          <w:bCs/>
          <w:szCs w:val="28"/>
          <w:lang w:eastAsia="en-US"/>
        </w:rPr>
        <w:t>Salīdzinot FM sagatavotās vispārējās valdības budžeta prognozes ar aktuālajām EK prognozēm, ir būtiski ņemt vērā to izstrādes laiku. Paskaidrojumu sagatavošanas brīdī ir pieejamas EK fiskālās prognozes, kas tika publicētas 202</w:t>
      </w:r>
      <w:r>
        <w:rPr>
          <w:rFonts w:eastAsia="Calibri" w:cs="Times New Roman"/>
          <w:bCs/>
          <w:szCs w:val="28"/>
          <w:lang w:eastAsia="en-US"/>
        </w:rPr>
        <w:t>4</w:t>
      </w:r>
      <w:r w:rsidRPr="00C50141">
        <w:rPr>
          <w:rFonts w:eastAsia="Calibri" w:cs="Times New Roman"/>
          <w:bCs/>
          <w:szCs w:val="28"/>
          <w:lang w:eastAsia="en-US"/>
        </w:rPr>
        <w:t>.</w:t>
      </w:r>
      <w:r>
        <w:rPr>
          <w:rFonts w:eastAsia="Calibri" w:cs="Times New Roman"/>
          <w:bCs/>
          <w:szCs w:val="28"/>
          <w:lang w:eastAsia="en-US"/>
        </w:rPr>
        <w:t> </w:t>
      </w:r>
      <w:r w:rsidRPr="00C50141">
        <w:rPr>
          <w:rFonts w:eastAsia="Calibri" w:cs="Times New Roman"/>
          <w:bCs/>
          <w:szCs w:val="28"/>
          <w:lang w:eastAsia="en-US"/>
        </w:rPr>
        <w:t>gada pavasarī. FM gadījumā 202</w:t>
      </w:r>
      <w:r>
        <w:rPr>
          <w:rFonts w:eastAsia="Calibri" w:cs="Times New Roman"/>
          <w:bCs/>
          <w:szCs w:val="28"/>
          <w:lang w:eastAsia="en-US"/>
        </w:rPr>
        <w:t>4</w:t>
      </w:r>
      <w:r w:rsidRPr="00C50141">
        <w:rPr>
          <w:rFonts w:eastAsia="Calibri" w:cs="Times New Roman"/>
          <w:bCs/>
          <w:szCs w:val="28"/>
          <w:lang w:eastAsia="en-US"/>
        </w:rPr>
        <w:t>.</w:t>
      </w:r>
      <w:r>
        <w:rPr>
          <w:rFonts w:eastAsia="Calibri" w:cs="Times New Roman"/>
          <w:bCs/>
          <w:szCs w:val="28"/>
          <w:lang w:eastAsia="en-US"/>
        </w:rPr>
        <w:t> un 2025. </w:t>
      </w:r>
      <w:r w:rsidRPr="00C50141">
        <w:rPr>
          <w:rFonts w:eastAsia="Calibri" w:cs="Times New Roman"/>
          <w:bCs/>
          <w:szCs w:val="28"/>
          <w:lang w:eastAsia="en-US"/>
        </w:rPr>
        <w:t xml:space="preserve">gada budžeta deficīta </w:t>
      </w:r>
      <w:r w:rsidRPr="00C50141">
        <w:rPr>
          <w:rFonts w:eastAsia="Calibri" w:cs="Times New Roman"/>
          <w:bCs/>
          <w:noProof/>
          <w:szCs w:val="28"/>
          <w:lang w:eastAsia="en-US"/>
        </w:rPr>
        <w:t>novērtējumā tika ņemta vērā IKP prognoze</w:t>
      </w:r>
      <w:r>
        <w:rPr>
          <w:rFonts w:eastAsia="Calibri" w:cs="Times New Roman"/>
          <w:bCs/>
          <w:noProof/>
          <w:szCs w:val="28"/>
          <w:lang w:eastAsia="en-US"/>
        </w:rPr>
        <w:t xml:space="preserve"> atbilstoši 2024. gada jūnijā izstrādātajam un Fiskālās disciplīnas padomes apstiprinātajam makroscenārijam. I</w:t>
      </w:r>
      <w:r w:rsidRPr="00C50141">
        <w:rPr>
          <w:rFonts w:eastAsia="Calibri" w:cs="Times New Roman"/>
          <w:bCs/>
          <w:noProof/>
          <w:szCs w:val="28"/>
          <w:lang w:eastAsia="en-US"/>
        </w:rPr>
        <w:t xml:space="preserve">eņēmumu un izdevumu prognozes ir aktualizētas, ņemot vērā valdības pieņemtos lēmumus </w:t>
      </w:r>
      <w:r>
        <w:rPr>
          <w:rFonts w:eastAsia="Calibri" w:cs="Times New Roman"/>
          <w:bCs/>
          <w:noProof/>
          <w:szCs w:val="28"/>
          <w:lang w:eastAsia="en-US"/>
        </w:rPr>
        <w:t xml:space="preserve">septembrī-oktobrī </w:t>
      </w:r>
      <w:r w:rsidRPr="00C50141">
        <w:rPr>
          <w:rFonts w:eastAsia="Calibri" w:cs="Times New Roman"/>
          <w:bCs/>
          <w:noProof/>
          <w:szCs w:val="28"/>
          <w:lang w:eastAsia="en-US"/>
        </w:rPr>
        <w:t xml:space="preserve">par </w:t>
      </w:r>
      <w:r>
        <w:rPr>
          <w:rFonts w:eastAsia="Calibri" w:cs="Times New Roman"/>
          <w:bCs/>
          <w:noProof/>
          <w:szCs w:val="28"/>
          <w:lang w:eastAsia="en-US"/>
        </w:rPr>
        <w:t>nodokļu</w:t>
      </w:r>
      <w:r>
        <w:rPr>
          <w:rFonts w:eastAsia="Calibri" w:cs="Times New Roman"/>
          <w:bCs/>
          <w:szCs w:val="28"/>
          <w:lang w:eastAsia="en-US"/>
        </w:rPr>
        <w:t xml:space="preserve"> politikas izmaiņām un </w:t>
      </w:r>
      <w:r w:rsidRPr="00C50141">
        <w:rPr>
          <w:rFonts w:eastAsia="Calibri" w:cs="Times New Roman"/>
          <w:bCs/>
          <w:szCs w:val="28"/>
          <w:lang w:eastAsia="en-US"/>
        </w:rPr>
        <w:t>prioritāro pasākumu finansēšanu</w:t>
      </w:r>
      <w:r>
        <w:rPr>
          <w:rFonts w:eastAsia="Calibri" w:cs="Times New Roman"/>
          <w:bCs/>
          <w:szCs w:val="28"/>
          <w:lang w:eastAsia="en-US"/>
        </w:rPr>
        <w:t>.</w:t>
      </w:r>
    </w:p>
    <w:p w14:paraId="6E82D0C3" w14:textId="26C2F64A" w:rsidR="0087114C" w:rsidRPr="00FE74AD" w:rsidRDefault="0087114C" w:rsidP="0087114C">
      <w:pPr>
        <w:keepNext/>
        <w:spacing w:before="120"/>
        <w:ind w:firstLine="357"/>
        <w:jc w:val="right"/>
        <w:rPr>
          <w:rFonts w:eastAsia="Times New Roman" w:cs="Times New Roman"/>
          <w:i/>
          <w:szCs w:val="24"/>
          <w:lang w:eastAsia="en-US"/>
        </w:rPr>
      </w:pPr>
      <w:r w:rsidRPr="00FE74AD">
        <w:rPr>
          <w:rFonts w:eastAsia="Times New Roman" w:cs="Times New Roman"/>
          <w:b/>
          <w:i/>
          <w:szCs w:val="24"/>
          <w:lang w:eastAsia="en-US"/>
        </w:rPr>
        <w:t>2.</w:t>
      </w:r>
      <w:r w:rsidR="00187E6E">
        <w:rPr>
          <w:rFonts w:eastAsia="Times New Roman" w:cs="Times New Roman"/>
          <w:b/>
          <w:i/>
          <w:szCs w:val="24"/>
          <w:lang w:eastAsia="en-US"/>
        </w:rPr>
        <w:t>23</w:t>
      </w:r>
      <w:r w:rsidRPr="00FE74AD">
        <w:rPr>
          <w:rFonts w:eastAsia="Times New Roman" w:cs="Times New Roman"/>
          <w:b/>
          <w:i/>
          <w:szCs w:val="24"/>
          <w:lang w:eastAsia="en-US"/>
        </w:rPr>
        <w:t>. tabula FM budžeta prognozes salīdzinājums ar EK prognozi, % no IKP</w:t>
      </w:r>
    </w:p>
    <w:tbl>
      <w:tblPr>
        <w:tblW w:w="9025" w:type="dxa"/>
        <w:jc w:val="center"/>
        <w:tblLook w:val="04A0" w:firstRow="1" w:lastRow="0" w:firstColumn="1" w:lastColumn="0" w:noHBand="0" w:noVBand="1"/>
      </w:tblPr>
      <w:tblGrid>
        <w:gridCol w:w="3397"/>
        <w:gridCol w:w="936"/>
        <w:gridCol w:w="936"/>
        <w:gridCol w:w="936"/>
        <w:gridCol w:w="948"/>
        <w:gridCol w:w="936"/>
        <w:gridCol w:w="936"/>
      </w:tblGrid>
      <w:tr w:rsidR="0087114C" w:rsidRPr="00130AFF" w14:paraId="2784668B" w14:textId="77777777" w:rsidTr="002C61B1">
        <w:trPr>
          <w:trHeight w:val="246"/>
          <w:tblHeader/>
          <w:jc w:val="center"/>
        </w:trPr>
        <w:tc>
          <w:tcPr>
            <w:tcW w:w="3397"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14:paraId="2B8FB03E" w14:textId="77777777" w:rsidR="0087114C" w:rsidRPr="00130AFF" w:rsidRDefault="0087114C" w:rsidP="002C61B1">
            <w:pPr>
              <w:spacing w:after="0"/>
              <w:ind w:firstLine="360"/>
              <w:jc w:val="center"/>
              <w:rPr>
                <w:rFonts w:eastAsia="Times New Roman" w:cs="Times New Roman"/>
                <w:color w:val="FF0000"/>
                <w:sz w:val="18"/>
                <w:szCs w:val="18"/>
              </w:rPr>
            </w:pPr>
          </w:p>
        </w:tc>
        <w:tc>
          <w:tcPr>
            <w:tcW w:w="1872" w:type="dxa"/>
            <w:gridSpan w:val="2"/>
            <w:tcBorders>
              <w:top w:val="single" w:sz="4" w:space="0" w:color="auto"/>
              <w:left w:val="single" w:sz="4" w:space="0" w:color="auto"/>
              <w:bottom w:val="single" w:sz="4" w:space="0" w:color="auto"/>
              <w:right w:val="double" w:sz="4" w:space="0" w:color="auto"/>
            </w:tcBorders>
            <w:shd w:val="clear" w:color="auto" w:fill="BDD6EE" w:themeFill="accent1" w:themeFillTint="66"/>
            <w:noWrap/>
            <w:vAlign w:val="center"/>
            <w:hideMark/>
          </w:tcPr>
          <w:p w14:paraId="4269077A" w14:textId="77777777" w:rsidR="0087114C" w:rsidRPr="00130AFF" w:rsidRDefault="0087114C" w:rsidP="002C61B1">
            <w:pPr>
              <w:spacing w:after="0"/>
              <w:ind w:firstLine="0"/>
              <w:jc w:val="center"/>
              <w:rPr>
                <w:rFonts w:eastAsia="Times New Roman" w:cs="Times New Roman"/>
                <w:b/>
                <w:bCs/>
                <w:sz w:val="18"/>
                <w:szCs w:val="18"/>
              </w:rPr>
            </w:pPr>
            <w:r w:rsidRPr="00130AFF">
              <w:rPr>
                <w:rFonts w:eastAsia="Times New Roman" w:cs="Times New Roman"/>
                <w:b/>
                <w:bCs/>
                <w:sz w:val="18"/>
                <w:szCs w:val="18"/>
              </w:rPr>
              <w:t>LV</w:t>
            </w:r>
          </w:p>
        </w:tc>
        <w:tc>
          <w:tcPr>
            <w:tcW w:w="1884" w:type="dxa"/>
            <w:gridSpan w:val="2"/>
            <w:tcBorders>
              <w:top w:val="single" w:sz="4" w:space="0" w:color="auto"/>
              <w:left w:val="double" w:sz="4" w:space="0" w:color="auto"/>
              <w:bottom w:val="single" w:sz="4" w:space="0" w:color="auto"/>
              <w:right w:val="double" w:sz="4" w:space="0" w:color="auto"/>
            </w:tcBorders>
            <w:shd w:val="clear" w:color="auto" w:fill="BDD6EE" w:themeFill="accent1" w:themeFillTint="66"/>
            <w:vAlign w:val="center"/>
          </w:tcPr>
          <w:p w14:paraId="52509BB3" w14:textId="77777777" w:rsidR="0087114C" w:rsidRPr="00130AFF" w:rsidRDefault="0087114C" w:rsidP="002C61B1">
            <w:pPr>
              <w:spacing w:after="0"/>
              <w:ind w:firstLine="0"/>
              <w:jc w:val="center"/>
              <w:rPr>
                <w:rFonts w:eastAsia="Times New Roman" w:cs="Times New Roman"/>
                <w:b/>
                <w:bCs/>
                <w:sz w:val="18"/>
                <w:szCs w:val="18"/>
              </w:rPr>
            </w:pPr>
            <w:r w:rsidRPr="00130AFF">
              <w:rPr>
                <w:rFonts w:eastAsia="Times New Roman" w:cs="Times New Roman"/>
                <w:b/>
                <w:bCs/>
                <w:sz w:val="18"/>
                <w:szCs w:val="18"/>
              </w:rPr>
              <w:t>EK</w:t>
            </w:r>
            <w:r w:rsidRPr="00130AFF">
              <w:rPr>
                <w:rFonts w:eastAsia="Times New Roman" w:cs="Times New Roman"/>
                <w:b/>
                <w:bCs/>
                <w:sz w:val="18"/>
                <w:szCs w:val="18"/>
              </w:rPr>
              <w:br/>
            </w:r>
            <w:r w:rsidRPr="00130AFF">
              <w:rPr>
                <w:rFonts w:eastAsia="Times New Roman" w:cs="Times New Roman"/>
                <w:bCs/>
                <w:sz w:val="18"/>
                <w:szCs w:val="18"/>
              </w:rPr>
              <w:t>(pavasaris 2024)</w:t>
            </w:r>
            <w:r w:rsidRPr="00130AFF">
              <w:rPr>
                <w:rFonts w:eastAsia="Times New Roman" w:cs="Times New Roman"/>
                <w:bCs/>
                <w:sz w:val="18"/>
                <w:szCs w:val="18"/>
                <w:vertAlign w:val="superscript"/>
              </w:rPr>
              <w:footnoteReference w:id="28"/>
            </w:r>
          </w:p>
        </w:tc>
        <w:tc>
          <w:tcPr>
            <w:tcW w:w="1872" w:type="dxa"/>
            <w:gridSpan w:val="2"/>
            <w:tcBorders>
              <w:top w:val="single" w:sz="4" w:space="0" w:color="auto"/>
              <w:left w:val="double" w:sz="4" w:space="0" w:color="auto"/>
              <w:bottom w:val="single" w:sz="4" w:space="0" w:color="auto"/>
              <w:right w:val="single" w:sz="4" w:space="0" w:color="auto"/>
            </w:tcBorders>
            <w:shd w:val="clear" w:color="auto" w:fill="BDD6EE" w:themeFill="accent1" w:themeFillTint="66"/>
            <w:vAlign w:val="center"/>
          </w:tcPr>
          <w:p w14:paraId="79720DB2" w14:textId="21357605" w:rsidR="0087114C" w:rsidRPr="00130AFF" w:rsidRDefault="0087114C" w:rsidP="002C61B1">
            <w:pPr>
              <w:spacing w:after="0"/>
              <w:ind w:firstLine="0"/>
              <w:jc w:val="center"/>
              <w:rPr>
                <w:rFonts w:eastAsia="Times New Roman" w:cs="Times New Roman"/>
                <w:b/>
                <w:bCs/>
                <w:sz w:val="18"/>
                <w:szCs w:val="18"/>
              </w:rPr>
            </w:pPr>
            <w:r w:rsidRPr="00130AFF">
              <w:rPr>
                <w:rFonts w:eastAsia="Times New Roman" w:cs="Times New Roman"/>
                <w:b/>
                <w:bCs/>
                <w:sz w:val="18"/>
                <w:szCs w:val="18"/>
              </w:rPr>
              <w:t>Starpība</w:t>
            </w:r>
            <w:r w:rsidRPr="00130AFF">
              <w:rPr>
                <w:rFonts w:eastAsia="Times New Roman" w:cs="Times New Roman"/>
                <w:b/>
                <w:bCs/>
                <w:sz w:val="18"/>
                <w:szCs w:val="18"/>
              </w:rPr>
              <w:br/>
            </w:r>
            <w:r w:rsidRPr="00130AFF">
              <w:rPr>
                <w:rFonts w:eastAsia="Times New Roman" w:cs="Times New Roman"/>
                <w:bCs/>
                <w:sz w:val="18"/>
                <w:szCs w:val="18"/>
              </w:rPr>
              <w:t>(</w:t>
            </w:r>
            <w:proofErr w:type="spellStart"/>
            <w:r w:rsidR="00771550">
              <w:rPr>
                <w:rFonts w:eastAsia="Times New Roman" w:cs="Times New Roman"/>
                <w:bCs/>
                <w:sz w:val="18"/>
                <w:szCs w:val="18"/>
              </w:rPr>
              <w:t>pp</w:t>
            </w:r>
            <w:proofErr w:type="spellEnd"/>
            <w:r w:rsidRPr="00130AFF">
              <w:rPr>
                <w:rFonts w:eastAsia="Times New Roman" w:cs="Times New Roman"/>
                <w:bCs/>
                <w:sz w:val="18"/>
                <w:szCs w:val="18"/>
              </w:rPr>
              <w:t>)</w:t>
            </w:r>
          </w:p>
        </w:tc>
      </w:tr>
      <w:tr w:rsidR="0087114C" w:rsidRPr="00A54B9F" w14:paraId="25B43939" w14:textId="77777777" w:rsidTr="002C61B1">
        <w:trPr>
          <w:trHeight w:val="246"/>
          <w:tblHeader/>
          <w:jc w:val="center"/>
        </w:trPr>
        <w:tc>
          <w:tcPr>
            <w:tcW w:w="3397"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tcPr>
          <w:p w14:paraId="1D5EA629" w14:textId="77777777" w:rsidR="0087114C" w:rsidRPr="00130AFF" w:rsidRDefault="0087114C" w:rsidP="002C61B1">
            <w:pPr>
              <w:spacing w:after="0"/>
              <w:ind w:firstLine="360"/>
              <w:jc w:val="left"/>
              <w:rPr>
                <w:rFonts w:eastAsia="Times New Roman" w:cs="Times New Roman"/>
                <w:color w:val="FF0000"/>
                <w:sz w:val="18"/>
                <w:szCs w:val="18"/>
              </w:rPr>
            </w:pPr>
          </w:p>
        </w:tc>
        <w:tc>
          <w:tcPr>
            <w:tcW w:w="93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53192732" w14:textId="77777777" w:rsidR="0087114C" w:rsidRPr="00130AFF" w:rsidRDefault="0087114C" w:rsidP="002C61B1">
            <w:pPr>
              <w:spacing w:after="0"/>
              <w:ind w:firstLine="360"/>
              <w:jc w:val="center"/>
              <w:rPr>
                <w:rFonts w:eastAsia="Times New Roman" w:cs="Times New Roman"/>
                <w:b/>
                <w:bCs/>
                <w:sz w:val="18"/>
                <w:szCs w:val="18"/>
              </w:rPr>
            </w:pPr>
            <w:r w:rsidRPr="00130AFF">
              <w:rPr>
                <w:rFonts w:eastAsia="Times New Roman" w:cs="Times New Roman"/>
                <w:b/>
                <w:bCs/>
                <w:sz w:val="18"/>
                <w:szCs w:val="18"/>
              </w:rPr>
              <w:t>2024</w:t>
            </w:r>
          </w:p>
        </w:tc>
        <w:tc>
          <w:tcPr>
            <w:tcW w:w="936" w:type="dxa"/>
            <w:tcBorders>
              <w:top w:val="single" w:sz="4" w:space="0" w:color="auto"/>
              <w:left w:val="nil"/>
              <w:bottom w:val="single" w:sz="4" w:space="0" w:color="auto"/>
              <w:right w:val="double" w:sz="4" w:space="0" w:color="auto"/>
            </w:tcBorders>
            <w:shd w:val="clear" w:color="auto" w:fill="BDD6EE" w:themeFill="accent1" w:themeFillTint="66"/>
            <w:vAlign w:val="center"/>
          </w:tcPr>
          <w:p w14:paraId="07017AC4" w14:textId="77777777" w:rsidR="0087114C" w:rsidRPr="00130AFF" w:rsidRDefault="0087114C" w:rsidP="002C61B1">
            <w:pPr>
              <w:spacing w:after="0"/>
              <w:ind w:firstLine="360"/>
              <w:jc w:val="center"/>
              <w:rPr>
                <w:rFonts w:eastAsia="Times New Roman" w:cs="Times New Roman"/>
                <w:b/>
                <w:bCs/>
                <w:sz w:val="18"/>
                <w:szCs w:val="18"/>
              </w:rPr>
            </w:pPr>
            <w:r w:rsidRPr="00130AFF">
              <w:rPr>
                <w:rFonts w:eastAsia="Times New Roman" w:cs="Times New Roman"/>
                <w:b/>
                <w:bCs/>
                <w:sz w:val="18"/>
                <w:szCs w:val="18"/>
              </w:rPr>
              <w:t>2025</w:t>
            </w:r>
          </w:p>
        </w:tc>
        <w:tc>
          <w:tcPr>
            <w:tcW w:w="936" w:type="dxa"/>
            <w:tcBorders>
              <w:top w:val="single" w:sz="4" w:space="0" w:color="auto"/>
              <w:left w:val="double" w:sz="4" w:space="0" w:color="auto"/>
              <w:bottom w:val="single" w:sz="4" w:space="0" w:color="auto"/>
              <w:right w:val="single" w:sz="4" w:space="0" w:color="auto"/>
            </w:tcBorders>
            <w:shd w:val="clear" w:color="auto" w:fill="BDD6EE" w:themeFill="accent1" w:themeFillTint="66"/>
            <w:vAlign w:val="center"/>
          </w:tcPr>
          <w:p w14:paraId="5ECF5D42" w14:textId="77777777" w:rsidR="0087114C" w:rsidRPr="00130AFF" w:rsidRDefault="0087114C" w:rsidP="002C61B1">
            <w:pPr>
              <w:spacing w:after="0"/>
              <w:ind w:firstLine="360"/>
              <w:jc w:val="center"/>
              <w:rPr>
                <w:rFonts w:eastAsia="Times New Roman" w:cs="Times New Roman"/>
                <w:b/>
                <w:bCs/>
                <w:sz w:val="18"/>
                <w:szCs w:val="18"/>
              </w:rPr>
            </w:pPr>
            <w:r w:rsidRPr="00130AFF">
              <w:rPr>
                <w:rFonts w:eastAsia="Times New Roman" w:cs="Times New Roman"/>
                <w:b/>
                <w:bCs/>
                <w:sz w:val="18"/>
                <w:szCs w:val="18"/>
              </w:rPr>
              <w:t>2024</w:t>
            </w:r>
          </w:p>
        </w:tc>
        <w:tc>
          <w:tcPr>
            <w:tcW w:w="948" w:type="dxa"/>
            <w:tcBorders>
              <w:top w:val="single" w:sz="4" w:space="0" w:color="auto"/>
              <w:left w:val="single" w:sz="4" w:space="0" w:color="auto"/>
              <w:bottom w:val="single" w:sz="4" w:space="0" w:color="auto"/>
              <w:right w:val="double" w:sz="4" w:space="0" w:color="auto"/>
            </w:tcBorders>
            <w:shd w:val="clear" w:color="auto" w:fill="BDD6EE" w:themeFill="accent1" w:themeFillTint="66"/>
            <w:noWrap/>
            <w:vAlign w:val="center"/>
          </w:tcPr>
          <w:p w14:paraId="5439A5AF" w14:textId="77777777" w:rsidR="0087114C" w:rsidRPr="00130AFF" w:rsidRDefault="0087114C" w:rsidP="002C61B1">
            <w:pPr>
              <w:spacing w:after="0"/>
              <w:ind w:firstLine="360"/>
              <w:jc w:val="center"/>
              <w:rPr>
                <w:rFonts w:eastAsia="Times New Roman" w:cs="Times New Roman"/>
                <w:b/>
                <w:bCs/>
                <w:sz w:val="18"/>
                <w:szCs w:val="18"/>
              </w:rPr>
            </w:pPr>
            <w:r w:rsidRPr="00130AFF">
              <w:rPr>
                <w:rFonts w:eastAsia="Times New Roman" w:cs="Times New Roman"/>
                <w:b/>
                <w:bCs/>
                <w:sz w:val="18"/>
                <w:szCs w:val="18"/>
              </w:rPr>
              <w:t>2025</w:t>
            </w:r>
          </w:p>
        </w:tc>
        <w:tc>
          <w:tcPr>
            <w:tcW w:w="936" w:type="dxa"/>
            <w:tcBorders>
              <w:top w:val="single" w:sz="4" w:space="0" w:color="auto"/>
              <w:left w:val="double" w:sz="4" w:space="0" w:color="auto"/>
              <w:bottom w:val="single" w:sz="4" w:space="0" w:color="auto"/>
              <w:right w:val="single" w:sz="4" w:space="0" w:color="auto"/>
            </w:tcBorders>
            <w:shd w:val="clear" w:color="auto" w:fill="BDD6EE" w:themeFill="accent1" w:themeFillTint="66"/>
            <w:vAlign w:val="center"/>
          </w:tcPr>
          <w:p w14:paraId="42961C51" w14:textId="77777777" w:rsidR="0087114C" w:rsidRPr="00130AFF" w:rsidRDefault="0087114C" w:rsidP="002C61B1">
            <w:pPr>
              <w:spacing w:after="0"/>
              <w:ind w:firstLine="360"/>
              <w:jc w:val="center"/>
              <w:rPr>
                <w:rFonts w:eastAsia="Times New Roman" w:cs="Times New Roman"/>
                <w:b/>
                <w:bCs/>
                <w:sz w:val="18"/>
                <w:szCs w:val="18"/>
              </w:rPr>
            </w:pPr>
            <w:r w:rsidRPr="00130AFF">
              <w:rPr>
                <w:rFonts w:eastAsia="Times New Roman" w:cs="Times New Roman"/>
                <w:b/>
                <w:bCs/>
                <w:sz w:val="18"/>
                <w:szCs w:val="18"/>
              </w:rPr>
              <w:t>2024</w:t>
            </w:r>
          </w:p>
        </w:tc>
        <w:tc>
          <w:tcPr>
            <w:tcW w:w="93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13C91EED" w14:textId="77777777" w:rsidR="0087114C" w:rsidRPr="00130AFF" w:rsidRDefault="0087114C" w:rsidP="002C61B1">
            <w:pPr>
              <w:spacing w:after="0"/>
              <w:ind w:firstLine="360"/>
              <w:jc w:val="center"/>
              <w:rPr>
                <w:rFonts w:eastAsia="Times New Roman" w:cs="Times New Roman"/>
                <w:b/>
                <w:bCs/>
                <w:sz w:val="18"/>
                <w:szCs w:val="18"/>
              </w:rPr>
            </w:pPr>
            <w:r w:rsidRPr="00130AFF">
              <w:rPr>
                <w:rFonts w:eastAsia="Times New Roman" w:cs="Times New Roman"/>
                <w:b/>
                <w:bCs/>
                <w:sz w:val="18"/>
                <w:szCs w:val="18"/>
              </w:rPr>
              <w:t>2025</w:t>
            </w:r>
          </w:p>
        </w:tc>
      </w:tr>
      <w:tr w:rsidR="0087114C" w:rsidRPr="00A54B9F" w14:paraId="5047A146" w14:textId="77777777" w:rsidTr="002C61B1">
        <w:trPr>
          <w:trHeight w:val="166"/>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4125B" w14:textId="77777777" w:rsidR="0087114C" w:rsidRPr="00C503C7" w:rsidRDefault="0087114C" w:rsidP="002C61B1">
            <w:pPr>
              <w:spacing w:after="0"/>
              <w:ind w:firstLine="0"/>
              <w:jc w:val="left"/>
              <w:rPr>
                <w:rFonts w:eastAsia="Times New Roman" w:cs="Times New Roman"/>
                <w:b/>
                <w:bCs/>
                <w:sz w:val="18"/>
                <w:szCs w:val="18"/>
              </w:rPr>
            </w:pPr>
            <w:r w:rsidRPr="00C503C7">
              <w:rPr>
                <w:rFonts w:eastAsia="Times New Roman" w:cs="Times New Roman"/>
                <w:b/>
                <w:bCs/>
                <w:sz w:val="18"/>
                <w:szCs w:val="18"/>
              </w:rPr>
              <w:t>Vispārējās valdības budžeta bilance</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0EDF2" w14:textId="77777777" w:rsidR="0087114C" w:rsidRPr="00EA38CE" w:rsidRDefault="0087114C" w:rsidP="002C61B1">
            <w:pPr>
              <w:spacing w:after="0"/>
              <w:ind w:firstLine="360"/>
              <w:jc w:val="right"/>
              <w:rPr>
                <w:rFonts w:eastAsia="Times New Roman" w:cs="Times New Roman"/>
                <w:b/>
                <w:bCs/>
                <w:color w:val="FF0000"/>
                <w:sz w:val="18"/>
                <w:szCs w:val="18"/>
                <w:lang w:eastAsia="en-US"/>
              </w:rPr>
            </w:pPr>
            <w:r w:rsidRPr="00EA38CE">
              <w:rPr>
                <w:b/>
                <w:bCs/>
                <w:color w:val="000000"/>
                <w:sz w:val="18"/>
                <w:szCs w:val="18"/>
              </w:rPr>
              <w:t>-2,6</w:t>
            </w:r>
          </w:p>
        </w:tc>
        <w:tc>
          <w:tcPr>
            <w:tcW w:w="936" w:type="dxa"/>
            <w:tcBorders>
              <w:top w:val="single" w:sz="4" w:space="0" w:color="auto"/>
              <w:left w:val="nil"/>
              <w:bottom w:val="single" w:sz="4" w:space="0" w:color="auto"/>
              <w:right w:val="double" w:sz="4" w:space="0" w:color="auto"/>
            </w:tcBorders>
            <w:shd w:val="clear" w:color="auto" w:fill="auto"/>
            <w:vAlign w:val="center"/>
          </w:tcPr>
          <w:p w14:paraId="4EF5424B" w14:textId="77777777" w:rsidR="0087114C" w:rsidRPr="00EA38CE" w:rsidRDefault="0087114C" w:rsidP="002C61B1">
            <w:pPr>
              <w:spacing w:after="0"/>
              <w:ind w:firstLine="360"/>
              <w:jc w:val="right"/>
              <w:rPr>
                <w:rFonts w:eastAsia="Times New Roman" w:cs="Times New Roman"/>
                <w:b/>
                <w:bCs/>
                <w:sz w:val="18"/>
                <w:szCs w:val="18"/>
                <w:lang w:eastAsia="en-US"/>
              </w:rPr>
            </w:pPr>
            <w:r w:rsidRPr="00EA38CE">
              <w:rPr>
                <w:b/>
                <w:bCs/>
                <w:sz w:val="18"/>
                <w:szCs w:val="18"/>
              </w:rPr>
              <w:t>-2,9</w:t>
            </w:r>
          </w:p>
        </w:tc>
        <w:tc>
          <w:tcPr>
            <w:tcW w:w="936" w:type="dxa"/>
            <w:tcBorders>
              <w:top w:val="single" w:sz="4" w:space="0" w:color="auto"/>
              <w:left w:val="double" w:sz="4" w:space="0" w:color="auto"/>
              <w:bottom w:val="single" w:sz="4" w:space="0" w:color="auto"/>
              <w:right w:val="single" w:sz="4" w:space="0" w:color="auto"/>
            </w:tcBorders>
            <w:shd w:val="clear" w:color="auto" w:fill="auto"/>
          </w:tcPr>
          <w:p w14:paraId="31FD07DF" w14:textId="77777777" w:rsidR="0087114C" w:rsidRPr="006F5D6F" w:rsidRDefault="0087114C" w:rsidP="002C61B1">
            <w:pPr>
              <w:spacing w:after="0"/>
              <w:ind w:firstLine="360"/>
              <w:jc w:val="right"/>
              <w:rPr>
                <w:b/>
                <w:bCs/>
                <w:color w:val="000000"/>
                <w:sz w:val="18"/>
                <w:szCs w:val="18"/>
              </w:rPr>
            </w:pPr>
            <w:r w:rsidRPr="006F5D6F">
              <w:rPr>
                <w:b/>
                <w:bCs/>
                <w:color w:val="000000"/>
                <w:sz w:val="18"/>
                <w:szCs w:val="18"/>
              </w:rPr>
              <w:t>-2</w:t>
            </w:r>
            <w:r>
              <w:rPr>
                <w:b/>
                <w:bCs/>
                <w:color w:val="000000"/>
                <w:sz w:val="18"/>
                <w:szCs w:val="18"/>
              </w:rPr>
              <w:t>,</w:t>
            </w:r>
            <w:r w:rsidRPr="006F5D6F">
              <w:rPr>
                <w:b/>
                <w:bCs/>
                <w:color w:val="000000"/>
                <w:sz w:val="18"/>
                <w:szCs w:val="18"/>
              </w:rPr>
              <w:t>8</w:t>
            </w:r>
          </w:p>
        </w:tc>
        <w:tc>
          <w:tcPr>
            <w:tcW w:w="948" w:type="dxa"/>
            <w:tcBorders>
              <w:top w:val="single" w:sz="4" w:space="0" w:color="auto"/>
              <w:left w:val="nil"/>
              <w:bottom w:val="single" w:sz="4" w:space="0" w:color="auto"/>
              <w:right w:val="double" w:sz="4" w:space="0" w:color="auto"/>
            </w:tcBorders>
            <w:shd w:val="clear" w:color="auto" w:fill="auto"/>
            <w:noWrap/>
          </w:tcPr>
          <w:p w14:paraId="5323BA92" w14:textId="77777777" w:rsidR="0087114C" w:rsidRPr="006F5D6F" w:rsidRDefault="0087114C" w:rsidP="002C61B1">
            <w:pPr>
              <w:spacing w:after="0"/>
              <w:ind w:firstLine="360"/>
              <w:jc w:val="right"/>
              <w:rPr>
                <w:b/>
                <w:bCs/>
                <w:color w:val="000000"/>
                <w:sz w:val="18"/>
                <w:szCs w:val="18"/>
              </w:rPr>
            </w:pPr>
            <w:r w:rsidRPr="006F5D6F">
              <w:rPr>
                <w:b/>
                <w:bCs/>
                <w:color w:val="000000"/>
                <w:sz w:val="18"/>
                <w:szCs w:val="18"/>
              </w:rPr>
              <w:t>-2</w:t>
            </w:r>
            <w:r>
              <w:rPr>
                <w:b/>
                <w:bCs/>
                <w:color w:val="000000"/>
                <w:sz w:val="18"/>
                <w:szCs w:val="18"/>
              </w:rPr>
              <w:t>,</w:t>
            </w:r>
            <w:r w:rsidRPr="006F5D6F">
              <w:rPr>
                <w:b/>
                <w:bCs/>
                <w:color w:val="000000"/>
                <w:sz w:val="18"/>
                <w:szCs w:val="18"/>
              </w:rPr>
              <w:t>9</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1CB95499" w14:textId="77777777" w:rsidR="0087114C" w:rsidRPr="00F313AF" w:rsidRDefault="0087114C" w:rsidP="002C61B1">
            <w:pPr>
              <w:spacing w:after="0"/>
              <w:ind w:firstLine="360"/>
              <w:jc w:val="right"/>
              <w:rPr>
                <w:rFonts w:eastAsia="Times New Roman" w:cs="Times New Roman"/>
                <w:b/>
                <w:bCs/>
                <w:sz w:val="18"/>
                <w:szCs w:val="18"/>
                <w:lang w:eastAsia="en-US"/>
              </w:rPr>
            </w:pPr>
            <w:r w:rsidRPr="00F313AF">
              <w:rPr>
                <w:b/>
                <w:bCs/>
                <w:sz w:val="18"/>
                <w:szCs w:val="18"/>
              </w:rPr>
              <w:t>-0,2</w:t>
            </w:r>
          </w:p>
        </w:tc>
        <w:tc>
          <w:tcPr>
            <w:tcW w:w="936" w:type="dxa"/>
            <w:tcBorders>
              <w:top w:val="single" w:sz="4" w:space="0" w:color="auto"/>
              <w:left w:val="nil"/>
              <w:bottom w:val="single" w:sz="4" w:space="0" w:color="auto"/>
              <w:right w:val="single" w:sz="4" w:space="0" w:color="auto"/>
            </w:tcBorders>
            <w:shd w:val="clear" w:color="auto" w:fill="auto"/>
            <w:noWrap/>
            <w:vAlign w:val="center"/>
          </w:tcPr>
          <w:p w14:paraId="0CEF3818" w14:textId="77777777" w:rsidR="0087114C" w:rsidRPr="00EA38CE" w:rsidRDefault="0087114C" w:rsidP="002C61B1">
            <w:pPr>
              <w:spacing w:after="0"/>
              <w:ind w:firstLine="360"/>
              <w:jc w:val="right"/>
              <w:rPr>
                <w:rFonts w:eastAsia="Times New Roman" w:cs="Times New Roman"/>
                <w:b/>
                <w:bCs/>
                <w:sz w:val="18"/>
                <w:szCs w:val="18"/>
                <w:highlight w:val="yellow"/>
                <w:lang w:eastAsia="en-US"/>
              </w:rPr>
            </w:pPr>
            <w:r w:rsidRPr="00F313AF">
              <w:rPr>
                <w:b/>
                <w:bCs/>
                <w:sz w:val="18"/>
                <w:szCs w:val="18"/>
              </w:rPr>
              <w:t>0,0</w:t>
            </w:r>
          </w:p>
        </w:tc>
      </w:tr>
      <w:tr w:rsidR="0087114C" w:rsidRPr="00A54B9F" w14:paraId="517F0D1F" w14:textId="77777777" w:rsidTr="002C61B1">
        <w:trPr>
          <w:trHeight w:val="64"/>
          <w:jc w:val="center"/>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2C8E1" w14:textId="77777777" w:rsidR="0087114C" w:rsidRPr="00C503C7" w:rsidRDefault="0087114C" w:rsidP="002C61B1">
            <w:pPr>
              <w:spacing w:after="0"/>
              <w:ind w:firstLine="0"/>
              <w:rPr>
                <w:rFonts w:eastAsia="Times New Roman" w:cs="Times New Roman"/>
                <w:b/>
                <w:sz w:val="18"/>
                <w:szCs w:val="18"/>
              </w:rPr>
            </w:pPr>
            <w:r w:rsidRPr="00C503C7">
              <w:rPr>
                <w:rFonts w:eastAsia="Times New Roman" w:cs="Times New Roman"/>
                <w:b/>
                <w:sz w:val="18"/>
                <w:szCs w:val="18"/>
              </w:rPr>
              <w:t>Ieņēmumi</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70E14065" w14:textId="77777777" w:rsidR="0087114C" w:rsidRPr="00EA38CE" w:rsidRDefault="0087114C" w:rsidP="002C61B1">
            <w:pPr>
              <w:spacing w:after="0"/>
              <w:ind w:firstLine="360"/>
              <w:jc w:val="right"/>
              <w:rPr>
                <w:rFonts w:eastAsia="Times New Roman" w:cs="Times New Roman"/>
                <w:b/>
                <w:bCs/>
                <w:color w:val="FF0000"/>
                <w:sz w:val="18"/>
                <w:szCs w:val="18"/>
                <w:lang w:eastAsia="en-US"/>
              </w:rPr>
            </w:pPr>
            <w:r w:rsidRPr="00EA38CE">
              <w:rPr>
                <w:rFonts w:eastAsia="Times New Roman" w:cs="Times New Roman"/>
                <w:b/>
                <w:bCs/>
                <w:sz w:val="18"/>
                <w:szCs w:val="18"/>
                <w:lang w:eastAsia="en-US"/>
              </w:rPr>
              <w:t>42,1</w:t>
            </w:r>
          </w:p>
        </w:tc>
        <w:tc>
          <w:tcPr>
            <w:tcW w:w="936" w:type="dxa"/>
            <w:tcBorders>
              <w:top w:val="nil"/>
              <w:left w:val="nil"/>
              <w:bottom w:val="single" w:sz="4" w:space="0" w:color="auto"/>
              <w:right w:val="double" w:sz="4" w:space="0" w:color="auto"/>
            </w:tcBorders>
            <w:shd w:val="clear" w:color="auto" w:fill="auto"/>
            <w:vAlign w:val="center"/>
          </w:tcPr>
          <w:p w14:paraId="0C7048AC" w14:textId="77777777" w:rsidR="0087114C" w:rsidRPr="00EA38CE" w:rsidRDefault="0087114C" w:rsidP="002C61B1">
            <w:pPr>
              <w:spacing w:after="0"/>
              <w:ind w:firstLine="360"/>
              <w:jc w:val="right"/>
              <w:rPr>
                <w:rFonts w:eastAsia="Times New Roman" w:cs="Times New Roman"/>
                <w:b/>
                <w:bCs/>
                <w:sz w:val="18"/>
                <w:szCs w:val="18"/>
                <w:lang w:eastAsia="en-US"/>
              </w:rPr>
            </w:pPr>
            <w:r w:rsidRPr="00EA38CE">
              <w:rPr>
                <w:rFonts w:eastAsia="Times New Roman" w:cs="Times New Roman"/>
                <w:b/>
                <w:bCs/>
                <w:sz w:val="18"/>
                <w:szCs w:val="18"/>
                <w:lang w:eastAsia="en-US"/>
              </w:rPr>
              <w:t>41,5</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4AA0AA34" w14:textId="77777777" w:rsidR="0087114C" w:rsidRPr="00FD539E" w:rsidRDefault="0087114C" w:rsidP="002C61B1">
            <w:pPr>
              <w:spacing w:after="0"/>
              <w:ind w:firstLine="360"/>
              <w:jc w:val="right"/>
              <w:rPr>
                <w:rFonts w:eastAsia="Times New Roman" w:cs="Times New Roman"/>
                <w:b/>
                <w:bCs/>
                <w:sz w:val="18"/>
                <w:szCs w:val="18"/>
                <w:lang w:eastAsia="en-US"/>
              </w:rPr>
            </w:pPr>
            <w:r w:rsidRPr="00FD539E">
              <w:rPr>
                <w:rFonts w:eastAsia="Times New Roman" w:cs="Times New Roman"/>
                <w:b/>
                <w:bCs/>
                <w:sz w:val="18"/>
                <w:szCs w:val="18"/>
                <w:lang w:eastAsia="en-US"/>
              </w:rPr>
              <w:t>40,4</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10AE5DD1" w14:textId="77777777" w:rsidR="0087114C" w:rsidRPr="00FD539E" w:rsidRDefault="0087114C" w:rsidP="002C61B1">
            <w:pPr>
              <w:spacing w:after="0"/>
              <w:ind w:firstLine="360"/>
              <w:jc w:val="right"/>
              <w:rPr>
                <w:rFonts w:eastAsia="Times New Roman" w:cs="Times New Roman"/>
                <w:b/>
                <w:bCs/>
                <w:sz w:val="18"/>
                <w:szCs w:val="18"/>
                <w:lang w:eastAsia="en-US"/>
              </w:rPr>
            </w:pPr>
            <w:r w:rsidRPr="00FD539E">
              <w:rPr>
                <w:rFonts w:eastAsia="Times New Roman" w:cs="Times New Roman"/>
                <w:b/>
                <w:bCs/>
                <w:sz w:val="18"/>
                <w:szCs w:val="18"/>
                <w:lang w:eastAsia="en-US"/>
              </w:rPr>
              <w:t>41,0</w:t>
            </w:r>
          </w:p>
        </w:tc>
        <w:tc>
          <w:tcPr>
            <w:tcW w:w="936" w:type="dxa"/>
            <w:tcBorders>
              <w:top w:val="nil"/>
              <w:left w:val="double" w:sz="4" w:space="0" w:color="auto"/>
              <w:bottom w:val="single" w:sz="4" w:space="0" w:color="auto"/>
              <w:right w:val="single" w:sz="4" w:space="0" w:color="auto"/>
            </w:tcBorders>
            <w:shd w:val="clear" w:color="auto" w:fill="auto"/>
            <w:vAlign w:val="center"/>
          </w:tcPr>
          <w:p w14:paraId="0C51D500" w14:textId="77777777" w:rsidR="0087114C" w:rsidRPr="00F313AF" w:rsidRDefault="0087114C" w:rsidP="002C61B1">
            <w:pPr>
              <w:spacing w:after="0"/>
              <w:ind w:firstLine="360"/>
              <w:jc w:val="right"/>
              <w:rPr>
                <w:rFonts w:eastAsia="Times New Roman" w:cs="Times New Roman"/>
                <w:b/>
                <w:bCs/>
                <w:sz w:val="18"/>
                <w:szCs w:val="18"/>
                <w:lang w:eastAsia="en-US"/>
              </w:rPr>
            </w:pPr>
            <w:r w:rsidRPr="00F313AF">
              <w:rPr>
                <w:b/>
                <w:bCs/>
                <w:sz w:val="18"/>
                <w:szCs w:val="18"/>
              </w:rPr>
              <w:t>-1,7</w:t>
            </w:r>
          </w:p>
        </w:tc>
        <w:tc>
          <w:tcPr>
            <w:tcW w:w="936" w:type="dxa"/>
            <w:tcBorders>
              <w:top w:val="nil"/>
              <w:left w:val="nil"/>
              <w:bottom w:val="single" w:sz="4" w:space="0" w:color="auto"/>
              <w:right w:val="single" w:sz="4" w:space="0" w:color="auto"/>
            </w:tcBorders>
            <w:shd w:val="clear" w:color="auto" w:fill="auto"/>
            <w:noWrap/>
            <w:vAlign w:val="center"/>
          </w:tcPr>
          <w:p w14:paraId="3A650BB6" w14:textId="77777777" w:rsidR="0087114C" w:rsidRPr="00F313AF" w:rsidRDefault="0087114C" w:rsidP="002C61B1">
            <w:pPr>
              <w:spacing w:after="0"/>
              <w:ind w:firstLine="360"/>
              <w:jc w:val="right"/>
              <w:rPr>
                <w:rFonts w:eastAsia="Times New Roman" w:cs="Times New Roman"/>
                <w:b/>
                <w:bCs/>
                <w:sz w:val="18"/>
                <w:szCs w:val="18"/>
                <w:lang w:eastAsia="en-US"/>
              </w:rPr>
            </w:pPr>
            <w:r w:rsidRPr="00F313AF">
              <w:rPr>
                <w:b/>
                <w:bCs/>
                <w:sz w:val="18"/>
                <w:szCs w:val="18"/>
              </w:rPr>
              <w:t>-0,5</w:t>
            </w:r>
          </w:p>
        </w:tc>
      </w:tr>
      <w:tr w:rsidR="0087114C" w:rsidRPr="00A54B9F" w14:paraId="38EB50A0"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2274D75" w14:textId="77777777" w:rsidR="0087114C" w:rsidRPr="00C503C7" w:rsidRDefault="0087114C" w:rsidP="002C61B1">
            <w:pPr>
              <w:spacing w:after="0"/>
              <w:ind w:firstLine="360"/>
              <w:rPr>
                <w:rFonts w:eastAsia="Times New Roman" w:cs="Times New Roman"/>
                <w:sz w:val="18"/>
                <w:szCs w:val="18"/>
              </w:rPr>
            </w:pPr>
            <w:r w:rsidRPr="00C503C7">
              <w:rPr>
                <w:rFonts w:eastAsia="Times New Roman" w:cs="Times New Roman"/>
                <w:sz w:val="18"/>
                <w:szCs w:val="18"/>
              </w:rPr>
              <w:t>Nodokļu ieņēmumi</w:t>
            </w:r>
            <w:r w:rsidRPr="00C503C7">
              <w:rPr>
                <w:rFonts w:eastAsia="Times New Roman" w:cs="Times New Roman"/>
                <w:sz w:val="18"/>
                <w:szCs w:val="18"/>
                <w:vertAlign w:val="superscript"/>
              </w:rPr>
              <w:footnoteReference w:id="29"/>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08D34A43"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rFonts w:eastAsia="Times New Roman" w:cs="Times New Roman"/>
                <w:sz w:val="18"/>
                <w:szCs w:val="18"/>
                <w:lang w:eastAsia="en-US"/>
              </w:rPr>
              <w:t>34,2</w:t>
            </w:r>
          </w:p>
        </w:tc>
        <w:tc>
          <w:tcPr>
            <w:tcW w:w="936" w:type="dxa"/>
            <w:tcBorders>
              <w:top w:val="nil"/>
              <w:left w:val="nil"/>
              <w:bottom w:val="single" w:sz="4" w:space="0" w:color="auto"/>
              <w:right w:val="double" w:sz="4" w:space="0" w:color="auto"/>
            </w:tcBorders>
            <w:shd w:val="clear" w:color="auto" w:fill="auto"/>
            <w:vAlign w:val="center"/>
          </w:tcPr>
          <w:p w14:paraId="2CD4AE21"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sz w:val="18"/>
                <w:szCs w:val="18"/>
              </w:rPr>
              <w:t>34,2</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7628EDE5" w14:textId="77777777" w:rsidR="0087114C" w:rsidRPr="00000C55" w:rsidRDefault="0087114C" w:rsidP="002C61B1">
            <w:pPr>
              <w:spacing w:after="0"/>
              <w:ind w:firstLine="360"/>
              <w:jc w:val="right"/>
              <w:rPr>
                <w:rFonts w:eastAsia="Times New Roman" w:cs="Times New Roman"/>
                <w:sz w:val="18"/>
                <w:szCs w:val="18"/>
                <w:lang w:eastAsia="en-US"/>
              </w:rPr>
            </w:pPr>
            <w:r w:rsidRPr="00000C55">
              <w:rPr>
                <w:rFonts w:eastAsia="Times New Roman" w:cs="Times New Roman"/>
                <w:sz w:val="18"/>
                <w:szCs w:val="18"/>
                <w:lang w:eastAsia="en-US"/>
              </w:rPr>
              <w:t>32,8</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1B3B5617" w14:textId="77777777" w:rsidR="0087114C" w:rsidRPr="00000C55" w:rsidRDefault="0087114C" w:rsidP="002C61B1">
            <w:pPr>
              <w:spacing w:after="0"/>
              <w:ind w:firstLine="360"/>
              <w:jc w:val="right"/>
              <w:rPr>
                <w:rFonts w:eastAsia="Times New Roman" w:cs="Times New Roman"/>
                <w:sz w:val="18"/>
                <w:szCs w:val="18"/>
                <w:lang w:eastAsia="en-US"/>
              </w:rPr>
            </w:pPr>
            <w:r w:rsidRPr="00000C55">
              <w:rPr>
                <w:rFonts w:eastAsia="Times New Roman" w:cs="Times New Roman"/>
                <w:sz w:val="18"/>
                <w:szCs w:val="18"/>
                <w:lang w:eastAsia="en-US"/>
              </w:rPr>
              <w:t>32,9</w:t>
            </w:r>
          </w:p>
        </w:tc>
        <w:tc>
          <w:tcPr>
            <w:tcW w:w="936" w:type="dxa"/>
            <w:tcBorders>
              <w:top w:val="nil"/>
              <w:left w:val="double" w:sz="4" w:space="0" w:color="auto"/>
              <w:bottom w:val="single" w:sz="4" w:space="0" w:color="auto"/>
              <w:right w:val="single" w:sz="4" w:space="0" w:color="auto"/>
            </w:tcBorders>
            <w:shd w:val="clear" w:color="auto" w:fill="auto"/>
            <w:vAlign w:val="center"/>
          </w:tcPr>
          <w:p w14:paraId="4E627969"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rFonts w:eastAsia="Times New Roman" w:cs="Times New Roman"/>
                <w:sz w:val="18"/>
                <w:szCs w:val="18"/>
                <w:lang w:eastAsia="en-US"/>
              </w:rPr>
              <w:t>-1,4</w:t>
            </w:r>
          </w:p>
        </w:tc>
        <w:tc>
          <w:tcPr>
            <w:tcW w:w="936" w:type="dxa"/>
            <w:tcBorders>
              <w:top w:val="nil"/>
              <w:left w:val="nil"/>
              <w:bottom w:val="single" w:sz="4" w:space="0" w:color="auto"/>
              <w:right w:val="single" w:sz="4" w:space="0" w:color="auto"/>
            </w:tcBorders>
            <w:shd w:val="clear" w:color="auto" w:fill="auto"/>
            <w:noWrap/>
            <w:vAlign w:val="center"/>
          </w:tcPr>
          <w:p w14:paraId="32D88ECE"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-1,1</w:t>
            </w:r>
          </w:p>
        </w:tc>
      </w:tr>
      <w:tr w:rsidR="0087114C" w:rsidRPr="00A54B9F" w14:paraId="0AFD8DF9"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3680D128" w14:textId="77777777" w:rsidR="0087114C" w:rsidRPr="00C503C7" w:rsidRDefault="0087114C" w:rsidP="002C61B1">
            <w:pPr>
              <w:spacing w:after="0"/>
              <w:ind w:firstLine="0"/>
              <w:jc w:val="center"/>
              <w:rPr>
                <w:rFonts w:eastAsia="Times New Roman" w:cs="Times New Roman"/>
                <w:i/>
                <w:iCs/>
                <w:sz w:val="18"/>
                <w:szCs w:val="18"/>
              </w:rPr>
            </w:pPr>
            <w:r w:rsidRPr="00C503C7">
              <w:rPr>
                <w:rFonts w:eastAsia="Times New Roman" w:cs="Times New Roman"/>
                <w:i/>
                <w:iCs/>
                <w:sz w:val="18"/>
                <w:szCs w:val="18"/>
              </w:rPr>
              <w:t xml:space="preserve"> Ražošanas un importa nodokļi</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06E4CCDE" w14:textId="77777777" w:rsidR="0087114C" w:rsidRPr="00EA38CE" w:rsidRDefault="0087114C" w:rsidP="002C61B1">
            <w:pPr>
              <w:spacing w:after="0"/>
              <w:ind w:firstLine="360"/>
              <w:jc w:val="right"/>
              <w:rPr>
                <w:rFonts w:eastAsia="Times New Roman" w:cs="Times New Roman"/>
                <w:i/>
                <w:iCs/>
                <w:sz w:val="18"/>
                <w:szCs w:val="18"/>
                <w:lang w:eastAsia="en-US"/>
              </w:rPr>
            </w:pPr>
            <w:r w:rsidRPr="00EA38CE">
              <w:rPr>
                <w:i/>
                <w:iCs/>
                <w:sz w:val="18"/>
                <w:szCs w:val="18"/>
              </w:rPr>
              <w:t>14,3</w:t>
            </w:r>
          </w:p>
        </w:tc>
        <w:tc>
          <w:tcPr>
            <w:tcW w:w="936" w:type="dxa"/>
            <w:tcBorders>
              <w:top w:val="nil"/>
              <w:left w:val="nil"/>
              <w:bottom w:val="single" w:sz="4" w:space="0" w:color="auto"/>
              <w:right w:val="double" w:sz="4" w:space="0" w:color="auto"/>
            </w:tcBorders>
            <w:shd w:val="clear" w:color="auto" w:fill="auto"/>
            <w:vAlign w:val="center"/>
          </w:tcPr>
          <w:p w14:paraId="12941241" w14:textId="77777777" w:rsidR="0087114C" w:rsidRPr="00EA38CE" w:rsidRDefault="0087114C" w:rsidP="002C61B1">
            <w:pPr>
              <w:spacing w:after="0"/>
              <w:ind w:firstLine="360"/>
              <w:jc w:val="right"/>
              <w:rPr>
                <w:rFonts w:eastAsia="Times New Roman" w:cs="Times New Roman"/>
                <w:i/>
                <w:iCs/>
                <w:sz w:val="18"/>
                <w:szCs w:val="18"/>
                <w:lang w:eastAsia="en-US"/>
              </w:rPr>
            </w:pPr>
            <w:r w:rsidRPr="00EA38CE">
              <w:rPr>
                <w:i/>
                <w:iCs/>
                <w:sz w:val="18"/>
                <w:szCs w:val="18"/>
              </w:rPr>
              <w:t>14,3</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558D0487" w14:textId="77777777" w:rsidR="0087114C" w:rsidRPr="00E36A6D" w:rsidRDefault="0087114C" w:rsidP="002C61B1">
            <w:pPr>
              <w:spacing w:after="0"/>
              <w:ind w:firstLine="360"/>
              <w:jc w:val="right"/>
              <w:rPr>
                <w:rFonts w:eastAsia="Times New Roman" w:cs="Times New Roman"/>
                <w:i/>
                <w:iCs/>
                <w:color w:val="FF0000"/>
                <w:sz w:val="18"/>
                <w:szCs w:val="18"/>
                <w:lang w:eastAsia="en-US"/>
              </w:rPr>
            </w:pPr>
            <w:r w:rsidRPr="00E36A6D">
              <w:rPr>
                <w:i/>
                <w:iCs/>
                <w:sz w:val="18"/>
                <w:szCs w:val="18"/>
              </w:rPr>
              <w:t>13,6</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1DF3A2BC" w14:textId="77777777" w:rsidR="0087114C" w:rsidRPr="00E36A6D" w:rsidRDefault="0087114C" w:rsidP="002C61B1">
            <w:pPr>
              <w:spacing w:after="0"/>
              <w:ind w:firstLine="360"/>
              <w:jc w:val="right"/>
              <w:rPr>
                <w:rFonts w:eastAsia="Times New Roman" w:cs="Times New Roman"/>
                <w:i/>
                <w:iCs/>
                <w:color w:val="FF0000"/>
                <w:sz w:val="18"/>
                <w:szCs w:val="18"/>
                <w:lang w:eastAsia="en-US"/>
              </w:rPr>
            </w:pPr>
            <w:r w:rsidRPr="00E36A6D">
              <w:rPr>
                <w:i/>
                <w:iCs/>
                <w:sz w:val="18"/>
                <w:szCs w:val="18"/>
              </w:rPr>
              <w:t>13,5</w:t>
            </w:r>
          </w:p>
        </w:tc>
        <w:tc>
          <w:tcPr>
            <w:tcW w:w="936" w:type="dxa"/>
            <w:tcBorders>
              <w:top w:val="nil"/>
              <w:left w:val="double" w:sz="4" w:space="0" w:color="auto"/>
              <w:bottom w:val="single" w:sz="4" w:space="0" w:color="auto"/>
              <w:right w:val="single" w:sz="4" w:space="0" w:color="auto"/>
            </w:tcBorders>
            <w:shd w:val="clear" w:color="auto" w:fill="auto"/>
            <w:vAlign w:val="center"/>
          </w:tcPr>
          <w:p w14:paraId="26B6CB28" w14:textId="77777777" w:rsidR="0087114C" w:rsidRPr="00F313AF" w:rsidRDefault="0087114C" w:rsidP="002C61B1">
            <w:pPr>
              <w:spacing w:after="0"/>
              <w:ind w:firstLine="360"/>
              <w:jc w:val="right"/>
              <w:rPr>
                <w:rFonts w:eastAsia="Times New Roman" w:cs="Times New Roman"/>
                <w:i/>
                <w:iCs/>
                <w:sz w:val="18"/>
                <w:szCs w:val="18"/>
                <w:lang w:eastAsia="en-US"/>
              </w:rPr>
            </w:pPr>
            <w:r w:rsidRPr="00F313AF">
              <w:rPr>
                <w:rFonts w:eastAsia="Times New Roman" w:cs="Times New Roman"/>
                <w:i/>
                <w:iCs/>
                <w:sz w:val="18"/>
                <w:szCs w:val="18"/>
                <w:lang w:eastAsia="en-US"/>
              </w:rPr>
              <w:t>-0,7</w:t>
            </w:r>
          </w:p>
        </w:tc>
        <w:tc>
          <w:tcPr>
            <w:tcW w:w="936" w:type="dxa"/>
            <w:tcBorders>
              <w:top w:val="nil"/>
              <w:left w:val="nil"/>
              <w:bottom w:val="single" w:sz="4" w:space="0" w:color="auto"/>
              <w:right w:val="single" w:sz="4" w:space="0" w:color="auto"/>
            </w:tcBorders>
            <w:shd w:val="clear" w:color="auto" w:fill="auto"/>
            <w:noWrap/>
            <w:vAlign w:val="center"/>
          </w:tcPr>
          <w:p w14:paraId="4D9C9499" w14:textId="77777777" w:rsidR="0087114C" w:rsidRPr="00F313AF" w:rsidRDefault="0087114C" w:rsidP="002C61B1">
            <w:pPr>
              <w:spacing w:after="0"/>
              <w:ind w:firstLine="360"/>
              <w:jc w:val="right"/>
              <w:rPr>
                <w:rFonts w:eastAsia="Times New Roman" w:cs="Times New Roman"/>
                <w:i/>
                <w:iCs/>
                <w:sz w:val="18"/>
                <w:szCs w:val="18"/>
                <w:lang w:eastAsia="en-US"/>
              </w:rPr>
            </w:pPr>
            <w:r w:rsidRPr="00F313AF">
              <w:rPr>
                <w:i/>
                <w:iCs/>
                <w:sz w:val="18"/>
                <w:szCs w:val="18"/>
              </w:rPr>
              <w:t>-0,8</w:t>
            </w:r>
          </w:p>
        </w:tc>
      </w:tr>
      <w:tr w:rsidR="0087114C" w:rsidRPr="00A54B9F" w14:paraId="1B46C737"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3C3C3B82" w14:textId="77777777" w:rsidR="0087114C" w:rsidRPr="00C503C7" w:rsidRDefault="0087114C" w:rsidP="002C61B1">
            <w:pPr>
              <w:spacing w:after="0"/>
              <w:ind w:firstLine="0"/>
              <w:jc w:val="right"/>
              <w:rPr>
                <w:rFonts w:eastAsia="Times New Roman" w:cs="Times New Roman"/>
                <w:i/>
                <w:iCs/>
                <w:sz w:val="18"/>
                <w:szCs w:val="18"/>
              </w:rPr>
            </w:pPr>
            <w:r w:rsidRPr="00C503C7">
              <w:rPr>
                <w:rFonts w:eastAsia="Times New Roman" w:cs="Times New Roman"/>
                <w:i/>
                <w:iCs/>
                <w:sz w:val="18"/>
                <w:szCs w:val="18"/>
                <w:lang w:eastAsia="en-US"/>
              </w:rPr>
              <w:t xml:space="preserve"> Ienākuma un mantas kārtējie nodokļi</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6DC3D0F3" w14:textId="77777777" w:rsidR="0087114C" w:rsidRPr="00EA38CE" w:rsidRDefault="0087114C" w:rsidP="002C61B1">
            <w:pPr>
              <w:spacing w:after="0"/>
              <w:ind w:firstLine="360"/>
              <w:jc w:val="right"/>
              <w:rPr>
                <w:rFonts w:eastAsia="Times New Roman" w:cs="Times New Roman"/>
                <w:i/>
                <w:iCs/>
                <w:sz w:val="18"/>
                <w:szCs w:val="18"/>
                <w:lang w:eastAsia="en-US"/>
              </w:rPr>
            </w:pPr>
            <w:r w:rsidRPr="00EA38CE">
              <w:rPr>
                <w:rFonts w:eastAsia="Times New Roman" w:cs="Times New Roman"/>
                <w:i/>
                <w:iCs/>
                <w:sz w:val="18"/>
                <w:szCs w:val="18"/>
                <w:lang w:eastAsia="en-US"/>
              </w:rPr>
              <w:t>8,6</w:t>
            </w:r>
          </w:p>
        </w:tc>
        <w:tc>
          <w:tcPr>
            <w:tcW w:w="936" w:type="dxa"/>
            <w:tcBorders>
              <w:top w:val="nil"/>
              <w:left w:val="nil"/>
              <w:bottom w:val="single" w:sz="4" w:space="0" w:color="auto"/>
              <w:right w:val="double" w:sz="4" w:space="0" w:color="auto"/>
            </w:tcBorders>
            <w:shd w:val="clear" w:color="auto" w:fill="auto"/>
            <w:vAlign w:val="center"/>
          </w:tcPr>
          <w:p w14:paraId="0C33FB9B" w14:textId="77777777" w:rsidR="0087114C" w:rsidRPr="00EA38CE" w:rsidRDefault="0087114C" w:rsidP="002C61B1">
            <w:pPr>
              <w:spacing w:after="0"/>
              <w:ind w:firstLine="360"/>
              <w:jc w:val="right"/>
              <w:rPr>
                <w:rFonts w:eastAsia="Times New Roman" w:cs="Times New Roman"/>
                <w:i/>
                <w:iCs/>
                <w:sz w:val="18"/>
                <w:szCs w:val="18"/>
                <w:lang w:eastAsia="en-US"/>
              </w:rPr>
            </w:pPr>
            <w:r w:rsidRPr="00EA38CE">
              <w:rPr>
                <w:rFonts w:eastAsia="Times New Roman" w:cs="Times New Roman"/>
                <w:i/>
                <w:iCs/>
                <w:sz w:val="18"/>
                <w:szCs w:val="18"/>
                <w:lang w:eastAsia="en-US"/>
              </w:rPr>
              <w:t>8,2</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41483091" w14:textId="77777777" w:rsidR="0087114C" w:rsidRPr="00E36A6D" w:rsidRDefault="0087114C" w:rsidP="002C61B1">
            <w:pPr>
              <w:spacing w:after="0"/>
              <w:ind w:firstLine="360"/>
              <w:jc w:val="right"/>
              <w:rPr>
                <w:rFonts w:eastAsia="Times New Roman" w:cs="Times New Roman"/>
                <w:i/>
                <w:iCs/>
                <w:color w:val="FF0000"/>
                <w:sz w:val="18"/>
                <w:szCs w:val="18"/>
                <w:lang w:eastAsia="en-US"/>
              </w:rPr>
            </w:pPr>
            <w:r w:rsidRPr="00E36A6D">
              <w:rPr>
                <w:i/>
                <w:iCs/>
                <w:sz w:val="18"/>
                <w:szCs w:val="18"/>
              </w:rPr>
              <w:t>8,2</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097BFA8E" w14:textId="77777777" w:rsidR="0087114C" w:rsidRPr="00E36A6D" w:rsidRDefault="0087114C" w:rsidP="002C61B1">
            <w:pPr>
              <w:spacing w:after="0"/>
              <w:ind w:firstLine="360"/>
              <w:jc w:val="right"/>
              <w:rPr>
                <w:rFonts w:eastAsia="Times New Roman" w:cs="Times New Roman"/>
                <w:i/>
                <w:iCs/>
                <w:color w:val="FF0000"/>
                <w:sz w:val="18"/>
                <w:szCs w:val="18"/>
                <w:lang w:eastAsia="en-US"/>
              </w:rPr>
            </w:pPr>
            <w:r w:rsidRPr="00E36A6D">
              <w:rPr>
                <w:i/>
                <w:iCs/>
                <w:sz w:val="18"/>
                <w:szCs w:val="18"/>
              </w:rPr>
              <w:t>8,2</w:t>
            </w:r>
          </w:p>
        </w:tc>
        <w:tc>
          <w:tcPr>
            <w:tcW w:w="936" w:type="dxa"/>
            <w:tcBorders>
              <w:top w:val="nil"/>
              <w:left w:val="double" w:sz="4" w:space="0" w:color="auto"/>
              <w:bottom w:val="single" w:sz="4" w:space="0" w:color="auto"/>
              <w:right w:val="single" w:sz="4" w:space="0" w:color="auto"/>
            </w:tcBorders>
            <w:shd w:val="clear" w:color="auto" w:fill="auto"/>
            <w:vAlign w:val="center"/>
          </w:tcPr>
          <w:p w14:paraId="7447BED3" w14:textId="77777777" w:rsidR="0087114C" w:rsidRPr="00F313AF" w:rsidRDefault="0087114C" w:rsidP="002C61B1">
            <w:pPr>
              <w:spacing w:after="0"/>
              <w:ind w:firstLine="360"/>
              <w:jc w:val="right"/>
              <w:rPr>
                <w:rFonts w:eastAsia="Times New Roman" w:cs="Times New Roman"/>
                <w:i/>
                <w:iCs/>
                <w:sz w:val="18"/>
                <w:szCs w:val="18"/>
                <w:lang w:eastAsia="en-US"/>
              </w:rPr>
            </w:pPr>
            <w:r w:rsidRPr="00F313AF">
              <w:rPr>
                <w:i/>
                <w:iCs/>
                <w:sz w:val="18"/>
                <w:szCs w:val="18"/>
              </w:rPr>
              <w:t>-0,4</w:t>
            </w:r>
          </w:p>
        </w:tc>
        <w:tc>
          <w:tcPr>
            <w:tcW w:w="936" w:type="dxa"/>
            <w:tcBorders>
              <w:top w:val="nil"/>
              <w:left w:val="nil"/>
              <w:bottom w:val="single" w:sz="4" w:space="0" w:color="auto"/>
              <w:right w:val="single" w:sz="4" w:space="0" w:color="auto"/>
            </w:tcBorders>
            <w:shd w:val="clear" w:color="auto" w:fill="auto"/>
            <w:noWrap/>
            <w:vAlign w:val="center"/>
          </w:tcPr>
          <w:p w14:paraId="7F70890D" w14:textId="77777777" w:rsidR="0087114C" w:rsidRPr="00F313AF" w:rsidRDefault="0087114C" w:rsidP="002C61B1">
            <w:pPr>
              <w:spacing w:after="0"/>
              <w:ind w:firstLine="360"/>
              <w:jc w:val="right"/>
              <w:rPr>
                <w:rFonts w:eastAsia="Times New Roman" w:cs="Times New Roman"/>
                <w:i/>
                <w:iCs/>
                <w:sz w:val="18"/>
                <w:szCs w:val="18"/>
                <w:lang w:eastAsia="en-US"/>
              </w:rPr>
            </w:pPr>
            <w:r w:rsidRPr="00F313AF">
              <w:rPr>
                <w:rFonts w:eastAsia="Times New Roman" w:cs="Times New Roman"/>
                <w:i/>
                <w:iCs/>
                <w:sz w:val="18"/>
                <w:szCs w:val="18"/>
                <w:lang w:eastAsia="en-US"/>
              </w:rPr>
              <w:t>0,0</w:t>
            </w:r>
          </w:p>
        </w:tc>
      </w:tr>
      <w:tr w:rsidR="0087114C" w:rsidRPr="00A54B9F" w14:paraId="1A35F3E6"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05553677" w14:textId="77777777" w:rsidR="0087114C" w:rsidRPr="00C503C7" w:rsidRDefault="0087114C" w:rsidP="002C61B1">
            <w:pPr>
              <w:spacing w:after="0"/>
              <w:ind w:firstLine="0"/>
              <w:rPr>
                <w:rFonts w:eastAsia="Times New Roman" w:cs="Times New Roman"/>
                <w:i/>
                <w:iCs/>
                <w:sz w:val="18"/>
                <w:szCs w:val="18"/>
              </w:rPr>
            </w:pPr>
            <w:r w:rsidRPr="00C503C7">
              <w:rPr>
                <w:rFonts w:eastAsia="Times New Roman" w:cs="Times New Roman"/>
                <w:i/>
                <w:iCs/>
                <w:sz w:val="18"/>
                <w:szCs w:val="18"/>
                <w:lang w:eastAsia="en-US"/>
              </w:rPr>
              <w:t xml:space="preserve">           Neto sociālās iemaksas</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31173086" w14:textId="77777777" w:rsidR="0087114C" w:rsidRPr="00EA38CE" w:rsidRDefault="0087114C" w:rsidP="002C61B1">
            <w:pPr>
              <w:spacing w:after="0"/>
              <w:ind w:firstLine="360"/>
              <w:jc w:val="right"/>
              <w:rPr>
                <w:rFonts w:eastAsia="Times New Roman" w:cs="Times New Roman"/>
                <w:i/>
                <w:iCs/>
                <w:sz w:val="18"/>
                <w:szCs w:val="18"/>
                <w:lang w:eastAsia="en-US"/>
              </w:rPr>
            </w:pPr>
            <w:r w:rsidRPr="00EA38CE">
              <w:rPr>
                <w:rFonts w:eastAsia="Times New Roman" w:cs="Times New Roman"/>
                <w:i/>
                <w:iCs/>
                <w:sz w:val="18"/>
                <w:szCs w:val="18"/>
                <w:lang w:eastAsia="en-US"/>
              </w:rPr>
              <w:t>11,2</w:t>
            </w:r>
          </w:p>
        </w:tc>
        <w:tc>
          <w:tcPr>
            <w:tcW w:w="936" w:type="dxa"/>
            <w:tcBorders>
              <w:top w:val="nil"/>
              <w:left w:val="nil"/>
              <w:bottom w:val="single" w:sz="4" w:space="0" w:color="auto"/>
              <w:right w:val="double" w:sz="4" w:space="0" w:color="auto"/>
            </w:tcBorders>
            <w:shd w:val="clear" w:color="auto" w:fill="auto"/>
            <w:vAlign w:val="center"/>
          </w:tcPr>
          <w:p w14:paraId="61AD4E7B" w14:textId="77777777" w:rsidR="0087114C" w:rsidRPr="00EA38CE" w:rsidRDefault="0087114C" w:rsidP="002C61B1">
            <w:pPr>
              <w:spacing w:after="0"/>
              <w:ind w:firstLine="360"/>
              <w:jc w:val="right"/>
              <w:rPr>
                <w:rFonts w:eastAsia="Times New Roman" w:cs="Times New Roman"/>
                <w:i/>
                <w:iCs/>
                <w:sz w:val="18"/>
                <w:szCs w:val="18"/>
                <w:lang w:eastAsia="en-US"/>
              </w:rPr>
            </w:pPr>
            <w:r w:rsidRPr="00EA38CE">
              <w:rPr>
                <w:i/>
                <w:iCs/>
                <w:sz w:val="18"/>
                <w:szCs w:val="18"/>
              </w:rPr>
              <w:t>11,5</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50A8C1AA" w14:textId="77777777" w:rsidR="0087114C" w:rsidRPr="00E36A6D" w:rsidRDefault="0087114C" w:rsidP="002C61B1">
            <w:pPr>
              <w:spacing w:after="0"/>
              <w:ind w:firstLine="360"/>
              <w:jc w:val="right"/>
              <w:rPr>
                <w:rFonts w:eastAsia="Times New Roman" w:cs="Times New Roman"/>
                <w:i/>
                <w:iCs/>
                <w:color w:val="FF0000"/>
                <w:sz w:val="18"/>
                <w:szCs w:val="18"/>
                <w:lang w:eastAsia="en-US"/>
              </w:rPr>
            </w:pPr>
            <w:r w:rsidRPr="00E36A6D">
              <w:rPr>
                <w:rFonts w:eastAsia="Times New Roman" w:cs="Times New Roman"/>
                <w:i/>
                <w:iCs/>
                <w:sz w:val="18"/>
                <w:szCs w:val="18"/>
                <w:lang w:eastAsia="en-US"/>
              </w:rPr>
              <w:t>10,8</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751A6FB2" w14:textId="77777777" w:rsidR="0087114C" w:rsidRPr="00E36A6D" w:rsidRDefault="0087114C" w:rsidP="002C61B1">
            <w:pPr>
              <w:spacing w:after="0"/>
              <w:ind w:firstLine="360"/>
              <w:jc w:val="right"/>
              <w:rPr>
                <w:rFonts w:eastAsia="Times New Roman" w:cs="Times New Roman"/>
                <w:i/>
                <w:iCs/>
                <w:sz w:val="18"/>
                <w:szCs w:val="18"/>
                <w:lang w:eastAsia="en-US"/>
              </w:rPr>
            </w:pPr>
            <w:r w:rsidRPr="00E36A6D">
              <w:rPr>
                <w:i/>
                <w:iCs/>
                <w:sz w:val="18"/>
                <w:szCs w:val="18"/>
              </w:rPr>
              <w:t>11,1</w:t>
            </w:r>
          </w:p>
        </w:tc>
        <w:tc>
          <w:tcPr>
            <w:tcW w:w="936" w:type="dxa"/>
            <w:tcBorders>
              <w:top w:val="nil"/>
              <w:left w:val="double" w:sz="4" w:space="0" w:color="auto"/>
              <w:bottom w:val="single" w:sz="4" w:space="0" w:color="auto"/>
              <w:right w:val="single" w:sz="4" w:space="0" w:color="auto"/>
            </w:tcBorders>
            <w:shd w:val="clear" w:color="auto" w:fill="auto"/>
            <w:vAlign w:val="center"/>
          </w:tcPr>
          <w:p w14:paraId="123BF0CF" w14:textId="77777777" w:rsidR="0087114C" w:rsidRPr="00F313AF" w:rsidRDefault="0087114C" w:rsidP="002C61B1">
            <w:pPr>
              <w:spacing w:after="0"/>
              <w:ind w:firstLine="360"/>
              <w:jc w:val="right"/>
              <w:rPr>
                <w:rFonts w:eastAsia="Times New Roman" w:cs="Times New Roman"/>
                <w:i/>
                <w:iCs/>
                <w:sz w:val="18"/>
                <w:szCs w:val="18"/>
                <w:lang w:eastAsia="en-US"/>
              </w:rPr>
            </w:pPr>
            <w:r w:rsidRPr="00F313AF">
              <w:rPr>
                <w:i/>
                <w:iCs/>
                <w:sz w:val="18"/>
                <w:szCs w:val="18"/>
              </w:rPr>
              <w:t>-0,4</w:t>
            </w:r>
          </w:p>
        </w:tc>
        <w:tc>
          <w:tcPr>
            <w:tcW w:w="936" w:type="dxa"/>
            <w:tcBorders>
              <w:top w:val="nil"/>
              <w:left w:val="nil"/>
              <w:bottom w:val="single" w:sz="4" w:space="0" w:color="auto"/>
              <w:right w:val="single" w:sz="4" w:space="0" w:color="auto"/>
            </w:tcBorders>
            <w:shd w:val="clear" w:color="auto" w:fill="auto"/>
            <w:noWrap/>
            <w:vAlign w:val="center"/>
          </w:tcPr>
          <w:p w14:paraId="2091F378" w14:textId="77777777" w:rsidR="0087114C" w:rsidRPr="00F313AF" w:rsidRDefault="0087114C" w:rsidP="002C61B1">
            <w:pPr>
              <w:spacing w:after="0"/>
              <w:ind w:firstLine="360"/>
              <w:jc w:val="right"/>
              <w:rPr>
                <w:rFonts w:eastAsia="Times New Roman" w:cs="Times New Roman"/>
                <w:i/>
                <w:iCs/>
                <w:sz w:val="18"/>
                <w:szCs w:val="18"/>
                <w:lang w:eastAsia="en-US"/>
              </w:rPr>
            </w:pPr>
            <w:r w:rsidRPr="00F313AF">
              <w:rPr>
                <w:i/>
                <w:iCs/>
                <w:sz w:val="18"/>
                <w:szCs w:val="18"/>
              </w:rPr>
              <w:t>-0,4</w:t>
            </w:r>
          </w:p>
        </w:tc>
      </w:tr>
      <w:tr w:rsidR="0087114C" w:rsidRPr="00A54B9F" w14:paraId="579C177F"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22DA85F7" w14:textId="77777777" w:rsidR="0087114C" w:rsidRPr="00C503C7" w:rsidRDefault="0087114C" w:rsidP="002C61B1">
            <w:pPr>
              <w:spacing w:after="0"/>
              <w:ind w:firstLine="360"/>
              <w:rPr>
                <w:rFonts w:eastAsia="Times New Roman" w:cs="Times New Roman"/>
                <w:sz w:val="18"/>
                <w:szCs w:val="18"/>
              </w:rPr>
            </w:pPr>
            <w:r w:rsidRPr="00C503C7">
              <w:rPr>
                <w:rFonts w:eastAsia="Times New Roman" w:cs="Times New Roman"/>
                <w:sz w:val="18"/>
                <w:szCs w:val="18"/>
              </w:rPr>
              <w:t>Pārējie ieņēmumi</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34520C2E" w14:textId="77777777" w:rsidR="0087114C" w:rsidRPr="00EA38CE" w:rsidRDefault="0087114C" w:rsidP="002C61B1">
            <w:pPr>
              <w:spacing w:after="0"/>
              <w:ind w:firstLine="360"/>
              <w:jc w:val="right"/>
              <w:rPr>
                <w:rFonts w:eastAsia="Times New Roman" w:cs="Times New Roman"/>
                <w:sz w:val="18"/>
                <w:szCs w:val="18"/>
                <w:lang w:eastAsia="en-US"/>
              </w:rPr>
            </w:pPr>
            <w:r>
              <w:rPr>
                <w:sz w:val="18"/>
                <w:szCs w:val="18"/>
              </w:rPr>
              <w:t>7,9</w:t>
            </w:r>
          </w:p>
        </w:tc>
        <w:tc>
          <w:tcPr>
            <w:tcW w:w="936" w:type="dxa"/>
            <w:tcBorders>
              <w:top w:val="nil"/>
              <w:left w:val="nil"/>
              <w:bottom w:val="single" w:sz="4" w:space="0" w:color="auto"/>
              <w:right w:val="double" w:sz="4" w:space="0" w:color="auto"/>
            </w:tcBorders>
            <w:shd w:val="clear" w:color="auto" w:fill="auto"/>
            <w:vAlign w:val="center"/>
          </w:tcPr>
          <w:p w14:paraId="4AAA0412"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rFonts w:eastAsia="Times New Roman" w:cs="Times New Roman"/>
                <w:sz w:val="18"/>
                <w:szCs w:val="18"/>
                <w:lang w:eastAsia="en-US"/>
              </w:rPr>
              <w:t>7,</w:t>
            </w:r>
            <w:r>
              <w:rPr>
                <w:rFonts w:eastAsia="Times New Roman" w:cs="Times New Roman"/>
                <w:sz w:val="18"/>
                <w:szCs w:val="18"/>
                <w:lang w:eastAsia="en-US"/>
              </w:rPr>
              <w:t>3</w:t>
            </w:r>
          </w:p>
        </w:tc>
        <w:tc>
          <w:tcPr>
            <w:tcW w:w="936" w:type="dxa"/>
            <w:tcBorders>
              <w:top w:val="single" w:sz="4" w:space="0" w:color="auto"/>
              <w:left w:val="double" w:sz="4" w:space="0" w:color="auto"/>
              <w:bottom w:val="single" w:sz="4" w:space="0" w:color="auto"/>
              <w:right w:val="single" w:sz="4" w:space="0" w:color="auto"/>
            </w:tcBorders>
            <w:shd w:val="clear" w:color="auto" w:fill="auto"/>
            <w:vAlign w:val="center"/>
          </w:tcPr>
          <w:p w14:paraId="776B0BB0"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rFonts w:eastAsia="Times New Roman" w:cs="Times New Roman"/>
                <w:sz w:val="18"/>
                <w:szCs w:val="18"/>
                <w:lang w:eastAsia="en-US"/>
              </w:rPr>
              <w:t>7,6</w:t>
            </w:r>
          </w:p>
        </w:tc>
        <w:tc>
          <w:tcPr>
            <w:tcW w:w="948" w:type="dxa"/>
            <w:tcBorders>
              <w:top w:val="single" w:sz="4" w:space="0" w:color="auto"/>
              <w:left w:val="nil"/>
              <w:bottom w:val="single" w:sz="4" w:space="0" w:color="auto"/>
              <w:right w:val="double" w:sz="4" w:space="0" w:color="auto"/>
            </w:tcBorders>
            <w:shd w:val="clear" w:color="auto" w:fill="auto"/>
            <w:noWrap/>
            <w:vAlign w:val="center"/>
          </w:tcPr>
          <w:p w14:paraId="60AC6761"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rFonts w:eastAsia="Times New Roman" w:cs="Times New Roman"/>
                <w:sz w:val="18"/>
                <w:szCs w:val="18"/>
                <w:lang w:eastAsia="en-US"/>
              </w:rPr>
              <w:t>8,1</w:t>
            </w:r>
          </w:p>
        </w:tc>
        <w:tc>
          <w:tcPr>
            <w:tcW w:w="936" w:type="dxa"/>
            <w:tcBorders>
              <w:top w:val="nil"/>
              <w:left w:val="double" w:sz="4" w:space="0" w:color="auto"/>
              <w:bottom w:val="single" w:sz="4" w:space="0" w:color="auto"/>
              <w:right w:val="single" w:sz="4" w:space="0" w:color="auto"/>
            </w:tcBorders>
            <w:shd w:val="clear" w:color="auto" w:fill="auto"/>
            <w:vAlign w:val="center"/>
          </w:tcPr>
          <w:p w14:paraId="5106EB99"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-0,3</w:t>
            </w:r>
          </w:p>
        </w:tc>
        <w:tc>
          <w:tcPr>
            <w:tcW w:w="936" w:type="dxa"/>
            <w:tcBorders>
              <w:top w:val="nil"/>
              <w:left w:val="nil"/>
              <w:bottom w:val="single" w:sz="4" w:space="0" w:color="auto"/>
              <w:right w:val="single" w:sz="4" w:space="0" w:color="auto"/>
            </w:tcBorders>
            <w:shd w:val="clear" w:color="auto" w:fill="auto"/>
            <w:noWrap/>
            <w:vAlign w:val="center"/>
          </w:tcPr>
          <w:p w14:paraId="118933FC"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-0,6</w:t>
            </w:r>
          </w:p>
        </w:tc>
      </w:tr>
      <w:tr w:rsidR="0087114C" w:rsidRPr="00A54B9F" w14:paraId="0E3E19AA" w14:textId="77777777" w:rsidTr="002C61B1">
        <w:trPr>
          <w:trHeight w:val="64"/>
          <w:jc w:val="center"/>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1A3E51E2" w14:textId="77777777" w:rsidR="0087114C" w:rsidRPr="00C503C7" w:rsidRDefault="0087114C" w:rsidP="002C61B1">
            <w:pPr>
              <w:spacing w:after="0"/>
              <w:ind w:firstLine="0"/>
              <w:rPr>
                <w:rFonts w:eastAsia="Times New Roman" w:cs="Times New Roman"/>
                <w:b/>
                <w:sz w:val="18"/>
                <w:szCs w:val="18"/>
              </w:rPr>
            </w:pPr>
            <w:r w:rsidRPr="00C503C7">
              <w:rPr>
                <w:rFonts w:eastAsia="Times New Roman" w:cs="Times New Roman"/>
                <w:b/>
                <w:sz w:val="18"/>
                <w:szCs w:val="18"/>
              </w:rPr>
              <w:t>Izdevumi</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63D81069" w14:textId="77777777" w:rsidR="0087114C" w:rsidRPr="00211682" w:rsidRDefault="0087114C" w:rsidP="002C61B1">
            <w:pPr>
              <w:spacing w:after="0"/>
              <w:ind w:firstLine="360"/>
              <w:jc w:val="right"/>
              <w:rPr>
                <w:rFonts w:eastAsia="Times New Roman" w:cs="Times New Roman"/>
                <w:b/>
                <w:bCs/>
                <w:color w:val="FF0000"/>
                <w:sz w:val="18"/>
                <w:szCs w:val="18"/>
                <w:lang w:eastAsia="en-US"/>
              </w:rPr>
            </w:pPr>
            <w:r w:rsidRPr="00211682">
              <w:rPr>
                <w:rFonts w:eastAsia="Times New Roman" w:cs="Times New Roman"/>
                <w:b/>
                <w:bCs/>
                <w:sz w:val="18"/>
                <w:szCs w:val="18"/>
                <w:lang w:eastAsia="en-US"/>
              </w:rPr>
              <w:t>44,7</w:t>
            </w:r>
          </w:p>
        </w:tc>
        <w:tc>
          <w:tcPr>
            <w:tcW w:w="936" w:type="dxa"/>
            <w:tcBorders>
              <w:top w:val="nil"/>
              <w:left w:val="nil"/>
              <w:bottom w:val="single" w:sz="4" w:space="0" w:color="auto"/>
              <w:right w:val="double" w:sz="4" w:space="0" w:color="auto"/>
            </w:tcBorders>
            <w:shd w:val="clear" w:color="auto" w:fill="auto"/>
            <w:vAlign w:val="center"/>
          </w:tcPr>
          <w:p w14:paraId="72FA66A8" w14:textId="77777777" w:rsidR="0087114C" w:rsidRPr="00EA38CE" w:rsidRDefault="0087114C" w:rsidP="002C61B1">
            <w:pPr>
              <w:spacing w:after="0"/>
              <w:ind w:firstLine="360"/>
              <w:jc w:val="right"/>
              <w:rPr>
                <w:rFonts w:eastAsia="Times New Roman" w:cs="Times New Roman"/>
                <w:b/>
                <w:bCs/>
                <w:sz w:val="18"/>
                <w:szCs w:val="18"/>
                <w:lang w:eastAsia="en-US"/>
              </w:rPr>
            </w:pPr>
            <w:r w:rsidRPr="00EA38CE">
              <w:rPr>
                <w:b/>
                <w:bCs/>
                <w:sz w:val="18"/>
                <w:szCs w:val="18"/>
              </w:rPr>
              <w:t>44,4</w:t>
            </w:r>
          </w:p>
        </w:tc>
        <w:tc>
          <w:tcPr>
            <w:tcW w:w="936" w:type="dxa"/>
            <w:tcBorders>
              <w:top w:val="single" w:sz="4" w:space="0" w:color="auto"/>
              <w:left w:val="double" w:sz="4" w:space="0" w:color="auto"/>
              <w:bottom w:val="single" w:sz="4" w:space="0" w:color="auto"/>
              <w:right w:val="single" w:sz="4" w:space="0" w:color="auto"/>
            </w:tcBorders>
            <w:shd w:val="clear" w:color="auto" w:fill="auto"/>
          </w:tcPr>
          <w:p w14:paraId="0B41250F" w14:textId="77777777" w:rsidR="0087114C" w:rsidRPr="00C503C7" w:rsidRDefault="0087114C" w:rsidP="002C61B1">
            <w:pPr>
              <w:spacing w:after="0"/>
              <w:ind w:firstLine="360"/>
              <w:jc w:val="right"/>
              <w:rPr>
                <w:rFonts w:eastAsia="Times New Roman" w:cs="Times New Roman"/>
                <w:b/>
                <w:bCs/>
                <w:sz w:val="18"/>
                <w:szCs w:val="18"/>
                <w:lang w:eastAsia="en-US"/>
              </w:rPr>
            </w:pPr>
            <w:r w:rsidRPr="00C503C7">
              <w:rPr>
                <w:rFonts w:eastAsia="Times New Roman" w:cs="Times New Roman"/>
                <w:b/>
                <w:bCs/>
                <w:sz w:val="18"/>
                <w:szCs w:val="18"/>
                <w:lang w:eastAsia="en-US"/>
              </w:rPr>
              <w:t>43,2</w:t>
            </w:r>
          </w:p>
        </w:tc>
        <w:tc>
          <w:tcPr>
            <w:tcW w:w="948" w:type="dxa"/>
            <w:tcBorders>
              <w:top w:val="single" w:sz="4" w:space="0" w:color="auto"/>
              <w:left w:val="nil"/>
              <w:bottom w:val="single" w:sz="4" w:space="0" w:color="auto"/>
              <w:right w:val="double" w:sz="4" w:space="0" w:color="auto"/>
            </w:tcBorders>
            <w:shd w:val="clear" w:color="auto" w:fill="auto"/>
            <w:noWrap/>
          </w:tcPr>
          <w:p w14:paraId="5D3764D3" w14:textId="77777777" w:rsidR="0087114C" w:rsidRPr="00C503C7" w:rsidRDefault="0087114C" w:rsidP="002C61B1">
            <w:pPr>
              <w:spacing w:after="0"/>
              <w:ind w:firstLine="360"/>
              <w:jc w:val="right"/>
              <w:rPr>
                <w:rFonts w:eastAsia="Times New Roman" w:cs="Times New Roman"/>
                <w:b/>
                <w:bCs/>
                <w:sz w:val="18"/>
                <w:szCs w:val="18"/>
                <w:lang w:eastAsia="en-US"/>
              </w:rPr>
            </w:pPr>
            <w:r w:rsidRPr="00C503C7">
              <w:rPr>
                <w:rFonts w:eastAsia="Times New Roman" w:cs="Times New Roman"/>
                <w:b/>
                <w:bCs/>
                <w:sz w:val="18"/>
                <w:szCs w:val="18"/>
                <w:lang w:eastAsia="en-US"/>
              </w:rPr>
              <w:t>43,9</w:t>
            </w:r>
          </w:p>
        </w:tc>
        <w:tc>
          <w:tcPr>
            <w:tcW w:w="936" w:type="dxa"/>
            <w:tcBorders>
              <w:top w:val="nil"/>
              <w:left w:val="double" w:sz="4" w:space="0" w:color="auto"/>
              <w:bottom w:val="single" w:sz="4" w:space="0" w:color="auto"/>
              <w:right w:val="single" w:sz="4" w:space="0" w:color="auto"/>
            </w:tcBorders>
            <w:shd w:val="clear" w:color="auto" w:fill="auto"/>
            <w:vAlign w:val="center"/>
          </w:tcPr>
          <w:p w14:paraId="3123CB38" w14:textId="77777777" w:rsidR="0087114C" w:rsidRPr="00F313AF" w:rsidRDefault="0087114C" w:rsidP="002C61B1">
            <w:pPr>
              <w:spacing w:after="0"/>
              <w:ind w:firstLine="360"/>
              <w:jc w:val="right"/>
              <w:rPr>
                <w:rFonts w:eastAsia="Times New Roman" w:cs="Times New Roman"/>
                <w:b/>
                <w:bCs/>
                <w:sz w:val="18"/>
                <w:szCs w:val="18"/>
                <w:lang w:eastAsia="en-US"/>
              </w:rPr>
            </w:pPr>
            <w:r w:rsidRPr="00F313AF">
              <w:rPr>
                <w:rFonts w:eastAsia="Times New Roman" w:cs="Times New Roman"/>
                <w:b/>
                <w:bCs/>
                <w:sz w:val="18"/>
                <w:szCs w:val="18"/>
                <w:lang w:eastAsia="en-US"/>
              </w:rPr>
              <w:t>-1,5</w:t>
            </w:r>
          </w:p>
        </w:tc>
        <w:tc>
          <w:tcPr>
            <w:tcW w:w="936" w:type="dxa"/>
            <w:tcBorders>
              <w:top w:val="nil"/>
              <w:left w:val="nil"/>
              <w:bottom w:val="single" w:sz="4" w:space="0" w:color="auto"/>
              <w:right w:val="single" w:sz="4" w:space="0" w:color="auto"/>
            </w:tcBorders>
            <w:shd w:val="clear" w:color="auto" w:fill="auto"/>
            <w:noWrap/>
            <w:vAlign w:val="center"/>
          </w:tcPr>
          <w:p w14:paraId="4537F1A5" w14:textId="77777777" w:rsidR="0087114C" w:rsidRPr="00F313AF" w:rsidRDefault="0087114C" w:rsidP="002C61B1">
            <w:pPr>
              <w:spacing w:after="0"/>
              <w:ind w:firstLine="360"/>
              <w:jc w:val="right"/>
              <w:rPr>
                <w:rFonts w:eastAsia="Times New Roman" w:cs="Times New Roman"/>
                <w:b/>
                <w:bCs/>
                <w:sz w:val="18"/>
                <w:szCs w:val="18"/>
                <w:lang w:eastAsia="en-US"/>
              </w:rPr>
            </w:pPr>
            <w:r w:rsidRPr="00F313AF">
              <w:rPr>
                <w:b/>
                <w:bCs/>
                <w:sz w:val="18"/>
                <w:szCs w:val="18"/>
              </w:rPr>
              <w:t>-0,5</w:t>
            </w:r>
          </w:p>
        </w:tc>
      </w:tr>
      <w:tr w:rsidR="0087114C" w:rsidRPr="00A54B9F" w14:paraId="72A16139"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14:paraId="7F6B569C" w14:textId="77777777" w:rsidR="0087114C" w:rsidRPr="00C503C7" w:rsidRDefault="0087114C" w:rsidP="002C61B1">
            <w:pPr>
              <w:spacing w:after="0"/>
              <w:ind w:firstLine="360"/>
              <w:rPr>
                <w:rFonts w:eastAsia="Times New Roman" w:cs="Times New Roman"/>
                <w:sz w:val="18"/>
                <w:szCs w:val="18"/>
              </w:rPr>
            </w:pPr>
            <w:r w:rsidRPr="00C503C7">
              <w:rPr>
                <w:rFonts w:eastAsia="Times New Roman" w:cs="Times New Roman"/>
                <w:sz w:val="18"/>
                <w:szCs w:val="18"/>
              </w:rPr>
              <w:t>Atlīdzība</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53E6A64B" w14:textId="77777777" w:rsidR="0087114C" w:rsidRPr="00211682" w:rsidRDefault="0087114C" w:rsidP="002C61B1">
            <w:pPr>
              <w:spacing w:after="0"/>
              <w:ind w:firstLine="360"/>
              <w:jc w:val="right"/>
              <w:rPr>
                <w:rFonts w:eastAsia="Times New Roman" w:cs="Times New Roman"/>
                <w:sz w:val="18"/>
                <w:szCs w:val="18"/>
                <w:lang w:eastAsia="en-US"/>
              </w:rPr>
            </w:pPr>
            <w:r w:rsidRPr="00211682">
              <w:rPr>
                <w:sz w:val="18"/>
                <w:szCs w:val="18"/>
              </w:rPr>
              <w:t>12,7</w:t>
            </w:r>
          </w:p>
        </w:tc>
        <w:tc>
          <w:tcPr>
            <w:tcW w:w="936" w:type="dxa"/>
            <w:tcBorders>
              <w:top w:val="nil"/>
              <w:left w:val="nil"/>
              <w:bottom w:val="single" w:sz="4" w:space="0" w:color="auto"/>
              <w:right w:val="double" w:sz="4" w:space="0" w:color="auto"/>
            </w:tcBorders>
            <w:shd w:val="clear" w:color="auto" w:fill="auto"/>
            <w:vAlign w:val="center"/>
          </w:tcPr>
          <w:p w14:paraId="52865C65"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sz w:val="18"/>
                <w:szCs w:val="18"/>
              </w:rPr>
              <w:t>12,3</w:t>
            </w:r>
          </w:p>
        </w:tc>
        <w:tc>
          <w:tcPr>
            <w:tcW w:w="936" w:type="dxa"/>
            <w:tcBorders>
              <w:top w:val="single" w:sz="4" w:space="0" w:color="auto"/>
              <w:left w:val="double" w:sz="4" w:space="0" w:color="auto"/>
              <w:bottom w:val="single" w:sz="4" w:space="0" w:color="auto"/>
              <w:right w:val="single" w:sz="4" w:space="0" w:color="auto"/>
            </w:tcBorders>
            <w:shd w:val="clear" w:color="auto" w:fill="auto"/>
          </w:tcPr>
          <w:p w14:paraId="07935DAB"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12,2</w:t>
            </w:r>
          </w:p>
        </w:tc>
        <w:tc>
          <w:tcPr>
            <w:tcW w:w="948" w:type="dxa"/>
            <w:tcBorders>
              <w:top w:val="single" w:sz="4" w:space="0" w:color="auto"/>
              <w:left w:val="nil"/>
              <w:bottom w:val="single" w:sz="4" w:space="0" w:color="auto"/>
              <w:right w:val="double" w:sz="4" w:space="0" w:color="auto"/>
            </w:tcBorders>
            <w:shd w:val="clear" w:color="auto" w:fill="auto"/>
            <w:noWrap/>
          </w:tcPr>
          <w:p w14:paraId="3B7D2DD5"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12,3</w:t>
            </w:r>
          </w:p>
        </w:tc>
        <w:tc>
          <w:tcPr>
            <w:tcW w:w="936" w:type="dxa"/>
            <w:tcBorders>
              <w:top w:val="nil"/>
              <w:left w:val="double" w:sz="4" w:space="0" w:color="auto"/>
              <w:bottom w:val="single" w:sz="4" w:space="0" w:color="auto"/>
              <w:right w:val="single" w:sz="4" w:space="0" w:color="auto"/>
            </w:tcBorders>
            <w:shd w:val="clear" w:color="auto" w:fill="auto"/>
            <w:vAlign w:val="center"/>
          </w:tcPr>
          <w:p w14:paraId="4C540D82"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rFonts w:eastAsia="Times New Roman" w:cs="Times New Roman"/>
                <w:sz w:val="18"/>
                <w:szCs w:val="18"/>
                <w:lang w:eastAsia="en-US"/>
              </w:rPr>
              <w:t>-0,5</w:t>
            </w:r>
          </w:p>
        </w:tc>
        <w:tc>
          <w:tcPr>
            <w:tcW w:w="936" w:type="dxa"/>
            <w:tcBorders>
              <w:top w:val="nil"/>
              <w:left w:val="nil"/>
              <w:bottom w:val="single" w:sz="4" w:space="0" w:color="auto"/>
              <w:right w:val="single" w:sz="4" w:space="0" w:color="auto"/>
            </w:tcBorders>
            <w:shd w:val="clear" w:color="auto" w:fill="auto"/>
            <w:noWrap/>
            <w:vAlign w:val="center"/>
          </w:tcPr>
          <w:p w14:paraId="4F9718DB"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0,0</w:t>
            </w:r>
          </w:p>
        </w:tc>
      </w:tr>
      <w:tr w:rsidR="0087114C" w:rsidRPr="00A54B9F" w14:paraId="592BD817"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341BB57A" w14:textId="77777777" w:rsidR="0087114C" w:rsidRPr="00C503C7" w:rsidRDefault="0087114C" w:rsidP="002C61B1">
            <w:pPr>
              <w:spacing w:after="0"/>
              <w:ind w:firstLine="360"/>
              <w:rPr>
                <w:rFonts w:eastAsia="Times New Roman" w:cs="Times New Roman"/>
                <w:sz w:val="18"/>
                <w:szCs w:val="18"/>
              </w:rPr>
            </w:pPr>
            <w:r w:rsidRPr="00C503C7">
              <w:rPr>
                <w:rFonts w:eastAsia="Times New Roman" w:cs="Times New Roman"/>
                <w:sz w:val="18"/>
                <w:szCs w:val="18"/>
              </w:rPr>
              <w:t>Starppatēriņš</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260DE735" w14:textId="77777777" w:rsidR="0087114C" w:rsidRPr="00211682" w:rsidRDefault="0087114C" w:rsidP="002C61B1">
            <w:pPr>
              <w:spacing w:after="0"/>
              <w:ind w:firstLine="360"/>
              <w:jc w:val="right"/>
              <w:rPr>
                <w:rFonts w:eastAsia="Times New Roman" w:cs="Times New Roman"/>
                <w:sz w:val="18"/>
                <w:szCs w:val="18"/>
                <w:lang w:eastAsia="en-US"/>
              </w:rPr>
            </w:pPr>
            <w:r w:rsidRPr="00211682">
              <w:rPr>
                <w:sz w:val="18"/>
                <w:szCs w:val="18"/>
              </w:rPr>
              <w:t>6,8</w:t>
            </w:r>
          </w:p>
        </w:tc>
        <w:tc>
          <w:tcPr>
            <w:tcW w:w="936" w:type="dxa"/>
            <w:tcBorders>
              <w:top w:val="nil"/>
              <w:left w:val="nil"/>
              <w:bottom w:val="single" w:sz="4" w:space="0" w:color="auto"/>
              <w:right w:val="double" w:sz="4" w:space="0" w:color="auto"/>
            </w:tcBorders>
            <w:shd w:val="clear" w:color="auto" w:fill="auto"/>
            <w:vAlign w:val="center"/>
          </w:tcPr>
          <w:p w14:paraId="7E6BA694"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sz w:val="18"/>
                <w:szCs w:val="18"/>
              </w:rPr>
              <w:t>6,7</w:t>
            </w:r>
          </w:p>
        </w:tc>
        <w:tc>
          <w:tcPr>
            <w:tcW w:w="936" w:type="dxa"/>
            <w:tcBorders>
              <w:top w:val="single" w:sz="4" w:space="0" w:color="auto"/>
              <w:left w:val="double" w:sz="4" w:space="0" w:color="auto"/>
              <w:bottom w:val="single" w:sz="4" w:space="0" w:color="auto"/>
              <w:right w:val="single" w:sz="4" w:space="0" w:color="auto"/>
            </w:tcBorders>
            <w:shd w:val="clear" w:color="auto" w:fill="auto"/>
          </w:tcPr>
          <w:p w14:paraId="02E2832A"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6,5</w:t>
            </w:r>
          </w:p>
        </w:tc>
        <w:tc>
          <w:tcPr>
            <w:tcW w:w="948" w:type="dxa"/>
            <w:tcBorders>
              <w:top w:val="single" w:sz="4" w:space="0" w:color="auto"/>
              <w:left w:val="nil"/>
              <w:bottom w:val="single" w:sz="4" w:space="0" w:color="auto"/>
              <w:right w:val="double" w:sz="4" w:space="0" w:color="auto"/>
            </w:tcBorders>
            <w:shd w:val="clear" w:color="auto" w:fill="auto"/>
            <w:noWrap/>
          </w:tcPr>
          <w:p w14:paraId="46CE9E6D"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6,8</w:t>
            </w:r>
          </w:p>
        </w:tc>
        <w:tc>
          <w:tcPr>
            <w:tcW w:w="936" w:type="dxa"/>
            <w:tcBorders>
              <w:top w:val="nil"/>
              <w:left w:val="double" w:sz="4" w:space="0" w:color="auto"/>
              <w:bottom w:val="single" w:sz="4" w:space="0" w:color="auto"/>
              <w:right w:val="single" w:sz="4" w:space="0" w:color="auto"/>
            </w:tcBorders>
            <w:shd w:val="clear" w:color="auto" w:fill="auto"/>
            <w:vAlign w:val="center"/>
          </w:tcPr>
          <w:p w14:paraId="7FA08FF7"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rFonts w:eastAsia="Times New Roman" w:cs="Times New Roman"/>
                <w:sz w:val="18"/>
                <w:szCs w:val="18"/>
                <w:lang w:eastAsia="en-US"/>
              </w:rPr>
              <w:t>-0,3</w:t>
            </w:r>
          </w:p>
        </w:tc>
        <w:tc>
          <w:tcPr>
            <w:tcW w:w="936" w:type="dxa"/>
            <w:tcBorders>
              <w:top w:val="nil"/>
              <w:left w:val="nil"/>
              <w:bottom w:val="single" w:sz="4" w:space="0" w:color="auto"/>
              <w:right w:val="single" w:sz="4" w:space="0" w:color="auto"/>
            </w:tcBorders>
            <w:shd w:val="clear" w:color="auto" w:fill="auto"/>
            <w:noWrap/>
            <w:vAlign w:val="center"/>
          </w:tcPr>
          <w:p w14:paraId="4DBFFBCD"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0,1</w:t>
            </w:r>
          </w:p>
        </w:tc>
      </w:tr>
      <w:tr w:rsidR="0087114C" w:rsidRPr="00A54B9F" w14:paraId="33AE008F"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020DC46C" w14:textId="77777777" w:rsidR="0087114C" w:rsidRPr="00C503C7" w:rsidRDefault="0087114C" w:rsidP="002C61B1">
            <w:pPr>
              <w:spacing w:after="0"/>
              <w:ind w:firstLine="360"/>
              <w:rPr>
                <w:rFonts w:eastAsia="Times New Roman" w:cs="Times New Roman"/>
                <w:sz w:val="18"/>
                <w:szCs w:val="18"/>
              </w:rPr>
            </w:pPr>
            <w:r w:rsidRPr="00C503C7">
              <w:rPr>
                <w:rFonts w:eastAsia="Times New Roman" w:cs="Times New Roman"/>
                <w:sz w:val="18"/>
                <w:szCs w:val="18"/>
              </w:rPr>
              <w:t>Sociālie maksājumi</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65352372" w14:textId="77777777" w:rsidR="0087114C" w:rsidRPr="00211682" w:rsidRDefault="0087114C" w:rsidP="002C61B1">
            <w:pPr>
              <w:spacing w:after="0"/>
              <w:ind w:firstLine="360"/>
              <w:jc w:val="right"/>
              <w:rPr>
                <w:rFonts w:eastAsia="Times New Roman" w:cs="Times New Roman"/>
                <w:sz w:val="18"/>
                <w:szCs w:val="18"/>
                <w:lang w:eastAsia="en-US"/>
              </w:rPr>
            </w:pPr>
            <w:r w:rsidRPr="00211682">
              <w:rPr>
                <w:sz w:val="18"/>
                <w:szCs w:val="18"/>
              </w:rPr>
              <w:t>14,1</w:t>
            </w:r>
          </w:p>
        </w:tc>
        <w:tc>
          <w:tcPr>
            <w:tcW w:w="936" w:type="dxa"/>
            <w:tcBorders>
              <w:top w:val="nil"/>
              <w:left w:val="nil"/>
              <w:bottom w:val="single" w:sz="4" w:space="0" w:color="auto"/>
              <w:right w:val="double" w:sz="4" w:space="0" w:color="auto"/>
            </w:tcBorders>
            <w:shd w:val="clear" w:color="auto" w:fill="auto"/>
            <w:vAlign w:val="center"/>
          </w:tcPr>
          <w:p w14:paraId="429DBFCE"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sz w:val="18"/>
                <w:szCs w:val="18"/>
              </w:rPr>
              <w:t>13,9</w:t>
            </w:r>
          </w:p>
        </w:tc>
        <w:tc>
          <w:tcPr>
            <w:tcW w:w="936" w:type="dxa"/>
            <w:tcBorders>
              <w:top w:val="single" w:sz="4" w:space="0" w:color="auto"/>
              <w:left w:val="double" w:sz="4" w:space="0" w:color="auto"/>
              <w:bottom w:val="single" w:sz="4" w:space="0" w:color="auto"/>
              <w:right w:val="single" w:sz="4" w:space="0" w:color="auto"/>
            </w:tcBorders>
            <w:shd w:val="clear" w:color="auto" w:fill="auto"/>
          </w:tcPr>
          <w:p w14:paraId="38D42830"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12,1</w:t>
            </w:r>
          </w:p>
        </w:tc>
        <w:tc>
          <w:tcPr>
            <w:tcW w:w="948" w:type="dxa"/>
            <w:tcBorders>
              <w:top w:val="single" w:sz="4" w:space="0" w:color="auto"/>
              <w:left w:val="nil"/>
              <w:bottom w:val="single" w:sz="4" w:space="0" w:color="auto"/>
              <w:right w:val="double" w:sz="4" w:space="0" w:color="auto"/>
            </w:tcBorders>
            <w:shd w:val="clear" w:color="auto" w:fill="auto"/>
            <w:noWrap/>
          </w:tcPr>
          <w:p w14:paraId="3E1697EC"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12,3</w:t>
            </w:r>
          </w:p>
        </w:tc>
        <w:tc>
          <w:tcPr>
            <w:tcW w:w="936" w:type="dxa"/>
            <w:tcBorders>
              <w:top w:val="nil"/>
              <w:left w:val="double" w:sz="4" w:space="0" w:color="auto"/>
              <w:bottom w:val="single" w:sz="4" w:space="0" w:color="auto"/>
              <w:right w:val="single" w:sz="4" w:space="0" w:color="auto"/>
            </w:tcBorders>
            <w:shd w:val="clear" w:color="auto" w:fill="auto"/>
            <w:vAlign w:val="center"/>
          </w:tcPr>
          <w:p w14:paraId="03CF1473"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-2,0</w:t>
            </w:r>
          </w:p>
        </w:tc>
        <w:tc>
          <w:tcPr>
            <w:tcW w:w="936" w:type="dxa"/>
            <w:tcBorders>
              <w:top w:val="nil"/>
              <w:left w:val="nil"/>
              <w:bottom w:val="single" w:sz="4" w:space="0" w:color="auto"/>
              <w:right w:val="single" w:sz="4" w:space="0" w:color="auto"/>
            </w:tcBorders>
            <w:shd w:val="clear" w:color="auto" w:fill="auto"/>
            <w:noWrap/>
            <w:vAlign w:val="center"/>
          </w:tcPr>
          <w:p w14:paraId="3A503FD7"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-1,6</w:t>
            </w:r>
          </w:p>
        </w:tc>
      </w:tr>
      <w:tr w:rsidR="0087114C" w:rsidRPr="00A54B9F" w14:paraId="7217C3B0"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3558458B" w14:textId="77777777" w:rsidR="0087114C" w:rsidRPr="00C503C7" w:rsidRDefault="0087114C" w:rsidP="002C61B1">
            <w:pPr>
              <w:spacing w:after="0"/>
              <w:ind w:firstLine="360"/>
              <w:rPr>
                <w:rFonts w:eastAsia="Times New Roman" w:cs="Times New Roman"/>
                <w:sz w:val="18"/>
                <w:szCs w:val="18"/>
              </w:rPr>
            </w:pPr>
            <w:r w:rsidRPr="00C503C7">
              <w:rPr>
                <w:rFonts w:eastAsia="Times New Roman" w:cs="Times New Roman"/>
                <w:sz w:val="18"/>
                <w:szCs w:val="18"/>
              </w:rPr>
              <w:t>Procentu izdevumi</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1670A5F0" w14:textId="77777777" w:rsidR="0087114C" w:rsidRPr="00211682" w:rsidRDefault="0087114C" w:rsidP="002C61B1">
            <w:pPr>
              <w:spacing w:after="0"/>
              <w:ind w:firstLine="360"/>
              <w:jc w:val="right"/>
              <w:rPr>
                <w:rFonts w:eastAsia="Times New Roman" w:cs="Times New Roman"/>
                <w:sz w:val="18"/>
                <w:szCs w:val="18"/>
                <w:lang w:eastAsia="en-US"/>
              </w:rPr>
            </w:pPr>
            <w:r w:rsidRPr="00211682">
              <w:rPr>
                <w:rFonts w:eastAsia="Times New Roman" w:cs="Times New Roman"/>
                <w:sz w:val="18"/>
                <w:szCs w:val="18"/>
                <w:lang w:eastAsia="en-US"/>
              </w:rPr>
              <w:t>1,1</w:t>
            </w:r>
          </w:p>
        </w:tc>
        <w:tc>
          <w:tcPr>
            <w:tcW w:w="936" w:type="dxa"/>
            <w:tcBorders>
              <w:top w:val="nil"/>
              <w:left w:val="nil"/>
              <w:bottom w:val="single" w:sz="4" w:space="0" w:color="auto"/>
              <w:right w:val="double" w:sz="4" w:space="0" w:color="auto"/>
            </w:tcBorders>
            <w:shd w:val="clear" w:color="auto" w:fill="auto"/>
            <w:vAlign w:val="center"/>
          </w:tcPr>
          <w:p w14:paraId="7A9AA3C1"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rFonts w:eastAsia="Times New Roman" w:cs="Times New Roman"/>
                <w:sz w:val="18"/>
                <w:szCs w:val="18"/>
                <w:lang w:eastAsia="en-US"/>
              </w:rPr>
              <w:t>1,2</w:t>
            </w:r>
          </w:p>
        </w:tc>
        <w:tc>
          <w:tcPr>
            <w:tcW w:w="936" w:type="dxa"/>
            <w:tcBorders>
              <w:top w:val="single" w:sz="4" w:space="0" w:color="auto"/>
              <w:left w:val="double" w:sz="4" w:space="0" w:color="auto"/>
              <w:bottom w:val="single" w:sz="4" w:space="0" w:color="auto"/>
              <w:right w:val="single" w:sz="4" w:space="0" w:color="auto"/>
            </w:tcBorders>
            <w:shd w:val="clear" w:color="auto" w:fill="auto"/>
          </w:tcPr>
          <w:p w14:paraId="19890C77"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1,0</w:t>
            </w:r>
          </w:p>
        </w:tc>
        <w:tc>
          <w:tcPr>
            <w:tcW w:w="948" w:type="dxa"/>
            <w:tcBorders>
              <w:top w:val="single" w:sz="4" w:space="0" w:color="auto"/>
              <w:left w:val="nil"/>
              <w:bottom w:val="single" w:sz="4" w:space="0" w:color="auto"/>
              <w:right w:val="double" w:sz="4" w:space="0" w:color="auto"/>
            </w:tcBorders>
            <w:shd w:val="clear" w:color="auto" w:fill="auto"/>
            <w:noWrap/>
          </w:tcPr>
          <w:p w14:paraId="39AFF3B1"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1,2</w:t>
            </w:r>
          </w:p>
        </w:tc>
        <w:tc>
          <w:tcPr>
            <w:tcW w:w="936" w:type="dxa"/>
            <w:tcBorders>
              <w:top w:val="nil"/>
              <w:left w:val="double" w:sz="4" w:space="0" w:color="auto"/>
              <w:bottom w:val="single" w:sz="4" w:space="0" w:color="auto"/>
              <w:right w:val="single" w:sz="4" w:space="0" w:color="auto"/>
            </w:tcBorders>
            <w:shd w:val="clear" w:color="auto" w:fill="auto"/>
            <w:vAlign w:val="center"/>
          </w:tcPr>
          <w:p w14:paraId="2E24AB90"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-0,1</w:t>
            </w:r>
          </w:p>
        </w:tc>
        <w:tc>
          <w:tcPr>
            <w:tcW w:w="936" w:type="dxa"/>
            <w:tcBorders>
              <w:top w:val="nil"/>
              <w:left w:val="nil"/>
              <w:bottom w:val="single" w:sz="4" w:space="0" w:color="auto"/>
              <w:right w:val="single" w:sz="4" w:space="0" w:color="auto"/>
            </w:tcBorders>
            <w:shd w:val="clear" w:color="auto" w:fill="auto"/>
            <w:noWrap/>
            <w:vAlign w:val="center"/>
          </w:tcPr>
          <w:p w14:paraId="4FD67A1E"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0,0</w:t>
            </w:r>
          </w:p>
        </w:tc>
      </w:tr>
      <w:tr w:rsidR="0087114C" w:rsidRPr="00A54B9F" w14:paraId="14E99866" w14:textId="77777777" w:rsidTr="002C61B1">
        <w:trPr>
          <w:trHeight w:val="70"/>
          <w:jc w:val="center"/>
        </w:trPr>
        <w:tc>
          <w:tcPr>
            <w:tcW w:w="3397" w:type="dxa"/>
            <w:tcBorders>
              <w:top w:val="nil"/>
              <w:left w:val="single" w:sz="4" w:space="0" w:color="auto"/>
              <w:bottom w:val="single" w:sz="4" w:space="0" w:color="auto"/>
              <w:right w:val="single" w:sz="4" w:space="0" w:color="auto"/>
            </w:tcBorders>
            <w:shd w:val="clear" w:color="auto" w:fill="auto"/>
            <w:noWrap/>
            <w:vAlign w:val="center"/>
          </w:tcPr>
          <w:p w14:paraId="14BB1B45" w14:textId="77777777" w:rsidR="0087114C" w:rsidRPr="00C503C7" w:rsidRDefault="0087114C" w:rsidP="002C61B1">
            <w:pPr>
              <w:spacing w:after="0"/>
              <w:ind w:firstLine="360"/>
              <w:rPr>
                <w:rFonts w:eastAsia="Times New Roman" w:cs="Times New Roman"/>
                <w:sz w:val="18"/>
                <w:szCs w:val="18"/>
              </w:rPr>
            </w:pPr>
            <w:r w:rsidRPr="00C503C7">
              <w:rPr>
                <w:rFonts w:eastAsia="Times New Roman" w:cs="Times New Roman"/>
                <w:sz w:val="18"/>
                <w:szCs w:val="18"/>
              </w:rPr>
              <w:t>Subsīdijas</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6911E1EF" w14:textId="77777777" w:rsidR="0087114C" w:rsidRPr="00211682" w:rsidRDefault="0087114C" w:rsidP="002C61B1">
            <w:pPr>
              <w:spacing w:after="0"/>
              <w:ind w:firstLine="360"/>
              <w:jc w:val="right"/>
              <w:rPr>
                <w:rFonts w:eastAsia="Times New Roman" w:cs="Times New Roman"/>
                <w:sz w:val="18"/>
                <w:szCs w:val="18"/>
                <w:lang w:eastAsia="en-US"/>
              </w:rPr>
            </w:pPr>
            <w:r w:rsidRPr="00211682">
              <w:rPr>
                <w:sz w:val="18"/>
                <w:szCs w:val="18"/>
              </w:rPr>
              <w:t>0,8</w:t>
            </w:r>
          </w:p>
        </w:tc>
        <w:tc>
          <w:tcPr>
            <w:tcW w:w="936" w:type="dxa"/>
            <w:tcBorders>
              <w:top w:val="nil"/>
              <w:left w:val="nil"/>
              <w:bottom w:val="single" w:sz="4" w:space="0" w:color="auto"/>
              <w:right w:val="double" w:sz="4" w:space="0" w:color="auto"/>
            </w:tcBorders>
            <w:shd w:val="clear" w:color="auto" w:fill="auto"/>
            <w:vAlign w:val="center"/>
          </w:tcPr>
          <w:p w14:paraId="6E156CAE"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sz w:val="18"/>
                <w:szCs w:val="18"/>
              </w:rPr>
              <w:t>0,7</w:t>
            </w:r>
          </w:p>
        </w:tc>
        <w:tc>
          <w:tcPr>
            <w:tcW w:w="936" w:type="dxa"/>
            <w:tcBorders>
              <w:top w:val="single" w:sz="4" w:space="0" w:color="auto"/>
              <w:left w:val="double" w:sz="4" w:space="0" w:color="auto"/>
              <w:bottom w:val="single" w:sz="4" w:space="0" w:color="auto"/>
              <w:right w:val="single" w:sz="4" w:space="0" w:color="auto"/>
            </w:tcBorders>
            <w:shd w:val="clear" w:color="auto" w:fill="auto"/>
          </w:tcPr>
          <w:p w14:paraId="46F74DC4"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1,2</w:t>
            </w:r>
          </w:p>
        </w:tc>
        <w:tc>
          <w:tcPr>
            <w:tcW w:w="948" w:type="dxa"/>
            <w:tcBorders>
              <w:top w:val="single" w:sz="4" w:space="0" w:color="auto"/>
              <w:left w:val="nil"/>
              <w:bottom w:val="single" w:sz="4" w:space="0" w:color="auto"/>
              <w:right w:val="double" w:sz="4" w:space="0" w:color="auto"/>
            </w:tcBorders>
            <w:shd w:val="clear" w:color="auto" w:fill="auto"/>
            <w:noWrap/>
          </w:tcPr>
          <w:p w14:paraId="186F2A1A"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1,2</w:t>
            </w:r>
          </w:p>
        </w:tc>
        <w:tc>
          <w:tcPr>
            <w:tcW w:w="936" w:type="dxa"/>
            <w:tcBorders>
              <w:top w:val="nil"/>
              <w:left w:val="double" w:sz="4" w:space="0" w:color="auto"/>
              <w:bottom w:val="single" w:sz="4" w:space="0" w:color="auto"/>
              <w:right w:val="single" w:sz="4" w:space="0" w:color="auto"/>
            </w:tcBorders>
            <w:shd w:val="clear" w:color="auto" w:fill="auto"/>
            <w:vAlign w:val="center"/>
          </w:tcPr>
          <w:p w14:paraId="7BAEEF60"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0,4</w:t>
            </w:r>
          </w:p>
        </w:tc>
        <w:tc>
          <w:tcPr>
            <w:tcW w:w="936" w:type="dxa"/>
            <w:tcBorders>
              <w:top w:val="nil"/>
              <w:left w:val="nil"/>
              <w:bottom w:val="single" w:sz="4" w:space="0" w:color="auto"/>
              <w:right w:val="single" w:sz="4" w:space="0" w:color="auto"/>
            </w:tcBorders>
            <w:shd w:val="clear" w:color="auto" w:fill="auto"/>
            <w:noWrap/>
            <w:vAlign w:val="center"/>
          </w:tcPr>
          <w:p w14:paraId="01221E1B"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0,5</w:t>
            </w:r>
          </w:p>
        </w:tc>
      </w:tr>
      <w:tr w:rsidR="0087114C" w:rsidRPr="00A54B9F" w14:paraId="188F2325" w14:textId="77777777" w:rsidTr="002C61B1">
        <w:trPr>
          <w:trHeight w:val="70"/>
          <w:jc w:val="center"/>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8496F" w14:textId="77777777" w:rsidR="0087114C" w:rsidRPr="00C503C7" w:rsidRDefault="0087114C" w:rsidP="002C61B1">
            <w:pPr>
              <w:spacing w:after="0"/>
              <w:ind w:firstLine="360"/>
              <w:jc w:val="left"/>
              <w:rPr>
                <w:rFonts w:eastAsia="Times New Roman" w:cs="Times New Roman"/>
                <w:sz w:val="18"/>
                <w:szCs w:val="18"/>
              </w:rPr>
            </w:pPr>
            <w:r w:rsidRPr="00C503C7">
              <w:rPr>
                <w:rFonts w:eastAsia="Times New Roman" w:cs="Times New Roman"/>
                <w:sz w:val="18"/>
                <w:szCs w:val="18"/>
              </w:rPr>
              <w:t>Bruto pamatkapitāla veidošana</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67761E7F" w14:textId="77777777" w:rsidR="0087114C" w:rsidRPr="00211682" w:rsidRDefault="0087114C" w:rsidP="002C61B1">
            <w:pPr>
              <w:spacing w:after="0"/>
              <w:ind w:firstLine="360"/>
              <w:jc w:val="right"/>
              <w:rPr>
                <w:rFonts w:eastAsia="Times New Roman" w:cs="Times New Roman"/>
                <w:sz w:val="18"/>
                <w:szCs w:val="18"/>
                <w:lang w:eastAsia="en-US"/>
              </w:rPr>
            </w:pPr>
            <w:r w:rsidRPr="00211682">
              <w:rPr>
                <w:rFonts w:eastAsia="Times New Roman" w:cs="Times New Roman"/>
                <w:sz w:val="18"/>
                <w:szCs w:val="18"/>
                <w:lang w:eastAsia="en-US"/>
              </w:rPr>
              <w:t>5,1</w:t>
            </w:r>
          </w:p>
        </w:tc>
        <w:tc>
          <w:tcPr>
            <w:tcW w:w="936" w:type="dxa"/>
            <w:tcBorders>
              <w:top w:val="nil"/>
              <w:left w:val="nil"/>
              <w:bottom w:val="single" w:sz="4" w:space="0" w:color="auto"/>
              <w:right w:val="double" w:sz="4" w:space="0" w:color="auto"/>
            </w:tcBorders>
            <w:shd w:val="clear" w:color="auto" w:fill="auto"/>
            <w:vAlign w:val="center"/>
          </w:tcPr>
          <w:p w14:paraId="397CD756"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rFonts w:eastAsia="Times New Roman" w:cs="Times New Roman"/>
                <w:sz w:val="18"/>
                <w:szCs w:val="18"/>
                <w:lang w:eastAsia="en-US"/>
              </w:rPr>
              <w:t>5,2</w:t>
            </w:r>
          </w:p>
        </w:tc>
        <w:tc>
          <w:tcPr>
            <w:tcW w:w="936" w:type="dxa"/>
            <w:tcBorders>
              <w:top w:val="single" w:sz="4" w:space="0" w:color="auto"/>
              <w:left w:val="double" w:sz="4" w:space="0" w:color="auto"/>
              <w:bottom w:val="single" w:sz="4" w:space="0" w:color="auto"/>
              <w:right w:val="single" w:sz="4" w:space="0" w:color="auto"/>
            </w:tcBorders>
            <w:shd w:val="clear" w:color="auto" w:fill="auto"/>
          </w:tcPr>
          <w:p w14:paraId="055DD8FC"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5,5</w:t>
            </w:r>
          </w:p>
        </w:tc>
        <w:tc>
          <w:tcPr>
            <w:tcW w:w="948" w:type="dxa"/>
            <w:tcBorders>
              <w:top w:val="single" w:sz="4" w:space="0" w:color="auto"/>
              <w:left w:val="nil"/>
              <w:bottom w:val="single" w:sz="4" w:space="0" w:color="auto"/>
              <w:right w:val="double" w:sz="4" w:space="0" w:color="auto"/>
            </w:tcBorders>
            <w:shd w:val="clear" w:color="auto" w:fill="auto"/>
            <w:noWrap/>
          </w:tcPr>
          <w:p w14:paraId="7C59EDBF"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6,1</w:t>
            </w:r>
          </w:p>
        </w:tc>
        <w:tc>
          <w:tcPr>
            <w:tcW w:w="936" w:type="dxa"/>
            <w:tcBorders>
              <w:top w:val="nil"/>
              <w:left w:val="double" w:sz="4" w:space="0" w:color="auto"/>
              <w:bottom w:val="single" w:sz="4" w:space="0" w:color="auto"/>
              <w:right w:val="single" w:sz="4" w:space="0" w:color="auto"/>
            </w:tcBorders>
            <w:shd w:val="clear" w:color="auto" w:fill="auto"/>
            <w:vAlign w:val="center"/>
          </w:tcPr>
          <w:p w14:paraId="2102AD0D"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0,4</w:t>
            </w:r>
          </w:p>
        </w:tc>
        <w:tc>
          <w:tcPr>
            <w:tcW w:w="936" w:type="dxa"/>
            <w:tcBorders>
              <w:top w:val="nil"/>
              <w:left w:val="nil"/>
              <w:bottom w:val="single" w:sz="4" w:space="0" w:color="auto"/>
              <w:right w:val="single" w:sz="4" w:space="0" w:color="auto"/>
            </w:tcBorders>
            <w:shd w:val="clear" w:color="auto" w:fill="auto"/>
            <w:noWrap/>
            <w:vAlign w:val="center"/>
          </w:tcPr>
          <w:p w14:paraId="7EB59E84"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0,9</w:t>
            </w:r>
          </w:p>
        </w:tc>
      </w:tr>
      <w:tr w:rsidR="0087114C" w:rsidRPr="00F061D0" w14:paraId="1598974D" w14:textId="77777777" w:rsidTr="002C61B1">
        <w:trPr>
          <w:trHeight w:val="70"/>
          <w:jc w:val="center"/>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3F937" w14:textId="77777777" w:rsidR="0087114C" w:rsidRPr="00C503C7" w:rsidRDefault="0087114C" w:rsidP="002C61B1">
            <w:pPr>
              <w:spacing w:after="0"/>
              <w:ind w:firstLine="360"/>
              <w:rPr>
                <w:rFonts w:eastAsia="Times New Roman" w:cs="Times New Roman"/>
                <w:sz w:val="18"/>
                <w:szCs w:val="18"/>
              </w:rPr>
            </w:pPr>
            <w:r w:rsidRPr="00C503C7">
              <w:rPr>
                <w:rFonts w:eastAsia="Times New Roman" w:cs="Times New Roman"/>
                <w:sz w:val="18"/>
                <w:szCs w:val="18"/>
              </w:rPr>
              <w:t>Pārējie izdevumi</w:t>
            </w:r>
          </w:p>
        </w:tc>
        <w:tc>
          <w:tcPr>
            <w:tcW w:w="936" w:type="dxa"/>
            <w:tcBorders>
              <w:top w:val="nil"/>
              <w:left w:val="single" w:sz="4" w:space="0" w:color="auto"/>
              <w:bottom w:val="single" w:sz="4" w:space="0" w:color="auto"/>
              <w:right w:val="single" w:sz="4" w:space="0" w:color="auto"/>
            </w:tcBorders>
            <w:shd w:val="clear" w:color="auto" w:fill="auto"/>
            <w:noWrap/>
            <w:vAlign w:val="center"/>
          </w:tcPr>
          <w:p w14:paraId="38BC845A" w14:textId="77777777" w:rsidR="0087114C" w:rsidRPr="00211682" w:rsidRDefault="0087114C" w:rsidP="002C61B1">
            <w:pPr>
              <w:spacing w:after="0"/>
              <w:ind w:firstLine="360"/>
              <w:jc w:val="right"/>
              <w:rPr>
                <w:rFonts w:eastAsia="Times New Roman" w:cs="Times New Roman"/>
                <w:sz w:val="18"/>
                <w:szCs w:val="18"/>
                <w:lang w:eastAsia="en-US"/>
              </w:rPr>
            </w:pPr>
            <w:r w:rsidRPr="00211682">
              <w:rPr>
                <w:rFonts w:eastAsia="Times New Roman" w:cs="Times New Roman"/>
                <w:sz w:val="18"/>
                <w:szCs w:val="18"/>
                <w:lang w:eastAsia="en-US"/>
              </w:rPr>
              <w:t>4,1</w:t>
            </w:r>
          </w:p>
        </w:tc>
        <w:tc>
          <w:tcPr>
            <w:tcW w:w="936" w:type="dxa"/>
            <w:tcBorders>
              <w:top w:val="nil"/>
              <w:left w:val="nil"/>
              <w:bottom w:val="single" w:sz="4" w:space="0" w:color="auto"/>
              <w:right w:val="double" w:sz="4" w:space="0" w:color="auto"/>
            </w:tcBorders>
            <w:shd w:val="clear" w:color="auto" w:fill="auto"/>
            <w:vAlign w:val="center"/>
          </w:tcPr>
          <w:p w14:paraId="332E5493" w14:textId="77777777" w:rsidR="0087114C" w:rsidRPr="00EA38CE" w:rsidRDefault="0087114C" w:rsidP="002C61B1">
            <w:pPr>
              <w:spacing w:after="0"/>
              <w:ind w:firstLine="360"/>
              <w:jc w:val="right"/>
              <w:rPr>
                <w:rFonts w:eastAsia="Times New Roman" w:cs="Times New Roman"/>
                <w:sz w:val="18"/>
                <w:szCs w:val="18"/>
                <w:lang w:eastAsia="en-US"/>
              </w:rPr>
            </w:pPr>
            <w:r w:rsidRPr="00EA38CE">
              <w:rPr>
                <w:rFonts w:eastAsia="Times New Roman" w:cs="Times New Roman"/>
                <w:sz w:val="18"/>
                <w:szCs w:val="18"/>
                <w:lang w:eastAsia="en-US"/>
              </w:rPr>
              <w:t>4,3</w:t>
            </w:r>
          </w:p>
        </w:tc>
        <w:tc>
          <w:tcPr>
            <w:tcW w:w="936" w:type="dxa"/>
            <w:tcBorders>
              <w:top w:val="single" w:sz="4" w:space="0" w:color="auto"/>
              <w:left w:val="double" w:sz="4" w:space="0" w:color="auto"/>
              <w:bottom w:val="single" w:sz="4" w:space="0" w:color="auto"/>
              <w:right w:val="single" w:sz="4" w:space="0" w:color="auto"/>
            </w:tcBorders>
            <w:shd w:val="clear" w:color="auto" w:fill="auto"/>
          </w:tcPr>
          <w:p w14:paraId="136F6A1D"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4,7</w:t>
            </w:r>
          </w:p>
        </w:tc>
        <w:tc>
          <w:tcPr>
            <w:tcW w:w="948" w:type="dxa"/>
            <w:tcBorders>
              <w:top w:val="single" w:sz="4" w:space="0" w:color="auto"/>
              <w:left w:val="nil"/>
              <w:bottom w:val="single" w:sz="4" w:space="0" w:color="auto"/>
              <w:right w:val="double" w:sz="4" w:space="0" w:color="auto"/>
            </w:tcBorders>
            <w:shd w:val="clear" w:color="auto" w:fill="auto"/>
            <w:noWrap/>
          </w:tcPr>
          <w:p w14:paraId="3446A4CA" w14:textId="77777777" w:rsidR="0087114C" w:rsidRPr="00C503C7" w:rsidRDefault="0087114C" w:rsidP="002C61B1">
            <w:pPr>
              <w:spacing w:after="0"/>
              <w:ind w:firstLine="360"/>
              <w:jc w:val="right"/>
              <w:rPr>
                <w:rFonts w:eastAsia="Times New Roman" w:cs="Times New Roman"/>
                <w:sz w:val="18"/>
                <w:szCs w:val="18"/>
                <w:lang w:eastAsia="en-US"/>
              </w:rPr>
            </w:pPr>
            <w:r w:rsidRPr="00C503C7">
              <w:rPr>
                <w:rFonts w:eastAsia="Times New Roman" w:cs="Times New Roman"/>
                <w:sz w:val="18"/>
                <w:szCs w:val="18"/>
                <w:lang w:eastAsia="en-US"/>
              </w:rPr>
              <w:t>4,0</w:t>
            </w:r>
          </w:p>
        </w:tc>
        <w:tc>
          <w:tcPr>
            <w:tcW w:w="936" w:type="dxa"/>
            <w:tcBorders>
              <w:top w:val="nil"/>
              <w:left w:val="double" w:sz="4" w:space="0" w:color="auto"/>
              <w:bottom w:val="single" w:sz="4" w:space="0" w:color="auto"/>
              <w:right w:val="single" w:sz="4" w:space="0" w:color="auto"/>
            </w:tcBorders>
            <w:shd w:val="clear" w:color="auto" w:fill="auto"/>
            <w:vAlign w:val="center"/>
          </w:tcPr>
          <w:p w14:paraId="152CB373"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rFonts w:eastAsia="Times New Roman" w:cs="Times New Roman"/>
                <w:sz w:val="18"/>
                <w:szCs w:val="18"/>
                <w:lang w:eastAsia="en-US"/>
              </w:rPr>
              <w:t>0,3</w:t>
            </w:r>
          </w:p>
        </w:tc>
        <w:tc>
          <w:tcPr>
            <w:tcW w:w="936" w:type="dxa"/>
            <w:tcBorders>
              <w:top w:val="nil"/>
              <w:left w:val="nil"/>
              <w:bottom w:val="single" w:sz="4" w:space="0" w:color="auto"/>
              <w:right w:val="single" w:sz="4" w:space="0" w:color="auto"/>
            </w:tcBorders>
            <w:shd w:val="clear" w:color="auto" w:fill="auto"/>
            <w:noWrap/>
            <w:vAlign w:val="center"/>
          </w:tcPr>
          <w:p w14:paraId="6EED02FD" w14:textId="77777777" w:rsidR="0087114C" w:rsidRPr="00F313AF" w:rsidRDefault="0087114C" w:rsidP="002C61B1">
            <w:pPr>
              <w:spacing w:after="0"/>
              <w:ind w:firstLine="360"/>
              <w:jc w:val="right"/>
              <w:rPr>
                <w:rFonts w:eastAsia="Times New Roman" w:cs="Times New Roman"/>
                <w:sz w:val="18"/>
                <w:szCs w:val="18"/>
                <w:lang w:eastAsia="en-US"/>
              </w:rPr>
            </w:pPr>
            <w:r w:rsidRPr="00F313AF">
              <w:rPr>
                <w:sz w:val="18"/>
                <w:szCs w:val="18"/>
              </w:rPr>
              <w:t>-0,4</w:t>
            </w:r>
          </w:p>
        </w:tc>
      </w:tr>
    </w:tbl>
    <w:p w14:paraId="19F13453" w14:textId="77777777" w:rsidR="0087114C" w:rsidRPr="00F061D0" w:rsidRDefault="0087114C" w:rsidP="0087114C">
      <w:pPr>
        <w:spacing w:after="0"/>
        <w:ind w:firstLine="0"/>
        <w:rPr>
          <w:rFonts w:eastAsia="Calibri" w:cs="Times New Roman"/>
          <w:bCs/>
          <w:color w:val="FF0000"/>
          <w:szCs w:val="20"/>
          <w:lang w:eastAsia="en-US"/>
        </w:rPr>
      </w:pPr>
    </w:p>
    <w:p w14:paraId="55711557" w14:textId="7CD38E69" w:rsidR="0087114C" w:rsidRDefault="0087114C" w:rsidP="0087114C">
      <w:pPr>
        <w:rPr>
          <w:rFonts w:eastAsia="Calibri" w:cs="Times New Roman"/>
          <w:bCs/>
          <w:noProof/>
          <w:szCs w:val="28"/>
          <w:highlight w:val="yellow"/>
          <w:lang w:eastAsia="en-US"/>
        </w:rPr>
      </w:pPr>
      <w:r w:rsidRPr="00C50141">
        <w:rPr>
          <w:rFonts w:eastAsia="Calibri" w:cs="Times New Roman"/>
          <w:bCs/>
          <w:noProof/>
          <w:szCs w:val="28"/>
          <w:lang w:eastAsia="en-US"/>
        </w:rPr>
        <w:t>Atbilstoši 202</w:t>
      </w:r>
      <w:r>
        <w:rPr>
          <w:rFonts w:eastAsia="Calibri" w:cs="Times New Roman"/>
          <w:bCs/>
          <w:noProof/>
          <w:szCs w:val="28"/>
          <w:lang w:eastAsia="en-US"/>
        </w:rPr>
        <w:t>4</w:t>
      </w:r>
      <w:r w:rsidRPr="00C50141">
        <w:rPr>
          <w:rFonts w:eastAsia="Calibri" w:cs="Times New Roman"/>
          <w:bCs/>
          <w:noProof/>
          <w:szCs w:val="28"/>
          <w:lang w:eastAsia="en-US"/>
        </w:rPr>
        <w:t>. gada pavasara prognozēm EK sagaida, ka Latvijas vispārējās valdības budžeta deficīts 202</w:t>
      </w:r>
      <w:r>
        <w:rPr>
          <w:rFonts w:eastAsia="Calibri" w:cs="Times New Roman"/>
          <w:bCs/>
          <w:noProof/>
          <w:szCs w:val="28"/>
          <w:lang w:eastAsia="en-US"/>
        </w:rPr>
        <w:t>4</w:t>
      </w:r>
      <w:r w:rsidRPr="00C50141">
        <w:rPr>
          <w:rFonts w:eastAsia="Calibri" w:cs="Times New Roman"/>
          <w:bCs/>
          <w:noProof/>
          <w:szCs w:val="28"/>
          <w:lang w:eastAsia="en-US"/>
        </w:rPr>
        <w:t xml:space="preserve">. gadā būs </w:t>
      </w:r>
      <w:r w:rsidRPr="00D63FBD">
        <w:rPr>
          <w:rFonts w:eastAsia="Calibri" w:cs="Times New Roman"/>
          <w:bCs/>
          <w:noProof/>
          <w:szCs w:val="28"/>
          <w:lang w:eastAsia="en-US"/>
        </w:rPr>
        <w:t xml:space="preserve">2,8% no IKP un 2025. gadā būs 2,9% no IKP. </w:t>
      </w:r>
      <w:r w:rsidRPr="00EE3A45">
        <w:rPr>
          <w:rFonts w:eastAsia="Calibri" w:cs="Times New Roman"/>
          <w:bCs/>
          <w:noProof/>
          <w:szCs w:val="28"/>
          <w:lang w:eastAsia="en-US"/>
        </w:rPr>
        <w:t xml:space="preserve">EK prognozētais deficīts </w:t>
      </w:r>
      <w:r>
        <w:rPr>
          <w:rFonts w:eastAsia="Calibri" w:cs="Times New Roman"/>
          <w:bCs/>
          <w:noProof/>
          <w:szCs w:val="28"/>
          <w:lang w:eastAsia="en-US"/>
        </w:rPr>
        <w:t xml:space="preserve">2024. gadā </w:t>
      </w:r>
      <w:r w:rsidRPr="00EE3A45">
        <w:rPr>
          <w:rFonts w:eastAsia="Calibri" w:cs="Times New Roman"/>
          <w:bCs/>
          <w:noProof/>
          <w:szCs w:val="28"/>
          <w:lang w:eastAsia="en-US"/>
        </w:rPr>
        <w:t xml:space="preserve">ir </w:t>
      </w:r>
      <w:r>
        <w:rPr>
          <w:rFonts w:eastAsia="Calibri" w:cs="Times New Roman"/>
          <w:bCs/>
          <w:noProof/>
          <w:szCs w:val="28"/>
          <w:lang w:eastAsia="en-US"/>
        </w:rPr>
        <w:t xml:space="preserve">nedaudz </w:t>
      </w:r>
      <w:r w:rsidRPr="00EE3A45">
        <w:rPr>
          <w:rFonts w:eastAsia="Calibri" w:cs="Times New Roman"/>
          <w:bCs/>
          <w:noProof/>
          <w:szCs w:val="28"/>
          <w:lang w:eastAsia="en-US"/>
        </w:rPr>
        <w:t xml:space="preserve">augstāks nekā FM novērtētais, pamatā sagaidot zemākus nodokļu ieņēmumus. Taču arī vispārējās valdības izdevumi tiek </w:t>
      </w:r>
      <w:r>
        <w:rPr>
          <w:rFonts w:eastAsia="Calibri" w:cs="Times New Roman"/>
          <w:bCs/>
          <w:noProof/>
          <w:szCs w:val="28"/>
          <w:lang w:eastAsia="en-US"/>
        </w:rPr>
        <w:t xml:space="preserve">prognozēti </w:t>
      </w:r>
      <w:r w:rsidRPr="00EE3A45">
        <w:rPr>
          <w:rFonts w:eastAsia="Calibri" w:cs="Times New Roman"/>
          <w:bCs/>
          <w:noProof/>
          <w:szCs w:val="28"/>
          <w:lang w:eastAsia="en-US"/>
        </w:rPr>
        <w:t xml:space="preserve">zemākā apmērā, </w:t>
      </w:r>
      <w:r>
        <w:rPr>
          <w:rFonts w:eastAsia="Calibri" w:cs="Times New Roman"/>
          <w:bCs/>
          <w:noProof/>
          <w:szCs w:val="28"/>
          <w:lang w:eastAsia="en-US"/>
        </w:rPr>
        <w:t>novērtējot zemākus</w:t>
      </w:r>
      <w:r w:rsidRPr="00EE3A45">
        <w:rPr>
          <w:rFonts w:eastAsia="Calibri" w:cs="Times New Roman"/>
          <w:bCs/>
          <w:noProof/>
          <w:szCs w:val="28"/>
          <w:lang w:eastAsia="en-US"/>
        </w:rPr>
        <w:t xml:space="preserve"> izdevumus sociālajiem maksājumiem</w:t>
      </w:r>
      <w:r w:rsidRPr="002642A1">
        <w:rPr>
          <w:rFonts w:eastAsia="Calibri" w:cs="Times New Roman"/>
          <w:bCs/>
          <w:noProof/>
          <w:szCs w:val="28"/>
          <w:lang w:eastAsia="en-US"/>
        </w:rPr>
        <w:t>. Kopumā ieņēmumu un izdevumu līmenis ir atšķirīgs no EK prognozēm</w:t>
      </w:r>
      <w:r>
        <w:rPr>
          <w:rFonts w:eastAsia="Calibri" w:cs="Times New Roman"/>
          <w:bCs/>
          <w:noProof/>
          <w:szCs w:val="28"/>
          <w:lang w:eastAsia="en-US"/>
        </w:rPr>
        <w:t>, visticamāk, pieņēmumu</w:t>
      </w:r>
      <w:r w:rsidRPr="0087114C">
        <w:rPr>
          <w:rFonts w:eastAsia="Calibri" w:cs="Times New Roman"/>
          <w:bCs/>
          <w:noProof/>
          <w:szCs w:val="28"/>
          <w:lang w:eastAsia="en-US"/>
        </w:rPr>
        <w:t xml:space="preserve"> </w:t>
      </w:r>
      <w:r>
        <w:rPr>
          <w:rFonts w:eastAsia="Calibri" w:cs="Times New Roman"/>
          <w:bCs/>
          <w:noProof/>
          <w:szCs w:val="28"/>
          <w:lang w:eastAsia="en-US"/>
        </w:rPr>
        <w:t xml:space="preserve">dēļ, kas ir ņemti vērā uz prognožu izstrādes brīdi. </w:t>
      </w:r>
    </w:p>
    <w:p w14:paraId="463E3DE3" w14:textId="2B7E3343" w:rsidR="003F3FCD" w:rsidRPr="00FD1578" w:rsidRDefault="000548A5" w:rsidP="008349F0">
      <w:pPr>
        <w:pStyle w:val="Heading2"/>
      </w:pPr>
      <w:bookmarkStart w:id="66" w:name="_Toc179356091"/>
      <w:r w:rsidRPr="00FD1578">
        <w:t>2.3. Vidēja termiņa budžeta prioritārie attīstības virzieni</w:t>
      </w:r>
      <w:bookmarkEnd w:id="66"/>
    </w:p>
    <w:p w14:paraId="44D45C2A" w14:textId="1D175369" w:rsidR="00F05953" w:rsidRPr="00FD1578" w:rsidRDefault="00C558F8" w:rsidP="008349F0">
      <w:pPr>
        <w:shd w:val="clear" w:color="auto" w:fill="FFFFFF"/>
        <w:rPr>
          <w:rFonts w:eastAsia="Times New Roman" w:cs="Times New Roman"/>
          <w:szCs w:val="24"/>
        </w:rPr>
      </w:pPr>
      <w:bookmarkStart w:id="67" w:name="_Hlk125536131"/>
      <w:r w:rsidRPr="00FD1578">
        <w:rPr>
          <w:rFonts w:eastAsia="Times New Roman" w:cs="Times New Roman"/>
          <w:szCs w:val="24"/>
        </w:rPr>
        <w:t>Kā minēts 2. sadaļā, 2024. gada 18. jūnijā, izskatot informatīvo ziņojumu</w:t>
      </w:r>
      <w:r w:rsidRPr="00FD1578">
        <w:rPr>
          <w:rFonts w:eastAsiaTheme="minorHAnsi" w:cs="Times New Roman"/>
          <w:b/>
          <w:sz w:val="28"/>
          <w:szCs w:val="28"/>
          <w:lang w:eastAsia="en-US"/>
        </w:rPr>
        <w:t xml:space="preserve"> </w:t>
      </w:r>
      <w:r w:rsidRPr="00FD1578">
        <w:rPr>
          <w:rFonts w:eastAsia="Times New Roman" w:cs="Times New Roman"/>
          <w:bCs/>
          <w:szCs w:val="24"/>
        </w:rPr>
        <w:t xml:space="preserve">“Par vidēja termiņa budžeta prioritārajiem attīstības virzieniem”, </w:t>
      </w:r>
      <w:r w:rsidR="00E11486">
        <w:rPr>
          <w:rFonts w:eastAsia="Times New Roman" w:cs="Times New Roman"/>
          <w:bCs/>
          <w:szCs w:val="24"/>
        </w:rPr>
        <w:t>MK</w:t>
      </w:r>
      <w:r w:rsidR="00C12798" w:rsidRPr="00FD1578">
        <w:rPr>
          <w:rFonts w:eastAsia="Times New Roman" w:cs="Times New Roman"/>
          <w:bCs/>
          <w:szCs w:val="24"/>
        </w:rPr>
        <w:t xml:space="preserve"> </w:t>
      </w:r>
      <w:r w:rsidRPr="00FD1578">
        <w:rPr>
          <w:rFonts w:eastAsia="Times New Roman" w:cs="Times New Roman"/>
          <w:bCs/>
          <w:szCs w:val="24"/>
        </w:rPr>
        <w:t>pieņēma konceptuālu lēmumu likumprojekta “Par</w:t>
      </w:r>
      <w:r w:rsidRPr="00FD1578">
        <w:rPr>
          <w:rFonts w:eastAsia="Times New Roman" w:cs="Times New Roman"/>
          <w:szCs w:val="24"/>
        </w:rPr>
        <w:t xml:space="preserve"> valsts budžetu 2025. gadam un budžeta ietvaru 2025., 2026. un 2027. gadam” sagatavošanā kā vienīgo </w:t>
      </w:r>
      <w:r w:rsidRPr="00FD1578">
        <w:rPr>
          <w:rFonts w:eastAsia="Times New Roman" w:cs="Times New Roman"/>
          <w:b/>
          <w:bCs/>
          <w:szCs w:val="24"/>
        </w:rPr>
        <w:t>vidēja termiņa budžeta prioritāro attīstības virzienu noteikt valsts drošību</w:t>
      </w:r>
      <w:r w:rsidRPr="00FD1578">
        <w:rPr>
          <w:rFonts w:eastAsia="Times New Roman" w:cs="Times New Roman"/>
          <w:szCs w:val="24"/>
        </w:rPr>
        <w:t xml:space="preserve"> (protokols Nr. 25 74. § 2. punkts). Šis ir </w:t>
      </w:r>
      <w:r w:rsidR="00D1706D" w:rsidRPr="00FD1578">
        <w:rPr>
          <w:rFonts w:eastAsia="Times New Roman" w:cs="Times New Roman"/>
          <w:szCs w:val="24"/>
        </w:rPr>
        <w:t>treš</w:t>
      </w:r>
      <w:r w:rsidRPr="00FD1578">
        <w:rPr>
          <w:rFonts w:eastAsia="Times New Roman" w:cs="Times New Roman"/>
          <w:szCs w:val="24"/>
        </w:rPr>
        <w:t>ais</w:t>
      </w:r>
      <w:r w:rsidR="00D1706D" w:rsidRPr="00FD1578">
        <w:rPr>
          <w:rFonts w:eastAsia="Times New Roman" w:cs="Times New Roman"/>
          <w:szCs w:val="24"/>
        </w:rPr>
        <w:t xml:space="preserve"> gad</w:t>
      </w:r>
      <w:r w:rsidRPr="00FD1578">
        <w:rPr>
          <w:rFonts w:eastAsia="Times New Roman" w:cs="Times New Roman"/>
          <w:szCs w:val="24"/>
        </w:rPr>
        <w:t>s</w:t>
      </w:r>
      <w:r w:rsidR="00D1706D" w:rsidRPr="00FD1578">
        <w:rPr>
          <w:rFonts w:eastAsia="Times New Roman" w:cs="Times New Roman"/>
          <w:szCs w:val="24"/>
        </w:rPr>
        <w:t xml:space="preserve"> pēc kārtas,</w:t>
      </w:r>
      <w:r w:rsidR="00C12798" w:rsidRPr="00FD1578">
        <w:rPr>
          <w:rFonts w:eastAsia="Times New Roman" w:cs="Times New Roman"/>
          <w:szCs w:val="24"/>
        </w:rPr>
        <w:t xml:space="preserve"> kad</w:t>
      </w:r>
      <w:r w:rsidR="00D1706D" w:rsidRPr="00FD1578">
        <w:rPr>
          <w:rFonts w:eastAsia="Times New Roman" w:cs="Times New Roman"/>
          <w:szCs w:val="24"/>
        </w:rPr>
        <w:t xml:space="preserve"> </w:t>
      </w:r>
      <w:r w:rsidRPr="00FD1578">
        <w:rPr>
          <w:rFonts w:eastAsia="Times New Roman" w:cs="Times New Roman"/>
          <w:szCs w:val="24"/>
        </w:rPr>
        <w:t>t.sk. ņemot vērā ģeopolitisko situāciju,</w:t>
      </w:r>
      <w:r w:rsidR="00D1706D" w:rsidRPr="00FD1578">
        <w:rPr>
          <w:rFonts w:eastAsia="Times New Roman" w:cs="Times New Roman"/>
          <w:szCs w:val="24"/>
        </w:rPr>
        <w:t xml:space="preserve"> drošība tiek izvirzīta par vidēja termiņa budžeta politikas prioritāro attīstības virzienu.</w:t>
      </w:r>
    </w:p>
    <w:p w14:paraId="4F075FC5" w14:textId="77777777" w:rsidR="001531A9" w:rsidRPr="00FD1578" w:rsidRDefault="0047535A" w:rsidP="008349F0">
      <w:pPr>
        <w:ind w:firstLine="709"/>
        <w:rPr>
          <w:rFonts w:cs="Times New Roman"/>
          <w:szCs w:val="24"/>
        </w:rPr>
      </w:pPr>
      <w:r w:rsidRPr="00FD1578">
        <w:rPr>
          <w:rFonts w:cs="Times New Roman"/>
          <w:szCs w:val="24"/>
        </w:rPr>
        <w:lastRenderedPageBreak/>
        <w:t>MK</w:t>
      </w:r>
      <w:r w:rsidR="00166096" w:rsidRPr="00FD1578">
        <w:rPr>
          <w:rFonts w:cs="Times New Roman"/>
          <w:szCs w:val="24"/>
        </w:rPr>
        <w:t xml:space="preserve"> 202</w:t>
      </w:r>
      <w:r w:rsidR="00C12798" w:rsidRPr="00FD1578">
        <w:rPr>
          <w:rFonts w:cs="Times New Roman"/>
          <w:szCs w:val="24"/>
        </w:rPr>
        <w:t>4</w:t>
      </w:r>
      <w:r w:rsidR="00166096" w:rsidRPr="00FD1578">
        <w:rPr>
          <w:rFonts w:cs="Times New Roman"/>
          <w:szCs w:val="24"/>
        </w:rPr>
        <w:t xml:space="preserve">. gada </w:t>
      </w:r>
      <w:r w:rsidR="00C12798" w:rsidRPr="00FD1578">
        <w:rPr>
          <w:rFonts w:cs="Times New Roman"/>
          <w:szCs w:val="24"/>
        </w:rPr>
        <w:t>20</w:t>
      </w:r>
      <w:r w:rsidR="00911F3E" w:rsidRPr="00FD1578">
        <w:rPr>
          <w:rFonts w:cs="Times New Roman"/>
          <w:szCs w:val="24"/>
        </w:rPr>
        <w:t>.</w:t>
      </w:r>
      <w:r w:rsidR="004069EA" w:rsidRPr="00FD1578">
        <w:rPr>
          <w:rFonts w:cs="Times New Roman"/>
          <w:szCs w:val="24"/>
        </w:rPr>
        <w:t xml:space="preserve"> </w:t>
      </w:r>
      <w:r w:rsidR="00911F3E" w:rsidRPr="00FD1578">
        <w:rPr>
          <w:rFonts w:cs="Times New Roman"/>
          <w:szCs w:val="24"/>
        </w:rPr>
        <w:t>augustā</w:t>
      </w:r>
      <w:r w:rsidR="00166096" w:rsidRPr="00FD1578">
        <w:rPr>
          <w:rFonts w:cs="Times New Roman"/>
          <w:szCs w:val="24"/>
        </w:rPr>
        <w:t xml:space="preserve"> sēdē, izskatot informatīvo ziņojumu „</w:t>
      </w:r>
      <w:r w:rsidR="00C12798" w:rsidRPr="00FD1578">
        <w:rPr>
          <w:rFonts w:cs="Times New Roman"/>
          <w:szCs w:val="24"/>
        </w:rPr>
        <w:t>Par makroekonomisko rādītāju, ieņēmumu un vispārējās valdības budžeta bilances prognozēm 2025., 2026., 2027. un 2028. gadā</w:t>
      </w:r>
      <w:r w:rsidR="00166096" w:rsidRPr="00FD1578">
        <w:rPr>
          <w:rFonts w:cs="Times New Roman"/>
          <w:szCs w:val="24"/>
        </w:rPr>
        <w:t>”</w:t>
      </w:r>
      <w:r w:rsidR="00911F3E" w:rsidRPr="00FD1578">
        <w:rPr>
          <w:rStyle w:val="FootnoteReference"/>
          <w:rFonts w:cs="Times New Roman"/>
          <w:szCs w:val="24"/>
        </w:rPr>
        <w:footnoteReference w:id="30"/>
      </w:r>
      <w:r w:rsidR="00166096" w:rsidRPr="00FD1578">
        <w:rPr>
          <w:rFonts w:cs="Times New Roman"/>
          <w:szCs w:val="24"/>
        </w:rPr>
        <w:t>, tika pieņemts zināšanai, ka</w:t>
      </w:r>
      <w:r w:rsidR="001531A9" w:rsidRPr="00FD1578">
        <w:rPr>
          <w:rFonts w:cs="Times New Roman"/>
          <w:szCs w:val="24"/>
        </w:rPr>
        <w:t xml:space="preserve">: </w:t>
      </w:r>
    </w:p>
    <w:p w14:paraId="0200266A" w14:textId="670AB126" w:rsidR="001531A9" w:rsidRPr="00FD1578" w:rsidRDefault="00C12798" w:rsidP="00F87D38">
      <w:pPr>
        <w:pStyle w:val="ListParagraph"/>
        <w:numPr>
          <w:ilvl w:val="2"/>
          <w:numId w:val="14"/>
        </w:numPr>
        <w:ind w:left="0" w:firstLine="426"/>
        <w:rPr>
          <w:rFonts w:cs="Times New Roman"/>
          <w:szCs w:val="24"/>
        </w:rPr>
      </w:pPr>
      <w:r w:rsidRPr="00FD1578">
        <w:rPr>
          <w:rFonts w:cs="Times New Roman"/>
          <w:b/>
          <w:bCs/>
          <w:szCs w:val="24"/>
        </w:rPr>
        <w:t>vispārējās valdības budžeta bilance pie nemainīgas politikas</w:t>
      </w:r>
      <w:r w:rsidRPr="00FD1578">
        <w:rPr>
          <w:rFonts w:cs="Times New Roman"/>
          <w:szCs w:val="24"/>
        </w:rPr>
        <w:t xml:space="preserve"> tiek prognozēta 2025. gadā</w:t>
      </w:r>
      <w:r w:rsidR="005735FB">
        <w:rPr>
          <w:rFonts w:cs="Times New Roman"/>
          <w:szCs w:val="24"/>
        </w:rPr>
        <w:t xml:space="preserve"> </w:t>
      </w:r>
      <w:r w:rsidRPr="00FD1578">
        <w:rPr>
          <w:rFonts w:cs="Times New Roman"/>
          <w:szCs w:val="24"/>
        </w:rPr>
        <w:t>-1 295,9 milj. </w:t>
      </w:r>
      <w:proofErr w:type="spellStart"/>
      <w:r w:rsidRPr="00FD1578">
        <w:rPr>
          <w:rFonts w:cs="Times New Roman"/>
          <w:i/>
          <w:iCs/>
          <w:szCs w:val="24"/>
        </w:rPr>
        <w:t>euro</w:t>
      </w:r>
      <w:proofErr w:type="spellEnd"/>
      <w:r w:rsidRPr="00FD1578">
        <w:rPr>
          <w:rFonts w:cs="Times New Roman"/>
          <w:szCs w:val="24"/>
        </w:rPr>
        <w:t> jeb -2,9% no IKP, 2026. gadā</w:t>
      </w:r>
      <w:r w:rsidR="005735FB">
        <w:rPr>
          <w:rFonts w:cs="Times New Roman"/>
          <w:szCs w:val="24"/>
        </w:rPr>
        <w:t xml:space="preserve"> </w:t>
      </w:r>
      <w:r w:rsidR="001531A9" w:rsidRPr="00FD1578">
        <w:rPr>
          <w:rFonts w:cs="Times New Roman"/>
          <w:szCs w:val="24"/>
        </w:rPr>
        <w:t>-</w:t>
      </w:r>
      <w:r w:rsidRPr="00FD1578">
        <w:rPr>
          <w:rFonts w:cs="Times New Roman"/>
          <w:szCs w:val="24"/>
        </w:rPr>
        <w:t>1 269,3 milj. </w:t>
      </w:r>
      <w:proofErr w:type="spellStart"/>
      <w:r w:rsidRPr="00FD1578">
        <w:rPr>
          <w:rFonts w:cs="Times New Roman"/>
          <w:i/>
          <w:iCs/>
          <w:szCs w:val="24"/>
        </w:rPr>
        <w:t>euro</w:t>
      </w:r>
      <w:proofErr w:type="spellEnd"/>
      <w:r w:rsidRPr="00FD1578">
        <w:rPr>
          <w:rFonts w:cs="Times New Roman"/>
          <w:szCs w:val="24"/>
        </w:rPr>
        <w:t> jeb -2,7% no IKP, 2027. gadā</w:t>
      </w:r>
      <w:r w:rsidR="005735FB">
        <w:rPr>
          <w:rFonts w:cs="Times New Roman"/>
          <w:szCs w:val="24"/>
        </w:rPr>
        <w:t xml:space="preserve"> </w:t>
      </w:r>
      <w:r w:rsidRPr="00FD1578">
        <w:rPr>
          <w:rFonts w:cs="Times New Roman"/>
          <w:szCs w:val="24"/>
        </w:rPr>
        <w:t>-1 177,2 milj. </w:t>
      </w:r>
      <w:proofErr w:type="spellStart"/>
      <w:r w:rsidRPr="00FD1578">
        <w:rPr>
          <w:rFonts w:cs="Times New Roman"/>
          <w:i/>
          <w:iCs/>
          <w:szCs w:val="24"/>
        </w:rPr>
        <w:t>euro</w:t>
      </w:r>
      <w:proofErr w:type="spellEnd"/>
      <w:r w:rsidRPr="00FD1578">
        <w:rPr>
          <w:rFonts w:cs="Times New Roman"/>
          <w:szCs w:val="24"/>
        </w:rPr>
        <w:t> jeb -2,4% no IKP un 2028. gadā</w:t>
      </w:r>
      <w:r w:rsidR="005735FB">
        <w:rPr>
          <w:rFonts w:cs="Times New Roman"/>
          <w:szCs w:val="24"/>
        </w:rPr>
        <w:t xml:space="preserve"> </w:t>
      </w:r>
      <w:r w:rsidRPr="00FD1578">
        <w:rPr>
          <w:rFonts w:cs="Times New Roman"/>
          <w:szCs w:val="24"/>
        </w:rPr>
        <w:t>-1 155,6 milj. </w:t>
      </w:r>
      <w:proofErr w:type="spellStart"/>
      <w:r w:rsidRPr="00FD1578">
        <w:rPr>
          <w:rFonts w:cs="Times New Roman"/>
          <w:i/>
          <w:iCs/>
          <w:szCs w:val="24"/>
        </w:rPr>
        <w:t>euro</w:t>
      </w:r>
      <w:proofErr w:type="spellEnd"/>
      <w:r w:rsidRPr="00FD1578">
        <w:rPr>
          <w:rFonts w:cs="Times New Roman"/>
          <w:szCs w:val="24"/>
        </w:rPr>
        <w:t> jeb -2,2% no IKP</w:t>
      </w:r>
      <w:r w:rsidR="001531A9" w:rsidRPr="00FD1578">
        <w:rPr>
          <w:rFonts w:cs="Times New Roman"/>
          <w:szCs w:val="24"/>
        </w:rPr>
        <w:t xml:space="preserve"> (</w:t>
      </w:r>
      <w:r w:rsidR="001531A9" w:rsidRPr="00FD1578">
        <w:rPr>
          <w:rFonts w:cs="Times New Roman"/>
          <w:iCs/>
          <w:szCs w:val="24"/>
        </w:rPr>
        <w:t>(</w:t>
      </w:r>
      <w:r w:rsidR="001531A9" w:rsidRPr="00FD1578">
        <w:rPr>
          <w:rFonts w:cs="Times New Roman"/>
          <w:bCs/>
          <w:szCs w:val="24"/>
        </w:rPr>
        <w:t>protokols Nr. 32 59. § 3. punkts)</w:t>
      </w:r>
      <w:r w:rsidR="001531A9" w:rsidRPr="00FD1578">
        <w:rPr>
          <w:rFonts w:cs="Times New Roman"/>
          <w:szCs w:val="24"/>
        </w:rPr>
        <w:t>;</w:t>
      </w:r>
    </w:p>
    <w:p w14:paraId="052B1C74" w14:textId="68DD0470" w:rsidR="00C12798" w:rsidRPr="00FD1578" w:rsidRDefault="001531A9" w:rsidP="00F87D38">
      <w:pPr>
        <w:pStyle w:val="ListParagraph"/>
        <w:numPr>
          <w:ilvl w:val="2"/>
          <w:numId w:val="14"/>
        </w:numPr>
        <w:ind w:left="0" w:firstLine="426"/>
        <w:rPr>
          <w:rFonts w:cs="Times New Roman"/>
          <w:szCs w:val="24"/>
        </w:rPr>
      </w:pPr>
      <w:r w:rsidRPr="00FD1578">
        <w:rPr>
          <w:rFonts w:cs="Times New Roman"/>
          <w:b/>
          <w:bCs/>
          <w:szCs w:val="24"/>
        </w:rPr>
        <w:t>fiskālā telpa</w:t>
      </w:r>
      <w:r w:rsidRPr="00FD1578">
        <w:rPr>
          <w:rFonts w:cs="Times New Roman"/>
          <w:szCs w:val="24"/>
        </w:rPr>
        <w:t xml:space="preserve"> 2025. gadā ir -13,0 milj. </w:t>
      </w:r>
      <w:proofErr w:type="spellStart"/>
      <w:r w:rsidRPr="00FD1578">
        <w:rPr>
          <w:rFonts w:cs="Times New Roman"/>
          <w:i/>
          <w:iCs/>
          <w:szCs w:val="24"/>
        </w:rPr>
        <w:t>euro</w:t>
      </w:r>
      <w:proofErr w:type="spellEnd"/>
      <w:r w:rsidRPr="00FD1578">
        <w:rPr>
          <w:rFonts w:cs="Times New Roman"/>
          <w:szCs w:val="24"/>
        </w:rPr>
        <w:t>, 2026. gadā ir 32,2 milj. </w:t>
      </w:r>
      <w:proofErr w:type="spellStart"/>
      <w:r w:rsidRPr="00FD1578">
        <w:rPr>
          <w:rFonts w:cs="Times New Roman"/>
          <w:i/>
          <w:iCs/>
          <w:szCs w:val="24"/>
        </w:rPr>
        <w:t>euro</w:t>
      </w:r>
      <w:proofErr w:type="spellEnd"/>
      <w:r w:rsidRPr="00FD1578">
        <w:rPr>
          <w:rFonts w:cs="Times New Roman"/>
          <w:szCs w:val="24"/>
        </w:rPr>
        <w:t>, 2027. gadā ir 43,5 milj. </w:t>
      </w:r>
      <w:proofErr w:type="spellStart"/>
      <w:r w:rsidRPr="00FD1578">
        <w:rPr>
          <w:rFonts w:cs="Times New Roman"/>
          <w:i/>
          <w:iCs/>
          <w:szCs w:val="24"/>
        </w:rPr>
        <w:t>euro</w:t>
      </w:r>
      <w:proofErr w:type="spellEnd"/>
      <w:r w:rsidRPr="00FD1578">
        <w:rPr>
          <w:rFonts w:cs="Times New Roman"/>
          <w:szCs w:val="24"/>
        </w:rPr>
        <w:t> un 2028. gadā ir 1,4 milj. </w:t>
      </w:r>
      <w:proofErr w:type="spellStart"/>
      <w:r w:rsidRPr="00FD1578">
        <w:rPr>
          <w:rFonts w:cs="Times New Roman"/>
          <w:i/>
          <w:iCs/>
          <w:szCs w:val="24"/>
        </w:rPr>
        <w:t>euro</w:t>
      </w:r>
      <w:proofErr w:type="spellEnd"/>
      <w:r w:rsidR="00C12798" w:rsidRPr="00FD1578">
        <w:rPr>
          <w:rFonts w:cs="Times New Roman"/>
          <w:szCs w:val="24"/>
        </w:rPr>
        <w:t xml:space="preserve"> </w:t>
      </w:r>
      <w:r w:rsidR="00C12798" w:rsidRPr="00FD1578">
        <w:rPr>
          <w:rFonts w:cs="Times New Roman"/>
          <w:iCs/>
          <w:szCs w:val="24"/>
        </w:rPr>
        <w:t>(</w:t>
      </w:r>
      <w:r w:rsidR="00C12798" w:rsidRPr="00FD1578">
        <w:rPr>
          <w:rFonts w:cs="Times New Roman"/>
          <w:szCs w:val="24"/>
        </w:rPr>
        <w:t>protokols Nr. 32 59. § 5. punkts).</w:t>
      </w:r>
    </w:p>
    <w:p w14:paraId="048C8032" w14:textId="6F1B3384" w:rsidR="001531A9" w:rsidRPr="00FD1578" w:rsidRDefault="00E11486" w:rsidP="008349F0">
      <w:pPr>
        <w:shd w:val="clear" w:color="auto" w:fill="FFFFFF"/>
        <w:rPr>
          <w:rFonts w:cs="Times New Roman"/>
          <w:szCs w:val="24"/>
        </w:rPr>
      </w:pPr>
      <w:r>
        <w:rPr>
          <w:rFonts w:cs="Times New Roman"/>
          <w:szCs w:val="24"/>
        </w:rPr>
        <w:t>MK</w:t>
      </w:r>
      <w:r w:rsidR="001531A9" w:rsidRPr="00FD1578">
        <w:rPr>
          <w:rFonts w:cs="Times New Roman"/>
          <w:szCs w:val="24"/>
        </w:rPr>
        <w:t xml:space="preserve"> 2024. gada 20. augusta sēdē, izskatot informatīvo ziņojumu “Par ministriju un citu centrālo valsts iestāžu prioritārajiem pasākumiem 2025., 2026., 2027. un 2028. gadam” (prot. Nr. 32 62. §), tika pieņemti zināšanai ministriju un citu centrālo valsts iestāžu, tai skaitā neatkarīgo iestāžu papildu finansējuma pieprasījumi prioritārajiem pasākumiem, kā arī uzklausīta Augstākās tiesas pārstāvja un Sabiedrisko elektronisko plašsaziņas līdzekļu padomes priekšsēdētāja sniegtā informācija par institūcijas pieteiktajām prioritātēm. </w:t>
      </w:r>
    </w:p>
    <w:p w14:paraId="25F654DF" w14:textId="28DDA84B" w:rsidR="00085786" w:rsidRPr="00FD1578" w:rsidRDefault="00085786" w:rsidP="008349F0">
      <w:pPr>
        <w:shd w:val="clear" w:color="auto" w:fill="FFFFFF"/>
        <w:rPr>
          <w:rFonts w:cs="Times New Roman"/>
          <w:szCs w:val="24"/>
        </w:rPr>
      </w:pPr>
      <w:bookmarkStart w:id="68" w:name="_Hlk179388494"/>
      <w:r w:rsidRPr="00FD1578">
        <w:rPr>
          <w:rFonts w:eastAsia="Times New Roman" w:cs="Times New Roman"/>
          <w:szCs w:val="24"/>
        </w:rPr>
        <w:t>Šajā likumā</w:t>
      </w:r>
      <w:r w:rsidRPr="00FD1578">
        <w:rPr>
          <w:rFonts w:eastAsia="Times New Roman" w:cs="Times New Roman"/>
          <w:b/>
          <w:bCs/>
          <w:szCs w:val="24"/>
        </w:rPr>
        <w:t xml:space="preserve"> </w:t>
      </w:r>
      <w:r w:rsidRPr="00FD1578">
        <w:rPr>
          <w:rFonts w:eastAsia="Times New Roman" w:cs="Times New Roman"/>
          <w:szCs w:val="24"/>
        </w:rPr>
        <w:t xml:space="preserve">paredzēts finansējums prioritārajiem pasākumiem </w:t>
      </w:r>
      <w:r w:rsidRPr="00FD1578">
        <w:rPr>
          <w:rFonts w:cs="Times New Roman"/>
          <w:b/>
          <w:bCs/>
          <w:szCs w:val="24"/>
        </w:rPr>
        <w:t>valsts drošībai</w:t>
      </w:r>
      <w:r w:rsidRPr="00B77280">
        <w:rPr>
          <w:rFonts w:cs="Times New Roman"/>
          <w:szCs w:val="24"/>
        </w:rPr>
        <w:t>,</w:t>
      </w:r>
      <w:r w:rsidRPr="00FD1578">
        <w:rPr>
          <w:rFonts w:cs="Times New Roman"/>
          <w:b/>
          <w:bCs/>
          <w:szCs w:val="24"/>
        </w:rPr>
        <w:t xml:space="preserve"> </w:t>
      </w:r>
      <w:r w:rsidRPr="00FD1578">
        <w:rPr>
          <w:rFonts w:cs="Times New Roman"/>
          <w:szCs w:val="24"/>
        </w:rPr>
        <w:t xml:space="preserve">Satversmes tiesas sprieduma un likumu izpildes nodrošināšanai, neatkarīgajām iestādēm un ar nodokļu politikas izmaiņām saistītiem pasākumiem </w:t>
      </w:r>
      <w:r w:rsidRPr="00FD1578">
        <w:rPr>
          <w:rFonts w:cs="Times New Roman"/>
          <w:b/>
          <w:bCs/>
          <w:szCs w:val="24"/>
        </w:rPr>
        <w:t>1,</w:t>
      </w:r>
      <w:r w:rsidR="00843DA1">
        <w:rPr>
          <w:rFonts w:cs="Times New Roman"/>
          <w:b/>
          <w:bCs/>
          <w:szCs w:val="24"/>
        </w:rPr>
        <w:t>5</w:t>
      </w:r>
      <w:r w:rsidRPr="00FD1578">
        <w:rPr>
          <w:rFonts w:cs="Times New Roman"/>
          <w:b/>
          <w:bCs/>
          <w:szCs w:val="24"/>
        </w:rPr>
        <w:t xml:space="preserve"> mljrd. </w:t>
      </w:r>
      <w:proofErr w:type="spellStart"/>
      <w:r w:rsidRPr="00FD1578">
        <w:rPr>
          <w:rFonts w:cs="Times New Roman"/>
          <w:b/>
          <w:bCs/>
          <w:i/>
          <w:iCs/>
          <w:szCs w:val="24"/>
        </w:rPr>
        <w:t>euro</w:t>
      </w:r>
      <w:proofErr w:type="spellEnd"/>
      <w:r w:rsidRPr="00FD1578">
        <w:rPr>
          <w:rFonts w:cs="Times New Roman"/>
          <w:szCs w:val="24"/>
        </w:rPr>
        <w:t xml:space="preserve">, t.sk. </w:t>
      </w:r>
      <w:r w:rsidRPr="00FD1578">
        <w:rPr>
          <w:rFonts w:cs="Times New Roman"/>
          <w:b/>
          <w:bCs/>
          <w:szCs w:val="24"/>
        </w:rPr>
        <w:t xml:space="preserve">2025. gadam </w:t>
      </w:r>
      <w:r w:rsidR="00843DA1">
        <w:rPr>
          <w:rFonts w:cs="Times New Roman"/>
          <w:b/>
          <w:bCs/>
          <w:szCs w:val="24"/>
        </w:rPr>
        <w:t>392,4</w:t>
      </w:r>
      <w:r w:rsidRPr="00FD1578">
        <w:rPr>
          <w:rFonts w:cs="Times New Roman"/>
          <w:b/>
          <w:bCs/>
          <w:szCs w:val="24"/>
        </w:rPr>
        <w:t xml:space="preserve"> milj. </w:t>
      </w:r>
      <w:proofErr w:type="spellStart"/>
      <w:r w:rsidRPr="00FD1578">
        <w:rPr>
          <w:rFonts w:cs="Times New Roman"/>
          <w:b/>
          <w:bCs/>
          <w:i/>
          <w:iCs/>
          <w:szCs w:val="24"/>
        </w:rPr>
        <w:t>euro</w:t>
      </w:r>
      <w:proofErr w:type="spellEnd"/>
      <w:r w:rsidRPr="00FD1578">
        <w:rPr>
          <w:rFonts w:cs="Times New Roman"/>
          <w:b/>
          <w:bCs/>
          <w:szCs w:val="24"/>
        </w:rPr>
        <w:t xml:space="preserve"> (</w:t>
      </w:r>
      <w:r w:rsidR="00843DA1">
        <w:rPr>
          <w:rFonts w:cs="Times New Roman"/>
          <w:b/>
          <w:bCs/>
          <w:szCs w:val="24"/>
        </w:rPr>
        <w:t>0,9</w:t>
      </w:r>
      <w:r w:rsidRPr="00FD1578">
        <w:rPr>
          <w:rFonts w:cs="Times New Roman"/>
          <w:b/>
          <w:bCs/>
          <w:szCs w:val="24"/>
        </w:rPr>
        <w:t>% no IKP),</w:t>
      </w:r>
      <w:r w:rsidRPr="00FD1578">
        <w:rPr>
          <w:rFonts w:cs="Times New Roman"/>
          <w:szCs w:val="24"/>
        </w:rPr>
        <w:t xml:space="preserve"> </w:t>
      </w:r>
      <w:r w:rsidRPr="00FD1578">
        <w:rPr>
          <w:rFonts w:cs="Times New Roman"/>
          <w:b/>
          <w:bCs/>
          <w:szCs w:val="24"/>
        </w:rPr>
        <w:t xml:space="preserve">2026. gadam </w:t>
      </w:r>
      <w:r w:rsidR="00843DA1">
        <w:rPr>
          <w:rFonts w:cs="Times New Roman"/>
          <w:b/>
          <w:bCs/>
          <w:szCs w:val="24"/>
        </w:rPr>
        <w:t>389,9</w:t>
      </w:r>
      <w:r w:rsidRPr="00FD1578">
        <w:rPr>
          <w:rFonts w:cs="Times New Roman"/>
          <w:b/>
          <w:bCs/>
          <w:szCs w:val="24"/>
        </w:rPr>
        <w:t xml:space="preserve"> milj. </w:t>
      </w:r>
      <w:proofErr w:type="spellStart"/>
      <w:r w:rsidRPr="00FD1578">
        <w:rPr>
          <w:rFonts w:cs="Times New Roman"/>
          <w:b/>
          <w:bCs/>
          <w:i/>
          <w:iCs/>
          <w:szCs w:val="24"/>
        </w:rPr>
        <w:t>euro</w:t>
      </w:r>
      <w:proofErr w:type="spellEnd"/>
      <w:r w:rsidRPr="00FD1578">
        <w:rPr>
          <w:rFonts w:cs="Times New Roman"/>
          <w:b/>
          <w:bCs/>
          <w:szCs w:val="24"/>
        </w:rPr>
        <w:t xml:space="preserve"> (</w:t>
      </w:r>
      <w:r w:rsidR="00843DA1">
        <w:rPr>
          <w:rFonts w:cs="Times New Roman"/>
          <w:b/>
          <w:bCs/>
          <w:szCs w:val="24"/>
        </w:rPr>
        <w:t>0,8</w:t>
      </w:r>
      <w:r w:rsidRPr="00FD1578">
        <w:rPr>
          <w:rFonts w:cs="Times New Roman"/>
          <w:b/>
          <w:bCs/>
          <w:szCs w:val="24"/>
        </w:rPr>
        <w:t>% no IKP),</w:t>
      </w:r>
      <w:r w:rsidR="005735FB">
        <w:rPr>
          <w:rFonts w:cs="Times New Roman"/>
          <w:b/>
          <w:bCs/>
          <w:szCs w:val="24"/>
        </w:rPr>
        <w:t xml:space="preserve"> </w:t>
      </w:r>
      <w:r w:rsidRPr="00FD1578">
        <w:rPr>
          <w:rFonts w:cs="Times New Roman"/>
          <w:b/>
          <w:bCs/>
          <w:szCs w:val="24"/>
        </w:rPr>
        <w:t xml:space="preserve">2027. gadam </w:t>
      </w:r>
      <w:r w:rsidR="00843DA1">
        <w:rPr>
          <w:rFonts w:cs="Times New Roman"/>
          <w:b/>
          <w:bCs/>
          <w:szCs w:val="24"/>
        </w:rPr>
        <w:t>398,8</w:t>
      </w:r>
      <w:r w:rsidRPr="00FD1578">
        <w:rPr>
          <w:rFonts w:cs="Times New Roman"/>
          <w:b/>
          <w:bCs/>
          <w:szCs w:val="24"/>
        </w:rPr>
        <w:t xml:space="preserve"> milj. </w:t>
      </w:r>
      <w:proofErr w:type="spellStart"/>
      <w:r w:rsidRPr="00FD1578">
        <w:rPr>
          <w:rFonts w:cs="Times New Roman"/>
          <w:b/>
          <w:bCs/>
          <w:i/>
          <w:iCs/>
          <w:szCs w:val="24"/>
        </w:rPr>
        <w:t>euro</w:t>
      </w:r>
      <w:proofErr w:type="spellEnd"/>
      <w:r w:rsidRPr="00FD1578">
        <w:rPr>
          <w:rFonts w:cs="Times New Roman"/>
          <w:b/>
          <w:bCs/>
          <w:szCs w:val="24"/>
        </w:rPr>
        <w:t xml:space="preserve"> (</w:t>
      </w:r>
      <w:r w:rsidR="00843DA1">
        <w:rPr>
          <w:rFonts w:cs="Times New Roman"/>
          <w:b/>
          <w:bCs/>
          <w:szCs w:val="24"/>
        </w:rPr>
        <w:t>0,8</w:t>
      </w:r>
      <w:r w:rsidRPr="00FD1578">
        <w:rPr>
          <w:rFonts w:cs="Times New Roman"/>
          <w:b/>
          <w:bCs/>
          <w:szCs w:val="24"/>
        </w:rPr>
        <w:t>% no IKP)</w:t>
      </w:r>
      <w:r w:rsidR="005735FB">
        <w:rPr>
          <w:rFonts w:cs="Times New Roman"/>
          <w:b/>
          <w:bCs/>
          <w:szCs w:val="24"/>
        </w:rPr>
        <w:t xml:space="preserve"> </w:t>
      </w:r>
      <w:r w:rsidRPr="00FD1578">
        <w:rPr>
          <w:rFonts w:cs="Times New Roman"/>
          <w:b/>
          <w:bCs/>
          <w:szCs w:val="24"/>
        </w:rPr>
        <w:t xml:space="preserve">un 2028. gadam </w:t>
      </w:r>
      <w:r w:rsidR="00843DA1">
        <w:rPr>
          <w:rFonts w:cs="Times New Roman"/>
          <w:b/>
          <w:bCs/>
          <w:szCs w:val="24"/>
        </w:rPr>
        <w:t xml:space="preserve">334,8 </w:t>
      </w:r>
      <w:r w:rsidRPr="00FD1578">
        <w:rPr>
          <w:rFonts w:cs="Times New Roman"/>
          <w:b/>
          <w:bCs/>
          <w:szCs w:val="24"/>
        </w:rPr>
        <w:t xml:space="preserve">milj. </w:t>
      </w:r>
      <w:proofErr w:type="spellStart"/>
      <w:r w:rsidRPr="00FD1578">
        <w:rPr>
          <w:rFonts w:cs="Times New Roman"/>
          <w:b/>
          <w:bCs/>
          <w:i/>
          <w:iCs/>
          <w:szCs w:val="24"/>
        </w:rPr>
        <w:t>euro</w:t>
      </w:r>
      <w:proofErr w:type="spellEnd"/>
      <w:r w:rsidRPr="00FD1578">
        <w:rPr>
          <w:rFonts w:cs="Times New Roman"/>
          <w:b/>
          <w:bCs/>
          <w:szCs w:val="24"/>
        </w:rPr>
        <w:t xml:space="preserve"> (0,</w:t>
      </w:r>
      <w:r w:rsidR="00843DA1">
        <w:rPr>
          <w:rFonts w:cs="Times New Roman"/>
          <w:b/>
          <w:bCs/>
          <w:szCs w:val="24"/>
        </w:rPr>
        <w:t>6</w:t>
      </w:r>
      <w:r w:rsidRPr="00FD1578">
        <w:rPr>
          <w:rFonts w:cs="Times New Roman"/>
          <w:b/>
          <w:bCs/>
          <w:szCs w:val="24"/>
        </w:rPr>
        <w:t>% no IKP).</w:t>
      </w:r>
      <w:r w:rsidRPr="00FD1578">
        <w:rPr>
          <w:rFonts w:eastAsia="Times New Roman" w:cs="Times New Roman"/>
          <w:szCs w:val="24"/>
        </w:rPr>
        <w:t xml:space="preserve"> Ņemot vērā ierobežoto fiskālo telpu, papildus jau iepriekš piešķirtajam bāzes finansējumam, prioritāro pasākumu īstenošanai tiks izmantoti vairāki kompensējošie pasākumi</w:t>
      </w:r>
      <w:r w:rsidRPr="00FD1578">
        <w:rPr>
          <w:rFonts w:eastAsia="Times New Roman" w:cs="Times New Roman"/>
          <w:szCs w:val="24"/>
          <w:vertAlign w:val="superscript"/>
        </w:rPr>
        <w:footnoteReference w:id="31"/>
      </w:r>
      <w:r w:rsidRPr="00FD1578">
        <w:rPr>
          <w:rFonts w:eastAsia="Times New Roman" w:cs="Times New Roman"/>
          <w:szCs w:val="24"/>
        </w:rPr>
        <w:t xml:space="preserve">. Atšķirībā no finansējuma avotiem iepriekšējos divos budžeta ciklos, vairs netiek izmantoti finanšu līdzekļi ārpus fiskālās telpas. </w:t>
      </w:r>
    </w:p>
    <w:p w14:paraId="3DBB2BE7" w14:textId="16F3DE68" w:rsidR="0019451D" w:rsidRPr="00FD1578" w:rsidRDefault="00843DA1" w:rsidP="008349F0">
      <w:pPr>
        <w:shd w:val="clear" w:color="auto" w:fill="FFFFFF"/>
        <w:rPr>
          <w:rFonts w:eastAsia="Times New Roman" w:cs="Times New Roman"/>
          <w:szCs w:val="24"/>
        </w:rPr>
      </w:pPr>
      <w:r>
        <w:rPr>
          <w:rFonts w:eastAsia="Times New Roman" w:cs="Times New Roman"/>
          <w:szCs w:val="24"/>
        </w:rPr>
        <w:t>Vairāk kā</w:t>
      </w:r>
      <w:r w:rsidRPr="00FD1578">
        <w:rPr>
          <w:rFonts w:eastAsia="Times New Roman" w:cs="Times New Roman"/>
          <w:szCs w:val="24"/>
        </w:rPr>
        <w:t xml:space="preserve"> </w:t>
      </w:r>
      <w:r w:rsidR="008C3F0F" w:rsidRPr="00FD1578">
        <w:rPr>
          <w:rFonts w:eastAsia="Times New Roman" w:cs="Times New Roman"/>
          <w:szCs w:val="24"/>
        </w:rPr>
        <w:t>puse (</w:t>
      </w:r>
      <w:r>
        <w:rPr>
          <w:rFonts w:eastAsia="Times New Roman" w:cs="Times New Roman"/>
          <w:szCs w:val="24"/>
        </w:rPr>
        <w:t>57</w:t>
      </w:r>
      <w:r w:rsidR="008C3F0F" w:rsidRPr="00FD1578">
        <w:rPr>
          <w:rFonts w:eastAsia="Times New Roman" w:cs="Times New Roman"/>
          <w:szCs w:val="24"/>
        </w:rPr>
        <w:t>%)</w:t>
      </w:r>
      <w:r w:rsidR="00455212" w:rsidRPr="00FD1578">
        <w:rPr>
          <w:rFonts w:eastAsia="Times New Roman" w:cs="Times New Roman"/>
          <w:szCs w:val="24"/>
        </w:rPr>
        <w:t xml:space="preserve"> jeb </w:t>
      </w:r>
      <w:r w:rsidR="008C3F0F" w:rsidRPr="00FD1578">
        <w:rPr>
          <w:rFonts w:eastAsia="Times New Roman" w:cs="Times New Roman"/>
          <w:b/>
          <w:bCs/>
          <w:szCs w:val="24"/>
        </w:rPr>
        <w:t>864,5 milj.</w:t>
      </w:r>
      <w:r w:rsidR="00455212" w:rsidRPr="00FD1578">
        <w:rPr>
          <w:rFonts w:eastAsia="Times New Roman" w:cs="Times New Roman"/>
          <w:b/>
          <w:bCs/>
          <w:szCs w:val="24"/>
        </w:rPr>
        <w:t xml:space="preserve"> </w:t>
      </w:r>
      <w:proofErr w:type="spellStart"/>
      <w:r w:rsidR="00455212" w:rsidRPr="00FD1578">
        <w:rPr>
          <w:rFonts w:eastAsia="Times New Roman" w:cs="Times New Roman"/>
          <w:b/>
          <w:bCs/>
          <w:i/>
          <w:iCs/>
          <w:szCs w:val="24"/>
        </w:rPr>
        <w:t>euro</w:t>
      </w:r>
      <w:proofErr w:type="spellEnd"/>
      <w:r w:rsidR="00455212" w:rsidRPr="00FD1578">
        <w:rPr>
          <w:rFonts w:eastAsia="Times New Roman" w:cs="Times New Roman"/>
          <w:i/>
          <w:iCs/>
          <w:szCs w:val="24"/>
        </w:rPr>
        <w:t xml:space="preserve"> </w:t>
      </w:r>
      <w:r w:rsidR="00455212" w:rsidRPr="00FD1578">
        <w:rPr>
          <w:rFonts w:eastAsia="Times New Roman" w:cs="Times New Roman"/>
          <w:szCs w:val="24"/>
        </w:rPr>
        <w:t>no minētā finansējuma iezīmēt</w:t>
      </w:r>
      <w:r w:rsidR="00413B21" w:rsidRPr="00FD1578">
        <w:rPr>
          <w:rFonts w:eastAsia="Times New Roman" w:cs="Times New Roman"/>
          <w:szCs w:val="24"/>
        </w:rPr>
        <w:t>a vienīgajai</w:t>
      </w:r>
      <w:r w:rsidR="00455212" w:rsidRPr="00FD1578">
        <w:rPr>
          <w:rFonts w:eastAsia="Times New Roman" w:cs="Times New Roman"/>
          <w:szCs w:val="24"/>
        </w:rPr>
        <w:t xml:space="preserve"> </w:t>
      </w:r>
      <w:r w:rsidR="00455212" w:rsidRPr="00FD1578">
        <w:rPr>
          <w:rFonts w:eastAsia="Times New Roman" w:cs="Times New Roman"/>
          <w:b/>
          <w:bCs/>
          <w:szCs w:val="24"/>
        </w:rPr>
        <w:t>vidēja termiņa budžeta prioritāt</w:t>
      </w:r>
      <w:r w:rsidR="008C3F0F" w:rsidRPr="00FD1578">
        <w:rPr>
          <w:rFonts w:eastAsia="Times New Roman" w:cs="Times New Roman"/>
          <w:b/>
          <w:bCs/>
          <w:szCs w:val="24"/>
        </w:rPr>
        <w:t>ei – drošībai</w:t>
      </w:r>
      <w:r w:rsidR="00166096" w:rsidRPr="00FD1578">
        <w:rPr>
          <w:rFonts w:eastAsia="Times New Roman" w:cs="Times New Roman"/>
          <w:szCs w:val="24"/>
        </w:rPr>
        <w:t xml:space="preserve">, t.sk. </w:t>
      </w:r>
      <w:r w:rsidR="008C3F0F" w:rsidRPr="00FD1578">
        <w:rPr>
          <w:rFonts w:eastAsia="Times New Roman" w:cs="Times New Roman"/>
          <w:szCs w:val="24"/>
        </w:rPr>
        <w:t>284,3</w:t>
      </w:r>
      <w:r w:rsidR="00166096" w:rsidRPr="00FD1578">
        <w:rPr>
          <w:rFonts w:eastAsia="Times New Roman" w:cs="Times New Roman"/>
          <w:szCs w:val="24"/>
        </w:rPr>
        <w:t xml:space="preserve"> milj. </w:t>
      </w:r>
      <w:proofErr w:type="spellStart"/>
      <w:r w:rsidR="00166096" w:rsidRPr="00FD1578">
        <w:rPr>
          <w:rFonts w:eastAsia="Times New Roman" w:cs="Times New Roman"/>
          <w:i/>
          <w:iCs/>
          <w:szCs w:val="24"/>
        </w:rPr>
        <w:t>euro</w:t>
      </w:r>
      <w:proofErr w:type="spellEnd"/>
      <w:r w:rsidR="00166096" w:rsidRPr="00FD1578">
        <w:rPr>
          <w:rFonts w:eastAsia="Times New Roman" w:cs="Times New Roman"/>
          <w:szCs w:val="24"/>
        </w:rPr>
        <w:t xml:space="preserve"> 202</w:t>
      </w:r>
      <w:r w:rsidR="008C3F0F" w:rsidRPr="00FD1578">
        <w:rPr>
          <w:rFonts w:eastAsia="Times New Roman" w:cs="Times New Roman"/>
          <w:szCs w:val="24"/>
        </w:rPr>
        <w:t>5</w:t>
      </w:r>
      <w:r w:rsidR="00166096" w:rsidRPr="00FD1578">
        <w:rPr>
          <w:rFonts w:eastAsia="Times New Roman" w:cs="Times New Roman"/>
          <w:szCs w:val="24"/>
        </w:rPr>
        <w:t>.</w:t>
      </w:r>
      <w:r w:rsidR="00DC6265" w:rsidRPr="00FD1578">
        <w:rPr>
          <w:rFonts w:eastAsia="Times New Roman" w:cs="Times New Roman"/>
          <w:szCs w:val="24"/>
        </w:rPr>
        <w:t xml:space="preserve"> </w:t>
      </w:r>
      <w:r w:rsidR="00166096" w:rsidRPr="00FD1578">
        <w:rPr>
          <w:rFonts w:eastAsia="Times New Roman" w:cs="Times New Roman"/>
          <w:szCs w:val="24"/>
        </w:rPr>
        <w:t>gada</w:t>
      </w:r>
      <w:r w:rsidR="00C030DA" w:rsidRPr="00FD1578">
        <w:rPr>
          <w:rFonts w:eastAsia="Times New Roman" w:cs="Times New Roman"/>
          <w:szCs w:val="24"/>
        </w:rPr>
        <w:t>m</w:t>
      </w:r>
      <w:r w:rsidR="00166096" w:rsidRPr="00FD1578">
        <w:rPr>
          <w:rFonts w:eastAsia="Times New Roman" w:cs="Times New Roman"/>
          <w:szCs w:val="24"/>
        </w:rPr>
        <w:t xml:space="preserve"> (</w:t>
      </w:r>
      <w:r w:rsidR="008C3F0F" w:rsidRPr="00FD1578">
        <w:rPr>
          <w:rFonts w:eastAsia="Times New Roman" w:cs="Times New Roman"/>
          <w:szCs w:val="24"/>
        </w:rPr>
        <w:t>0,6</w:t>
      </w:r>
      <w:r w:rsidR="00166096" w:rsidRPr="00FD1578">
        <w:rPr>
          <w:rFonts w:eastAsia="Times New Roman" w:cs="Times New Roman"/>
          <w:szCs w:val="24"/>
        </w:rPr>
        <w:t xml:space="preserve">% no IKP), </w:t>
      </w:r>
      <w:r w:rsidR="008C3F0F" w:rsidRPr="00FD1578">
        <w:rPr>
          <w:rFonts w:eastAsia="Times New Roman" w:cs="Times New Roman"/>
          <w:szCs w:val="24"/>
        </w:rPr>
        <w:t>221,1</w:t>
      </w:r>
      <w:r w:rsidR="00166096" w:rsidRPr="00FD1578">
        <w:rPr>
          <w:rFonts w:eastAsia="Times New Roman" w:cs="Times New Roman"/>
          <w:szCs w:val="24"/>
        </w:rPr>
        <w:t xml:space="preserve"> milj. </w:t>
      </w:r>
      <w:proofErr w:type="spellStart"/>
      <w:r w:rsidR="00166096" w:rsidRPr="00FD1578">
        <w:rPr>
          <w:rFonts w:eastAsia="Times New Roman" w:cs="Times New Roman"/>
          <w:i/>
          <w:iCs/>
          <w:szCs w:val="24"/>
        </w:rPr>
        <w:t>euro</w:t>
      </w:r>
      <w:proofErr w:type="spellEnd"/>
      <w:r w:rsidR="00166096" w:rsidRPr="00FD1578">
        <w:rPr>
          <w:rFonts w:eastAsia="Times New Roman" w:cs="Times New Roman"/>
          <w:szCs w:val="24"/>
        </w:rPr>
        <w:t xml:space="preserve"> (</w:t>
      </w:r>
      <w:r w:rsidR="008C3F0F" w:rsidRPr="00FD1578">
        <w:rPr>
          <w:rFonts w:eastAsia="Times New Roman" w:cs="Times New Roman"/>
          <w:szCs w:val="24"/>
        </w:rPr>
        <w:t>0,5</w:t>
      </w:r>
      <w:r w:rsidR="00166096" w:rsidRPr="00FD1578">
        <w:rPr>
          <w:rFonts w:eastAsia="Times New Roman" w:cs="Times New Roman"/>
          <w:szCs w:val="24"/>
        </w:rPr>
        <w:t>% no IKP)</w:t>
      </w:r>
      <w:r w:rsidR="00C030DA" w:rsidRPr="00FD1578">
        <w:rPr>
          <w:rFonts w:eastAsia="Times New Roman" w:cs="Times New Roman"/>
          <w:szCs w:val="24"/>
        </w:rPr>
        <w:t xml:space="preserve"> 202</w:t>
      </w:r>
      <w:r w:rsidR="008C3F0F" w:rsidRPr="00FD1578">
        <w:rPr>
          <w:rFonts w:eastAsia="Times New Roman" w:cs="Times New Roman"/>
          <w:szCs w:val="24"/>
        </w:rPr>
        <w:t>6</w:t>
      </w:r>
      <w:r w:rsidR="00C030DA" w:rsidRPr="00FD1578">
        <w:rPr>
          <w:rFonts w:eastAsia="Times New Roman" w:cs="Times New Roman"/>
          <w:szCs w:val="24"/>
        </w:rPr>
        <w:t>.</w:t>
      </w:r>
      <w:r w:rsidR="00811382" w:rsidRPr="00FD1578">
        <w:rPr>
          <w:rFonts w:eastAsia="Times New Roman" w:cs="Times New Roman"/>
          <w:szCs w:val="24"/>
        </w:rPr>
        <w:t xml:space="preserve"> </w:t>
      </w:r>
      <w:r w:rsidR="00C030DA" w:rsidRPr="00FD1578">
        <w:rPr>
          <w:rFonts w:eastAsia="Times New Roman" w:cs="Times New Roman"/>
          <w:szCs w:val="24"/>
        </w:rPr>
        <w:t>gadam</w:t>
      </w:r>
      <w:r w:rsidR="008C3F0F" w:rsidRPr="00FD1578">
        <w:rPr>
          <w:rFonts w:eastAsia="Times New Roman" w:cs="Times New Roman"/>
          <w:szCs w:val="24"/>
        </w:rPr>
        <w:t>, 210,8</w:t>
      </w:r>
      <w:r w:rsidR="00166096" w:rsidRPr="00FD1578">
        <w:rPr>
          <w:rFonts w:eastAsia="Times New Roman" w:cs="Times New Roman"/>
          <w:szCs w:val="24"/>
        </w:rPr>
        <w:t xml:space="preserve"> milj. </w:t>
      </w:r>
      <w:proofErr w:type="spellStart"/>
      <w:r w:rsidR="00166096" w:rsidRPr="00FD1578">
        <w:rPr>
          <w:rFonts w:eastAsia="Times New Roman" w:cs="Times New Roman"/>
          <w:i/>
          <w:iCs/>
          <w:szCs w:val="24"/>
        </w:rPr>
        <w:t>euro</w:t>
      </w:r>
      <w:proofErr w:type="spellEnd"/>
      <w:r w:rsidR="00166096" w:rsidRPr="00FD1578">
        <w:rPr>
          <w:rFonts w:eastAsia="Times New Roman" w:cs="Times New Roman"/>
          <w:szCs w:val="24"/>
        </w:rPr>
        <w:t xml:space="preserve"> (</w:t>
      </w:r>
      <w:r w:rsidR="008C3F0F" w:rsidRPr="00FD1578">
        <w:rPr>
          <w:rFonts w:eastAsia="Times New Roman" w:cs="Times New Roman"/>
          <w:szCs w:val="24"/>
        </w:rPr>
        <w:t>0,4</w:t>
      </w:r>
      <w:r w:rsidR="00166096" w:rsidRPr="00FD1578">
        <w:rPr>
          <w:rFonts w:eastAsia="Times New Roman" w:cs="Times New Roman"/>
          <w:szCs w:val="24"/>
        </w:rPr>
        <w:t>% no IKP)</w:t>
      </w:r>
      <w:r w:rsidR="00C030DA" w:rsidRPr="00FD1578">
        <w:rPr>
          <w:rFonts w:eastAsia="Times New Roman" w:cs="Times New Roman"/>
          <w:szCs w:val="24"/>
        </w:rPr>
        <w:t xml:space="preserve"> 202</w:t>
      </w:r>
      <w:r w:rsidR="008C3F0F" w:rsidRPr="00FD1578">
        <w:rPr>
          <w:rFonts w:eastAsia="Times New Roman" w:cs="Times New Roman"/>
          <w:szCs w:val="24"/>
        </w:rPr>
        <w:t>7</w:t>
      </w:r>
      <w:r w:rsidR="00C030DA" w:rsidRPr="00FD1578">
        <w:rPr>
          <w:rFonts w:eastAsia="Times New Roman" w:cs="Times New Roman"/>
          <w:szCs w:val="24"/>
        </w:rPr>
        <w:t>.</w:t>
      </w:r>
      <w:r w:rsidR="003509CE" w:rsidRPr="00FD1578">
        <w:rPr>
          <w:rFonts w:eastAsia="Times New Roman" w:cs="Times New Roman"/>
          <w:szCs w:val="24"/>
        </w:rPr>
        <w:t xml:space="preserve"> </w:t>
      </w:r>
      <w:r w:rsidR="00C030DA" w:rsidRPr="00FD1578">
        <w:rPr>
          <w:rFonts w:eastAsia="Times New Roman" w:cs="Times New Roman"/>
          <w:szCs w:val="24"/>
        </w:rPr>
        <w:t>gadam</w:t>
      </w:r>
      <w:r w:rsidR="008C3F0F" w:rsidRPr="00FD1578">
        <w:rPr>
          <w:rFonts w:eastAsia="Times New Roman" w:cs="Times New Roman"/>
          <w:szCs w:val="24"/>
        </w:rPr>
        <w:t xml:space="preserve"> un 148,2 milj. </w:t>
      </w:r>
      <w:proofErr w:type="spellStart"/>
      <w:r w:rsidR="008C3F0F" w:rsidRPr="00FD1578">
        <w:rPr>
          <w:rFonts w:eastAsia="Times New Roman" w:cs="Times New Roman"/>
          <w:i/>
          <w:iCs/>
          <w:szCs w:val="24"/>
        </w:rPr>
        <w:t>euro</w:t>
      </w:r>
      <w:proofErr w:type="spellEnd"/>
      <w:r w:rsidR="008C3F0F" w:rsidRPr="00FD1578">
        <w:rPr>
          <w:rFonts w:eastAsia="Times New Roman" w:cs="Times New Roman"/>
          <w:i/>
          <w:iCs/>
          <w:szCs w:val="24"/>
        </w:rPr>
        <w:t xml:space="preserve"> </w:t>
      </w:r>
      <w:r w:rsidR="008C3F0F" w:rsidRPr="00FD1578">
        <w:rPr>
          <w:rFonts w:eastAsia="Times New Roman" w:cs="Times New Roman"/>
          <w:szCs w:val="24"/>
        </w:rPr>
        <w:t>2028. gadam (0,3% no IKP)</w:t>
      </w:r>
      <w:r w:rsidR="00166096" w:rsidRPr="00FD1578">
        <w:rPr>
          <w:rFonts w:eastAsia="Times New Roman" w:cs="Times New Roman"/>
          <w:szCs w:val="24"/>
        </w:rPr>
        <w:t>.</w:t>
      </w:r>
      <w:r w:rsidR="00B34FDF" w:rsidRPr="00FD1578">
        <w:rPr>
          <w:rFonts w:eastAsia="Times New Roman" w:cs="Times New Roman"/>
          <w:szCs w:val="24"/>
        </w:rPr>
        <w:t xml:space="preserve"> </w:t>
      </w:r>
    </w:p>
    <w:bookmarkEnd w:id="68"/>
    <w:p w14:paraId="3AE75415" w14:textId="365F9984" w:rsidR="005C20A7" w:rsidRPr="00FD1578" w:rsidRDefault="005C20A7" w:rsidP="008349F0">
      <w:pPr>
        <w:shd w:val="clear" w:color="auto" w:fill="FFFFFF"/>
        <w:ind w:firstLine="0"/>
        <w:jc w:val="center"/>
        <w:rPr>
          <w:rFonts w:eastAsia="Times New Roman" w:cs="Times New Roman"/>
          <w:szCs w:val="24"/>
          <w:highlight w:val="lightGray"/>
        </w:rPr>
      </w:pPr>
    </w:p>
    <w:p w14:paraId="5CD90701" w14:textId="1B443312" w:rsidR="003F3FCD" w:rsidRPr="00FD1578" w:rsidRDefault="000548A5" w:rsidP="008349F0">
      <w:pPr>
        <w:pStyle w:val="Heading3"/>
        <w:numPr>
          <w:ilvl w:val="0"/>
          <w:numId w:val="0"/>
        </w:numPr>
        <w:ind w:left="993" w:hanging="567"/>
      </w:pPr>
      <w:bookmarkStart w:id="69" w:name="_Toc179356092"/>
      <w:bookmarkEnd w:id="67"/>
      <w:r w:rsidRPr="00FD1578">
        <w:t>2.3.1. Politikas pasākumi vidēja termiņa budžeta prioritāro attīstības virzienu īstenošanā</w:t>
      </w:r>
      <w:bookmarkEnd w:id="69"/>
    </w:p>
    <w:p w14:paraId="64BC8E76" w14:textId="10BC0FE4" w:rsidR="00AB40FA" w:rsidRPr="00FD1578" w:rsidRDefault="00AB40FA" w:rsidP="008349F0">
      <w:pPr>
        <w:widowControl w:val="0"/>
        <w:spacing w:before="240" w:after="240"/>
        <w:ind w:firstLine="0"/>
        <w:jc w:val="center"/>
        <w:rPr>
          <w:rFonts w:eastAsia="Times New Roman" w:cs="Times New Roman"/>
          <w:b/>
          <w:sz w:val="28"/>
          <w:szCs w:val="28"/>
        </w:rPr>
      </w:pPr>
      <w:bookmarkStart w:id="70" w:name="_Hlk83804472"/>
      <w:r w:rsidRPr="00FD1578">
        <w:rPr>
          <w:rFonts w:eastAsia="Times New Roman" w:cs="Times New Roman"/>
          <w:b/>
          <w:sz w:val="28"/>
          <w:szCs w:val="28"/>
        </w:rPr>
        <w:t>Drošība</w:t>
      </w:r>
      <w:r w:rsidR="008309DF" w:rsidRPr="00FD1578">
        <w:rPr>
          <w:rFonts w:eastAsia="Times New Roman" w:cs="Times New Roman"/>
          <w:b/>
          <w:bCs/>
          <w:szCs w:val="24"/>
        </w:rPr>
        <w:t xml:space="preserve"> </w:t>
      </w:r>
    </w:p>
    <w:p w14:paraId="0DE85913" w14:textId="2E56BBE1" w:rsidR="00421A3B" w:rsidRPr="00FD1578" w:rsidRDefault="00A84ECE" w:rsidP="008349F0">
      <w:r w:rsidRPr="00FD1578">
        <w:t xml:space="preserve">Ieejot ilgstošā fāzē </w:t>
      </w:r>
      <w:r w:rsidR="00AB40FA" w:rsidRPr="00FD1578">
        <w:t xml:space="preserve">Krievijas militārā agresija Ukrainā </w:t>
      </w:r>
      <w:r w:rsidR="001C77C1" w:rsidRPr="00FD1578">
        <w:t>rad</w:t>
      </w:r>
      <w:r w:rsidR="00100BDF" w:rsidRPr="00FD1578">
        <w:t>īja</w:t>
      </w:r>
      <w:r w:rsidR="001C77C1" w:rsidRPr="00FD1578">
        <w:t xml:space="preserve"> nepieciešamību pēc </w:t>
      </w:r>
      <w:r w:rsidR="00D92979" w:rsidRPr="00FD1578">
        <w:t xml:space="preserve">turpmākas </w:t>
      </w:r>
      <w:r w:rsidR="00AB40FA" w:rsidRPr="00FD1578">
        <w:t xml:space="preserve">drošības </w:t>
      </w:r>
      <w:r w:rsidR="001C77C1" w:rsidRPr="00FD1578">
        <w:t>līmeņa stiprināšanas</w:t>
      </w:r>
      <w:r w:rsidR="00D92979" w:rsidRPr="00FD1578">
        <w:t xml:space="preserve"> un paaugstināšanas</w:t>
      </w:r>
      <w:r w:rsidR="004069EA" w:rsidRPr="00FD1578">
        <w:t xml:space="preserve">, </w:t>
      </w:r>
      <w:r w:rsidR="00AB40FA" w:rsidRPr="00FD1578">
        <w:t>valdības Deklarācijā drošība ir izvirzīta par vienu no galvenajām prioritātēm</w:t>
      </w:r>
      <w:r w:rsidR="00CB1F11" w:rsidRPr="00FD1578">
        <w:t xml:space="preserve"> un likumprojektā “Par valsts budžetu 2025. gadam un budžeta ietvaru 2025., 2026. un 2027. gadam” jau trešo gadu pēc kārtas tiek noteikta par Latvijas fiskālās politikas specifisko mērķi, jeb </w:t>
      </w:r>
      <w:r w:rsidR="00CB1F11" w:rsidRPr="00FD1578">
        <w:rPr>
          <w:b/>
          <w:bCs/>
        </w:rPr>
        <w:t>vidēja termiņa budžeta politikas prioritāro attīstības virzienu</w:t>
      </w:r>
      <w:r w:rsidR="00AB40FA" w:rsidRPr="00FD1578">
        <w:t xml:space="preserve">. </w:t>
      </w:r>
      <w:bookmarkStart w:id="71" w:name="_Hlk124375150"/>
    </w:p>
    <w:p w14:paraId="70542BF4" w14:textId="026903A5" w:rsidR="001C69C3" w:rsidRPr="00FD1578" w:rsidRDefault="001C69C3" w:rsidP="008349F0">
      <w:r w:rsidRPr="00FD1578">
        <w:lastRenderedPageBreak/>
        <w:t>Drošības joma aptver ne tikai aizsardzību pret ārējiem riskiem, bet arī iekšējo drošības risku</w:t>
      </w:r>
      <w:r w:rsidR="00E537F0" w:rsidRPr="00FD1578">
        <w:t xml:space="preserve"> </w:t>
      </w:r>
      <w:r w:rsidRPr="00FD1578">
        <w:t xml:space="preserve">risināšanu, nodrošinot dienestus ar nepieciešamajiem resursiem to kapacitātes stiprināšanai. </w:t>
      </w:r>
    </w:p>
    <w:p w14:paraId="70D62B45" w14:textId="3D96A8F0" w:rsidR="00B430A8" w:rsidRPr="00C8255D" w:rsidRDefault="00BB2BBA" w:rsidP="008349F0">
      <w:r w:rsidRPr="00FD1578">
        <w:t>Kā</w:t>
      </w:r>
      <w:r w:rsidR="00D24F24" w:rsidRPr="00FD1578">
        <w:t xml:space="preserve"> </w:t>
      </w:r>
      <w:r w:rsidR="00331973" w:rsidRPr="00FD1578">
        <w:t xml:space="preserve">liecina </w:t>
      </w:r>
      <w:proofErr w:type="spellStart"/>
      <w:r w:rsidR="00331973" w:rsidRPr="00FD1578">
        <w:rPr>
          <w:i/>
          <w:iCs/>
        </w:rPr>
        <w:t>Eurostat</w:t>
      </w:r>
      <w:proofErr w:type="spellEnd"/>
      <w:r w:rsidR="00331973" w:rsidRPr="00FD1578">
        <w:t xml:space="preserve"> dati</w:t>
      </w:r>
      <w:r w:rsidR="00331973" w:rsidRPr="00FD1578">
        <w:rPr>
          <w:rStyle w:val="FootnoteReference"/>
        </w:rPr>
        <w:footnoteReference w:id="32"/>
      </w:r>
      <w:r w:rsidR="00331973" w:rsidRPr="00FD1578">
        <w:t xml:space="preserve"> </w:t>
      </w:r>
      <w:r w:rsidR="00A60BE8" w:rsidRPr="00FD1578">
        <w:t xml:space="preserve">Latvijā </w:t>
      </w:r>
      <w:r w:rsidR="00331973" w:rsidRPr="00FD1578">
        <w:t>vispārējās valdības izdevumi</w:t>
      </w:r>
      <w:r w:rsidRPr="00FD1578">
        <w:t>em</w:t>
      </w:r>
      <w:r w:rsidR="00331973" w:rsidRPr="00FD1578">
        <w:t xml:space="preserve"> aizsardzībai</w:t>
      </w:r>
      <w:r w:rsidR="0033167E" w:rsidRPr="00FD1578">
        <w:t xml:space="preserve"> (kas iekļauj sevī izdevumus militārai aizsardzībai, civilai aizsardzībai, ārvalstu militārās palīdzības izdevumus, izdevumus pētniecībai un attīstībai aizsardzības jomā un citus)</w:t>
      </w:r>
      <w:r w:rsidR="00331973" w:rsidRPr="00FD1578">
        <w:t xml:space="preserve"> 202</w:t>
      </w:r>
      <w:r w:rsidRPr="00FD1578">
        <w:t>2</w:t>
      </w:r>
      <w:r w:rsidR="00331973" w:rsidRPr="00FD1578">
        <w:t xml:space="preserve">. gadā </w:t>
      </w:r>
      <w:r w:rsidRPr="00FD1578">
        <w:t xml:space="preserve">bija trešais augstākais rādītājs ES dalībvalstu vidū un </w:t>
      </w:r>
      <w:r w:rsidR="00331973" w:rsidRPr="00FD1578">
        <w:t>sasniedza 2,</w:t>
      </w:r>
      <w:r w:rsidRPr="00FD1578">
        <w:t>2</w:t>
      </w:r>
      <w:r w:rsidR="00331973" w:rsidRPr="00FD1578">
        <w:t>% no IKP (</w:t>
      </w:r>
      <w:r w:rsidR="00331973" w:rsidRPr="000147E7">
        <w:t>skat 2.</w:t>
      </w:r>
      <w:r w:rsidR="000147E7" w:rsidRPr="000147E7">
        <w:t>3</w:t>
      </w:r>
      <w:r w:rsidR="00331973" w:rsidRPr="000147E7">
        <w:t>.</w:t>
      </w:r>
      <w:r w:rsidR="00331973" w:rsidRPr="00FD1578">
        <w:t xml:space="preserve"> attēlu). Lielāki izdevumi aizsardzībai bija tikai Grieķijā, kur tie sasniedza 2,</w:t>
      </w:r>
      <w:r w:rsidRPr="00FD1578">
        <w:t>6</w:t>
      </w:r>
      <w:r w:rsidR="00331973" w:rsidRPr="00FD1578">
        <w:t xml:space="preserve">% no IKP. Aizsardzības kapacitātes </w:t>
      </w:r>
      <w:r w:rsidR="0033167E" w:rsidRPr="00FD1578">
        <w:t>stiprināšana ir prioritāt</w:t>
      </w:r>
      <w:r w:rsidR="00B430A8" w:rsidRPr="00FD1578">
        <w:t>e</w:t>
      </w:r>
      <w:r w:rsidR="0033167E" w:rsidRPr="00FD1578">
        <w:t xml:space="preserve"> visās Baltijas valstīs</w:t>
      </w:r>
      <w:r w:rsidRPr="00FD1578">
        <w:t>. I</w:t>
      </w:r>
      <w:r w:rsidR="00B430A8" w:rsidRPr="00FD1578">
        <w:t>zdevumu apjoms konkrēt</w:t>
      </w:r>
      <w:r w:rsidR="00CC1804" w:rsidRPr="00FD1578">
        <w:t>aj</w:t>
      </w:r>
      <w:r w:rsidR="00B430A8" w:rsidRPr="00FD1578">
        <w:t xml:space="preserve">ā gadā </w:t>
      </w:r>
      <w:r w:rsidR="00CC1804" w:rsidRPr="00FD1578">
        <w:t xml:space="preserve">Igaunijā </w:t>
      </w:r>
      <w:r w:rsidR="00B430A8" w:rsidRPr="00FD1578">
        <w:t xml:space="preserve">ir </w:t>
      </w:r>
      <w:r w:rsidR="00CC1804" w:rsidRPr="00FD1578">
        <w:t xml:space="preserve">bijis </w:t>
      </w:r>
      <w:r w:rsidRPr="00FD1578">
        <w:t>līdzvērtīgs</w:t>
      </w:r>
      <w:r w:rsidR="00CC1804" w:rsidRPr="00FD1578">
        <w:t xml:space="preserve"> </w:t>
      </w:r>
      <w:r w:rsidR="00B430A8" w:rsidRPr="00FD1578">
        <w:t>2,</w:t>
      </w:r>
      <w:r w:rsidRPr="00FD1578">
        <w:t>2</w:t>
      </w:r>
      <w:r w:rsidR="00B430A8" w:rsidRPr="00FD1578">
        <w:t xml:space="preserve">% no IKP, Lietuvā </w:t>
      </w:r>
      <w:r w:rsidRPr="00FD1578">
        <w:t xml:space="preserve">tikai </w:t>
      </w:r>
      <w:r w:rsidR="00CC1804" w:rsidRPr="00FD1578">
        <w:t xml:space="preserve">nedaudz zemāks </w:t>
      </w:r>
      <w:r w:rsidRPr="00FD1578">
        <w:t>–</w:t>
      </w:r>
      <w:r w:rsidR="00CC1804" w:rsidRPr="00FD1578">
        <w:t xml:space="preserve"> </w:t>
      </w:r>
      <w:r w:rsidRPr="00FD1578">
        <w:t>2,1</w:t>
      </w:r>
      <w:r w:rsidR="00B430A8" w:rsidRPr="00FD1578">
        <w:t>% no IKP apmērā.</w:t>
      </w:r>
      <w:r w:rsidR="005735FB">
        <w:t xml:space="preserve"> </w:t>
      </w:r>
    </w:p>
    <w:p w14:paraId="6B1F87E6" w14:textId="4FAFA598" w:rsidR="009D6965" w:rsidRPr="00FD1578" w:rsidRDefault="009D6965" w:rsidP="008349F0">
      <w:pPr>
        <w:ind w:firstLine="0"/>
        <w:jc w:val="center"/>
        <w:rPr>
          <w:highlight w:val="lightGray"/>
        </w:rPr>
      </w:pPr>
      <w:r w:rsidRPr="00FD1578">
        <w:rPr>
          <w:noProof/>
        </w:rPr>
        <w:drawing>
          <wp:inline distT="0" distB="0" distL="0" distR="0" wp14:anchorId="207096B5" wp14:editId="79C000E3">
            <wp:extent cx="4691270" cy="2361565"/>
            <wp:effectExtent l="0" t="0" r="0" b="635"/>
            <wp:docPr id="1894451295" name="Picture 1" descr="A graph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451295" name="Picture 1" descr="A graph with numbers and text&#10;&#10;Description automatically generated"/>
                    <pic:cNvPicPr/>
                  </pic:nvPicPr>
                  <pic:blipFill rotWithShape="1">
                    <a:blip r:embed="rId40"/>
                    <a:srcRect r="1636"/>
                    <a:stretch/>
                  </pic:blipFill>
                  <pic:spPr bwMode="auto">
                    <a:xfrm>
                      <a:off x="0" y="0"/>
                      <a:ext cx="4705891" cy="2368925"/>
                    </a:xfrm>
                    <a:prstGeom prst="rect">
                      <a:avLst/>
                    </a:prstGeom>
                    <a:ln>
                      <a:noFill/>
                    </a:ln>
                    <a:extLst>
                      <a:ext uri="{53640926-AAD7-44D8-BBD7-CCE9431645EC}">
                        <a14:shadowObscured xmlns:a14="http://schemas.microsoft.com/office/drawing/2010/main"/>
                      </a:ext>
                    </a:extLst>
                  </pic:spPr>
                </pic:pic>
              </a:graphicData>
            </a:graphic>
          </wp:inline>
        </w:drawing>
      </w:r>
    </w:p>
    <w:p w14:paraId="34AFC0CF" w14:textId="28BFCC1B" w:rsidR="00331973" w:rsidRPr="00FD1578" w:rsidRDefault="00331973" w:rsidP="008349F0">
      <w:pPr>
        <w:spacing w:after="0"/>
        <w:ind w:firstLine="0"/>
        <w:jc w:val="center"/>
        <w:rPr>
          <w:b/>
          <w:bCs/>
          <w:i/>
          <w:iCs/>
        </w:rPr>
      </w:pPr>
      <w:r w:rsidRPr="000147E7">
        <w:rPr>
          <w:rFonts w:cs="Times New Roman"/>
          <w:b/>
          <w:bCs/>
          <w:i/>
          <w:iCs/>
          <w:szCs w:val="24"/>
        </w:rPr>
        <w:t>2.</w:t>
      </w:r>
      <w:r w:rsidR="000147E7" w:rsidRPr="000147E7">
        <w:rPr>
          <w:rFonts w:cs="Times New Roman"/>
          <w:b/>
          <w:bCs/>
          <w:i/>
          <w:iCs/>
          <w:szCs w:val="24"/>
        </w:rPr>
        <w:t>3</w:t>
      </w:r>
      <w:r w:rsidRPr="000147E7">
        <w:rPr>
          <w:rFonts w:cs="Times New Roman"/>
          <w:b/>
          <w:bCs/>
          <w:i/>
          <w:iCs/>
          <w:szCs w:val="24"/>
        </w:rPr>
        <w:t>. att.</w:t>
      </w:r>
      <w:r w:rsidRPr="00FD1578">
        <w:rPr>
          <w:rFonts w:cs="Times New Roman"/>
          <w:b/>
          <w:bCs/>
          <w:i/>
          <w:iCs/>
          <w:szCs w:val="24"/>
        </w:rPr>
        <w:t xml:space="preserve"> </w:t>
      </w:r>
      <w:r w:rsidRPr="00FD1578">
        <w:rPr>
          <w:b/>
          <w:bCs/>
          <w:i/>
          <w:iCs/>
        </w:rPr>
        <w:t>Vispārējās valdības budžeta izdevumi aizsardzībai atbilstoši funkcionālajām kategorijām 202</w:t>
      </w:r>
      <w:r w:rsidR="00BB2BBA" w:rsidRPr="00FD1578">
        <w:rPr>
          <w:b/>
          <w:bCs/>
          <w:i/>
          <w:iCs/>
        </w:rPr>
        <w:t>2</w:t>
      </w:r>
      <w:r w:rsidRPr="00FD1578">
        <w:rPr>
          <w:b/>
          <w:bCs/>
          <w:i/>
          <w:iCs/>
        </w:rPr>
        <w:t>.gadā, % no IKP</w:t>
      </w:r>
    </w:p>
    <w:p w14:paraId="37CDB2CA" w14:textId="0D56762A" w:rsidR="00BB2BBA" w:rsidRPr="00FD1578" w:rsidRDefault="00BB2BBA" w:rsidP="008349F0">
      <w:pPr>
        <w:widowControl w:val="0"/>
      </w:pPr>
    </w:p>
    <w:p w14:paraId="3861C6A8" w14:textId="39302BE4" w:rsidR="00413B21" w:rsidRPr="00FD1578" w:rsidRDefault="00946035" w:rsidP="008349F0">
      <w:pPr>
        <w:widowControl w:val="0"/>
      </w:pPr>
      <w:r>
        <w:t>FM</w:t>
      </w:r>
      <w:r w:rsidR="009D6965" w:rsidRPr="00FD1578">
        <w:t xml:space="preserve"> Latvijas Stabilitātes programmas 2024. – 2028. gadam ietvaros </w:t>
      </w:r>
      <w:r w:rsidR="00085786" w:rsidRPr="00FD1578">
        <w:t>prognozēja</w:t>
      </w:r>
      <w:r w:rsidR="009D6965" w:rsidRPr="00FD1578">
        <w:t xml:space="preserve"> šīs izdevumu pozīcijas pieaugumu līdz 3,7% no IKP 2028. gadā, ņemot vērā ievērojamo papildus finansējumu, kas iezīmēts aizsardzības nozarei likumos “Par valsts budžetu 2023. gadam un budžeta ietvaru 2023., 2024. un 2025. gadam” un “Par valsts budžetu 2024. gadam un budžeta ietvaru 2024., 2025. un 2026. gadam”.</w:t>
      </w:r>
      <w:r w:rsidR="005735FB">
        <w:t xml:space="preserve"> </w:t>
      </w:r>
      <w:r w:rsidR="00E64117" w:rsidRPr="00FD1578">
        <w:t xml:space="preserve">Tajā pašā laikā Latvijas izdevumu funkcionālajā kategorijā </w:t>
      </w:r>
      <w:r w:rsidR="00E64117" w:rsidRPr="00FD1578">
        <w:rPr>
          <w:i/>
          <w:iCs/>
        </w:rPr>
        <w:t>Sabiedriskā kārtība un drošība</w:t>
      </w:r>
      <w:r w:rsidR="00E64117" w:rsidRPr="00FD1578">
        <w:t>, kur iekļauj izdevumus attiecībā uz policijas un ugunsdrošības dienestiem, tiesām, cietumiem, ar sabiedrisko kārtību un drošību saistītajai pētniecībai un attīstībai un citus, apmērs 2022. gadā aprēķināts 2,0% no IKP</w:t>
      </w:r>
      <w:r w:rsidR="00F95F16" w:rsidRPr="00FD1578">
        <w:t xml:space="preserve"> (skat. 2.</w:t>
      </w:r>
      <w:r w:rsidR="000147E7">
        <w:t>4</w:t>
      </w:r>
      <w:r w:rsidR="00F95F16" w:rsidRPr="00FD1578">
        <w:t xml:space="preserve"> attēlu), kas ir nedaudz augstāks par ES vidējo rādītāju (1,7% no IKP). </w:t>
      </w:r>
      <w:r w:rsidR="00E64117" w:rsidRPr="00FD1578">
        <w:t xml:space="preserve">Latvijas Stabilitātes programmas 2024. – 2028. gadam ietvaros </w:t>
      </w:r>
      <w:r>
        <w:t>FM</w:t>
      </w:r>
      <w:r w:rsidR="00E64117" w:rsidRPr="00FD1578">
        <w:t xml:space="preserve"> indikatīvi iezīmēja šīs izdevumu pozīcijas samazinājumu </w:t>
      </w:r>
      <w:r w:rsidR="00F95F16" w:rsidRPr="00FD1578">
        <w:t>2028</w:t>
      </w:r>
      <w:r w:rsidR="005735FB">
        <w:t xml:space="preserve"> </w:t>
      </w:r>
      <w:r w:rsidR="00F95F16" w:rsidRPr="00FD1578">
        <w:t xml:space="preserve">gadā </w:t>
      </w:r>
      <w:r w:rsidR="00E64117" w:rsidRPr="00FD1578">
        <w:t>līdz 1,8% no IKP.</w:t>
      </w:r>
    </w:p>
    <w:p w14:paraId="3F1BE8FB" w14:textId="04AA391E" w:rsidR="001C69C3" w:rsidRPr="00FD1578" w:rsidRDefault="001C69C3" w:rsidP="008349F0">
      <w:pPr>
        <w:widowControl w:val="0"/>
        <w:ind w:firstLine="0"/>
        <w:jc w:val="left"/>
      </w:pPr>
      <w:r w:rsidRPr="00FD1578">
        <w:rPr>
          <w:noProof/>
        </w:rPr>
        <w:lastRenderedPageBreak/>
        <w:drawing>
          <wp:inline distT="0" distB="0" distL="0" distR="0" wp14:anchorId="115DDDF0" wp14:editId="6EEBD394">
            <wp:extent cx="5509737" cy="2712955"/>
            <wp:effectExtent l="0" t="0" r="0" b="0"/>
            <wp:docPr id="1083275697" name="Picture 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275697" name="Picture 1" descr="A graph with numbers and a bar&#10;&#10;Description automatically generated"/>
                    <pic:cNvPicPr/>
                  </pic:nvPicPr>
                  <pic:blipFill>
                    <a:blip r:embed="rId41"/>
                    <a:stretch>
                      <a:fillRect/>
                    </a:stretch>
                  </pic:blipFill>
                  <pic:spPr>
                    <a:xfrm>
                      <a:off x="0" y="0"/>
                      <a:ext cx="5509737" cy="2712955"/>
                    </a:xfrm>
                    <a:prstGeom prst="rect">
                      <a:avLst/>
                    </a:prstGeom>
                  </pic:spPr>
                </pic:pic>
              </a:graphicData>
            </a:graphic>
          </wp:inline>
        </w:drawing>
      </w:r>
    </w:p>
    <w:p w14:paraId="767BB733" w14:textId="7EFF6456" w:rsidR="00F95F16" w:rsidRPr="00FD1578" w:rsidRDefault="00F95F16" w:rsidP="008349F0">
      <w:pPr>
        <w:spacing w:after="0"/>
        <w:jc w:val="center"/>
        <w:rPr>
          <w:b/>
          <w:bCs/>
          <w:i/>
          <w:iCs/>
        </w:rPr>
      </w:pPr>
      <w:r w:rsidRPr="000147E7">
        <w:rPr>
          <w:rFonts w:cs="Times New Roman"/>
          <w:b/>
          <w:bCs/>
          <w:i/>
          <w:iCs/>
          <w:szCs w:val="24"/>
        </w:rPr>
        <w:t>2.</w:t>
      </w:r>
      <w:r w:rsidR="000147E7" w:rsidRPr="000147E7">
        <w:rPr>
          <w:rFonts w:cs="Times New Roman"/>
          <w:b/>
          <w:bCs/>
          <w:i/>
          <w:iCs/>
          <w:szCs w:val="24"/>
        </w:rPr>
        <w:t>4</w:t>
      </w:r>
      <w:r w:rsidRPr="000147E7">
        <w:rPr>
          <w:rFonts w:cs="Times New Roman"/>
          <w:b/>
          <w:bCs/>
          <w:i/>
          <w:iCs/>
          <w:szCs w:val="24"/>
        </w:rPr>
        <w:t xml:space="preserve">. att. </w:t>
      </w:r>
      <w:r w:rsidRPr="000147E7">
        <w:rPr>
          <w:b/>
          <w:bCs/>
          <w:i/>
          <w:iCs/>
        </w:rPr>
        <w:t>Vispārējās</w:t>
      </w:r>
      <w:r w:rsidRPr="00FD1578">
        <w:rPr>
          <w:b/>
          <w:bCs/>
          <w:i/>
          <w:iCs/>
        </w:rPr>
        <w:t xml:space="preserve"> valdības budžeta izdevumi sabiedriskai kārtībai un drošībai atbilstoši funkcionālajām kategorijām 2022.gadā, % no IKP</w:t>
      </w:r>
    </w:p>
    <w:p w14:paraId="5AD9F43D" w14:textId="77777777" w:rsidR="00F95F16" w:rsidRPr="00FD1578" w:rsidRDefault="00F95F16" w:rsidP="008349F0">
      <w:pPr>
        <w:widowControl w:val="0"/>
        <w:spacing w:after="0"/>
        <w:ind w:firstLine="0"/>
      </w:pPr>
    </w:p>
    <w:p w14:paraId="32C137C8" w14:textId="46C88267" w:rsidR="00F95F16" w:rsidRPr="00FD1578" w:rsidRDefault="00E64117" w:rsidP="008349F0">
      <w:pPr>
        <w:widowControl w:val="0"/>
      </w:pPr>
      <w:r w:rsidRPr="00FD1578">
        <w:t xml:space="preserve">Iekšējo risku risināšanas un drošības līmeņa paaugstināšanas nolūkā </w:t>
      </w:r>
      <w:r w:rsidR="00413B21" w:rsidRPr="00FD1578">
        <w:t xml:space="preserve">lielākie papildus resursi </w:t>
      </w:r>
      <w:r w:rsidR="00F95F16" w:rsidRPr="00FD1578">
        <w:t xml:space="preserve">likumprojektā “Par valsts budžetu 2025. gadam un budžeta ietvaru 2025., 2026. un 2027. gadam” </w:t>
      </w:r>
      <w:r w:rsidR="00413B21" w:rsidRPr="00FD1578">
        <w:t xml:space="preserve">tika piešķirti </w:t>
      </w:r>
      <w:proofErr w:type="spellStart"/>
      <w:r w:rsidRPr="00FD1578">
        <w:t>Iekšlietu</w:t>
      </w:r>
      <w:proofErr w:type="spellEnd"/>
      <w:r w:rsidRPr="00FD1578">
        <w:t xml:space="preserve"> dienestu un Ieslodzījuma vietu pārvaldes amatpersonu ar speciālajām dienesta pakāpēm, kā arī Valsts ieņēmumu dienesta Nodokļu un muitas policijas pārvaldes</w:t>
      </w:r>
      <w:r w:rsidR="005735FB">
        <w:t xml:space="preserve"> </w:t>
      </w:r>
      <w:r w:rsidRPr="00FD1578">
        <w:t>atalgojuma palielināšana</w:t>
      </w:r>
      <w:r w:rsidR="00413B21" w:rsidRPr="00FD1578">
        <w:t>i</w:t>
      </w:r>
      <w:r w:rsidRPr="00FD1578">
        <w:t xml:space="preserve"> par 10%</w:t>
      </w:r>
      <w:r w:rsidR="005735FB">
        <w:t xml:space="preserve"> </w:t>
      </w:r>
      <w:r w:rsidRPr="00FD1578">
        <w:t>un jaunās piemaksas ieviešana</w:t>
      </w:r>
      <w:r w:rsidR="00413B21" w:rsidRPr="00FD1578">
        <w:t>i</w:t>
      </w:r>
      <w:r w:rsidRPr="00FD1578">
        <w:t xml:space="preserve"> par darbu dienestā</w:t>
      </w:r>
      <w:r w:rsidR="00452150" w:rsidRPr="00FD1578">
        <w:t xml:space="preserve"> 2025. – 2028. gadiem </w:t>
      </w:r>
      <w:r w:rsidR="00452150" w:rsidRPr="00FD1578">
        <w:rPr>
          <w:b/>
          <w:bCs/>
        </w:rPr>
        <w:t xml:space="preserve">vairāk kā 360 milj. </w:t>
      </w:r>
      <w:proofErr w:type="spellStart"/>
      <w:r w:rsidR="00452150" w:rsidRPr="00FD1578">
        <w:rPr>
          <w:b/>
          <w:bCs/>
          <w:i/>
          <w:iCs/>
        </w:rPr>
        <w:t>eur</w:t>
      </w:r>
      <w:r w:rsidR="001C69C3" w:rsidRPr="00FD1578">
        <w:rPr>
          <w:b/>
          <w:bCs/>
          <w:i/>
          <w:iCs/>
        </w:rPr>
        <w:t>o</w:t>
      </w:r>
      <w:proofErr w:type="spellEnd"/>
      <w:r w:rsidR="001C69C3" w:rsidRPr="00FD1578">
        <w:t xml:space="preserve">, ik gadu 90,1 milj. </w:t>
      </w:r>
      <w:proofErr w:type="spellStart"/>
      <w:r w:rsidR="001C69C3" w:rsidRPr="00FD1578">
        <w:rPr>
          <w:i/>
          <w:iCs/>
        </w:rPr>
        <w:t>euro</w:t>
      </w:r>
      <w:proofErr w:type="spellEnd"/>
      <w:r w:rsidR="001C69C3" w:rsidRPr="00FD1578">
        <w:t>.</w:t>
      </w:r>
    </w:p>
    <w:p w14:paraId="5C23BE93" w14:textId="71BFF6EF" w:rsidR="00F95F16" w:rsidRPr="00FD1578" w:rsidRDefault="00F95F16" w:rsidP="008349F0">
      <w:pPr>
        <w:widowControl w:val="0"/>
        <w:rPr>
          <w:rFonts w:cs="Times New Roman"/>
          <w:szCs w:val="24"/>
        </w:rPr>
      </w:pPr>
      <w:proofErr w:type="spellStart"/>
      <w:r w:rsidRPr="00FD1578">
        <w:t>Iekšlietu</w:t>
      </w:r>
      <w:proofErr w:type="spellEnd"/>
      <w:r w:rsidRPr="00FD1578">
        <w:t xml:space="preserve"> ministrijas sistēmas iestādēs (Valsts policijā, Valsts robežsardzē, Valsts ugunsdzēsības un glābšanas dienestā, Iekšējās drošības birojā) (turpmāk – </w:t>
      </w:r>
      <w:proofErr w:type="spellStart"/>
      <w:r w:rsidRPr="00FD1578">
        <w:t>iekšlietu</w:t>
      </w:r>
      <w:proofErr w:type="spellEnd"/>
      <w:r w:rsidRPr="00FD1578">
        <w:t xml:space="preserve"> dienesti) un Ieslodzījuma vietu pārvaldē svarīgākais resurss ir</w:t>
      </w:r>
      <w:r w:rsidR="005735FB">
        <w:t xml:space="preserve"> </w:t>
      </w:r>
      <w:r w:rsidRPr="00FD1578">
        <w:t xml:space="preserve">motivētas, profesionālas un zinošas amatpersonas ar speciālajām dienesta pakāpēm (turpmāk - amatpersonas),Valsts ieņēmumu dienesta Nodokļu un muitas policijas pārvaldē - nodarbinātie, kas ir garants stabilam un ilgtspējīgam dienestam, spējai operatīvi reaģēt uz dažādām situācijām, kas saistītas ar valsts iekšējo drošību, drošu vidi iedzīvotājiem, viņu aizsardzību krīzes situācijās. Viens no būtiskākajiem amatpersonu motivēšanas instrumentiem ir konkurētspējīga atlīdzības sistēma, kas nodrošina sabalansētu un līdzīgu atlīdzību ar citu valsts sektorā līdzvērtīgus amata pienākumus pildošu nodarbināto atlīdzību. </w:t>
      </w:r>
      <w:proofErr w:type="spellStart"/>
      <w:r w:rsidRPr="00FD1578">
        <w:t>Iekšlietu</w:t>
      </w:r>
      <w:proofErr w:type="spellEnd"/>
      <w:r w:rsidRPr="00FD1578">
        <w:t xml:space="preserve"> dienestu funkcijas un uzdevumi zināmā mērā ir </w:t>
      </w:r>
      <w:r w:rsidR="00085786" w:rsidRPr="00FD1578">
        <w:t>analogi</w:t>
      </w:r>
      <w:r w:rsidRPr="00FD1578">
        <w:t xml:space="preserve"> ar Nacionālo bruņoto spēku funkcijām un uzdevumiem, tomēr uz būtiskām atšķirībām atlīdzības jomā ir norādīts Valsts kontroles 2023.</w:t>
      </w:r>
      <w:r w:rsidR="008501A3" w:rsidRPr="00FD1578">
        <w:t xml:space="preserve"> </w:t>
      </w:r>
      <w:r w:rsidRPr="00FD1578">
        <w:t>gada 28.</w:t>
      </w:r>
      <w:r w:rsidR="008501A3" w:rsidRPr="00FD1578">
        <w:t xml:space="preserve"> </w:t>
      </w:r>
      <w:r w:rsidRPr="00FD1578">
        <w:t xml:space="preserve">aprīļa ziņojumā “Par </w:t>
      </w:r>
      <w:proofErr w:type="spellStart"/>
      <w:r w:rsidRPr="00FD1578">
        <w:t>Iekšlietu</w:t>
      </w:r>
      <w:proofErr w:type="spellEnd"/>
      <w:r w:rsidRPr="00FD1578">
        <w:t xml:space="preserve"> ministrijas 2022. gada pārskatu”, proti, “vērtējot </w:t>
      </w:r>
      <w:proofErr w:type="spellStart"/>
      <w:r w:rsidRPr="00FD1578">
        <w:t>iekšlietu</w:t>
      </w:r>
      <w:proofErr w:type="spellEnd"/>
      <w:r w:rsidRPr="00FD1578">
        <w:t xml:space="preserve"> dienestu amatpersonu, kas nesen uzsākušas dienestu, atlīdzības konkurētspēju ar Nacionālo bruņoto spēku tāda paša līmeņa amatpersonu atlīdzību, revīzijā konstatēts, ka kopējā vidējā atlīdzība 2022. gadā ir bijusi līdzvērtīga. Vienlaikus jāņem vērā, ka </w:t>
      </w:r>
      <w:proofErr w:type="spellStart"/>
      <w:r w:rsidRPr="00FD1578">
        <w:t>Iekšlietu</w:t>
      </w:r>
      <w:proofErr w:type="spellEnd"/>
      <w:r w:rsidRPr="00FD1578">
        <w:t xml:space="preserve"> ministrijas dienestu amatpersonu vidējā atlīdzība bijusi konkurētspējīga tikai tādēļ, ka </w:t>
      </w:r>
      <w:proofErr w:type="spellStart"/>
      <w:r w:rsidRPr="00FD1578">
        <w:t>Iekšlietu</w:t>
      </w:r>
      <w:proofErr w:type="spellEnd"/>
      <w:r w:rsidRPr="00FD1578">
        <w:t xml:space="preserve"> ministrijas dienestu amatpersonas saņēmušas piemaksas, kas bija saistītas ar ārkārtas situācijas pasākumu īstenošanu uz ārējās robežas, kā arī strādājušas vairāk un saņēmušas samaksu par virsstundu darbu. Nemainīgā atlīdzības daļa Nacionālo bruņoto spēku karavīriem (mēnešalga un kompensācijas) ir bijusi vidēji par 25% lielāka nekā </w:t>
      </w:r>
      <w:proofErr w:type="spellStart"/>
      <w:r w:rsidRPr="00FD1578">
        <w:t>Iekšlietu</w:t>
      </w:r>
      <w:proofErr w:type="spellEnd"/>
      <w:r w:rsidRPr="00FD1578">
        <w:t xml:space="preserve"> ministrijas dienestu amatpersonu nemainīgā atlīdzības daļa (mēnešalga un speciālā piemaksa par dienesta pakāpi). Līdz ar to atlīdzības atšķirību dēļ dienests Nacionālajos bruņotajos spēkos jauniešiem var būt pievilcīgāks nekā dienests Valsts policijā, Valsts robežsardzē un Valsts ugunsdzēsības un glābšanas dienestā, un </w:t>
      </w:r>
      <w:proofErr w:type="spellStart"/>
      <w:r w:rsidRPr="00FD1578">
        <w:t>Iekšlietu</w:t>
      </w:r>
      <w:proofErr w:type="spellEnd"/>
      <w:r w:rsidRPr="00FD1578">
        <w:t xml:space="preserve"> ministrijas dienesti ir mazāk konkurētspējīgi attiecībā uz cilvēkresursu piesaisti, salīdzinot ar Nacionālajiem bruņotajiem spēkiem.". Kaut arī </w:t>
      </w:r>
      <w:proofErr w:type="spellStart"/>
      <w:r w:rsidRPr="00FD1578">
        <w:t>Iekšlietu</w:t>
      </w:r>
      <w:proofErr w:type="spellEnd"/>
      <w:r w:rsidRPr="00FD1578">
        <w:t xml:space="preserve"> dienestos mēnešalgas apmērs 2023.</w:t>
      </w:r>
      <w:r w:rsidR="008501A3" w:rsidRPr="00FD1578">
        <w:t xml:space="preserve"> </w:t>
      </w:r>
      <w:r w:rsidRPr="00FD1578">
        <w:lastRenderedPageBreak/>
        <w:t xml:space="preserve">gadā tika palielināts vidēji par 10%, un 2024. gadā vidēji par 9%, tomēr mēnešalgas pieaugums nenosedz strauji </w:t>
      </w:r>
      <w:r w:rsidRPr="00FD1578">
        <w:rPr>
          <w:rFonts w:cs="Times New Roman"/>
          <w:szCs w:val="24"/>
        </w:rPr>
        <w:t xml:space="preserve">pieaugošo dzīves dārdzību, kas, savukārt, mudina amatpersonas meklēt darba vietas ar augstāku atalgojumu. Pēdējos gados ir vērojama negatīva tendence amatpersonu vakanto amatu skaitā, kuru īpatsvars </w:t>
      </w:r>
      <w:proofErr w:type="spellStart"/>
      <w:r w:rsidRPr="00FD1578">
        <w:rPr>
          <w:rFonts w:cs="Times New Roman"/>
          <w:szCs w:val="24"/>
        </w:rPr>
        <w:t>iekšlietu</w:t>
      </w:r>
      <w:proofErr w:type="spellEnd"/>
      <w:r w:rsidRPr="00FD1578">
        <w:rPr>
          <w:rFonts w:cs="Times New Roman"/>
          <w:szCs w:val="24"/>
        </w:rPr>
        <w:t xml:space="preserve"> dienestos ik gadu palielinās, piemēram Valsts policijā uz 2024. gada 31. augustu vakanto amatu īpatsvars vidēji bija</w:t>
      </w:r>
      <w:r w:rsidR="005735FB">
        <w:rPr>
          <w:rFonts w:cs="Times New Roman"/>
          <w:szCs w:val="24"/>
        </w:rPr>
        <w:t xml:space="preserve"> </w:t>
      </w:r>
      <w:r w:rsidRPr="00FD1578">
        <w:rPr>
          <w:rFonts w:cs="Times New Roman"/>
          <w:szCs w:val="24"/>
        </w:rPr>
        <w:t>27,2%, 2023.</w:t>
      </w:r>
      <w:r w:rsidR="008501A3" w:rsidRPr="00FD1578">
        <w:rPr>
          <w:rFonts w:cs="Times New Roman"/>
          <w:szCs w:val="24"/>
        </w:rPr>
        <w:t xml:space="preserve"> </w:t>
      </w:r>
      <w:r w:rsidRPr="00FD1578">
        <w:rPr>
          <w:rFonts w:cs="Times New Roman"/>
          <w:szCs w:val="24"/>
        </w:rPr>
        <w:t>gadā - 25,9%, savukārt 2019.</w:t>
      </w:r>
      <w:r w:rsidR="006A3169">
        <w:rPr>
          <w:rFonts w:cs="Times New Roman"/>
          <w:szCs w:val="24"/>
        </w:rPr>
        <w:t xml:space="preserve"> </w:t>
      </w:r>
      <w:r w:rsidRPr="00FD1578">
        <w:rPr>
          <w:rFonts w:cs="Times New Roman"/>
          <w:szCs w:val="24"/>
        </w:rPr>
        <w:t>gadā - 18%.</w:t>
      </w:r>
    </w:p>
    <w:p w14:paraId="50304B68" w14:textId="748F60A2" w:rsidR="001C69C3" w:rsidRPr="00FD1578" w:rsidRDefault="00413B21" w:rsidP="008349F0">
      <w:pPr>
        <w:widowControl w:val="0"/>
        <w:rPr>
          <w:rFonts w:cs="Times New Roman"/>
          <w:szCs w:val="24"/>
        </w:rPr>
      </w:pPr>
      <w:r w:rsidRPr="00FD1578">
        <w:rPr>
          <w:rFonts w:cs="Times New Roman"/>
          <w:szCs w:val="24"/>
        </w:rPr>
        <w:t xml:space="preserve"> </w:t>
      </w:r>
      <w:r w:rsidR="00FD12FC" w:rsidRPr="00FD1578">
        <w:rPr>
          <w:rFonts w:cs="Times New Roman"/>
          <w:szCs w:val="24"/>
        </w:rPr>
        <w:t xml:space="preserve">Apcietināto un notiesāto personu konvojēšanas funkcijas pārņemšanai no Valsts policijas uz Tieslietu ministriju </w:t>
      </w:r>
      <w:r w:rsidR="001C69C3" w:rsidRPr="00FD1578">
        <w:rPr>
          <w:rFonts w:cs="Times New Roman"/>
          <w:szCs w:val="24"/>
        </w:rPr>
        <w:t xml:space="preserve">ir paredzēts finansējums </w:t>
      </w:r>
      <w:r w:rsidR="001C69C3" w:rsidRPr="00FD1578">
        <w:rPr>
          <w:rFonts w:cs="Times New Roman"/>
          <w:b/>
          <w:bCs/>
          <w:szCs w:val="24"/>
        </w:rPr>
        <w:t xml:space="preserve">7,4 milj. </w:t>
      </w:r>
      <w:proofErr w:type="spellStart"/>
      <w:r w:rsidR="001C69C3" w:rsidRPr="00FD1578">
        <w:rPr>
          <w:rFonts w:cs="Times New Roman"/>
          <w:b/>
          <w:bCs/>
          <w:i/>
          <w:iCs/>
          <w:szCs w:val="24"/>
        </w:rPr>
        <w:t>euro</w:t>
      </w:r>
      <w:proofErr w:type="spellEnd"/>
      <w:r w:rsidR="004E552D" w:rsidRPr="00FD1578">
        <w:rPr>
          <w:rFonts w:cs="Times New Roman"/>
          <w:szCs w:val="24"/>
        </w:rPr>
        <w:t xml:space="preserve">, t.sk. 3,2 milj. </w:t>
      </w:r>
      <w:proofErr w:type="spellStart"/>
      <w:r w:rsidR="004E552D" w:rsidRPr="00FD1578">
        <w:rPr>
          <w:rFonts w:cs="Times New Roman"/>
          <w:i/>
          <w:iCs/>
          <w:szCs w:val="24"/>
        </w:rPr>
        <w:t>euro</w:t>
      </w:r>
      <w:proofErr w:type="spellEnd"/>
      <w:r w:rsidR="004E552D" w:rsidRPr="00FD1578">
        <w:rPr>
          <w:rFonts w:cs="Times New Roman"/>
          <w:i/>
          <w:iCs/>
          <w:szCs w:val="24"/>
        </w:rPr>
        <w:t xml:space="preserve"> </w:t>
      </w:r>
      <w:r w:rsidR="004E552D" w:rsidRPr="00FD1578">
        <w:rPr>
          <w:rFonts w:cs="Times New Roman"/>
          <w:szCs w:val="24"/>
        </w:rPr>
        <w:t xml:space="preserve">2025. gadam, 1,5 milj. </w:t>
      </w:r>
      <w:proofErr w:type="spellStart"/>
      <w:r w:rsidR="004E552D" w:rsidRPr="00FD1578">
        <w:rPr>
          <w:rFonts w:cs="Times New Roman"/>
          <w:i/>
          <w:iCs/>
          <w:szCs w:val="24"/>
        </w:rPr>
        <w:t>euro</w:t>
      </w:r>
      <w:proofErr w:type="spellEnd"/>
      <w:r w:rsidR="004E552D" w:rsidRPr="00FD1578">
        <w:rPr>
          <w:rFonts w:cs="Times New Roman"/>
          <w:i/>
          <w:iCs/>
          <w:szCs w:val="24"/>
        </w:rPr>
        <w:t xml:space="preserve"> </w:t>
      </w:r>
      <w:r w:rsidR="004E552D" w:rsidRPr="00FD1578">
        <w:rPr>
          <w:rFonts w:cs="Times New Roman"/>
          <w:szCs w:val="24"/>
        </w:rPr>
        <w:t xml:space="preserve">2026. gadam, 1,3 milj. </w:t>
      </w:r>
      <w:proofErr w:type="spellStart"/>
      <w:r w:rsidR="004E552D" w:rsidRPr="00FD1578">
        <w:rPr>
          <w:rFonts w:cs="Times New Roman"/>
          <w:i/>
          <w:iCs/>
          <w:szCs w:val="24"/>
        </w:rPr>
        <w:t>euro</w:t>
      </w:r>
      <w:proofErr w:type="spellEnd"/>
      <w:r w:rsidR="004E552D" w:rsidRPr="00FD1578">
        <w:rPr>
          <w:rFonts w:cs="Times New Roman"/>
          <w:i/>
          <w:iCs/>
          <w:szCs w:val="24"/>
        </w:rPr>
        <w:t xml:space="preserve"> </w:t>
      </w:r>
      <w:r w:rsidR="004E552D" w:rsidRPr="00FD1578">
        <w:rPr>
          <w:rFonts w:cs="Times New Roman"/>
          <w:szCs w:val="24"/>
        </w:rPr>
        <w:t>ik gadu</w:t>
      </w:r>
      <w:r w:rsidR="004E552D" w:rsidRPr="00FD1578">
        <w:rPr>
          <w:rFonts w:cs="Times New Roman"/>
          <w:i/>
          <w:iCs/>
          <w:szCs w:val="24"/>
        </w:rPr>
        <w:t xml:space="preserve"> </w:t>
      </w:r>
      <w:r w:rsidR="004E552D" w:rsidRPr="00FD1578">
        <w:rPr>
          <w:rFonts w:cs="Times New Roman"/>
          <w:szCs w:val="24"/>
        </w:rPr>
        <w:t xml:space="preserve">2027. gadam un 2028. gadam, </w:t>
      </w:r>
    </w:p>
    <w:p w14:paraId="379ADD53" w14:textId="69CC2E3B" w:rsidR="008E7B3E" w:rsidRPr="00FD1578" w:rsidRDefault="008E7B3E" w:rsidP="008349F0">
      <w:pPr>
        <w:widowControl w:val="0"/>
        <w:rPr>
          <w:rFonts w:cs="Times New Roman"/>
          <w:szCs w:val="24"/>
        </w:rPr>
      </w:pPr>
      <w:r w:rsidRPr="00FD1578">
        <w:rPr>
          <w:rFonts w:cs="Times New Roman"/>
          <w:szCs w:val="24"/>
        </w:rPr>
        <w:t xml:space="preserve">Likumprojekta “Par valsts budžetu 2025. gadam un budžeta ietvaru 2025., 2026. un 2027. gadam” sagatavošanas ietvaros ir rasts papildus finansējums pēc Aizsardzības ministrijas pieprasījuma </w:t>
      </w:r>
      <w:r w:rsidR="00980988" w:rsidRPr="00FD1578">
        <w:rPr>
          <w:rFonts w:cs="Times New Roman"/>
          <w:b/>
          <w:bCs/>
          <w:szCs w:val="24"/>
        </w:rPr>
        <w:t>231,9</w:t>
      </w:r>
      <w:r w:rsidRPr="00FD1578">
        <w:rPr>
          <w:rFonts w:cs="Times New Roman"/>
          <w:b/>
          <w:bCs/>
          <w:szCs w:val="24"/>
        </w:rPr>
        <w:t xml:space="preserve"> milj. </w:t>
      </w:r>
      <w:proofErr w:type="spellStart"/>
      <w:r w:rsidRPr="00FD1578">
        <w:rPr>
          <w:rFonts w:cs="Times New Roman"/>
          <w:b/>
          <w:bCs/>
          <w:i/>
          <w:iCs/>
          <w:szCs w:val="24"/>
        </w:rPr>
        <w:t>euro</w:t>
      </w:r>
      <w:proofErr w:type="spellEnd"/>
      <w:r w:rsidRPr="00FD1578">
        <w:rPr>
          <w:rFonts w:cs="Times New Roman"/>
          <w:b/>
          <w:bCs/>
          <w:szCs w:val="24"/>
        </w:rPr>
        <w:t xml:space="preserve"> apmērā</w:t>
      </w:r>
      <w:r w:rsidRPr="00FD1578">
        <w:rPr>
          <w:rFonts w:cs="Times New Roman"/>
          <w:szCs w:val="24"/>
        </w:rPr>
        <w:t xml:space="preserve">, t.sk.: </w:t>
      </w:r>
    </w:p>
    <w:p w14:paraId="23511186" w14:textId="59547DD1" w:rsidR="008E7B3E" w:rsidRPr="00FD1578" w:rsidRDefault="00D9155E" w:rsidP="00F87D38">
      <w:pPr>
        <w:pStyle w:val="ListParagraph"/>
        <w:widowControl w:val="0"/>
        <w:numPr>
          <w:ilvl w:val="2"/>
          <w:numId w:val="14"/>
        </w:numPr>
        <w:tabs>
          <w:tab w:val="left" w:pos="993"/>
        </w:tabs>
        <w:ind w:left="0" w:firstLine="709"/>
        <w:rPr>
          <w:rFonts w:cs="Times New Roman"/>
          <w:szCs w:val="24"/>
        </w:rPr>
      </w:pPr>
      <w:r w:rsidRPr="00FD1578">
        <w:rPr>
          <w:rFonts w:cs="Times New Roman"/>
          <w:szCs w:val="24"/>
        </w:rPr>
        <w:t>23</w:t>
      </w:r>
      <w:r w:rsidR="008E7B3E" w:rsidRPr="00FD1578">
        <w:rPr>
          <w:rFonts w:cs="Times New Roman"/>
          <w:szCs w:val="24"/>
        </w:rPr>
        <w:t xml:space="preserve"> milj. </w:t>
      </w:r>
      <w:proofErr w:type="spellStart"/>
      <w:r w:rsidR="008E7B3E" w:rsidRPr="00FD1578">
        <w:rPr>
          <w:rFonts w:cs="Times New Roman"/>
          <w:i/>
          <w:iCs/>
          <w:szCs w:val="24"/>
        </w:rPr>
        <w:t>euro</w:t>
      </w:r>
      <w:proofErr w:type="spellEnd"/>
      <w:r w:rsidR="008E7B3E" w:rsidRPr="00FD1578">
        <w:rPr>
          <w:rFonts w:cs="Times New Roman"/>
          <w:i/>
          <w:iCs/>
          <w:szCs w:val="24"/>
        </w:rPr>
        <w:t xml:space="preserve"> </w:t>
      </w:r>
      <w:r w:rsidR="008E7B3E" w:rsidRPr="00FD1578">
        <w:rPr>
          <w:rFonts w:cs="Times New Roman"/>
          <w:szCs w:val="24"/>
        </w:rPr>
        <w:t xml:space="preserve">2025. gadam, </w:t>
      </w:r>
      <w:r w:rsidRPr="00FD1578">
        <w:rPr>
          <w:rFonts w:cs="Times New Roman"/>
          <w:szCs w:val="24"/>
        </w:rPr>
        <w:t xml:space="preserve">72,2 </w:t>
      </w:r>
      <w:r w:rsidR="008E7B3E" w:rsidRPr="00FD1578">
        <w:rPr>
          <w:rFonts w:cs="Times New Roman"/>
          <w:szCs w:val="24"/>
        </w:rPr>
        <w:t xml:space="preserve">milj. </w:t>
      </w:r>
      <w:proofErr w:type="spellStart"/>
      <w:r w:rsidR="008E7B3E" w:rsidRPr="00FD1578">
        <w:rPr>
          <w:rFonts w:cs="Times New Roman"/>
          <w:i/>
          <w:iCs/>
          <w:szCs w:val="24"/>
        </w:rPr>
        <w:t>euro</w:t>
      </w:r>
      <w:proofErr w:type="spellEnd"/>
      <w:r w:rsidR="008E7B3E" w:rsidRPr="00FD1578">
        <w:rPr>
          <w:rFonts w:cs="Times New Roman"/>
          <w:i/>
          <w:iCs/>
          <w:szCs w:val="24"/>
        </w:rPr>
        <w:t xml:space="preserve"> </w:t>
      </w:r>
      <w:r w:rsidR="008E7B3E" w:rsidRPr="00FD1578">
        <w:rPr>
          <w:rFonts w:cs="Times New Roman"/>
          <w:szCs w:val="24"/>
        </w:rPr>
        <w:t xml:space="preserve">2026. gadam, </w:t>
      </w:r>
      <w:r w:rsidRPr="00FD1578">
        <w:rPr>
          <w:rFonts w:cs="Times New Roman"/>
          <w:szCs w:val="24"/>
        </w:rPr>
        <w:t>61,1</w:t>
      </w:r>
      <w:r w:rsidR="008E7B3E" w:rsidRPr="00FD1578">
        <w:rPr>
          <w:rFonts w:cs="Times New Roman"/>
          <w:szCs w:val="24"/>
        </w:rPr>
        <w:t xml:space="preserve"> milj. </w:t>
      </w:r>
      <w:proofErr w:type="spellStart"/>
      <w:r w:rsidR="008E7B3E" w:rsidRPr="00FD1578">
        <w:rPr>
          <w:rFonts w:cs="Times New Roman"/>
          <w:i/>
          <w:iCs/>
          <w:szCs w:val="24"/>
        </w:rPr>
        <w:t>euro</w:t>
      </w:r>
      <w:proofErr w:type="spellEnd"/>
      <w:r w:rsidR="008E7B3E" w:rsidRPr="00FD1578">
        <w:rPr>
          <w:rFonts w:cs="Times New Roman"/>
          <w:i/>
          <w:iCs/>
          <w:szCs w:val="24"/>
        </w:rPr>
        <w:t xml:space="preserve"> </w:t>
      </w:r>
      <w:r w:rsidR="008E7B3E" w:rsidRPr="00FD1578">
        <w:rPr>
          <w:rFonts w:cs="Times New Roman"/>
          <w:szCs w:val="24"/>
        </w:rPr>
        <w:t>ik gadu</w:t>
      </w:r>
      <w:r w:rsidR="008E7B3E" w:rsidRPr="00FD1578">
        <w:rPr>
          <w:rFonts w:cs="Times New Roman"/>
          <w:i/>
          <w:iCs/>
          <w:szCs w:val="24"/>
        </w:rPr>
        <w:t xml:space="preserve"> </w:t>
      </w:r>
      <w:r w:rsidR="008E7B3E" w:rsidRPr="00FD1578">
        <w:rPr>
          <w:rFonts w:cs="Times New Roman"/>
          <w:szCs w:val="24"/>
        </w:rPr>
        <w:t xml:space="preserve">2027. gadam un </w:t>
      </w:r>
      <w:r w:rsidRPr="00FD1578">
        <w:rPr>
          <w:rFonts w:cs="Times New Roman"/>
          <w:szCs w:val="24"/>
        </w:rPr>
        <w:t xml:space="preserve">27,6 milj. </w:t>
      </w:r>
      <w:proofErr w:type="spellStart"/>
      <w:r w:rsidRPr="00FD1578">
        <w:rPr>
          <w:rFonts w:cs="Times New Roman"/>
          <w:i/>
          <w:iCs/>
          <w:szCs w:val="24"/>
        </w:rPr>
        <w:t>euro</w:t>
      </w:r>
      <w:proofErr w:type="spellEnd"/>
      <w:r w:rsidRPr="00FD1578">
        <w:rPr>
          <w:rFonts w:cs="Times New Roman"/>
          <w:szCs w:val="24"/>
        </w:rPr>
        <w:t xml:space="preserve"> </w:t>
      </w:r>
      <w:r w:rsidR="008E7B3E" w:rsidRPr="00FD1578">
        <w:rPr>
          <w:rFonts w:cs="Times New Roman"/>
          <w:szCs w:val="24"/>
        </w:rPr>
        <w:t>2028. gadam</w:t>
      </w:r>
      <w:r w:rsidRPr="00FD1578">
        <w:rPr>
          <w:rFonts w:eastAsia="Times New Roman" w:cs="Times New Roman"/>
          <w:szCs w:val="24"/>
        </w:rPr>
        <w:t xml:space="preserve"> munīcijas krājumu papildināšanai un individuālā ekipējuma nodrošināšanai;</w:t>
      </w:r>
    </w:p>
    <w:p w14:paraId="789AFDD6" w14:textId="0117EE64" w:rsidR="00980988" w:rsidRPr="00FD1578" w:rsidRDefault="00D9155E" w:rsidP="00F87D38">
      <w:pPr>
        <w:pStyle w:val="ListParagraph"/>
        <w:widowControl w:val="0"/>
        <w:numPr>
          <w:ilvl w:val="2"/>
          <w:numId w:val="14"/>
        </w:numPr>
        <w:tabs>
          <w:tab w:val="left" w:pos="993"/>
        </w:tabs>
        <w:ind w:left="0" w:firstLine="709"/>
        <w:rPr>
          <w:rFonts w:cs="Times New Roman"/>
          <w:szCs w:val="24"/>
        </w:rPr>
      </w:pPr>
      <w:r w:rsidRPr="00FD1578">
        <w:rPr>
          <w:rFonts w:cs="Times New Roman"/>
          <w:szCs w:val="24"/>
        </w:rPr>
        <w:t xml:space="preserve">15 milj. </w:t>
      </w:r>
      <w:proofErr w:type="spellStart"/>
      <w:r w:rsidRPr="00FD1578">
        <w:rPr>
          <w:rFonts w:cs="Times New Roman"/>
          <w:i/>
          <w:iCs/>
          <w:szCs w:val="24"/>
        </w:rPr>
        <w:t>euro</w:t>
      </w:r>
      <w:proofErr w:type="spellEnd"/>
      <w:r w:rsidRPr="00FD1578">
        <w:rPr>
          <w:rFonts w:cs="Times New Roman"/>
          <w:i/>
          <w:iCs/>
          <w:szCs w:val="24"/>
        </w:rPr>
        <w:t xml:space="preserve"> </w:t>
      </w:r>
      <w:r w:rsidRPr="00FD1578">
        <w:rPr>
          <w:rFonts w:cs="Times New Roman"/>
          <w:szCs w:val="24"/>
        </w:rPr>
        <w:t xml:space="preserve">2025. gadam, 15 milj. </w:t>
      </w:r>
      <w:proofErr w:type="spellStart"/>
      <w:r w:rsidRPr="00FD1578">
        <w:rPr>
          <w:rFonts w:cs="Times New Roman"/>
          <w:i/>
          <w:iCs/>
          <w:szCs w:val="24"/>
        </w:rPr>
        <w:t>euro</w:t>
      </w:r>
      <w:proofErr w:type="spellEnd"/>
      <w:r w:rsidRPr="00FD1578">
        <w:rPr>
          <w:rFonts w:cs="Times New Roman"/>
          <w:i/>
          <w:iCs/>
          <w:szCs w:val="24"/>
        </w:rPr>
        <w:t xml:space="preserve"> </w:t>
      </w:r>
      <w:r w:rsidRPr="00FD1578">
        <w:rPr>
          <w:rFonts w:cs="Times New Roman"/>
          <w:szCs w:val="24"/>
        </w:rPr>
        <w:t xml:space="preserve">2026. gadam, 18 milj. </w:t>
      </w:r>
      <w:proofErr w:type="spellStart"/>
      <w:r w:rsidRPr="00FD1578">
        <w:rPr>
          <w:rFonts w:cs="Times New Roman"/>
          <w:i/>
          <w:iCs/>
          <w:szCs w:val="24"/>
        </w:rPr>
        <w:t>euro</w:t>
      </w:r>
      <w:proofErr w:type="spellEnd"/>
      <w:r w:rsidRPr="00FD1578">
        <w:rPr>
          <w:rFonts w:cs="Times New Roman"/>
          <w:i/>
          <w:iCs/>
          <w:szCs w:val="24"/>
        </w:rPr>
        <w:t xml:space="preserve"> </w:t>
      </w:r>
      <w:r w:rsidRPr="00FD1578">
        <w:rPr>
          <w:rFonts w:cs="Times New Roman"/>
          <w:szCs w:val="24"/>
        </w:rPr>
        <w:t xml:space="preserve">2027. gadam </w:t>
      </w:r>
      <w:r w:rsidRPr="00FD1578">
        <w:rPr>
          <w:rFonts w:eastAsia="Times New Roman" w:cs="Times New Roman"/>
          <w:szCs w:val="24"/>
        </w:rPr>
        <w:t>papildu radaru iegādei vēja parku attīstībai</w:t>
      </w:r>
      <w:r w:rsidR="00980988" w:rsidRPr="00FD1578">
        <w:rPr>
          <w:rFonts w:eastAsia="Times New Roman" w:cs="Times New Roman"/>
          <w:szCs w:val="24"/>
        </w:rPr>
        <w:t>.</w:t>
      </w:r>
    </w:p>
    <w:p w14:paraId="34B3E170" w14:textId="2EB5F182" w:rsidR="00980988" w:rsidRPr="00FD1578" w:rsidRDefault="00980988" w:rsidP="008349F0">
      <w:pPr>
        <w:widowControl w:val="0"/>
        <w:tabs>
          <w:tab w:val="left" w:pos="993"/>
        </w:tabs>
        <w:ind w:firstLine="709"/>
        <w:rPr>
          <w:rFonts w:cs="Times New Roman"/>
          <w:szCs w:val="24"/>
        </w:rPr>
      </w:pPr>
      <w:r w:rsidRPr="00FD1578">
        <w:rPr>
          <w:rFonts w:cs="Times New Roman"/>
          <w:szCs w:val="24"/>
        </w:rPr>
        <w:t xml:space="preserve">Ir atbalstīts prioritārais pasākums ar mērķi stiprināt </w:t>
      </w:r>
      <w:proofErr w:type="spellStart"/>
      <w:r w:rsidRPr="00FD1578">
        <w:rPr>
          <w:rFonts w:cs="Times New Roman"/>
          <w:szCs w:val="24"/>
        </w:rPr>
        <w:t>kiberdrošību</w:t>
      </w:r>
      <w:proofErr w:type="spellEnd"/>
      <w:r w:rsidRPr="00FD1578">
        <w:rPr>
          <w:rFonts w:cs="Times New Roman"/>
          <w:szCs w:val="24"/>
        </w:rPr>
        <w:t xml:space="preserve"> tam ieplānojot papildus finansējumu</w:t>
      </w:r>
      <w:r w:rsidRPr="00FD1578">
        <w:rPr>
          <w:rFonts w:cs="Times New Roman"/>
          <w:b/>
          <w:bCs/>
          <w:szCs w:val="24"/>
        </w:rPr>
        <w:t xml:space="preserve"> 41,5 milj. </w:t>
      </w:r>
      <w:proofErr w:type="spellStart"/>
      <w:r w:rsidRPr="00FD1578">
        <w:rPr>
          <w:rFonts w:cs="Times New Roman"/>
          <w:b/>
          <w:bCs/>
          <w:i/>
          <w:iCs/>
          <w:szCs w:val="24"/>
        </w:rPr>
        <w:t>euro</w:t>
      </w:r>
      <w:proofErr w:type="spellEnd"/>
      <w:r w:rsidRPr="00FD1578">
        <w:rPr>
          <w:rFonts w:cs="Times New Roman"/>
          <w:szCs w:val="24"/>
        </w:rPr>
        <w:t xml:space="preserve">, t.sk. 12,5 milj. </w:t>
      </w:r>
      <w:proofErr w:type="spellStart"/>
      <w:r w:rsidRPr="00FD1578">
        <w:rPr>
          <w:rFonts w:cs="Times New Roman"/>
          <w:i/>
          <w:iCs/>
          <w:szCs w:val="24"/>
        </w:rPr>
        <w:t>euro</w:t>
      </w:r>
      <w:proofErr w:type="spellEnd"/>
      <w:r w:rsidRPr="00FD1578">
        <w:rPr>
          <w:rFonts w:cs="Times New Roman"/>
          <w:i/>
          <w:iCs/>
          <w:szCs w:val="24"/>
        </w:rPr>
        <w:t xml:space="preserve"> </w:t>
      </w:r>
      <w:r w:rsidRPr="00FD1578">
        <w:rPr>
          <w:rFonts w:cs="Times New Roman"/>
          <w:szCs w:val="24"/>
        </w:rPr>
        <w:t xml:space="preserve">2025. gadam, 11,4 milj. </w:t>
      </w:r>
      <w:proofErr w:type="spellStart"/>
      <w:r w:rsidRPr="00FD1578">
        <w:rPr>
          <w:rFonts w:cs="Times New Roman"/>
          <w:i/>
          <w:iCs/>
          <w:szCs w:val="24"/>
        </w:rPr>
        <w:t>euro</w:t>
      </w:r>
      <w:proofErr w:type="spellEnd"/>
      <w:r w:rsidRPr="00FD1578">
        <w:rPr>
          <w:rFonts w:cs="Times New Roman"/>
          <w:i/>
          <w:iCs/>
          <w:szCs w:val="24"/>
        </w:rPr>
        <w:t xml:space="preserve"> </w:t>
      </w:r>
      <w:r w:rsidRPr="00FD1578">
        <w:rPr>
          <w:rFonts w:cs="Times New Roman"/>
          <w:szCs w:val="24"/>
        </w:rPr>
        <w:t xml:space="preserve">2026. gadam, 8,9 milj. </w:t>
      </w:r>
      <w:proofErr w:type="spellStart"/>
      <w:r w:rsidRPr="00FD1578">
        <w:rPr>
          <w:rFonts w:cs="Times New Roman"/>
          <w:i/>
          <w:iCs/>
          <w:szCs w:val="24"/>
        </w:rPr>
        <w:t>euro</w:t>
      </w:r>
      <w:proofErr w:type="spellEnd"/>
      <w:r w:rsidRPr="00FD1578">
        <w:rPr>
          <w:rFonts w:cs="Times New Roman"/>
          <w:i/>
          <w:iCs/>
          <w:szCs w:val="24"/>
        </w:rPr>
        <w:t xml:space="preserve"> </w:t>
      </w:r>
      <w:r w:rsidRPr="00FD1578">
        <w:rPr>
          <w:rFonts w:cs="Times New Roman"/>
          <w:szCs w:val="24"/>
        </w:rPr>
        <w:t xml:space="preserve">2027. gadam un 8,7 milj. </w:t>
      </w:r>
      <w:proofErr w:type="spellStart"/>
      <w:r w:rsidRPr="00FD1578">
        <w:rPr>
          <w:rFonts w:cs="Times New Roman"/>
          <w:szCs w:val="24"/>
        </w:rPr>
        <w:t>euro</w:t>
      </w:r>
      <w:proofErr w:type="spellEnd"/>
      <w:r w:rsidRPr="00FD1578">
        <w:rPr>
          <w:rFonts w:cs="Times New Roman"/>
          <w:szCs w:val="24"/>
        </w:rPr>
        <w:t xml:space="preserve"> 2028. gadam, kā arī Aizsardzības ministrijas pieteiktais pasākums saistībā ar m</w:t>
      </w:r>
      <w:r w:rsidRPr="00FD1578">
        <w:rPr>
          <w:rFonts w:eastAsia="Times New Roman" w:cs="Times New Roman"/>
          <w:szCs w:val="24"/>
        </w:rPr>
        <w:t xml:space="preserve">ilitārā poligona “Sēlija” piekļuves ceļa uzlabošanu un vienības tilta Daugavpilī pārbūves mobilitātes uzlabošanu iezīmējot tam 21,3 milj. </w:t>
      </w:r>
      <w:proofErr w:type="spellStart"/>
      <w:r w:rsidRPr="00FD1578">
        <w:rPr>
          <w:rFonts w:eastAsia="Times New Roman" w:cs="Times New Roman"/>
          <w:i/>
          <w:iCs/>
          <w:szCs w:val="24"/>
        </w:rPr>
        <w:t>euro</w:t>
      </w:r>
      <w:proofErr w:type="spellEnd"/>
      <w:r w:rsidRPr="00FD1578">
        <w:rPr>
          <w:rFonts w:eastAsia="Times New Roman" w:cs="Times New Roman"/>
          <w:szCs w:val="24"/>
        </w:rPr>
        <w:t xml:space="preserve"> 2025.</w:t>
      </w:r>
      <w:r w:rsidR="00E537F0" w:rsidRPr="00FD1578">
        <w:rPr>
          <w:rFonts w:eastAsia="Times New Roman" w:cs="Times New Roman"/>
          <w:szCs w:val="24"/>
        </w:rPr>
        <w:t xml:space="preserve"> – </w:t>
      </w:r>
      <w:r w:rsidRPr="00FD1578">
        <w:rPr>
          <w:rFonts w:eastAsia="Times New Roman" w:cs="Times New Roman"/>
          <w:szCs w:val="24"/>
        </w:rPr>
        <w:t xml:space="preserve">2027. gadam. </w:t>
      </w:r>
      <w:r w:rsidRPr="00FD1578">
        <w:rPr>
          <w:rFonts w:cs="Times New Roman"/>
          <w:szCs w:val="24"/>
        </w:rPr>
        <w:t>Šobrīd tika identificēts, ka šie pasākumi varētu tikt finansēti ES fondu programmu ietvaros. Attiecīgi pēc nepieciešamo normatīvo aktu pieņemšanas finansējums minētiem izdevumiem normatīvajos aktos noteiktajā kārtībā tiks pārdalīts</w:t>
      </w:r>
      <w:r w:rsidR="005735FB">
        <w:rPr>
          <w:rFonts w:cs="Times New Roman"/>
          <w:szCs w:val="24"/>
        </w:rPr>
        <w:t xml:space="preserve"> </w:t>
      </w:r>
      <w:r w:rsidRPr="00FD1578">
        <w:rPr>
          <w:rFonts w:cs="Times New Roman"/>
          <w:szCs w:val="24"/>
        </w:rPr>
        <w:t>no valsts budžeta resora “74. Gadskārtējā valsts budžeta izpildes procesā pārdalāmais finansējums” programmas 80.00.00 “Nesadalītais finansējums Eiropas Savienības politiku instrumentu un pārējās ārvalstu finanšu palīdzības līdzfinansēto projektu un pasākumu īstenošanai”.</w:t>
      </w:r>
    </w:p>
    <w:p w14:paraId="0D8F1B8B" w14:textId="3B227A20" w:rsidR="00FD12FC" w:rsidRPr="00FD1578" w:rsidRDefault="00FD12FC" w:rsidP="008349F0">
      <w:pPr>
        <w:widowControl w:val="0"/>
        <w:ind w:firstLine="709"/>
        <w:rPr>
          <w:rFonts w:cs="Times New Roman"/>
          <w:szCs w:val="24"/>
        </w:rPr>
      </w:pPr>
      <w:r w:rsidRPr="00FD1578">
        <w:rPr>
          <w:rFonts w:cs="Times New Roman"/>
          <w:szCs w:val="24"/>
        </w:rPr>
        <w:t xml:space="preserve">Nepilni </w:t>
      </w:r>
      <w:r w:rsidRPr="00FD1578">
        <w:rPr>
          <w:rFonts w:cs="Times New Roman"/>
          <w:b/>
          <w:bCs/>
          <w:szCs w:val="24"/>
        </w:rPr>
        <w:t xml:space="preserve">13 milj. </w:t>
      </w:r>
      <w:proofErr w:type="spellStart"/>
      <w:r w:rsidRPr="00FD1578">
        <w:rPr>
          <w:rFonts w:cs="Times New Roman"/>
          <w:b/>
          <w:bCs/>
          <w:i/>
          <w:iCs/>
          <w:szCs w:val="24"/>
        </w:rPr>
        <w:t>euro</w:t>
      </w:r>
      <w:proofErr w:type="spellEnd"/>
      <w:r w:rsidRPr="00FD1578">
        <w:rPr>
          <w:rFonts w:cs="Times New Roman"/>
          <w:szCs w:val="24"/>
        </w:rPr>
        <w:t xml:space="preserve">, t.sk. 4,3 milj. </w:t>
      </w:r>
      <w:proofErr w:type="spellStart"/>
      <w:r w:rsidRPr="00FD1578">
        <w:rPr>
          <w:rFonts w:cs="Times New Roman"/>
          <w:i/>
          <w:iCs/>
          <w:szCs w:val="24"/>
        </w:rPr>
        <w:t>euro</w:t>
      </w:r>
      <w:proofErr w:type="spellEnd"/>
      <w:r w:rsidRPr="00FD1578">
        <w:rPr>
          <w:rFonts w:cs="Times New Roman"/>
          <w:i/>
          <w:iCs/>
          <w:szCs w:val="24"/>
        </w:rPr>
        <w:t xml:space="preserve"> </w:t>
      </w:r>
      <w:r w:rsidRPr="00FD1578">
        <w:rPr>
          <w:rFonts w:cs="Times New Roman"/>
          <w:szCs w:val="24"/>
        </w:rPr>
        <w:t xml:space="preserve">2025. gadam, 3,1 milj. </w:t>
      </w:r>
      <w:proofErr w:type="spellStart"/>
      <w:r w:rsidRPr="00FD1578">
        <w:rPr>
          <w:rFonts w:cs="Times New Roman"/>
          <w:i/>
          <w:iCs/>
          <w:szCs w:val="24"/>
        </w:rPr>
        <w:t>euro</w:t>
      </w:r>
      <w:proofErr w:type="spellEnd"/>
      <w:r w:rsidRPr="00FD1578">
        <w:rPr>
          <w:rFonts w:cs="Times New Roman"/>
          <w:i/>
          <w:iCs/>
          <w:szCs w:val="24"/>
        </w:rPr>
        <w:t xml:space="preserve"> </w:t>
      </w:r>
      <w:r w:rsidRPr="00FD1578">
        <w:rPr>
          <w:rFonts w:cs="Times New Roman"/>
          <w:szCs w:val="24"/>
        </w:rPr>
        <w:t xml:space="preserve">2026. gadam, 2,8 milj. </w:t>
      </w:r>
      <w:proofErr w:type="spellStart"/>
      <w:r w:rsidRPr="00FD1578">
        <w:rPr>
          <w:rFonts w:cs="Times New Roman"/>
          <w:i/>
          <w:iCs/>
          <w:szCs w:val="24"/>
        </w:rPr>
        <w:t>euro</w:t>
      </w:r>
      <w:proofErr w:type="spellEnd"/>
      <w:r w:rsidRPr="00FD1578">
        <w:rPr>
          <w:rFonts w:cs="Times New Roman"/>
          <w:i/>
          <w:iCs/>
          <w:szCs w:val="24"/>
        </w:rPr>
        <w:t xml:space="preserve"> </w:t>
      </w:r>
      <w:r w:rsidRPr="00FD1578">
        <w:rPr>
          <w:rFonts w:cs="Times New Roman"/>
          <w:szCs w:val="24"/>
        </w:rPr>
        <w:t xml:space="preserve">2027. gadam un 26 milj. </w:t>
      </w:r>
      <w:proofErr w:type="spellStart"/>
      <w:r w:rsidRPr="00FD1578">
        <w:rPr>
          <w:rFonts w:cs="Times New Roman"/>
          <w:i/>
          <w:iCs/>
          <w:szCs w:val="24"/>
        </w:rPr>
        <w:t>euro</w:t>
      </w:r>
      <w:proofErr w:type="spellEnd"/>
      <w:r w:rsidRPr="00FD1578">
        <w:rPr>
          <w:rFonts w:cs="Times New Roman"/>
          <w:szCs w:val="24"/>
        </w:rPr>
        <w:t xml:space="preserve"> 2028. gadam ir iezīmēti, lai nodrošinātu valsts materiālo rezervju nokomplektēšanu atbilstoši nomenklatūrā plānotajam apjomam, kā arī to atjaunināšanu un uzturēšanu (gatavību iesaistīšanai katastrofu, militāru un citu apdraudējumu pārvaldīšanas pasākumu īstenošanā, tai skaitā valsts materiālo rezervju remontdarbi, apkopes, tehniskās apskates, pārbaudes, iekārtu verificēšana u.c.).</w:t>
      </w:r>
    </w:p>
    <w:p w14:paraId="20BD6326" w14:textId="30C2A2F1" w:rsidR="009D6965" w:rsidRPr="00FD1578" w:rsidRDefault="005B62DF" w:rsidP="008349F0">
      <w:pPr>
        <w:widowControl w:val="0"/>
        <w:rPr>
          <w:rFonts w:cs="Times New Roman"/>
          <w:szCs w:val="24"/>
          <w:highlight w:val="lightGray"/>
        </w:rPr>
      </w:pPr>
      <w:r w:rsidRPr="00FD1578">
        <w:rPr>
          <w:rFonts w:cs="Times New Roman"/>
          <w:szCs w:val="24"/>
        </w:rPr>
        <w:t>Saistībā ar sarežģīto ģeopolitisko situāciju Latvijas pierobežā, lai stiprinātu Neatliekamās medicīniskās palīdzības dienesta darbības nepārtrauktību un Neatliekamās medicīniskās palīdzības brigāžu gatavību ārkārtas gadījumos, tai skaitā militāros apdraudējumos nepieciešams nodrošināt ar atbilstošiem pasākumiem un krājumiem</w:t>
      </w:r>
      <w:r w:rsidR="006455AE" w:rsidRPr="00FD1578">
        <w:rPr>
          <w:rFonts w:cs="Times New Roman"/>
          <w:szCs w:val="24"/>
        </w:rPr>
        <w:t xml:space="preserve"> (lai nodrošinātu palīdzību specifisko traumu gadījumos) </w:t>
      </w:r>
      <w:r w:rsidRPr="00FD1578">
        <w:rPr>
          <w:rFonts w:cs="Times New Roman"/>
          <w:szCs w:val="24"/>
        </w:rPr>
        <w:t>likumprojekt</w:t>
      </w:r>
      <w:r w:rsidR="00444F5B" w:rsidRPr="00FD1578">
        <w:rPr>
          <w:rFonts w:cs="Times New Roman"/>
          <w:szCs w:val="24"/>
        </w:rPr>
        <w:t>a</w:t>
      </w:r>
      <w:r w:rsidRPr="00FD1578">
        <w:rPr>
          <w:rFonts w:cs="Times New Roman"/>
          <w:szCs w:val="24"/>
        </w:rPr>
        <w:t xml:space="preserve"> “Par valsts budžetu 2025. gadam un budžeta ietvaru 2025., 2026. un 2027. gadam” </w:t>
      </w:r>
      <w:r w:rsidR="00444F5B" w:rsidRPr="00FD1578">
        <w:rPr>
          <w:rFonts w:cs="Times New Roman"/>
          <w:szCs w:val="24"/>
        </w:rPr>
        <w:t xml:space="preserve">sagatavošanas ietvaros </w:t>
      </w:r>
      <w:r w:rsidR="006455AE" w:rsidRPr="00FD1578">
        <w:rPr>
          <w:rFonts w:cs="Times New Roman"/>
          <w:szCs w:val="24"/>
        </w:rPr>
        <w:t xml:space="preserve">ir iezīmēts finansējums </w:t>
      </w:r>
      <w:r w:rsidR="006455AE" w:rsidRPr="00FD1578">
        <w:rPr>
          <w:rFonts w:cs="Times New Roman"/>
          <w:b/>
          <w:bCs/>
          <w:szCs w:val="24"/>
        </w:rPr>
        <w:t xml:space="preserve">10,3 milj. </w:t>
      </w:r>
      <w:proofErr w:type="spellStart"/>
      <w:r w:rsidR="006455AE" w:rsidRPr="00FD1578">
        <w:rPr>
          <w:rFonts w:cs="Times New Roman"/>
          <w:b/>
          <w:bCs/>
          <w:i/>
          <w:iCs/>
          <w:szCs w:val="24"/>
        </w:rPr>
        <w:t>euro</w:t>
      </w:r>
      <w:proofErr w:type="spellEnd"/>
      <w:r w:rsidR="006455AE" w:rsidRPr="00FD1578">
        <w:rPr>
          <w:rFonts w:cs="Times New Roman"/>
          <w:b/>
          <w:bCs/>
          <w:szCs w:val="24"/>
        </w:rPr>
        <w:t>,</w:t>
      </w:r>
      <w:r w:rsidR="006455AE" w:rsidRPr="00FD1578">
        <w:rPr>
          <w:rFonts w:cs="Times New Roman"/>
          <w:szCs w:val="24"/>
        </w:rPr>
        <w:t xml:space="preserve"> t.sk. 2,6 milj. </w:t>
      </w:r>
      <w:proofErr w:type="spellStart"/>
      <w:r w:rsidR="006455AE" w:rsidRPr="00FD1578">
        <w:rPr>
          <w:rFonts w:cs="Times New Roman"/>
          <w:i/>
          <w:iCs/>
          <w:szCs w:val="24"/>
        </w:rPr>
        <w:t>euro</w:t>
      </w:r>
      <w:proofErr w:type="spellEnd"/>
      <w:r w:rsidR="006455AE" w:rsidRPr="00FD1578">
        <w:rPr>
          <w:rFonts w:cs="Times New Roman"/>
          <w:i/>
          <w:iCs/>
          <w:szCs w:val="24"/>
        </w:rPr>
        <w:t xml:space="preserve"> </w:t>
      </w:r>
      <w:r w:rsidR="006455AE" w:rsidRPr="00FD1578">
        <w:rPr>
          <w:rFonts w:cs="Times New Roman"/>
          <w:szCs w:val="24"/>
        </w:rPr>
        <w:t xml:space="preserve">2025. gadam, 2,5 milj. </w:t>
      </w:r>
      <w:proofErr w:type="spellStart"/>
      <w:r w:rsidR="006455AE" w:rsidRPr="00FD1578">
        <w:rPr>
          <w:rFonts w:cs="Times New Roman"/>
          <w:i/>
          <w:iCs/>
          <w:szCs w:val="24"/>
        </w:rPr>
        <w:t>euro</w:t>
      </w:r>
      <w:proofErr w:type="spellEnd"/>
      <w:r w:rsidR="006455AE" w:rsidRPr="00FD1578">
        <w:rPr>
          <w:rFonts w:cs="Times New Roman"/>
          <w:i/>
          <w:iCs/>
          <w:szCs w:val="24"/>
        </w:rPr>
        <w:t xml:space="preserve"> </w:t>
      </w:r>
      <w:r w:rsidR="006455AE" w:rsidRPr="00FD1578">
        <w:rPr>
          <w:rFonts w:cs="Times New Roman"/>
          <w:szCs w:val="24"/>
        </w:rPr>
        <w:t>ik gadu 2026. - 2028. gadam.</w:t>
      </w:r>
    </w:p>
    <w:bookmarkEnd w:id="71"/>
    <w:p w14:paraId="1FBEB4EC" w14:textId="187AE015" w:rsidR="00CC2633" w:rsidRPr="00FD1578" w:rsidRDefault="00A32C0F" w:rsidP="008349F0">
      <w:pPr>
        <w:shd w:val="clear" w:color="auto" w:fill="FFFFFF"/>
        <w:tabs>
          <w:tab w:val="left" w:pos="1276"/>
        </w:tabs>
        <w:ind w:firstLine="709"/>
        <w:rPr>
          <w:rFonts w:cs="Times New Roman"/>
          <w:szCs w:val="24"/>
        </w:rPr>
      </w:pPr>
      <w:r w:rsidRPr="00FD1578">
        <w:rPr>
          <w:rFonts w:eastAsia="Times New Roman" w:cs="Times New Roman"/>
          <w:szCs w:val="24"/>
        </w:rPr>
        <w:t xml:space="preserve">Prioritārais virziens “Drošība” iekļauj arī </w:t>
      </w:r>
      <w:r w:rsidR="00E537F0" w:rsidRPr="00FD1578">
        <w:rPr>
          <w:rFonts w:eastAsia="Times New Roman" w:cs="Times New Roman"/>
          <w:b/>
          <w:bCs/>
          <w:szCs w:val="24"/>
        </w:rPr>
        <w:t>5</w:t>
      </w:r>
      <w:r w:rsidR="008E7B3E" w:rsidRPr="00FD1578">
        <w:rPr>
          <w:rFonts w:cs="Times New Roman"/>
          <w:b/>
          <w:bCs/>
          <w:szCs w:val="24"/>
        </w:rPr>
        <w:t>3,2</w:t>
      </w:r>
      <w:r w:rsidR="00CC2633" w:rsidRPr="00FD1578">
        <w:rPr>
          <w:rFonts w:cs="Times New Roman"/>
          <w:szCs w:val="24"/>
        </w:rPr>
        <w:t xml:space="preserve"> </w:t>
      </w:r>
      <w:r w:rsidR="00CC2633" w:rsidRPr="00FD1578">
        <w:rPr>
          <w:rFonts w:cs="Times New Roman"/>
          <w:b/>
          <w:bCs/>
          <w:szCs w:val="24"/>
        </w:rPr>
        <w:t xml:space="preserve">milj. </w:t>
      </w:r>
      <w:proofErr w:type="spellStart"/>
      <w:r w:rsidR="00CC2633" w:rsidRPr="00FD1578">
        <w:rPr>
          <w:rFonts w:cs="Times New Roman"/>
          <w:b/>
          <w:bCs/>
          <w:i/>
          <w:iCs/>
          <w:szCs w:val="24"/>
        </w:rPr>
        <w:t>euro</w:t>
      </w:r>
      <w:proofErr w:type="spellEnd"/>
      <w:r w:rsidR="00CC2633" w:rsidRPr="00FD1578">
        <w:rPr>
          <w:rFonts w:cs="Times New Roman"/>
          <w:szCs w:val="24"/>
        </w:rPr>
        <w:t xml:space="preserve">, t.sk. </w:t>
      </w:r>
      <w:r w:rsidR="008E7B3E" w:rsidRPr="00FD1578">
        <w:rPr>
          <w:rFonts w:cs="Times New Roman"/>
          <w:szCs w:val="24"/>
        </w:rPr>
        <w:t>10,1</w:t>
      </w:r>
      <w:r w:rsidR="00CC2633" w:rsidRPr="00FD1578">
        <w:rPr>
          <w:rFonts w:cs="Times New Roman"/>
          <w:szCs w:val="24"/>
        </w:rPr>
        <w:t xml:space="preserve"> milj. </w:t>
      </w:r>
      <w:proofErr w:type="spellStart"/>
      <w:r w:rsidR="00CC2633" w:rsidRPr="00FD1578">
        <w:rPr>
          <w:rFonts w:cs="Times New Roman"/>
          <w:i/>
          <w:iCs/>
          <w:szCs w:val="24"/>
        </w:rPr>
        <w:t>euro</w:t>
      </w:r>
      <w:proofErr w:type="spellEnd"/>
      <w:r w:rsidR="00CC2633" w:rsidRPr="00FD1578">
        <w:rPr>
          <w:rFonts w:cs="Times New Roman"/>
          <w:i/>
          <w:iCs/>
          <w:szCs w:val="24"/>
        </w:rPr>
        <w:t xml:space="preserve"> </w:t>
      </w:r>
      <w:r w:rsidR="00CC2633" w:rsidRPr="00FD1578">
        <w:rPr>
          <w:rFonts w:cs="Times New Roman"/>
          <w:szCs w:val="24"/>
        </w:rPr>
        <w:t>2025. gadam, 1</w:t>
      </w:r>
      <w:r w:rsidR="008E7B3E" w:rsidRPr="00FD1578">
        <w:rPr>
          <w:rFonts w:cs="Times New Roman"/>
          <w:szCs w:val="24"/>
        </w:rPr>
        <w:t>4,8</w:t>
      </w:r>
      <w:r w:rsidR="00CC2633" w:rsidRPr="00FD1578">
        <w:rPr>
          <w:rFonts w:cs="Times New Roman"/>
          <w:szCs w:val="24"/>
        </w:rPr>
        <w:t xml:space="preserve"> milj. </w:t>
      </w:r>
      <w:proofErr w:type="spellStart"/>
      <w:r w:rsidR="00CC2633" w:rsidRPr="00FD1578">
        <w:rPr>
          <w:rFonts w:cs="Times New Roman"/>
          <w:i/>
          <w:iCs/>
          <w:szCs w:val="24"/>
        </w:rPr>
        <w:t>euro</w:t>
      </w:r>
      <w:proofErr w:type="spellEnd"/>
      <w:r w:rsidR="00CC2633" w:rsidRPr="00FD1578">
        <w:rPr>
          <w:rFonts w:cs="Times New Roman"/>
          <w:i/>
          <w:iCs/>
          <w:szCs w:val="24"/>
        </w:rPr>
        <w:t xml:space="preserve"> </w:t>
      </w:r>
      <w:r w:rsidR="00CC2633" w:rsidRPr="00FD1578">
        <w:rPr>
          <w:rFonts w:cs="Times New Roman"/>
          <w:szCs w:val="24"/>
        </w:rPr>
        <w:t xml:space="preserve">2026. gadam, </w:t>
      </w:r>
      <w:r w:rsidR="008E7B3E" w:rsidRPr="00FD1578">
        <w:rPr>
          <w:rFonts w:cs="Times New Roman"/>
          <w:szCs w:val="24"/>
        </w:rPr>
        <w:t>14,6</w:t>
      </w:r>
      <w:r w:rsidR="00CC2633" w:rsidRPr="00FD1578">
        <w:rPr>
          <w:rFonts w:cs="Times New Roman"/>
          <w:szCs w:val="24"/>
        </w:rPr>
        <w:t xml:space="preserve"> milj. </w:t>
      </w:r>
      <w:proofErr w:type="spellStart"/>
      <w:r w:rsidR="00CC2633" w:rsidRPr="00FD1578">
        <w:rPr>
          <w:rFonts w:cs="Times New Roman"/>
          <w:i/>
          <w:iCs/>
          <w:szCs w:val="24"/>
        </w:rPr>
        <w:t>euro</w:t>
      </w:r>
      <w:proofErr w:type="spellEnd"/>
      <w:r w:rsidR="00CC2633" w:rsidRPr="00FD1578">
        <w:rPr>
          <w:rFonts w:cs="Times New Roman"/>
          <w:i/>
          <w:iCs/>
          <w:szCs w:val="24"/>
        </w:rPr>
        <w:t xml:space="preserve"> </w:t>
      </w:r>
      <w:r w:rsidR="00CC2633" w:rsidRPr="00FD1578">
        <w:rPr>
          <w:rFonts w:cs="Times New Roman"/>
          <w:szCs w:val="24"/>
        </w:rPr>
        <w:t>2027. gadam un 1</w:t>
      </w:r>
      <w:r w:rsidR="008E7B3E" w:rsidRPr="00FD1578">
        <w:rPr>
          <w:rFonts w:cs="Times New Roman"/>
          <w:szCs w:val="24"/>
        </w:rPr>
        <w:t>3,8</w:t>
      </w:r>
      <w:r w:rsidR="00CC2633" w:rsidRPr="00FD1578">
        <w:rPr>
          <w:rFonts w:cs="Times New Roman"/>
          <w:szCs w:val="24"/>
        </w:rPr>
        <w:t xml:space="preserve"> milj. </w:t>
      </w:r>
      <w:proofErr w:type="spellStart"/>
      <w:r w:rsidR="00CC2633" w:rsidRPr="00FD1578">
        <w:rPr>
          <w:rFonts w:cs="Times New Roman"/>
          <w:i/>
          <w:iCs/>
          <w:szCs w:val="24"/>
        </w:rPr>
        <w:t>euro</w:t>
      </w:r>
      <w:proofErr w:type="spellEnd"/>
      <w:r w:rsidR="00CC2633" w:rsidRPr="00FD1578">
        <w:rPr>
          <w:rFonts w:cs="Times New Roman"/>
          <w:szCs w:val="24"/>
        </w:rPr>
        <w:t xml:space="preserve"> 2028. gadam Valsts drošības dienesta darbības prioritāro jomu stiprināšanai</w:t>
      </w:r>
      <w:r w:rsidR="008E7B3E" w:rsidRPr="00FD1578">
        <w:rPr>
          <w:rFonts w:cs="Times New Roman"/>
          <w:szCs w:val="24"/>
        </w:rPr>
        <w:t xml:space="preserve"> un Satversmes aizsardzības biroja darbības nodrošināšanai.</w:t>
      </w:r>
    </w:p>
    <w:p w14:paraId="422908F5" w14:textId="1ADFAFB8" w:rsidR="004E552D" w:rsidRPr="00FD1578" w:rsidRDefault="00CE66A3" w:rsidP="008349F0">
      <w:pPr>
        <w:widowControl w:val="0"/>
        <w:rPr>
          <w:rFonts w:cs="Times New Roman"/>
          <w:szCs w:val="24"/>
        </w:rPr>
      </w:pPr>
      <w:r w:rsidRPr="00FD1578">
        <w:rPr>
          <w:rFonts w:cs="Times New Roman"/>
          <w:b/>
          <w:bCs/>
          <w:szCs w:val="24"/>
        </w:rPr>
        <w:t xml:space="preserve">50 milj. </w:t>
      </w:r>
      <w:proofErr w:type="spellStart"/>
      <w:r w:rsidRPr="00FD1578">
        <w:rPr>
          <w:rFonts w:cs="Times New Roman"/>
          <w:b/>
          <w:bCs/>
          <w:i/>
          <w:iCs/>
          <w:szCs w:val="24"/>
        </w:rPr>
        <w:t>euro</w:t>
      </w:r>
      <w:proofErr w:type="spellEnd"/>
      <w:r w:rsidRPr="00FD1578">
        <w:rPr>
          <w:rFonts w:cs="Times New Roman"/>
          <w:szCs w:val="24"/>
        </w:rPr>
        <w:t xml:space="preserve"> 2025. gadā paredzēti Ukrainas atbalstam (atbilstoši noslēgtajam līgumam par militāro atbalstu), </w:t>
      </w:r>
      <w:r w:rsidRPr="00FD1578">
        <w:rPr>
          <w:rFonts w:cs="Times New Roman"/>
          <w:b/>
          <w:bCs/>
          <w:szCs w:val="24"/>
        </w:rPr>
        <w:t xml:space="preserve">65 milj. </w:t>
      </w:r>
      <w:proofErr w:type="spellStart"/>
      <w:r w:rsidRPr="00FD1578">
        <w:rPr>
          <w:rFonts w:cs="Times New Roman"/>
          <w:b/>
          <w:bCs/>
          <w:i/>
          <w:iCs/>
          <w:szCs w:val="24"/>
        </w:rPr>
        <w:t>euro</w:t>
      </w:r>
      <w:proofErr w:type="spellEnd"/>
      <w:r w:rsidRPr="00FD1578">
        <w:rPr>
          <w:rFonts w:cs="Times New Roman"/>
          <w:i/>
          <w:iCs/>
          <w:szCs w:val="24"/>
        </w:rPr>
        <w:t xml:space="preserve"> </w:t>
      </w:r>
      <w:r w:rsidRPr="00FD1578">
        <w:rPr>
          <w:rFonts w:cs="Times New Roman"/>
          <w:szCs w:val="24"/>
        </w:rPr>
        <w:t xml:space="preserve">– pasākumu plāna atbalsta sniegšanai Ukrainas </w:t>
      </w:r>
      <w:r w:rsidRPr="00FD1578">
        <w:rPr>
          <w:rFonts w:cs="Times New Roman"/>
          <w:szCs w:val="24"/>
        </w:rPr>
        <w:lastRenderedPageBreak/>
        <w:t>civiliedzīvotājiem Latvijas Republikā 2025. gadam īstenošanai</w:t>
      </w:r>
      <w:r w:rsidR="004E552D" w:rsidRPr="00FD1578">
        <w:rPr>
          <w:rFonts w:cs="Times New Roman"/>
          <w:szCs w:val="24"/>
        </w:rPr>
        <w:t xml:space="preserve">, kā arī pastiprinātās robežapsardzības sistēmas darbības režīma pagarināšanai 2025. gadā iezīmēti </w:t>
      </w:r>
      <w:r w:rsidR="004E552D" w:rsidRPr="00FD1578">
        <w:rPr>
          <w:rFonts w:cs="Times New Roman"/>
          <w:b/>
          <w:bCs/>
          <w:szCs w:val="24"/>
        </w:rPr>
        <w:t>4,8 milj.</w:t>
      </w:r>
      <w:r w:rsidR="004E552D" w:rsidRPr="00FD1578">
        <w:rPr>
          <w:rFonts w:cs="Times New Roman"/>
          <w:szCs w:val="24"/>
        </w:rPr>
        <w:t xml:space="preserve"> </w:t>
      </w:r>
      <w:proofErr w:type="spellStart"/>
      <w:r w:rsidR="004E552D" w:rsidRPr="00FD1578">
        <w:rPr>
          <w:rFonts w:cs="Times New Roman"/>
          <w:b/>
          <w:bCs/>
          <w:i/>
          <w:iCs/>
          <w:szCs w:val="24"/>
        </w:rPr>
        <w:t>euro</w:t>
      </w:r>
      <w:proofErr w:type="spellEnd"/>
      <w:r w:rsidR="004E552D" w:rsidRPr="00FD1578">
        <w:rPr>
          <w:rFonts w:cs="Times New Roman"/>
          <w:szCs w:val="24"/>
        </w:rPr>
        <w:t>.</w:t>
      </w:r>
    </w:p>
    <w:p w14:paraId="2BCF8A71" w14:textId="708D7B12" w:rsidR="008E7B3E" w:rsidRPr="00FD1578" w:rsidRDefault="00E537F0" w:rsidP="008349F0">
      <w:pPr>
        <w:shd w:val="clear" w:color="auto" w:fill="FFFFFF"/>
        <w:tabs>
          <w:tab w:val="left" w:pos="709"/>
        </w:tabs>
        <w:ind w:firstLine="0"/>
        <w:rPr>
          <w:rFonts w:cs="Times New Roman"/>
          <w:szCs w:val="24"/>
        </w:rPr>
      </w:pPr>
      <w:r w:rsidRPr="00FD1578">
        <w:rPr>
          <w:rFonts w:cs="Times New Roman"/>
          <w:szCs w:val="24"/>
        </w:rPr>
        <w:tab/>
      </w:r>
      <w:r w:rsidRPr="00FD1578">
        <w:rPr>
          <w:rFonts w:cs="Times New Roman"/>
          <w:b/>
          <w:bCs/>
          <w:szCs w:val="24"/>
        </w:rPr>
        <w:t>5,9</w:t>
      </w:r>
      <w:r w:rsidR="008E7B3E" w:rsidRPr="00FD1578">
        <w:rPr>
          <w:rFonts w:cs="Times New Roman"/>
          <w:b/>
          <w:bCs/>
          <w:szCs w:val="24"/>
        </w:rPr>
        <w:t xml:space="preserve"> milj. </w:t>
      </w:r>
      <w:proofErr w:type="spellStart"/>
      <w:r w:rsidR="008E7B3E" w:rsidRPr="00FD1578">
        <w:rPr>
          <w:rFonts w:cs="Times New Roman"/>
          <w:b/>
          <w:bCs/>
          <w:i/>
          <w:iCs/>
          <w:szCs w:val="24"/>
        </w:rPr>
        <w:t>euro</w:t>
      </w:r>
      <w:proofErr w:type="spellEnd"/>
      <w:r w:rsidR="00F85443" w:rsidRPr="00FD1578">
        <w:rPr>
          <w:rFonts w:cs="Times New Roman"/>
          <w:szCs w:val="24"/>
        </w:rPr>
        <w:t>, t.sk</w:t>
      </w:r>
      <w:r w:rsidR="00F85443" w:rsidRPr="00FD1578">
        <w:rPr>
          <w:rFonts w:cs="Times New Roman"/>
          <w:b/>
          <w:bCs/>
          <w:szCs w:val="24"/>
        </w:rPr>
        <w:t xml:space="preserve">. </w:t>
      </w:r>
      <w:r w:rsidR="00F85443" w:rsidRPr="00FD1578">
        <w:rPr>
          <w:rFonts w:cs="Times New Roman"/>
          <w:szCs w:val="24"/>
        </w:rPr>
        <w:t xml:space="preserve">1,5 milj. </w:t>
      </w:r>
      <w:proofErr w:type="spellStart"/>
      <w:r w:rsidR="00F85443" w:rsidRPr="00FD1578">
        <w:rPr>
          <w:rFonts w:cs="Times New Roman"/>
          <w:i/>
          <w:iCs/>
          <w:szCs w:val="24"/>
        </w:rPr>
        <w:t>euro</w:t>
      </w:r>
      <w:proofErr w:type="spellEnd"/>
      <w:r w:rsidR="00F85443" w:rsidRPr="00FD1578">
        <w:rPr>
          <w:rFonts w:cs="Times New Roman"/>
          <w:i/>
          <w:iCs/>
          <w:szCs w:val="24"/>
        </w:rPr>
        <w:t xml:space="preserve"> </w:t>
      </w:r>
      <w:r w:rsidR="00F85443" w:rsidRPr="00FD1578">
        <w:rPr>
          <w:rFonts w:cs="Times New Roman"/>
          <w:szCs w:val="24"/>
        </w:rPr>
        <w:t xml:space="preserve">2025. gadam, 1,4 milj. </w:t>
      </w:r>
      <w:proofErr w:type="spellStart"/>
      <w:r w:rsidR="00F85443" w:rsidRPr="00FD1578">
        <w:rPr>
          <w:rFonts w:cs="Times New Roman"/>
          <w:i/>
          <w:iCs/>
          <w:szCs w:val="24"/>
        </w:rPr>
        <w:t>euro</w:t>
      </w:r>
      <w:proofErr w:type="spellEnd"/>
      <w:r w:rsidR="00F85443" w:rsidRPr="00FD1578">
        <w:rPr>
          <w:rFonts w:cs="Times New Roman"/>
          <w:i/>
          <w:iCs/>
          <w:szCs w:val="24"/>
        </w:rPr>
        <w:t xml:space="preserve"> </w:t>
      </w:r>
      <w:r w:rsidR="00F85443" w:rsidRPr="00FD1578">
        <w:rPr>
          <w:rFonts w:cs="Times New Roman"/>
          <w:szCs w:val="24"/>
        </w:rPr>
        <w:t xml:space="preserve">2026. gadam, 1,5 milj. </w:t>
      </w:r>
      <w:proofErr w:type="spellStart"/>
      <w:r w:rsidR="00F85443" w:rsidRPr="00FD1578">
        <w:rPr>
          <w:rFonts w:cs="Times New Roman"/>
          <w:i/>
          <w:iCs/>
          <w:szCs w:val="24"/>
        </w:rPr>
        <w:t>euro</w:t>
      </w:r>
      <w:proofErr w:type="spellEnd"/>
      <w:r w:rsidR="00F85443" w:rsidRPr="00FD1578">
        <w:rPr>
          <w:rFonts w:cs="Times New Roman"/>
          <w:i/>
          <w:iCs/>
          <w:szCs w:val="24"/>
        </w:rPr>
        <w:t xml:space="preserve"> </w:t>
      </w:r>
      <w:r w:rsidR="00F85443" w:rsidRPr="00FD1578">
        <w:rPr>
          <w:rFonts w:cs="Times New Roman"/>
          <w:szCs w:val="24"/>
        </w:rPr>
        <w:t xml:space="preserve">2027. gadam un 1,5 milj. </w:t>
      </w:r>
      <w:proofErr w:type="spellStart"/>
      <w:r w:rsidR="00F85443" w:rsidRPr="00FD1578">
        <w:rPr>
          <w:rFonts w:cs="Times New Roman"/>
          <w:i/>
          <w:iCs/>
          <w:szCs w:val="24"/>
        </w:rPr>
        <w:t>euro</w:t>
      </w:r>
      <w:proofErr w:type="spellEnd"/>
      <w:r w:rsidR="00F85443" w:rsidRPr="00FD1578">
        <w:rPr>
          <w:rFonts w:cs="Times New Roman"/>
          <w:szCs w:val="24"/>
        </w:rPr>
        <w:t xml:space="preserve"> 2028. gadam</w:t>
      </w:r>
      <w:r w:rsidR="00F85443" w:rsidRPr="00FD1578">
        <w:rPr>
          <w:rFonts w:cs="Times New Roman"/>
          <w:b/>
          <w:bCs/>
          <w:szCs w:val="24"/>
        </w:rPr>
        <w:t xml:space="preserve"> </w:t>
      </w:r>
      <w:r w:rsidR="008E7B3E" w:rsidRPr="00FD1578">
        <w:rPr>
          <w:rFonts w:cs="Times New Roman"/>
          <w:szCs w:val="24"/>
        </w:rPr>
        <w:t>iezīmēti citiem prioritāriem pasākumiem drošības jomā</w:t>
      </w:r>
      <w:r w:rsidRPr="00FD1578">
        <w:rPr>
          <w:rFonts w:cs="Times New Roman"/>
          <w:szCs w:val="24"/>
        </w:rPr>
        <w:t xml:space="preserve"> (krīzes vadības centra kapacitātes nodrošināšanai un Latvijas Republikas pastāvīgās pārstāvniecības ANO, Ņujorkā darbības nepārtrauktības nodrošināšanai)</w:t>
      </w:r>
      <w:r w:rsidR="00F85443" w:rsidRPr="00FD1578">
        <w:rPr>
          <w:rFonts w:cs="Times New Roman"/>
          <w:szCs w:val="24"/>
        </w:rPr>
        <w:t>.</w:t>
      </w:r>
    </w:p>
    <w:bookmarkEnd w:id="70"/>
    <w:p w14:paraId="1077EAC9" w14:textId="77777777" w:rsidR="00FB2F05" w:rsidRPr="00FD1578" w:rsidRDefault="00FB2F05" w:rsidP="008349F0">
      <w:pPr>
        <w:spacing w:after="0"/>
        <w:ind w:firstLine="0"/>
        <w:rPr>
          <w:rFonts w:cs="Times New Roman"/>
          <w:szCs w:val="24"/>
          <w:highlight w:val="lightGray"/>
        </w:rPr>
      </w:pPr>
    </w:p>
    <w:p w14:paraId="05D6CF1E" w14:textId="24E615BA" w:rsidR="00FB2F05" w:rsidRPr="00FD1578" w:rsidRDefault="00E537F0" w:rsidP="008349F0">
      <w:pPr>
        <w:ind w:firstLine="0"/>
        <w:jc w:val="center"/>
        <w:rPr>
          <w:rFonts w:cs="Times New Roman"/>
          <w:b/>
          <w:bCs/>
          <w:sz w:val="28"/>
          <w:szCs w:val="28"/>
        </w:rPr>
      </w:pPr>
      <w:r w:rsidRPr="00FD1578">
        <w:rPr>
          <w:rFonts w:cs="Times New Roman"/>
          <w:b/>
          <w:bCs/>
          <w:sz w:val="28"/>
          <w:szCs w:val="28"/>
        </w:rPr>
        <w:t xml:space="preserve">Citi </w:t>
      </w:r>
      <w:r w:rsidR="00FB2F05" w:rsidRPr="00FD1578">
        <w:rPr>
          <w:rFonts w:cs="Times New Roman"/>
          <w:b/>
          <w:bCs/>
          <w:sz w:val="28"/>
          <w:szCs w:val="28"/>
        </w:rPr>
        <w:t>prioritārie pasākumi</w:t>
      </w:r>
    </w:p>
    <w:p w14:paraId="4F6E7666" w14:textId="19D09894" w:rsidR="005C010B" w:rsidRPr="00FD1578" w:rsidRDefault="00085786" w:rsidP="008349F0">
      <w:r w:rsidRPr="00FD1578">
        <w:rPr>
          <w:rFonts w:cs="Times New Roman"/>
          <w:szCs w:val="24"/>
        </w:rPr>
        <w:t>Šajā likumā paredzēts</w:t>
      </w:r>
      <w:r w:rsidR="00FB2F05" w:rsidRPr="00FD1578">
        <w:rPr>
          <w:rFonts w:cs="Times New Roman"/>
          <w:szCs w:val="24"/>
        </w:rPr>
        <w:t xml:space="preserve"> īstenot pasākumus</w:t>
      </w:r>
      <w:r w:rsidR="001D0754" w:rsidRPr="00FD1578">
        <w:rPr>
          <w:rFonts w:cs="Times New Roman"/>
          <w:szCs w:val="24"/>
        </w:rPr>
        <w:t xml:space="preserve"> Satversmes tiesas sprieduma un likumu izpildes nodrošināšanai</w:t>
      </w:r>
      <w:r w:rsidR="005C010B" w:rsidRPr="00FD1578">
        <w:rPr>
          <w:rFonts w:cs="Times New Roman"/>
          <w:szCs w:val="24"/>
        </w:rPr>
        <w:t xml:space="preserve"> (atbalsts minimālo ienākumu palielināšanai, elektroniskās uzraudzības sistēmas ieviešanai un uzturēšanai</w:t>
      </w:r>
      <w:r w:rsidR="005C010B" w:rsidRPr="00FD1578">
        <w:rPr>
          <w:rFonts w:cs="Times New Roman"/>
          <w:b/>
          <w:bCs/>
          <w:szCs w:val="24"/>
        </w:rPr>
        <w:t>)</w:t>
      </w:r>
      <w:r w:rsidR="001D0754" w:rsidRPr="00FD1578">
        <w:rPr>
          <w:rFonts w:cs="Times New Roman"/>
          <w:szCs w:val="24"/>
        </w:rPr>
        <w:t xml:space="preserve">, kā arī neatkarīgo iestāžu </w:t>
      </w:r>
      <w:r w:rsidR="005C010B" w:rsidRPr="00FD1578">
        <w:rPr>
          <w:rFonts w:cs="Times New Roman"/>
          <w:szCs w:val="24"/>
        </w:rPr>
        <w:t>kapacitātes stiprināšanai un IT sistēmu drošības pilnveidošanai</w:t>
      </w:r>
      <w:r w:rsidR="00FB2F05" w:rsidRPr="00FD1578">
        <w:rPr>
          <w:rFonts w:cs="Times New Roman"/>
          <w:szCs w:val="24"/>
        </w:rPr>
        <w:t>, iezīmējot t</w:t>
      </w:r>
      <w:r w:rsidR="001D0754" w:rsidRPr="00FD1578">
        <w:rPr>
          <w:rFonts w:cs="Times New Roman"/>
          <w:szCs w:val="24"/>
        </w:rPr>
        <w:t xml:space="preserve">iem </w:t>
      </w:r>
      <w:r w:rsidR="00FB2F05" w:rsidRPr="00FD1578">
        <w:rPr>
          <w:rFonts w:cs="Times New Roman"/>
          <w:szCs w:val="24"/>
        </w:rPr>
        <w:t>vairāk kā</w:t>
      </w:r>
      <w:r w:rsidR="00E537F0" w:rsidRPr="00FD1578">
        <w:rPr>
          <w:rFonts w:cs="Times New Roman"/>
          <w:szCs w:val="24"/>
        </w:rPr>
        <w:t xml:space="preserve"> </w:t>
      </w:r>
      <w:r w:rsidR="00E537F0" w:rsidRPr="00FD1578">
        <w:rPr>
          <w:rFonts w:cs="Times New Roman"/>
          <w:b/>
          <w:bCs/>
          <w:szCs w:val="24"/>
        </w:rPr>
        <w:t>166,8</w:t>
      </w:r>
      <w:r w:rsidR="00FB2F05" w:rsidRPr="00FD1578">
        <w:rPr>
          <w:rFonts w:cs="Times New Roman"/>
          <w:b/>
          <w:bCs/>
          <w:szCs w:val="24"/>
        </w:rPr>
        <w:t xml:space="preserve"> milj. </w:t>
      </w:r>
      <w:proofErr w:type="spellStart"/>
      <w:r w:rsidR="00FB2F05" w:rsidRPr="00FD1578">
        <w:rPr>
          <w:rFonts w:cs="Times New Roman"/>
          <w:b/>
          <w:bCs/>
          <w:i/>
          <w:iCs/>
          <w:szCs w:val="24"/>
        </w:rPr>
        <w:t>euro</w:t>
      </w:r>
      <w:proofErr w:type="spellEnd"/>
      <w:r w:rsidR="00FB2F05" w:rsidRPr="00FD1578">
        <w:rPr>
          <w:rFonts w:cs="Times New Roman"/>
          <w:szCs w:val="24"/>
        </w:rPr>
        <w:t xml:space="preserve"> (</w:t>
      </w:r>
      <w:r w:rsidR="00E537F0" w:rsidRPr="00FD1578">
        <w:rPr>
          <w:rFonts w:cs="Times New Roman"/>
          <w:szCs w:val="24"/>
        </w:rPr>
        <w:t>40,5</w:t>
      </w:r>
      <w:r w:rsidR="00FB2F05" w:rsidRPr="00FD1578">
        <w:rPr>
          <w:rFonts w:cs="Times New Roman"/>
          <w:szCs w:val="24"/>
        </w:rPr>
        <w:t xml:space="preserve"> milj</w:t>
      </w:r>
      <w:r w:rsidR="00F85443" w:rsidRPr="00FD1578">
        <w:rPr>
          <w:rFonts w:cs="Times New Roman"/>
          <w:szCs w:val="24"/>
        </w:rPr>
        <w:t>.</w:t>
      </w:r>
      <w:r w:rsidR="00FB2F05" w:rsidRPr="00FD1578">
        <w:rPr>
          <w:rFonts w:cs="Times New Roman"/>
          <w:szCs w:val="24"/>
        </w:rPr>
        <w:t xml:space="preserve"> </w:t>
      </w:r>
      <w:proofErr w:type="spellStart"/>
      <w:r w:rsidR="00FB2F05" w:rsidRPr="00FD1578">
        <w:rPr>
          <w:rFonts w:cs="Times New Roman"/>
          <w:i/>
          <w:iCs/>
          <w:szCs w:val="24"/>
        </w:rPr>
        <w:t>euro</w:t>
      </w:r>
      <w:proofErr w:type="spellEnd"/>
      <w:r w:rsidR="00FB2F05" w:rsidRPr="00FD1578">
        <w:rPr>
          <w:rFonts w:cs="Times New Roman"/>
          <w:i/>
          <w:iCs/>
          <w:szCs w:val="24"/>
        </w:rPr>
        <w:t xml:space="preserve"> </w:t>
      </w:r>
      <w:r w:rsidR="0084019B" w:rsidRPr="00FD1578">
        <w:rPr>
          <w:rFonts w:cs="Times New Roman"/>
          <w:szCs w:val="24"/>
        </w:rPr>
        <w:t>202</w:t>
      </w:r>
      <w:r w:rsidR="00E537F0" w:rsidRPr="00FD1578">
        <w:rPr>
          <w:rFonts w:cs="Times New Roman"/>
          <w:szCs w:val="24"/>
        </w:rPr>
        <w:t>5</w:t>
      </w:r>
      <w:r w:rsidR="0084019B" w:rsidRPr="00FD1578">
        <w:rPr>
          <w:rFonts w:cs="Times New Roman"/>
          <w:szCs w:val="24"/>
        </w:rPr>
        <w:t xml:space="preserve">.gadam, </w:t>
      </w:r>
      <w:r w:rsidR="00E537F0" w:rsidRPr="00FD1578">
        <w:rPr>
          <w:rFonts w:cs="Times New Roman"/>
          <w:szCs w:val="24"/>
        </w:rPr>
        <w:t>43</w:t>
      </w:r>
      <w:r w:rsidR="0084019B" w:rsidRPr="00FD1578">
        <w:rPr>
          <w:rFonts w:cs="Times New Roman"/>
          <w:szCs w:val="24"/>
        </w:rPr>
        <w:t xml:space="preserve">,3 milj. </w:t>
      </w:r>
      <w:proofErr w:type="spellStart"/>
      <w:r w:rsidR="0084019B" w:rsidRPr="00FD1578">
        <w:rPr>
          <w:rFonts w:cs="Times New Roman"/>
          <w:i/>
          <w:iCs/>
          <w:szCs w:val="24"/>
        </w:rPr>
        <w:t>euro</w:t>
      </w:r>
      <w:proofErr w:type="spellEnd"/>
      <w:r w:rsidR="0084019B" w:rsidRPr="00FD1578">
        <w:rPr>
          <w:rFonts w:cs="Times New Roman"/>
          <w:szCs w:val="24"/>
        </w:rPr>
        <w:t xml:space="preserve"> 202</w:t>
      </w:r>
      <w:r w:rsidR="00E537F0" w:rsidRPr="00FD1578">
        <w:rPr>
          <w:rFonts w:cs="Times New Roman"/>
          <w:szCs w:val="24"/>
        </w:rPr>
        <w:t>6</w:t>
      </w:r>
      <w:r w:rsidR="0084019B" w:rsidRPr="00FD1578">
        <w:rPr>
          <w:rFonts w:cs="Times New Roman"/>
          <w:szCs w:val="24"/>
        </w:rPr>
        <w:t>. gadam</w:t>
      </w:r>
      <w:r w:rsidR="00E537F0" w:rsidRPr="00FD1578">
        <w:rPr>
          <w:rFonts w:cs="Times New Roman"/>
          <w:szCs w:val="24"/>
        </w:rPr>
        <w:t>, 40,8</w:t>
      </w:r>
      <w:r w:rsidR="0084019B" w:rsidRPr="00FD1578">
        <w:rPr>
          <w:rFonts w:cs="Times New Roman"/>
          <w:szCs w:val="24"/>
        </w:rPr>
        <w:t xml:space="preserve"> milj. </w:t>
      </w:r>
      <w:proofErr w:type="spellStart"/>
      <w:r w:rsidR="0084019B" w:rsidRPr="00FD1578">
        <w:rPr>
          <w:rFonts w:cs="Times New Roman"/>
          <w:i/>
          <w:iCs/>
          <w:szCs w:val="24"/>
        </w:rPr>
        <w:t>euro</w:t>
      </w:r>
      <w:proofErr w:type="spellEnd"/>
      <w:r w:rsidR="0084019B" w:rsidRPr="00FD1578">
        <w:rPr>
          <w:rFonts w:cs="Times New Roman"/>
          <w:szCs w:val="24"/>
        </w:rPr>
        <w:t xml:space="preserve"> 202</w:t>
      </w:r>
      <w:r w:rsidR="00E537F0" w:rsidRPr="00FD1578">
        <w:rPr>
          <w:rFonts w:cs="Times New Roman"/>
          <w:szCs w:val="24"/>
        </w:rPr>
        <w:t>7</w:t>
      </w:r>
      <w:r w:rsidR="0084019B" w:rsidRPr="00FD1578">
        <w:rPr>
          <w:rFonts w:cs="Times New Roman"/>
          <w:szCs w:val="24"/>
        </w:rPr>
        <w:t>. gadam</w:t>
      </w:r>
      <w:r w:rsidR="00E537F0" w:rsidRPr="00FD1578">
        <w:rPr>
          <w:rFonts w:cs="Times New Roman"/>
          <w:szCs w:val="24"/>
        </w:rPr>
        <w:t xml:space="preserve"> un </w:t>
      </w:r>
      <w:r w:rsidR="001D0754" w:rsidRPr="00FD1578">
        <w:rPr>
          <w:rFonts w:cs="Times New Roman"/>
          <w:szCs w:val="24"/>
        </w:rPr>
        <w:t xml:space="preserve">42,2 milj. </w:t>
      </w:r>
      <w:proofErr w:type="spellStart"/>
      <w:r w:rsidR="001D0754" w:rsidRPr="00FD1578">
        <w:rPr>
          <w:rFonts w:cs="Times New Roman"/>
          <w:i/>
          <w:iCs/>
          <w:szCs w:val="24"/>
        </w:rPr>
        <w:t>euro</w:t>
      </w:r>
      <w:proofErr w:type="spellEnd"/>
      <w:r w:rsidR="001D0754" w:rsidRPr="00FD1578">
        <w:rPr>
          <w:rFonts w:cs="Times New Roman"/>
          <w:szCs w:val="24"/>
        </w:rPr>
        <w:t xml:space="preserve"> 2028. gadam</w:t>
      </w:r>
      <w:r w:rsidR="0084019B" w:rsidRPr="00FD1578">
        <w:rPr>
          <w:rFonts w:cs="Times New Roman"/>
          <w:szCs w:val="24"/>
          <w:highlight w:val="lightGray"/>
        </w:rPr>
        <w:t>)</w:t>
      </w:r>
      <w:r w:rsidR="00602B7C" w:rsidRPr="00FD1578">
        <w:rPr>
          <w:rFonts w:cs="Times New Roman"/>
          <w:szCs w:val="24"/>
        </w:rPr>
        <w:t xml:space="preserve">, kur 72% jeb </w:t>
      </w:r>
      <w:r w:rsidR="00602B7C" w:rsidRPr="00FD1578">
        <w:rPr>
          <w:rFonts w:cs="Times New Roman"/>
          <w:b/>
          <w:bCs/>
          <w:szCs w:val="24"/>
        </w:rPr>
        <w:t xml:space="preserve">120 milj. </w:t>
      </w:r>
      <w:proofErr w:type="spellStart"/>
      <w:r w:rsidR="00602B7C" w:rsidRPr="00FD1578">
        <w:rPr>
          <w:rFonts w:cs="Times New Roman"/>
          <w:b/>
          <w:bCs/>
          <w:i/>
          <w:iCs/>
          <w:szCs w:val="24"/>
        </w:rPr>
        <w:t>euro</w:t>
      </w:r>
      <w:proofErr w:type="spellEnd"/>
      <w:r w:rsidR="00602B7C" w:rsidRPr="00FD1578">
        <w:rPr>
          <w:rFonts w:cs="Times New Roman"/>
          <w:szCs w:val="24"/>
        </w:rPr>
        <w:t xml:space="preserve"> (30 milj. </w:t>
      </w:r>
      <w:proofErr w:type="spellStart"/>
      <w:r w:rsidR="00602B7C" w:rsidRPr="00FD1578">
        <w:rPr>
          <w:rFonts w:cs="Times New Roman"/>
          <w:i/>
          <w:iCs/>
          <w:szCs w:val="24"/>
        </w:rPr>
        <w:t>euro</w:t>
      </w:r>
      <w:proofErr w:type="spellEnd"/>
      <w:r w:rsidR="00602B7C" w:rsidRPr="00FD1578">
        <w:rPr>
          <w:rFonts w:cs="Times New Roman"/>
          <w:szCs w:val="24"/>
        </w:rPr>
        <w:t xml:space="preserve"> ik gadu) ir paredzēti pedagogu atalgojuma pieaugumam, tai skaitā pedagogu darba samaksai atbilstoši aktualizētajam skolēnu skaitam.</w:t>
      </w:r>
      <w:r w:rsidR="005C010B" w:rsidRPr="00FD1578">
        <w:rPr>
          <w:rFonts w:cs="Times New Roman"/>
          <w:szCs w:val="24"/>
        </w:rPr>
        <w:t xml:space="preserve"> </w:t>
      </w:r>
      <w:r w:rsidR="005C010B" w:rsidRPr="00FD1578">
        <w:t xml:space="preserve">Ar nodokļu politikas izmaiņām saistītā pasākuma (dotācija pašvaldībām autonomo funkciju veikšanai) finansēšanai iezīmēti resursi </w:t>
      </w:r>
      <w:r w:rsidR="006D4A79">
        <w:rPr>
          <w:b/>
          <w:bCs/>
        </w:rPr>
        <w:t>484,5</w:t>
      </w:r>
      <w:r w:rsidR="005C010B" w:rsidRPr="00FD1578">
        <w:rPr>
          <w:b/>
          <w:bCs/>
        </w:rPr>
        <w:t xml:space="preserve"> milj. </w:t>
      </w:r>
      <w:proofErr w:type="spellStart"/>
      <w:r w:rsidR="005C010B" w:rsidRPr="00FD1578">
        <w:rPr>
          <w:b/>
          <w:bCs/>
          <w:i/>
          <w:iCs/>
        </w:rPr>
        <w:t>euro</w:t>
      </w:r>
      <w:proofErr w:type="spellEnd"/>
      <w:r w:rsidR="005C010B" w:rsidRPr="00FD1578">
        <w:t xml:space="preserve"> apmērā, t.sk. </w:t>
      </w:r>
      <w:r w:rsidR="006D4A79">
        <w:t>67,5</w:t>
      </w:r>
      <w:r w:rsidR="005C010B" w:rsidRPr="00FD1578">
        <w:t xml:space="preserve"> milj. </w:t>
      </w:r>
      <w:proofErr w:type="spellStart"/>
      <w:r w:rsidR="005C010B" w:rsidRPr="00FD1578">
        <w:rPr>
          <w:i/>
          <w:iCs/>
        </w:rPr>
        <w:t>euro</w:t>
      </w:r>
      <w:proofErr w:type="spellEnd"/>
      <w:r w:rsidR="005C010B" w:rsidRPr="00FD1578">
        <w:rPr>
          <w:i/>
          <w:iCs/>
        </w:rPr>
        <w:t xml:space="preserve"> </w:t>
      </w:r>
      <w:r w:rsidR="005C010B" w:rsidRPr="00FD1578">
        <w:t xml:space="preserve">2025. gadam, </w:t>
      </w:r>
      <w:r w:rsidR="006D4A79">
        <w:t>125,5</w:t>
      </w:r>
      <w:r w:rsidR="005C010B" w:rsidRPr="00FD1578">
        <w:t xml:space="preserve"> milj. </w:t>
      </w:r>
      <w:proofErr w:type="spellStart"/>
      <w:r w:rsidR="005C010B" w:rsidRPr="00FD1578">
        <w:rPr>
          <w:i/>
          <w:iCs/>
        </w:rPr>
        <w:t>euro</w:t>
      </w:r>
      <w:proofErr w:type="spellEnd"/>
      <w:r w:rsidR="005C010B" w:rsidRPr="00FD1578">
        <w:rPr>
          <w:i/>
          <w:iCs/>
        </w:rPr>
        <w:t xml:space="preserve"> </w:t>
      </w:r>
      <w:r w:rsidR="005C010B" w:rsidRPr="00FD1578">
        <w:t xml:space="preserve">2026. gadam, </w:t>
      </w:r>
      <w:r w:rsidR="006D4A79">
        <w:t>147,1</w:t>
      </w:r>
      <w:r w:rsidR="005C010B" w:rsidRPr="00FD1578">
        <w:t xml:space="preserve"> milj. </w:t>
      </w:r>
      <w:proofErr w:type="spellStart"/>
      <w:r w:rsidR="005C010B" w:rsidRPr="00FD1578">
        <w:rPr>
          <w:i/>
          <w:iCs/>
        </w:rPr>
        <w:t>euro</w:t>
      </w:r>
      <w:proofErr w:type="spellEnd"/>
      <w:r w:rsidR="005C010B" w:rsidRPr="00FD1578">
        <w:rPr>
          <w:i/>
          <w:iCs/>
        </w:rPr>
        <w:t xml:space="preserve"> </w:t>
      </w:r>
      <w:r w:rsidR="005C010B" w:rsidRPr="00FD1578">
        <w:t xml:space="preserve">2027. gadam un </w:t>
      </w:r>
      <w:r w:rsidR="006D4A79">
        <w:t>144,4</w:t>
      </w:r>
      <w:r w:rsidR="005C010B" w:rsidRPr="00FD1578">
        <w:t xml:space="preserve"> milj. </w:t>
      </w:r>
      <w:proofErr w:type="spellStart"/>
      <w:r w:rsidR="005C010B" w:rsidRPr="00FD1578">
        <w:rPr>
          <w:i/>
          <w:iCs/>
        </w:rPr>
        <w:t>euro</w:t>
      </w:r>
      <w:proofErr w:type="spellEnd"/>
      <w:r w:rsidR="005C010B" w:rsidRPr="00FD1578">
        <w:t xml:space="preserve"> 2028. gadam</w:t>
      </w:r>
    </w:p>
    <w:p w14:paraId="2C8AEC86" w14:textId="77777777" w:rsidR="001D0754" w:rsidRPr="00FD1578" w:rsidRDefault="001D0754" w:rsidP="008349F0">
      <w:pPr>
        <w:spacing w:after="0"/>
        <w:ind w:firstLine="0"/>
        <w:rPr>
          <w:rFonts w:cs="Times New Roman"/>
          <w:szCs w:val="24"/>
        </w:rPr>
      </w:pPr>
    </w:p>
    <w:p w14:paraId="113986DD" w14:textId="44AF93F3" w:rsidR="00CB7E29" w:rsidRPr="008D5151" w:rsidRDefault="000548A5" w:rsidP="008D5151">
      <w:pPr>
        <w:pStyle w:val="Heading3"/>
        <w:numPr>
          <w:ilvl w:val="0"/>
          <w:numId w:val="0"/>
        </w:numPr>
        <w:spacing w:before="0"/>
        <w:ind w:left="425"/>
      </w:pPr>
      <w:bookmarkStart w:id="72" w:name="_Toc179356093"/>
      <w:r w:rsidRPr="00F62287">
        <w:t>2.3.2. </w:t>
      </w:r>
      <w:r w:rsidRPr="008D5151">
        <w:t>Finanšu resursi vidēja termiņa budžeta prioritāro attīstības virzienu</w:t>
      </w:r>
      <w:r w:rsidR="00C7787C" w:rsidRPr="008D5151">
        <w:t xml:space="preserve"> un citu prioritāro pasākumu</w:t>
      </w:r>
      <w:r w:rsidRPr="008D5151">
        <w:t xml:space="preserve"> īstenošanā</w:t>
      </w:r>
      <w:bookmarkEnd w:id="72"/>
    </w:p>
    <w:p w14:paraId="6A51A19C" w14:textId="39F1B64A" w:rsidR="00C7787C" w:rsidRPr="008D5151" w:rsidRDefault="00C7787C" w:rsidP="00C7787C">
      <w:pPr>
        <w:shd w:val="clear" w:color="auto" w:fill="FFFFFF"/>
        <w:rPr>
          <w:rFonts w:cs="Times New Roman"/>
          <w:szCs w:val="24"/>
        </w:rPr>
      </w:pPr>
      <w:r w:rsidRPr="008D5151">
        <w:rPr>
          <w:rFonts w:eastAsia="Times New Roman" w:cs="Times New Roman"/>
          <w:szCs w:val="24"/>
        </w:rPr>
        <w:t>Kā jau ir minēts 2.3. sadaļas ievadā, ņemot vērā ierobežoto fiskālo telpu, papildus jau iepriekš piešķirtajam bāzes finansējumam, prioritāro pasākumu īstenošanai tiks izmantoti vairāki kompensējošie pasākumi</w:t>
      </w:r>
      <w:r w:rsidR="002B6EFC" w:rsidRPr="008D5151">
        <w:rPr>
          <w:rFonts w:eastAsia="Times New Roman" w:cs="Times New Roman"/>
          <w:szCs w:val="24"/>
        </w:rPr>
        <w:t xml:space="preserve">, </w:t>
      </w:r>
      <w:r w:rsidRPr="008D5151">
        <w:rPr>
          <w:rFonts w:eastAsia="Times New Roman" w:cs="Times New Roman"/>
          <w:szCs w:val="24"/>
        </w:rPr>
        <w:t xml:space="preserve"> </w:t>
      </w:r>
      <w:r w:rsidR="002B6EFC" w:rsidRPr="008D5151">
        <w:rPr>
          <w:rFonts w:eastAsia="Times New Roman" w:cs="Times New Roman"/>
          <w:szCs w:val="24"/>
        </w:rPr>
        <w:t xml:space="preserve">bet </w:t>
      </w:r>
      <w:r w:rsidRPr="008D5151">
        <w:rPr>
          <w:rFonts w:eastAsia="Times New Roman" w:cs="Times New Roman"/>
          <w:szCs w:val="24"/>
        </w:rPr>
        <w:t xml:space="preserve">vairs netiek izmantoti finanšu līdzekļi ārpus fiskālās telpas. </w:t>
      </w:r>
    </w:p>
    <w:p w14:paraId="0AC0D597" w14:textId="04EF6FB0" w:rsidR="00C7787C" w:rsidRPr="00F62287" w:rsidRDefault="00CB7E29" w:rsidP="00C7787C">
      <w:pPr>
        <w:widowControl w:val="0"/>
        <w:ind w:firstLine="709"/>
        <w:rPr>
          <w:rFonts w:eastAsia="Times New Roman" w:cs="Times New Roman"/>
          <w:color w:val="000000"/>
          <w:szCs w:val="28"/>
        </w:rPr>
      </w:pPr>
      <w:r w:rsidRPr="008D5151">
        <w:rPr>
          <w:rFonts w:eastAsia="Times New Roman" w:cs="Times New Roman"/>
          <w:color w:val="000000"/>
          <w:szCs w:val="28"/>
        </w:rPr>
        <w:t>2.</w:t>
      </w:r>
      <w:r w:rsidR="00F04FA7" w:rsidRPr="008D5151">
        <w:rPr>
          <w:rFonts w:eastAsia="Times New Roman" w:cs="Times New Roman"/>
          <w:color w:val="000000"/>
          <w:szCs w:val="28"/>
        </w:rPr>
        <w:t>24</w:t>
      </w:r>
      <w:r w:rsidRPr="008D5151">
        <w:rPr>
          <w:rFonts w:eastAsia="Times New Roman" w:cs="Times New Roman"/>
          <w:color w:val="000000"/>
          <w:szCs w:val="28"/>
        </w:rPr>
        <w:t xml:space="preserve">. tabulā </w:t>
      </w:r>
      <w:r w:rsidR="00C7787C" w:rsidRPr="008D5151">
        <w:rPr>
          <w:rFonts w:eastAsia="Times New Roman" w:cs="Times New Roman"/>
          <w:color w:val="000000"/>
          <w:szCs w:val="28"/>
        </w:rPr>
        <w:t>ir atspoguļoti būtiskākie vispārējās valdības ieņēmumu pasākumi, par kuriem lēma MK budžeta sagatavošanas procesā</w:t>
      </w:r>
      <w:r w:rsidR="00C7787C" w:rsidRPr="008D5151">
        <w:rPr>
          <w:rFonts w:eastAsia="Times New Roman" w:cs="Times New Roman"/>
          <w:szCs w:val="24"/>
          <w:vertAlign w:val="superscript"/>
        </w:rPr>
        <w:footnoteReference w:id="33"/>
      </w:r>
      <w:r w:rsidR="00C7787C" w:rsidRPr="008D5151">
        <w:rPr>
          <w:rFonts w:eastAsia="Times New Roman" w:cs="Times New Roman"/>
          <w:color w:val="000000"/>
          <w:szCs w:val="28"/>
        </w:rPr>
        <w:t>, atsevišķi izdalot pasākumus vidēja termiņa budžeta politikas prioritārā attīstības virziena “Drošība” un citu prioritāro pasākumu finansēšanai, nodokļu politikas pārskatīšanas un izdevumu pārskatīšanas ietvaros pieņemtos lēmumus.</w:t>
      </w:r>
    </w:p>
    <w:p w14:paraId="18CA8607" w14:textId="6DCB5ECD" w:rsidR="00CB7E29" w:rsidRPr="00F04FA7" w:rsidRDefault="00CB7E29" w:rsidP="00C7787C">
      <w:pPr>
        <w:widowControl w:val="0"/>
        <w:ind w:firstLine="709"/>
        <w:rPr>
          <w:rFonts w:eastAsia="Times New Roman" w:cs="Times New Roman"/>
          <w:b/>
          <w:i/>
          <w:color w:val="000000"/>
        </w:rPr>
      </w:pPr>
      <w:r w:rsidRPr="00187E6E">
        <w:rPr>
          <w:rFonts w:eastAsia="Times New Roman" w:cs="Times New Roman"/>
          <w:b/>
          <w:i/>
          <w:color w:val="000000"/>
        </w:rPr>
        <w:t>2.</w:t>
      </w:r>
      <w:r w:rsidR="00F04FA7" w:rsidRPr="00187E6E">
        <w:rPr>
          <w:rFonts w:eastAsia="Times New Roman" w:cs="Times New Roman"/>
          <w:b/>
          <w:i/>
          <w:color w:val="000000"/>
        </w:rPr>
        <w:t>24</w:t>
      </w:r>
      <w:r w:rsidRPr="00187E6E">
        <w:rPr>
          <w:rFonts w:eastAsia="Times New Roman" w:cs="Times New Roman"/>
          <w:b/>
          <w:i/>
          <w:color w:val="000000"/>
        </w:rPr>
        <w:t>. tabula</w:t>
      </w:r>
      <w:r w:rsidRPr="00F04FA7">
        <w:rPr>
          <w:rFonts w:eastAsia="Times New Roman" w:cs="Times New Roman"/>
          <w:b/>
          <w:i/>
          <w:color w:val="000000"/>
        </w:rPr>
        <w:t xml:space="preserve">. Ieņēmumu pasākumi, milj. </w:t>
      </w:r>
      <w:proofErr w:type="spellStart"/>
      <w:r w:rsidRPr="00F04FA7">
        <w:rPr>
          <w:rFonts w:eastAsia="Times New Roman" w:cs="Times New Roman"/>
          <w:b/>
          <w:i/>
          <w:color w:val="000000"/>
        </w:rPr>
        <w:t>euro</w:t>
      </w:r>
      <w:proofErr w:type="spellEnd"/>
    </w:p>
    <w:tbl>
      <w:tblPr>
        <w:tblW w:w="0" w:type="auto"/>
        <w:tblLook w:val="04A0" w:firstRow="1" w:lastRow="0" w:firstColumn="1" w:lastColumn="0" w:noHBand="0" w:noVBand="1"/>
      </w:tblPr>
      <w:tblGrid>
        <w:gridCol w:w="1190"/>
        <w:gridCol w:w="2616"/>
        <w:gridCol w:w="1188"/>
        <w:gridCol w:w="1351"/>
        <w:gridCol w:w="679"/>
        <w:gridCol w:w="679"/>
        <w:gridCol w:w="679"/>
        <w:gridCol w:w="679"/>
      </w:tblGrid>
      <w:tr w:rsidR="00A82412" w:rsidRPr="00F506D4" w14:paraId="1163F963" w14:textId="77777777" w:rsidTr="00687CD9">
        <w:trPr>
          <w:trHeight w:val="20"/>
          <w:tblHeader/>
        </w:trPr>
        <w:tc>
          <w:tcPr>
            <w:tcW w:w="1195"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72EE2851"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Pasākuma nosaukums</w:t>
            </w:r>
          </w:p>
        </w:tc>
        <w:tc>
          <w:tcPr>
            <w:tcW w:w="2628"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358DB0E0"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Detalizēts apraksts</w:t>
            </w:r>
          </w:p>
        </w:tc>
        <w:tc>
          <w:tcPr>
            <w:tcW w:w="1193"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17C7482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Nodokļu veids</w:t>
            </w:r>
          </w:p>
        </w:tc>
        <w:tc>
          <w:tcPr>
            <w:tcW w:w="1357"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5328FF80"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Ieņēmumu veids</w:t>
            </w:r>
          </w:p>
        </w:tc>
        <w:tc>
          <w:tcPr>
            <w:tcW w:w="0" w:type="auto"/>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66DEB5D4"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2025</w:t>
            </w:r>
          </w:p>
        </w:tc>
        <w:tc>
          <w:tcPr>
            <w:tcW w:w="0" w:type="auto"/>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08F2682D"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2026</w:t>
            </w:r>
          </w:p>
        </w:tc>
        <w:tc>
          <w:tcPr>
            <w:tcW w:w="0" w:type="auto"/>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569337E0"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2027</w:t>
            </w:r>
          </w:p>
        </w:tc>
        <w:tc>
          <w:tcPr>
            <w:tcW w:w="0" w:type="auto"/>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68D368A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2028</w:t>
            </w:r>
          </w:p>
        </w:tc>
      </w:tr>
      <w:tr w:rsidR="00C7787C" w:rsidRPr="00F506D4" w14:paraId="5F6B12FC" w14:textId="77777777" w:rsidTr="00235958">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bottom"/>
            <w:hideMark/>
          </w:tcPr>
          <w:p w14:paraId="5656EA65" w14:textId="77777777" w:rsidR="00C7787C" w:rsidRPr="006A3169" w:rsidRDefault="00C7787C" w:rsidP="00235958">
            <w:pPr>
              <w:spacing w:after="0"/>
              <w:ind w:firstLine="0"/>
              <w:jc w:val="left"/>
              <w:rPr>
                <w:rFonts w:eastAsia="Times New Roman" w:cs="Times New Roman"/>
                <w:b/>
                <w:bCs/>
                <w:sz w:val="18"/>
                <w:szCs w:val="18"/>
              </w:rPr>
            </w:pPr>
            <w:r w:rsidRPr="006A3169">
              <w:rPr>
                <w:rFonts w:eastAsia="Times New Roman" w:cs="Times New Roman"/>
                <w:b/>
                <w:bCs/>
                <w:sz w:val="18"/>
                <w:szCs w:val="18"/>
              </w:rPr>
              <w:t>Budžeta prioritātes</w:t>
            </w:r>
          </w:p>
        </w:tc>
      </w:tr>
      <w:tr w:rsidR="00C7787C" w:rsidRPr="00F506D4" w14:paraId="2B06BB13" w14:textId="77777777" w:rsidTr="00687CD9">
        <w:trPr>
          <w:trHeight w:val="20"/>
        </w:trPr>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C435C6" w14:textId="77777777" w:rsidR="00C7787C" w:rsidRPr="006A3169" w:rsidRDefault="00C7787C" w:rsidP="00235958">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2628" w:type="dxa"/>
            <w:tcBorders>
              <w:top w:val="nil"/>
              <w:left w:val="nil"/>
              <w:bottom w:val="single" w:sz="4" w:space="0" w:color="auto"/>
              <w:right w:val="single" w:sz="4" w:space="0" w:color="auto"/>
            </w:tcBorders>
            <w:shd w:val="clear" w:color="auto" w:fill="auto"/>
            <w:noWrap/>
            <w:vAlign w:val="bottom"/>
            <w:hideMark/>
          </w:tcPr>
          <w:p w14:paraId="674FB9CE" w14:textId="77777777" w:rsidR="00C7787C" w:rsidRPr="006A3169" w:rsidRDefault="00C7787C" w:rsidP="00235958">
            <w:pPr>
              <w:spacing w:after="0"/>
              <w:ind w:firstLine="0"/>
              <w:jc w:val="left"/>
              <w:rPr>
                <w:rFonts w:eastAsia="Times New Roman" w:cs="Times New Roman"/>
                <w:sz w:val="18"/>
                <w:szCs w:val="18"/>
              </w:rPr>
            </w:pPr>
            <w:r w:rsidRPr="006A3169">
              <w:rPr>
                <w:rFonts w:eastAsia="Times New Roman" w:cs="Times New Roman"/>
                <w:sz w:val="18"/>
                <w:szCs w:val="18"/>
              </w:rPr>
              <w:t>Paaugstināt dividendes valsts kapitālsabiedrībām uz 70%</w:t>
            </w:r>
          </w:p>
        </w:tc>
        <w:tc>
          <w:tcPr>
            <w:tcW w:w="1193" w:type="dxa"/>
            <w:tcBorders>
              <w:top w:val="nil"/>
              <w:left w:val="nil"/>
              <w:bottom w:val="single" w:sz="4" w:space="0" w:color="auto"/>
              <w:right w:val="single" w:sz="4" w:space="0" w:color="auto"/>
            </w:tcBorders>
            <w:shd w:val="clear" w:color="auto" w:fill="auto"/>
            <w:noWrap/>
            <w:vAlign w:val="center"/>
            <w:hideMark/>
          </w:tcPr>
          <w:p w14:paraId="7897FB9C"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1357" w:type="dxa"/>
            <w:tcBorders>
              <w:top w:val="nil"/>
              <w:left w:val="nil"/>
              <w:bottom w:val="single" w:sz="4" w:space="0" w:color="auto"/>
              <w:right w:val="single" w:sz="4" w:space="0" w:color="auto"/>
            </w:tcBorders>
            <w:shd w:val="clear" w:color="auto" w:fill="auto"/>
            <w:vAlign w:val="center"/>
            <w:hideMark/>
          </w:tcPr>
          <w:p w14:paraId="799C7F76"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3D2D260"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1,0</w:t>
            </w:r>
          </w:p>
        </w:tc>
        <w:tc>
          <w:tcPr>
            <w:tcW w:w="0" w:type="auto"/>
            <w:tcBorders>
              <w:top w:val="nil"/>
              <w:left w:val="nil"/>
              <w:bottom w:val="single" w:sz="4" w:space="0" w:color="auto"/>
              <w:right w:val="single" w:sz="4" w:space="0" w:color="auto"/>
            </w:tcBorders>
            <w:shd w:val="clear" w:color="auto" w:fill="auto"/>
            <w:vAlign w:val="center"/>
            <w:hideMark/>
          </w:tcPr>
          <w:p w14:paraId="49DD4DC5"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4,1</w:t>
            </w:r>
          </w:p>
        </w:tc>
        <w:tc>
          <w:tcPr>
            <w:tcW w:w="0" w:type="auto"/>
            <w:tcBorders>
              <w:top w:val="nil"/>
              <w:left w:val="nil"/>
              <w:bottom w:val="single" w:sz="4" w:space="0" w:color="auto"/>
              <w:right w:val="single" w:sz="4" w:space="0" w:color="auto"/>
            </w:tcBorders>
            <w:shd w:val="clear" w:color="auto" w:fill="auto"/>
            <w:vAlign w:val="center"/>
            <w:hideMark/>
          </w:tcPr>
          <w:p w14:paraId="49FD4E71"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14:paraId="15B710A8"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4,4</w:t>
            </w:r>
          </w:p>
        </w:tc>
      </w:tr>
      <w:tr w:rsidR="00C7787C" w:rsidRPr="00F506D4" w14:paraId="2EE226F8" w14:textId="77777777" w:rsidTr="00687CD9">
        <w:trPr>
          <w:trHeight w:val="20"/>
        </w:trPr>
        <w:tc>
          <w:tcPr>
            <w:tcW w:w="1195" w:type="dxa"/>
            <w:vMerge/>
            <w:tcBorders>
              <w:top w:val="nil"/>
              <w:left w:val="single" w:sz="4" w:space="0" w:color="auto"/>
              <w:bottom w:val="single" w:sz="4" w:space="0" w:color="auto"/>
              <w:right w:val="single" w:sz="4" w:space="0" w:color="auto"/>
            </w:tcBorders>
            <w:vAlign w:val="center"/>
            <w:hideMark/>
          </w:tcPr>
          <w:p w14:paraId="3C438AAA" w14:textId="77777777" w:rsidR="00C7787C" w:rsidRPr="006A3169" w:rsidRDefault="00C7787C" w:rsidP="00235958">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bottom"/>
            <w:hideMark/>
          </w:tcPr>
          <w:p w14:paraId="062B6F88" w14:textId="77777777" w:rsidR="00C7787C" w:rsidRPr="006A3169" w:rsidRDefault="00C7787C" w:rsidP="00235958">
            <w:pPr>
              <w:spacing w:after="0"/>
              <w:ind w:firstLine="0"/>
              <w:jc w:val="left"/>
              <w:rPr>
                <w:rFonts w:eastAsia="Times New Roman" w:cs="Times New Roman"/>
                <w:sz w:val="18"/>
                <w:szCs w:val="18"/>
              </w:rPr>
            </w:pPr>
            <w:r w:rsidRPr="006A3169">
              <w:rPr>
                <w:rFonts w:eastAsia="Times New Roman" w:cs="Times New Roman"/>
                <w:sz w:val="18"/>
                <w:szCs w:val="18"/>
              </w:rPr>
              <w:t>AS “Latvijas Loto” dividendes</w:t>
            </w:r>
          </w:p>
        </w:tc>
        <w:tc>
          <w:tcPr>
            <w:tcW w:w="1193" w:type="dxa"/>
            <w:tcBorders>
              <w:top w:val="nil"/>
              <w:left w:val="nil"/>
              <w:bottom w:val="single" w:sz="4" w:space="0" w:color="auto"/>
              <w:right w:val="single" w:sz="4" w:space="0" w:color="auto"/>
            </w:tcBorders>
            <w:shd w:val="clear" w:color="auto" w:fill="auto"/>
            <w:noWrap/>
            <w:vAlign w:val="center"/>
            <w:hideMark/>
          </w:tcPr>
          <w:p w14:paraId="4B626ABB"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1357" w:type="dxa"/>
            <w:tcBorders>
              <w:top w:val="nil"/>
              <w:left w:val="nil"/>
              <w:bottom w:val="single" w:sz="4" w:space="0" w:color="auto"/>
              <w:right w:val="single" w:sz="4" w:space="0" w:color="auto"/>
            </w:tcBorders>
            <w:shd w:val="clear" w:color="auto" w:fill="auto"/>
            <w:vAlign w:val="center"/>
            <w:hideMark/>
          </w:tcPr>
          <w:p w14:paraId="19A555DD"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6DBAF29"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1,8</w:t>
            </w:r>
          </w:p>
        </w:tc>
        <w:tc>
          <w:tcPr>
            <w:tcW w:w="0" w:type="auto"/>
            <w:tcBorders>
              <w:top w:val="nil"/>
              <w:left w:val="nil"/>
              <w:bottom w:val="single" w:sz="4" w:space="0" w:color="auto"/>
              <w:right w:val="single" w:sz="4" w:space="0" w:color="auto"/>
            </w:tcBorders>
            <w:shd w:val="clear" w:color="auto" w:fill="auto"/>
            <w:noWrap/>
            <w:vAlign w:val="center"/>
            <w:hideMark/>
          </w:tcPr>
          <w:p w14:paraId="64DBBAB8"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1,9</w:t>
            </w:r>
          </w:p>
        </w:tc>
        <w:tc>
          <w:tcPr>
            <w:tcW w:w="0" w:type="auto"/>
            <w:tcBorders>
              <w:top w:val="nil"/>
              <w:left w:val="nil"/>
              <w:bottom w:val="single" w:sz="4" w:space="0" w:color="auto"/>
              <w:right w:val="single" w:sz="4" w:space="0" w:color="auto"/>
            </w:tcBorders>
            <w:shd w:val="clear" w:color="auto" w:fill="auto"/>
            <w:noWrap/>
            <w:vAlign w:val="center"/>
            <w:hideMark/>
          </w:tcPr>
          <w:p w14:paraId="5C970460"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2,1</w:t>
            </w:r>
          </w:p>
        </w:tc>
        <w:tc>
          <w:tcPr>
            <w:tcW w:w="0" w:type="auto"/>
            <w:tcBorders>
              <w:top w:val="nil"/>
              <w:left w:val="nil"/>
              <w:bottom w:val="single" w:sz="4" w:space="0" w:color="auto"/>
              <w:right w:val="single" w:sz="4" w:space="0" w:color="auto"/>
            </w:tcBorders>
            <w:shd w:val="clear" w:color="auto" w:fill="auto"/>
            <w:noWrap/>
            <w:vAlign w:val="center"/>
            <w:hideMark/>
          </w:tcPr>
          <w:p w14:paraId="288FC76B"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1,8</w:t>
            </w:r>
          </w:p>
        </w:tc>
      </w:tr>
      <w:tr w:rsidR="00C7787C" w:rsidRPr="00F506D4" w14:paraId="4200EAE2" w14:textId="77777777" w:rsidTr="00687CD9">
        <w:trPr>
          <w:trHeight w:val="20"/>
        </w:trPr>
        <w:tc>
          <w:tcPr>
            <w:tcW w:w="1195" w:type="dxa"/>
            <w:vMerge/>
            <w:tcBorders>
              <w:top w:val="nil"/>
              <w:left w:val="single" w:sz="4" w:space="0" w:color="auto"/>
              <w:bottom w:val="single" w:sz="4" w:space="0" w:color="auto"/>
              <w:right w:val="single" w:sz="4" w:space="0" w:color="auto"/>
            </w:tcBorders>
            <w:vAlign w:val="center"/>
            <w:hideMark/>
          </w:tcPr>
          <w:p w14:paraId="34FDBC6E" w14:textId="77777777" w:rsidR="00C7787C" w:rsidRPr="006A3169" w:rsidRDefault="00C7787C" w:rsidP="00235958">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bottom"/>
            <w:hideMark/>
          </w:tcPr>
          <w:p w14:paraId="0532949E" w14:textId="77777777" w:rsidR="00C7787C" w:rsidRPr="006A3169" w:rsidRDefault="00C7787C" w:rsidP="00235958">
            <w:pPr>
              <w:spacing w:after="0"/>
              <w:ind w:firstLine="0"/>
              <w:jc w:val="left"/>
              <w:rPr>
                <w:rFonts w:eastAsia="Times New Roman" w:cs="Times New Roman"/>
                <w:sz w:val="18"/>
                <w:szCs w:val="18"/>
              </w:rPr>
            </w:pPr>
            <w:r w:rsidRPr="006A3169">
              <w:rPr>
                <w:rFonts w:eastAsia="Times New Roman" w:cs="Times New Roman"/>
                <w:sz w:val="18"/>
                <w:szCs w:val="18"/>
              </w:rPr>
              <w:t>AS “Latvenergo”</w:t>
            </w:r>
          </w:p>
        </w:tc>
        <w:tc>
          <w:tcPr>
            <w:tcW w:w="1193" w:type="dxa"/>
            <w:tcBorders>
              <w:top w:val="nil"/>
              <w:left w:val="nil"/>
              <w:bottom w:val="single" w:sz="4" w:space="0" w:color="auto"/>
              <w:right w:val="single" w:sz="4" w:space="0" w:color="auto"/>
            </w:tcBorders>
            <w:shd w:val="clear" w:color="auto" w:fill="auto"/>
            <w:noWrap/>
            <w:vAlign w:val="center"/>
            <w:hideMark/>
          </w:tcPr>
          <w:p w14:paraId="007C1DE9"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1357" w:type="dxa"/>
            <w:tcBorders>
              <w:top w:val="nil"/>
              <w:left w:val="nil"/>
              <w:bottom w:val="single" w:sz="4" w:space="0" w:color="auto"/>
              <w:right w:val="single" w:sz="4" w:space="0" w:color="auto"/>
            </w:tcBorders>
            <w:shd w:val="clear" w:color="auto" w:fill="auto"/>
            <w:vAlign w:val="center"/>
            <w:hideMark/>
          </w:tcPr>
          <w:p w14:paraId="34942313"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21268EB"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18,3</w:t>
            </w:r>
          </w:p>
        </w:tc>
        <w:tc>
          <w:tcPr>
            <w:tcW w:w="0" w:type="auto"/>
            <w:tcBorders>
              <w:top w:val="nil"/>
              <w:left w:val="nil"/>
              <w:bottom w:val="single" w:sz="4" w:space="0" w:color="auto"/>
              <w:right w:val="single" w:sz="4" w:space="0" w:color="auto"/>
            </w:tcBorders>
            <w:shd w:val="clear" w:color="auto" w:fill="auto"/>
            <w:noWrap/>
            <w:vAlign w:val="center"/>
            <w:hideMark/>
          </w:tcPr>
          <w:p w14:paraId="074FDCA0"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1,3</w:t>
            </w:r>
          </w:p>
        </w:tc>
        <w:tc>
          <w:tcPr>
            <w:tcW w:w="0" w:type="auto"/>
            <w:tcBorders>
              <w:top w:val="nil"/>
              <w:left w:val="nil"/>
              <w:bottom w:val="single" w:sz="4" w:space="0" w:color="auto"/>
              <w:right w:val="single" w:sz="4" w:space="0" w:color="auto"/>
            </w:tcBorders>
            <w:shd w:val="clear" w:color="auto" w:fill="auto"/>
            <w:noWrap/>
            <w:vAlign w:val="center"/>
            <w:hideMark/>
          </w:tcPr>
          <w:p w14:paraId="1DCF8868"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1,3</w:t>
            </w:r>
          </w:p>
        </w:tc>
        <w:tc>
          <w:tcPr>
            <w:tcW w:w="0" w:type="auto"/>
            <w:tcBorders>
              <w:top w:val="nil"/>
              <w:left w:val="nil"/>
              <w:bottom w:val="single" w:sz="4" w:space="0" w:color="auto"/>
              <w:right w:val="single" w:sz="4" w:space="0" w:color="auto"/>
            </w:tcBorders>
            <w:shd w:val="clear" w:color="auto" w:fill="auto"/>
            <w:noWrap/>
            <w:vAlign w:val="center"/>
            <w:hideMark/>
          </w:tcPr>
          <w:p w14:paraId="3DB0C84C"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1,3</w:t>
            </w:r>
          </w:p>
        </w:tc>
      </w:tr>
      <w:tr w:rsidR="00C7787C" w:rsidRPr="00F506D4" w14:paraId="6A592148" w14:textId="77777777" w:rsidTr="00687CD9">
        <w:trPr>
          <w:trHeight w:val="20"/>
        </w:trPr>
        <w:tc>
          <w:tcPr>
            <w:tcW w:w="1195" w:type="dxa"/>
            <w:vMerge/>
            <w:tcBorders>
              <w:top w:val="nil"/>
              <w:left w:val="single" w:sz="4" w:space="0" w:color="auto"/>
              <w:bottom w:val="single" w:sz="4" w:space="0" w:color="auto"/>
              <w:right w:val="single" w:sz="4" w:space="0" w:color="auto"/>
            </w:tcBorders>
            <w:vAlign w:val="center"/>
            <w:hideMark/>
          </w:tcPr>
          <w:p w14:paraId="383FA509" w14:textId="77777777" w:rsidR="00C7787C" w:rsidRPr="006A3169" w:rsidRDefault="00C7787C" w:rsidP="00235958">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bottom"/>
            <w:hideMark/>
          </w:tcPr>
          <w:p w14:paraId="7CAB284D" w14:textId="77777777" w:rsidR="00C7787C" w:rsidRPr="006A3169" w:rsidRDefault="00C7787C" w:rsidP="00235958">
            <w:pPr>
              <w:spacing w:after="0"/>
              <w:ind w:firstLine="0"/>
              <w:jc w:val="left"/>
              <w:rPr>
                <w:rFonts w:eastAsia="Times New Roman" w:cs="Times New Roman"/>
                <w:sz w:val="18"/>
                <w:szCs w:val="18"/>
              </w:rPr>
            </w:pPr>
            <w:r w:rsidRPr="006A3169">
              <w:rPr>
                <w:rFonts w:eastAsia="Times New Roman" w:cs="Times New Roman"/>
                <w:sz w:val="18"/>
                <w:szCs w:val="18"/>
              </w:rPr>
              <w:t xml:space="preserve">Ieņēmumu palielināšana no autoceļu lietošanas nodevas </w:t>
            </w:r>
          </w:p>
        </w:tc>
        <w:tc>
          <w:tcPr>
            <w:tcW w:w="1193" w:type="dxa"/>
            <w:tcBorders>
              <w:top w:val="nil"/>
              <w:left w:val="nil"/>
              <w:bottom w:val="single" w:sz="4" w:space="0" w:color="auto"/>
              <w:right w:val="single" w:sz="4" w:space="0" w:color="auto"/>
            </w:tcBorders>
            <w:shd w:val="clear" w:color="auto" w:fill="auto"/>
            <w:noWrap/>
            <w:vAlign w:val="center"/>
            <w:hideMark/>
          </w:tcPr>
          <w:p w14:paraId="4D36109A"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1357" w:type="dxa"/>
            <w:tcBorders>
              <w:top w:val="nil"/>
              <w:left w:val="nil"/>
              <w:bottom w:val="single" w:sz="4" w:space="0" w:color="auto"/>
              <w:right w:val="single" w:sz="4" w:space="0" w:color="auto"/>
            </w:tcBorders>
            <w:shd w:val="clear" w:color="auto" w:fill="auto"/>
            <w:vAlign w:val="center"/>
            <w:hideMark/>
          </w:tcPr>
          <w:p w14:paraId="2E27BCE3"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5861B3E"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25,8</w:t>
            </w:r>
          </w:p>
        </w:tc>
        <w:tc>
          <w:tcPr>
            <w:tcW w:w="0" w:type="auto"/>
            <w:tcBorders>
              <w:top w:val="nil"/>
              <w:left w:val="nil"/>
              <w:bottom w:val="single" w:sz="4" w:space="0" w:color="auto"/>
              <w:right w:val="single" w:sz="4" w:space="0" w:color="auto"/>
            </w:tcBorders>
            <w:shd w:val="clear" w:color="auto" w:fill="auto"/>
            <w:noWrap/>
            <w:vAlign w:val="center"/>
            <w:hideMark/>
          </w:tcPr>
          <w:p w14:paraId="44CFFE01"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25,1</w:t>
            </w:r>
          </w:p>
        </w:tc>
        <w:tc>
          <w:tcPr>
            <w:tcW w:w="0" w:type="auto"/>
            <w:tcBorders>
              <w:top w:val="nil"/>
              <w:left w:val="nil"/>
              <w:bottom w:val="single" w:sz="4" w:space="0" w:color="auto"/>
              <w:right w:val="single" w:sz="4" w:space="0" w:color="auto"/>
            </w:tcBorders>
            <w:shd w:val="clear" w:color="auto" w:fill="auto"/>
            <w:noWrap/>
            <w:vAlign w:val="center"/>
            <w:hideMark/>
          </w:tcPr>
          <w:p w14:paraId="7A503617"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25,1</w:t>
            </w:r>
          </w:p>
        </w:tc>
        <w:tc>
          <w:tcPr>
            <w:tcW w:w="0" w:type="auto"/>
            <w:tcBorders>
              <w:top w:val="nil"/>
              <w:left w:val="nil"/>
              <w:bottom w:val="single" w:sz="4" w:space="0" w:color="auto"/>
              <w:right w:val="single" w:sz="4" w:space="0" w:color="auto"/>
            </w:tcBorders>
            <w:shd w:val="clear" w:color="auto" w:fill="auto"/>
            <w:noWrap/>
            <w:vAlign w:val="center"/>
            <w:hideMark/>
          </w:tcPr>
          <w:p w14:paraId="7238065D"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25,1</w:t>
            </w:r>
          </w:p>
        </w:tc>
      </w:tr>
      <w:tr w:rsidR="00C7787C" w:rsidRPr="00F506D4" w14:paraId="060BBD8B" w14:textId="77777777" w:rsidTr="00687CD9">
        <w:trPr>
          <w:trHeight w:val="20"/>
        </w:trPr>
        <w:tc>
          <w:tcPr>
            <w:tcW w:w="1195" w:type="dxa"/>
            <w:vMerge/>
            <w:tcBorders>
              <w:top w:val="nil"/>
              <w:left w:val="single" w:sz="4" w:space="0" w:color="auto"/>
              <w:bottom w:val="single" w:sz="4" w:space="0" w:color="auto"/>
              <w:right w:val="single" w:sz="4" w:space="0" w:color="auto"/>
            </w:tcBorders>
            <w:vAlign w:val="center"/>
            <w:hideMark/>
          </w:tcPr>
          <w:p w14:paraId="785EBEF7" w14:textId="77777777" w:rsidR="00C7787C" w:rsidRPr="006A3169" w:rsidRDefault="00C7787C" w:rsidP="00235958">
            <w:pPr>
              <w:spacing w:after="0"/>
              <w:ind w:firstLine="0"/>
              <w:jc w:val="left"/>
              <w:rPr>
                <w:rFonts w:eastAsia="Times New Roman" w:cs="Times New Roman"/>
                <w:sz w:val="18"/>
                <w:szCs w:val="18"/>
              </w:rPr>
            </w:pPr>
          </w:p>
        </w:tc>
        <w:tc>
          <w:tcPr>
            <w:tcW w:w="5178" w:type="dxa"/>
            <w:gridSpan w:val="3"/>
            <w:tcBorders>
              <w:top w:val="single" w:sz="4" w:space="0" w:color="auto"/>
              <w:left w:val="nil"/>
              <w:bottom w:val="single" w:sz="4" w:space="0" w:color="auto"/>
              <w:right w:val="single" w:sz="4" w:space="0" w:color="auto"/>
            </w:tcBorders>
            <w:shd w:val="clear" w:color="auto" w:fill="BDD6EE" w:themeFill="accent1" w:themeFillTint="66"/>
            <w:noWrap/>
            <w:vAlign w:val="bottom"/>
            <w:hideMark/>
          </w:tcPr>
          <w:p w14:paraId="65D0F494" w14:textId="116DD865" w:rsidR="00C7787C" w:rsidRPr="006A3169" w:rsidRDefault="00C7787C" w:rsidP="00235958">
            <w:pPr>
              <w:spacing w:after="0"/>
              <w:ind w:firstLine="0"/>
              <w:jc w:val="right"/>
              <w:rPr>
                <w:rFonts w:eastAsia="Times New Roman" w:cs="Times New Roman"/>
                <w:b/>
                <w:bCs/>
                <w:sz w:val="18"/>
                <w:szCs w:val="18"/>
              </w:rPr>
            </w:pPr>
            <w:r w:rsidRPr="006A3169">
              <w:rPr>
                <w:rFonts w:eastAsia="Times New Roman" w:cs="Times New Roman"/>
                <w:b/>
                <w:bCs/>
                <w:sz w:val="18"/>
                <w:szCs w:val="18"/>
              </w:rPr>
              <w:t xml:space="preserve">Kopā </w:t>
            </w:r>
            <w:proofErr w:type="spellStart"/>
            <w:r w:rsidRPr="006A3169">
              <w:rPr>
                <w:rFonts w:eastAsia="Times New Roman" w:cs="Times New Roman"/>
                <w:b/>
                <w:bCs/>
                <w:sz w:val="18"/>
                <w:szCs w:val="18"/>
              </w:rPr>
              <w:t>nenodokļi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C43AC82"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46,8</w:t>
            </w:r>
          </w:p>
        </w:tc>
        <w:tc>
          <w:tcPr>
            <w:tcW w:w="0" w:type="auto"/>
            <w:tcBorders>
              <w:top w:val="nil"/>
              <w:left w:val="nil"/>
              <w:bottom w:val="single" w:sz="4" w:space="0" w:color="auto"/>
              <w:right w:val="single" w:sz="4" w:space="0" w:color="auto"/>
            </w:tcBorders>
            <w:shd w:val="clear" w:color="auto" w:fill="auto"/>
            <w:noWrap/>
            <w:vAlign w:val="center"/>
            <w:hideMark/>
          </w:tcPr>
          <w:p w14:paraId="6B3DA96D"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3799AF43"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32,9</w:t>
            </w:r>
          </w:p>
        </w:tc>
        <w:tc>
          <w:tcPr>
            <w:tcW w:w="0" w:type="auto"/>
            <w:tcBorders>
              <w:top w:val="nil"/>
              <w:left w:val="nil"/>
              <w:bottom w:val="single" w:sz="4" w:space="0" w:color="auto"/>
              <w:right w:val="single" w:sz="4" w:space="0" w:color="auto"/>
            </w:tcBorders>
            <w:shd w:val="clear" w:color="auto" w:fill="auto"/>
            <w:noWrap/>
            <w:vAlign w:val="center"/>
            <w:hideMark/>
          </w:tcPr>
          <w:p w14:paraId="1DE57023"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32,7</w:t>
            </w:r>
          </w:p>
        </w:tc>
      </w:tr>
      <w:tr w:rsidR="00C7787C" w:rsidRPr="00F506D4" w14:paraId="30573F21"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noWrap/>
            <w:vAlign w:val="bottom"/>
            <w:hideMark/>
          </w:tcPr>
          <w:p w14:paraId="0B733446"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VSAOI</w:t>
            </w:r>
          </w:p>
        </w:tc>
        <w:tc>
          <w:tcPr>
            <w:tcW w:w="26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A90C70" w14:textId="77777777" w:rsidR="00C7787C" w:rsidRPr="006A3169" w:rsidRDefault="00C7787C" w:rsidP="00235958">
            <w:pPr>
              <w:spacing w:after="0"/>
              <w:ind w:firstLine="0"/>
              <w:jc w:val="left"/>
              <w:rPr>
                <w:rFonts w:eastAsia="Times New Roman" w:cs="Times New Roman"/>
                <w:sz w:val="18"/>
                <w:szCs w:val="18"/>
              </w:rPr>
            </w:pPr>
            <w:r w:rsidRPr="006A3169">
              <w:rPr>
                <w:rFonts w:eastAsia="Times New Roman" w:cs="Times New Roman"/>
                <w:sz w:val="18"/>
                <w:szCs w:val="18"/>
              </w:rPr>
              <w:t>Atgriezeniskais efekts no atlīdzības politikas izmaiņām</w:t>
            </w:r>
          </w:p>
        </w:tc>
        <w:tc>
          <w:tcPr>
            <w:tcW w:w="1193" w:type="dxa"/>
            <w:tcBorders>
              <w:top w:val="nil"/>
              <w:left w:val="nil"/>
              <w:bottom w:val="single" w:sz="4" w:space="0" w:color="auto"/>
              <w:right w:val="single" w:sz="4" w:space="0" w:color="auto"/>
            </w:tcBorders>
            <w:shd w:val="clear" w:color="auto" w:fill="auto"/>
            <w:noWrap/>
            <w:vAlign w:val="bottom"/>
            <w:hideMark/>
          </w:tcPr>
          <w:p w14:paraId="394F0891"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VSAOI</w:t>
            </w:r>
          </w:p>
        </w:tc>
        <w:tc>
          <w:tcPr>
            <w:tcW w:w="1357" w:type="dxa"/>
            <w:tcBorders>
              <w:top w:val="nil"/>
              <w:left w:val="nil"/>
              <w:bottom w:val="single" w:sz="4" w:space="0" w:color="auto"/>
              <w:right w:val="single" w:sz="4" w:space="0" w:color="auto"/>
            </w:tcBorders>
            <w:shd w:val="clear" w:color="auto" w:fill="auto"/>
            <w:vAlign w:val="center"/>
            <w:hideMark/>
          </w:tcPr>
          <w:p w14:paraId="28088163" w14:textId="77777777" w:rsidR="00C7787C" w:rsidRPr="00E20858" w:rsidRDefault="00C7787C" w:rsidP="00235958">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9587D37"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12,4</w:t>
            </w:r>
          </w:p>
        </w:tc>
        <w:tc>
          <w:tcPr>
            <w:tcW w:w="0" w:type="auto"/>
            <w:tcBorders>
              <w:top w:val="nil"/>
              <w:left w:val="nil"/>
              <w:bottom w:val="single" w:sz="4" w:space="0" w:color="auto"/>
              <w:right w:val="single" w:sz="4" w:space="0" w:color="auto"/>
            </w:tcBorders>
            <w:shd w:val="clear" w:color="auto" w:fill="auto"/>
            <w:noWrap/>
            <w:vAlign w:val="center"/>
            <w:hideMark/>
          </w:tcPr>
          <w:p w14:paraId="02C8A769"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12,4</w:t>
            </w:r>
          </w:p>
        </w:tc>
        <w:tc>
          <w:tcPr>
            <w:tcW w:w="0" w:type="auto"/>
            <w:tcBorders>
              <w:top w:val="nil"/>
              <w:left w:val="nil"/>
              <w:bottom w:val="single" w:sz="4" w:space="0" w:color="auto"/>
              <w:right w:val="single" w:sz="4" w:space="0" w:color="auto"/>
            </w:tcBorders>
            <w:shd w:val="clear" w:color="auto" w:fill="auto"/>
            <w:noWrap/>
            <w:vAlign w:val="center"/>
            <w:hideMark/>
          </w:tcPr>
          <w:p w14:paraId="66CB275B"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12,4</w:t>
            </w:r>
          </w:p>
        </w:tc>
        <w:tc>
          <w:tcPr>
            <w:tcW w:w="0" w:type="auto"/>
            <w:tcBorders>
              <w:top w:val="nil"/>
              <w:left w:val="nil"/>
              <w:bottom w:val="single" w:sz="4" w:space="0" w:color="auto"/>
              <w:right w:val="single" w:sz="4" w:space="0" w:color="auto"/>
            </w:tcBorders>
            <w:shd w:val="clear" w:color="auto" w:fill="auto"/>
            <w:noWrap/>
            <w:vAlign w:val="center"/>
            <w:hideMark/>
          </w:tcPr>
          <w:p w14:paraId="1AB1C174"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12,4</w:t>
            </w:r>
          </w:p>
        </w:tc>
      </w:tr>
      <w:tr w:rsidR="00C7787C" w:rsidRPr="00F506D4" w14:paraId="136B2288"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noWrap/>
            <w:vAlign w:val="bottom"/>
            <w:hideMark/>
          </w:tcPr>
          <w:p w14:paraId="1E1DB37A"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2628" w:type="dxa"/>
            <w:vMerge/>
            <w:tcBorders>
              <w:top w:val="nil"/>
              <w:left w:val="single" w:sz="4" w:space="0" w:color="auto"/>
              <w:bottom w:val="single" w:sz="4" w:space="0" w:color="auto"/>
              <w:right w:val="single" w:sz="4" w:space="0" w:color="auto"/>
            </w:tcBorders>
            <w:vAlign w:val="center"/>
            <w:hideMark/>
          </w:tcPr>
          <w:p w14:paraId="747B04AB" w14:textId="77777777" w:rsidR="00C7787C" w:rsidRPr="006A3169" w:rsidRDefault="00C7787C" w:rsidP="00235958">
            <w:pPr>
              <w:spacing w:after="0"/>
              <w:ind w:firstLine="0"/>
              <w:jc w:val="left"/>
              <w:rPr>
                <w:rFonts w:eastAsia="Times New Roman" w:cs="Times New Roman"/>
                <w:sz w:val="18"/>
                <w:szCs w:val="18"/>
              </w:rPr>
            </w:pPr>
          </w:p>
        </w:tc>
        <w:tc>
          <w:tcPr>
            <w:tcW w:w="1193" w:type="dxa"/>
            <w:tcBorders>
              <w:top w:val="nil"/>
              <w:left w:val="nil"/>
              <w:bottom w:val="single" w:sz="4" w:space="0" w:color="auto"/>
              <w:right w:val="single" w:sz="4" w:space="0" w:color="auto"/>
            </w:tcBorders>
            <w:shd w:val="clear" w:color="auto" w:fill="auto"/>
            <w:noWrap/>
            <w:vAlign w:val="bottom"/>
            <w:hideMark/>
          </w:tcPr>
          <w:p w14:paraId="2E6EFA8D"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1357" w:type="dxa"/>
            <w:tcBorders>
              <w:top w:val="nil"/>
              <w:left w:val="nil"/>
              <w:bottom w:val="single" w:sz="4" w:space="0" w:color="auto"/>
              <w:right w:val="single" w:sz="4" w:space="0" w:color="auto"/>
            </w:tcBorders>
            <w:shd w:val="clear" w:color="auto" w:fill="auto"/>
            <w:vAlign w:val="center"/>
            <w:hideMark/>
          </w:tcPr>
          <w:p w14:paraId="728EB262" w14:textId="77777777" w:rsidR="00C7787C" w:rsidRPr="00E20858" w:rsidRDefault="00C7787C" w:rsidP="00235958">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75E5E86"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10,3</w:t>
            </w:r>
          </w:p>
        </w:tc>
        <w:tc>
          <w:tcPr>
            <w:tcW w:w="0" w:type="auto"/>
            <w:tcBorders>
              <w:top w:val="nil"/>
              <w:left w:val="nil"/>
              <w:bottom w:val="single" w:sz="4" w:space="0" w:color="auto"/>
              <w:right w:val="single" w:sz="4" w:space="0" w:color="auto"/>
            </w:tcBorders>
            <w:shd w:val="clear" w:color="auto" w:fill="auto"/>
            <w:noWrap/>
            <w:vAlign w:val="center"/>
            <w:hideMark/>
          </w:tcPr>
          <w:p w14:paraId="2A5D1D83"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10,3</w:t>
            </w:r>
          </w:p>
        </w:tc>
        <w:tc>
          <w:tcPr>
            <w:tcW w:w="0" w:type="auto"/>
            <w:tcBorders>
              <w:top w:val="nil"/>
              <w:left w:val="nil"/>
              <w:bottom w:val="single" w:sz="4" w:space="0" w:color="auto"/>
              <w:right w:val="single" w:sz="4" w:space="0" w:color="auto"/>
            </w:tcBorders>
            <w:shd w:val="clear" w:color="auto" w:fill="auto"/>
            <w:noWrap/>
            <w:vAlign w:val="center"/>
            <w:hideMark/>
          </w:tcPr>
          <w:p w14:paraId="5141F478"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10,3</w:t>
            </w:r>
          </w:p>
        </w:tc>
        <w:tc>
          <w:tcPr>
            <w:tcW w:w="0" w:type="auto"/>
            <w:tcBorders>
              <w:top w:val="nil"/>
              <w:left w:val="nil"/>
              <w:bottom w:val="single" w:sz="4" w:space="0" w:color="auto"/>
              <w:right w:val="single" w:sz="4" w:space="0" w:color="auto"/>
            </w:tcBorders>
            <w:shd w:val="clear" w:color="auto" w:fill="auto"/>
            <w:noWrap/>
            <w:vAlign w:val="center"/>
            <w:hideMark/>
          </w:tcPr>
          <w:p w14:paraId="6A4C7D2D"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10,3</w:t>
            </w:r>
          </w:p>
        </w:tc>
      </w:tr>
      <w:tr w:rsidR="00C7787C" w:rsidRPr="00F506D4" w14:paraId="2834D8AC" w14:textId="77777777" w:rsidTr="00687CD9">
        <w:trPr>
          <w:trHeight w:val="20"/>
        </w:trPr>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188690"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UIN</w:t>
            </w:r>
          </w:p>
        </w:tc>
        <w:tc>
          <w:tcPr>
            <w:tcW w:w="2628" w:type="dxa"/>
            <w:tcBorders>
              <w:top w:val="nil"/>
              <w:left w:val="nil"/>
              <w:bottom w:val="single" w:sz="4" w:space="0" w:color="auto"/>
              <w:right w:val="single" w:sz="4" w:space="0" w:color="auto"/>
            </w:tcBorders>
            <w:shd w:val="clear" w:color="auto" w:fill="auto"/>
            <w:noWrap/>
            <w:vAlign w:val="bottom"/>
            <w:hideMark/>
          </w:tcPr>
          <w:p w14:paraId="17EEFCE9" w14:textId="77777777" w:rsidR="00C7787C" w:rsidRPr="006A3169" w:rsidRDefault="00C7787C" w:rsidP="00235958">
            <w:pPr>
              <w:spacing w:after="0"/>
              <w:ind w:firstLine="0"/>
              <w:jc w:val="left"/>
              <w:rPr>
                <w:rFonts w:eastAsia="Times New Roman" w:cs="Times New Roman"/>
                <w:sz w:val="18"/>
                <w:szCs w:val="18"/>
              </w:rPr>
            </w:pPr>
            <w:r w:rsidRPr="006A3169">
              <w:rPr>
                <w:rFonts w:eastAsia="Times New Roman" w:cs="Times New Roman"/>
                <w:sz w:val="18"/>
                <w:szCs w:val="18"/>
              </w:rPr>
              <w:t>Dividendes</w:t>
            </w:r>
          </w:p>
        </w:tc>
        <w:tc>
          <w:tcPr>
            <w:tcW w:w="1193" w:type="dxa"/>
            <w:tcBorders>
              <w:top w:val="nil"/>
              <w:left w:val="nil"/>
              <w:bottom w:val="single" w:sz="4" w:space="0" w:color="auto"/>
              <w:right w:val="single" w:sz="4" w:space="0" w:color="auto"/>
            </w:tcBorders>
            <w:shd w:val="clear" w:color="auto" w:fill="auto"/>
            <w:noWrap/>
            <w:vAlign w:val="bottom"/>
            <w:hideMark/>
          </w:tcPr>
          <w:p w14:paraId="46692BC5"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UIN</w:t>
            </w:r>
          </w:p>
        </w:tc>
        <w:tc>
          <w:tcPr>
            <w:tcW w:w="1357" w:type="dxa"/>
            <w:tcBorders>
              <w:top w:val="nil"/>
              <w:left w:val="nil"/>
              <w:bottom w:val="single" w:sz="4" w:space="0" w:color="auto"/>
              <w:right w:val="single" w:sz="4" w:space="0" w:color="auto"/>
            </w:tcBorders>
            <w:shd w:val="clear" w:color="auto" w:fill="auto"/>
            <w:noWrap/>
            <w:vAlign w:val="bottom"/>
            <w:hideMark/>
          </w:tcPr>
          <w:p w14:paraId="4BC0F617" w14:textId="77777777" w:rsidR="00C7787C" w:rsidRPr="00E20858" w:rsidRDefault="00C7787C" w:rsidP="00235958">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4AD9BCF"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4,4</w:t>
            </w:r>
          </w:p>
        </w:tc>
        <w:tc>
          <w:tcPr>
            <w:tcW w:w="0" w:type="auto"/>
            <w:tcBorders>
              <w:top w:val="nil"/>
              <w:left w:val="nil"/>
              <w:bottom w:val="single" w:sz="4" w:space="0" w:color="auto"/>
              <w:right w:val="single" w:sz="4" w:space="0" w:color="auto"/>
            </w:tcBorders>
            <w:shd w:val="clear" w:color="auto" w:fill="auto"/>
            <w:noWrap/>
            <w:vAlign w:val="center"/>
            <w:hideMark/>
          </w:tcPr>
          <w:p w14:paraId="533F2AAA"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1,8</w:t>
            </w:r>
          </w:p>
        </w:tc>
        <w:tc>
          <w:tcPr>
            <w:tcW w:w="0" w:type="auto"/>
            <w:tcBorders>
              <w:top w:val="nil"/>
              <w:left w:val="nil"/>
              <w:bottom w:val="single" w:sz="4" w:space="0" w:color="auto"/>
              <w:right w:val="single" w:sz="4" w:space="0" w:color="auto"/>
            </w:tcBorders>
            <w:shd w:val="clear" w:color="auto" w:fill="auto"/>
            <w:noWrap/>
            <w:vAlign w:val="center"/>
            <w:hideMark/>
          </w:tcPr>
          <w:p w14:paraId="3954AD20"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1,9</w:t>
            </w:r>
          </w:p>
        </w:tc>
        <w:tc>
          <w:tcPr>
            <w:tcW w:w="0" w:type="auto"/>
            <w:tcBorders>
              <w:top w:val="nil"/>
              <w:left w:val="nil"/>
              <w:bottom w:val="single" w:sz="4" w:space="0" w:color="auto"/>
              <w:right w:val="single" w:sz="4" w:space="0" w:color="auto"/>
            </w:tcBorders>
            <w:shd w:val="clear" w:color="auto" w:fill="auto"/>
            <w:noWrap/>
            <w:vAlign w:val="center"/>
            <w:hideMark/>
          </w:tcPr>
          <w:p w14:paraId="008277A6"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1,9</w:t>
            </w:r>
          </w:p>
        </w:tc>
      </w:tr>
      <w:tr w:rsidR="00C7787C" w:rsidRPr="00F506D4" w14:paraId="0EBA8BFB" w14:textId="77777777" w:rsidTr="00687CD9">
        <w:trPr>
          <w:trHeight w:val="20"/>
        </w:trPr>
        <w:tc>
          <w:tcPr>
            <w:tcW w:w="1195" w:type="dxa"/>
            <w:vMerge/>
            <w:tcBorders>
              <w:top w:val="nil"/>
              <w:left w:val="single" w:sz="4" w:space="0" w:color="auto"/>
              <w:bottom w:val="single" w:sz="4" w:space="0" w:color="auto"/>
              <w:right w:val="single" w:sz="4" w:space="0" w:color="auto"/>
            </w:tcBorders>
            <w:vAlign w:val="center"/>
            <w:hideMark/>
          </w:tcPr>
          <w:p w14:paraId="0E690F43" w14:textId="77777777" w:rsidR="00C7787C" w:rsidRPr="006A3169" w:rsidRDefault="00C7787C" w:rsidP="00235958">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bottom"/>
            <w:hideMark/>
          </w:tcPr>
          <w:p w14:paraId="6F7B34F9" w14:textId="77777777" w:rsidR="00C7787C" w:rsidRPr="006A3169" w:rsidRDefault="00C7787C" w:rsidP="00235958">
            <w:pPr>
              <w:spacing w:after="0"/>
              <w:ind w:firstLine="0"/>
              <w:jc w:val="left"/>
              <w:rPr>
                <w:rFonts w:eastAsia="Times New Roman" w:cs="Times New Roman"/>
                <w:sz w:val="18"/>
                <w:szCs w:val="18"/>
              </w:rPr>
            </w:pPr>
            <w:r w:rsidRPr="006A3169">
              <w:rPr>
                <w:rFonts w:eastAsia="Times New Roman" w:cs="Times New Roman"/>
                <w:sz w:val="18"/>
                <w:szCs w:val="18"/>
              </w:rPr>
              <w:t>Solidaritātes iemaksa bankām</w:t>
            </w:r>
          </w:p>
        </w:tc>
        <w:tc>
          <w:tcPr>
            <w:tcW w:w="1193" w:type="dxa"/>
            <w:tcBorders>
              <w:top w:val="nil"/>
              <w:left w:val="nil"/>
              <w:bottom w:val="single" w:sz="4" w:space="0" w:color="auto"/>
              <w:right w:val="single" w:sz="4" w:space="0" w:color="auto"/>
            </w:tcBorders>
            <w:shd w:val="clear" w:color="auto" w:fill="auto"/>
            <w:noWrap/>
            <w:vAlign w:val="bottom"/>
            <w:hideMark/>
          </w:tcPr>
          <w:p w14:paraId="64AC1C6B"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UIN</w:t>
            </w:r>
          </w:p>
        </w:tc>
        <w:tc>
          <w:tcPr>
            <w:tcW w:w="1357" w:type="dxa"/>
            <w:tcBorders>
              <w:top w:val="nil"/>
              <w:left w:val="nil"/>
              <w:bottom w:val="single" w:sz="4" w:space="0" w:color="auto"/>
              <w:right w:val="single" w:sz="4" w:space="0" w:color="auto"/>
            </w:tcBorders>
            <w:shd w:val="clear" w:color="auto" w:fill="auto"/>
            <w:noWrap/>
            <w:vAlign w:val="bottom"/>
            <w:hideMark/>
          </w:tcPr>
          <w:p w14:paraId="39CB22F1" w14:textId="77777777" w:rsidR="00C7787C" w:rsidRPr="006A3169" w:rsidRDefault="00C7787C" w:rsidP="00235958">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1084ADF" w14:textId="710382A0" w:rsidR="00C7787C" w:rsidRPr="006A3169" w:rsidRDefault="00C7787C" w:rsidP="00687CD9">
            <w:pPr>
              <w:spacing w:after="0"/>
              <w:ind w:firstLine="0"/>
              <w:jc w:val="center"/>
              <w:rPr>
                <w:rFonts w:eastAsia="Times New Roman" w:cs="Times New Roman"/>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762D2640"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-18,6</w:t>
            </w:r>
          </w:p>
        </w:tc>
        <w:tc>
          <w:tcPr>
            <w:tcW w:w="0" w:type="auto"/>
            <w:tcBorders>
              <w:top w:val="nil"/>
              <w:left w:val="nil"/>
              <w:bottom w:val="single" w:sz="4" w:space="0" w:color="auto"/>
              <w:right w:val="single" w:sz="4" w:space="0" w:color="auto"/>
            </w:tcBorders>
            <w:shd w:val="clear" w:color="auto" w:fill="auto"/>
            <w:noWrap/>
            <w:vAlign w:val="center"/>
            <w:hideMark/>
          </w:tcPr>
          <w:p w14:paraId="3D214BE7"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-21,3</w:t>
            </w:r>
          </w:p>
        </w:tc>
        <w:tc>
          <w:tcPr>
            <w:tcW w:w="0" w:type="auto"/>
            <w:tcBorders>
              <w:top w:val="nil"/>
              <w:left w:val="nil"/>
              <w:bottom w:val="single" w:sz="4" w:space="0" w:color="auto"/>
              <w:right w:val="single" w:sz="4" w:space="0" w:color="auto"/>
            </w:tcBorders>
            <w:shd w:val="clear" w:color="auto" w:fill="auto"/>
            <w:noWrap/>
            <w:vAlign w:val="center"/>
            <w:hideMark/>
          </w:tcPr>
          <w:p w14:paraId="4169B110" w14:textId="2EB72B0A" w:rsidR="00C7787C" w:rsidRPr="006A3169" w:rsidRDefault="00C7787C" w:rsidP="00687CD9">
            <w:pPr>
              <w:spacing w:after="0"/>
              <w:ind w:firstLine="0"/>
              <w:jc w:val="center"/>
              <w:rPr>
                <w:rFonts w:eastAsia="Times New Roman" w:cs="Times New Roman"/>
                <w:sz w:val="18"/>
                <w:szCs w:val="18"/>
              </w:rPr>
            </w:pPr>
          </w:p>
        </w:tc>
      </w:tr>
      <w:tr w:rsidR="00C7787C" w:rsidRPr="00F506D4" w14:paraId="16569870" w14:textId="77777777" w:rsidTr="00687CD9">
        <w:trPr>
          <w:trHeight w:val="20"/>
        </w:trPr>
        <w:tc>
          <w:tcPr>
            <w:tcW w:w="1195" w:type="dxa"/>
            <w:vMerge/>
            <w:tcBorders>
              <w:top w:val="nil"/>
              <w:left w:val="single" w:sz="4" w:space="0" w:color="auto"/>
              <w:bottom w:val="single" w:sz="4" w:space="0" w:color="auto"/>
              <w:right w:val="single" w:sz="4" w:space="0" w:color="auto"/>
            </w:tcBorders>
            <w:vAlign w:val="center"/>
            <w:hideMark/>
          </w:tcPr>
          <w:p w14:paraId="2598D581" w14:textId="77777777" w:rsidR="00C7787C" w:rsidRPr="006A3169" w:rsidRDefault="00C7787C" w:rsidP="00235958">
            <w:pPr>
              <w:spacing w:after="0"/>
              <w:ind w:firstLine="0"/>
              <w:jc w:val="left"/>
              <w:rPr>
                <w:rFonts w:eastAsia="Times New Roman" w:cs="Times New Roman"/>
                <w:sz w:val="18"/>
                <w:szCs w:val="18"/>
              </w:rPr>
            </w:pPr>
          </w:p>
        </w:tc>
        <w:tc>
          <w:tcPr>
            <w:tcW w:w="5178" w:type="dxa"/>
            <w:gridSpan w:val="3"/>
            <w:tcBorders>
              <w:top w:val="single" w:sz="4" w:space="0" w:color="auto"/>
              <w:left w:val="nil"/>
              <w:bottom w:val="single" w:sz="4" w:space="0" w:color="auto"/>
              <w:right w:val="single" w:sz="4" w:space="0" w:color="auto"/>
            </w:tcBorders>
            <w:shd w:val="clear" w:color="auto" w:fill="BDD6EE" w:themeFill="accent1" w:themeFillTint="66"/>
            <w:noWrap/>
            <w:vAlign w:val="bottom"/>
            <w:hideMark/>
          </w:tcPr>
          <w:p w14:paraId="73438DFA" w14:textId="77777777" w:rsidR="00C7787C" w:rsidRPr="006A3169" w:rsidRDefault="00C7787C" w:rsidP="00235958">
            <w:pPr>
              <w:spacing w:after="0"/>
              <w:ind w:firstLine="0"/>
              <w:jc w:val="right"/>
              <w:rPr>
                <w:rFonts w:eastAsia="Times New Roman" w:cs="Times New Roman"/>
                <w:b/>
                <w:bCs/>
                <w:sz w:val="18"/>
                <w:szCs w:val="18"/>
              </w:rPr>
            </w:pPr>
            <w:r w:rsidRPr="006A3169">
              <w:rPr>
                <w:rFonts w:eastAsia="Times New Roman" w:cs="Times New Roman"/>
                <w:b/>
                <w:bCs/>
                <w:sz w:val="18"/>
                <w:szCs w:val="18"/>
              </w:rPr>
              <w:t>Kopā UIN</w:t>
            </w:r>
          </w:p>
        </w:tc>
        <w:tc>
          <w:tcPr>
            <w:tcW w:w="0" w:type="auto"/>
            <w:tcBorders>
              <w:top w:val="nil"/>
              <w:left w:val="nil"/>
              <w:bottom w:val="single" w:sz="4" w:space="0" w:color="auto"/>
              <w:right w:val="single" w:sz="4" w:space="0" w:color="auto"/>
            </w:tcBorders>
            <w:shd w:val="clear" w:color="auto" w:fill="auto"/>
            <w:noWrap/>
            <w:vAlign w:val="center"/>
            <w:hideMark/>
          </w:tcPr>
          <w:p w14:paraId="01AAA10B"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4,4</w:t>
            </w:r>
          </w:p>
        </w:tc>
        <w:tc>
          <w:tcPr>
            <w:tcW w:w="0" w:type="auto"/>
            <w:tcBorders>
              <w:top w:val="nil"/>
              <w:left w:val="nil"/>
              <w:bottom w:val="single" w:sz="4" w:space="0" w:color="auto"/>
              <w:right w:val="single" w:sz="4" w:space="0" w:color="auto"/>
            </w:tcBorders>
            <w:shd w:val="clear" w:color="auto" w:fill="auto"/>
            <w:noWrap/>
            <w:vAlign w:val="center"/>
            <w:hideMark/>
          </w:tcPr>
          <w:p w14:paraId="09F0C1CC"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-16,8</w:t>
            </w:r>
          </w:p>
        </w:tc>
        <w:tc>
          <w:tcPr>
            <w:tcW w:w="0" w:type="auto"/>
            <w:tcBorders>
              <w:top w:val="nil"/>
              <w:left w:val="nil"/>
              <w:bottom w:val="single" w:sz="4" w:space="0" w:color="auto"/>
              <w:right w:val="single" w:sz="4" w:space="0" w:color="auto"/>
            </w:tcBorders>
            <w:shd w:val="clear" w:color="auto" w:fill="auto"/>
            <w:noWrap/>
            <w:vAlign w:val="center"/>
            <w:hideMark/>
          </w:tcPr>
          <w:p w14:paraId="74475553"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-19,4</w:t>
            </w:r>
          </w:p>
        </w:tc>
        <w:tc>
          <w:tcPr>
            <w:tcW w:w="0" w:type="auto"/>
            <w:tcBorders>
              <w:top w:val="nil"/>
              <w:left w:val="nil"/>
              <w:bottom w:val="single" w:sz="4" w:space="0" w:color="auto"/>
              <w:right w:val="single" w:sz="4" w:space="0" w:color="auto"/>
            </w:tcBorders>
            <w:shd w:val="clear" w:color="auto" w:fill="auto"/>
            <w:noWrap/>
            <w:vAlign w:val="center"/>
            <w:hideMark/>
          </w:tcPr>
          <w:p w14:paraId="6FA1340C"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1,9</w:t>
            </w:r>
          </w:p>
        </w:tc>
      </w:tr>
      <w:tr w:rsidR="00C7787C" w:rsidRPr="00F506D4" w14:paraId="1F5DBFB5" w14:textId="77777777" w:rsidTr="00687CD9">
        <w:trPr>
          <w:trHeight w:val="20"/>
        </w:trPr>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22BFB5"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Solidaritātes iemaksa</w:t>
            </w:r>
          </w:p>
        </w:tc>
        <w:tc>
          <w:tcPr>
            <w:tcW w:w="2628" w:type="dxa"/>
            <w:tcBorders>
              <w:top w:val="nil"/>
              <w:left w:val="nil"/>
              <w:bottom w:val="single" w:sz="4" w:space="0" w:color="auto"/>
              <w:right w:val="single" w:sz="4" w:space="0" w:color="auto"/>
            </w:tcBorders>
            <w:shd w:val="clear" w:color="auto" w:fill="auto"/>
            <w:noWrap/>
            <w:vAlign w:val="bottom"/>
            <w:hideMark/>
          </w:tcPr>
          <w:p w14:paraId="37212D04" w14:textId="77777777" w:rsidR="00C7787C" w:rsidRPr="006A3169" w:rsidRDefault="00C7787C" w:rsidP="00235958">
            <w:pPr>
              <w:spacing w:after="0"/>
              <w:ind w:firstLine="0"/>
              <w:jc w:val="left"/>
              <w:rPr>
                <w:rFonts w:eastAsia="Times New Roman" w:cs="Times New Roman"/>
                <w:sz w:val="18"/>
                <w:szCs w:val="18"/>
              </w:rPr>
            </w:pPr>
            <w:r w:rsidRPr="006A3169">
              <w:rPr>
                <w:rFonts w:eastAsia="Times New Roman" w:cs="Times New Roman"/>
                <w:sz w:val="18"/>
                <w:szCs w:val="18"/>
              </w:rPr>
              <w:t>Solidaritātes iemaksa bankām</w:t>
            </w:r>
          </w:p>
        </w:tc>
        <w:tc>
          <w:tcPr>
            <w:tcW w:w="1193" w:type="dxa"/>
            <w:tcBorders>
              <w:top w:val="nil"/>
              <w:left w:val="nil"/>
              <w:bottom w:val="single" w:sz="4" w:space="0" w:color="auto"/>
              <w:right w:val="single" w:sz="4" w:space="0" w:color="auto"/>
            </w:tcBorders>
            <w:shd w:val="clear" w:color="auto" w:fill="auto"/>
            <w:noWrap/>
            <w:vAlign w:val="bottom"/>
            <w:hideMark/>
          </w:tcPr>
          <w:p w14:paraId="0EC8B704"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Solidaritātes iemaksa</w:t>
            </w:r>
          </w:p>
        </w:tc>
        <w:tc>
          <w:tcPr>
            <w:tcW w:w="1357" w:type="dxa"/>
            <w:tcBorders>
              <w:top w:val="nil"/>
              <w:left w:val="nil"/>
              <w:bottom w:val="single" w:sz="4" w:space="0" w:color="auto"/>
              <w:right w:val="single" w:sz="4" w:space="0" w:color="auto"/>
            </w:tcBorders>
            <w:shd w:val="clear" w:color="auto" w:fill="auto"/>
            <w:noWrap/>
            <w:vAlign w:val="center"/>
            <w:hideMark/>
          </w:tcPr>
          <w:p w14:paraId="4521CFA6"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D27D9D0"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93,0</w:t>
            </w:r>
          </w:p>
        </w:tc>
        <w:tc>
          <w:tcPr>
            <w:tcW w:w="0" w:type="auto"/>
            <w:tcBorders>
              <w:top w:val="nil"/>
              <w:left w:val="nil"/>
              <w:bottom w:val="single" w:sz="4" w:space="0" w:color="auto"/>
              <w:right w:val="single" w:sz="4" w:space="0" w:color="auto"/>
            </w:tcBorders>
            <w:shd w:val="clear" w:color="auto" w:fill="auto"/>
            <w:noWrap/>
            <w:vAlign w:val="center"/>
            <w:hideMark/>
          </w:tcPr>
          <w:p w14:paraId="3CDBD77B"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106,3</w:t>
            </w:r>
          </w:p>
        </w:tc>
        <w:tc>
          <w:tcPr>
            <w:tcW w:w="0" w:type="auto"/>
            <w:tcBorders>
              <w:top w:val="nil"/>
              <w:left w:val="nil"/>
              <w:bottom w:val="single" w:sz="4" w:space="0" w:color="auto"/>
              <w:right w:val="single" w:sz="4" w:space="0" w:color="auto"/>
            </w:tcBorders>
            <w:shd w:val="clear" w:color="auto" w:fill="auto"/>
            <w:noWrap/>
            <w:vAlign w:val="center"/>
            <w:hideMark/>
          </w:tcPr>
          <w:p w14:paraId="58E65822"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106,7</w:t>
            </w:r>
          </w:p>
        </w:tc>
        <w:tc>
          <w:tcPr>
            <w:tcW w:w="0" w:type="auto"/>
            <w:tcBorders>
              <w:top w:val="nil"/>
              <w:left w:val="nil"/>
              <w:bottom w:val="single" w:sz="4" w:space="0" w:color="auto"/>
              <w:right w:val="single" w:sz="4" w:space="0" w:color="auto"/>
            </w:tcBorders>
            <w:shd w:val="clear" w:color="auto" w:fill="auto"/>
            <w:noWrap/>
            <w:vAlign w:val="center"/>
            <w:hideMark/>
          </w:tcPr>
          <w:p w14:paraId="17CFF103"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27,2</w:t>
            </w:r>
          </w:p>
        </w:tc>
      </w:tr>
      <w:tr w:rsidR="00C7787C" w:rsidRPr="00F506D4" w14:paraId="7F8F7F7D" w14:textId="77777777" w:rsidTr="00687CD9">
        <w:trPr>
          <w:trHeight w:val="20"/>
        </w:trPr>
        <w:tc>
          <w:tcPr>
            <w:tcW w:w="1195" w:type="dxa"/>
            <w:vMerge/>
            <w:tcBorders>
              <w:top w:val="nil"/>
              <w:left w:val="single" w:sz="4" w:space="0" w:color="auto"/>
              <w:bottom w:val="single" w:sz="4" w:space="0" w:color="auto"/>
              <w:right w:val="single" w:sz="4" w:space="0" w:color="auto"/>
            </w:tcBorders>
            <w:vAlign w:val="center"/>
            <w:hideMark/>
          </w:tcPr>
          <w:p w14:paraId="6A903E65" w14:textId="77777777" w:rsidR="00C7787C" w:rsidRPr="006A3169" w:rsidRDefault="00C7787C" w:rsidP="00235958">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bottom"/>
            <w:hideMark/>
          </w:tcPr>
          <w:p w14:paraId="3AB69902" w14:textId="77777777" w:rsidR="00C7787C" w:rsidRPr="006A3169" w:rsidRDefault="00C7787C" w:rsidP="00235958">
            <w:pPr>
              <w:spacing w:after="0"/>
              <w:ind w:firstLine="0"/>
              <w:jc w:val="left"/>
              <w:rPr>
                <w:rFonts w:eastAsia="Times New Roman" w:cs="Times New Roman"/>
                <w:sz w:val="18"/>
                <w:szCs w:val="18"/>
              </w:rPr>
            </w:pPr>
            <w:r w:rsidRPr="006A3169">
              <w:rPr>
                <w:rFonts w:eastAsia="Times New Roman" w:cs="Times New Roman"/>
                <w:sz w:val="18"/>
                <w:szCs w:val="18"/>
              </w:rPr>
              <w:t>EKS korekcija</w:t>
            </w:r>
          </w:p>
        </w:tc>
        <w:tc>
          <w:tcPr>
            <w:tcW w:w="1193" w:type="dxa"/>
            <w:tcBorders>
              <w:top w:val="nil"/>
              <w:left w:val="nil"/>
              <w:bottom w:val="single" w:sz="4" w:space="0" w:color="auto"/>
              <w:right w:val="single" w:sz="4" w:space="0" w:color="auto"/>
            </w:tcBorders>
            <w:shd w:val="clear" w:color="auto" w:fill="auto"/>
            <w:noWrap/>
            <w:vAlign w:val="bottom"/>
            <w:hideMark/>
          </w:tcPr>
          <w:p w14:paraId="0A18C649" w14:textId="77777777" w:rsidR="00C7787C" w:rsidRPr="006A3169" w:rsidRDefault="00C7787C" w:rsidP="00235958">
            <w:pPr>
              <w:spacing w:after="0"/>
              <w:ind w:firstLine="0"/>
              <w:jc w:val="center"/>
              <w:rPr>
                <w:rFonts w:eastAsia="Times New Roman" w:cs="Times New Roman"/>
                <w:sz w:val="18"/>
                <w:szCs w:val="18"/>
              </w:rPr>
            </w:pPr>
            <w:r w:rsidRPr="006A3169">
              <w:rPr>
                <w:rFonts w:eastAsia="Times New Roman" w:cs="Times New Roman"/>
                <w:sz w:val="18"/>
                <w:szCs w:val="18"/>
              </w:rPr>
              <w:t>EKS korekcija</w:t>
            </w:r>
          </w:p>
        </w:tc>
        <w:tc>
          <w:tcPr>
            <w:tcW w:w="1357" w:type="dxa"/>
            <w:tcBorders>
              <w:top w:val="nil"/>
              <w:left w:val="nil"/>
              <w:bottom w:val="single" w:sz="4" w:space="0" w:color="auto"/>
              <w:right w:val="single" w:sz="4" w:space="0" w:color="auto"/>
            </w:tcBorders>
            <w:shd w:val="clear" w:color="auto" w:fill="auto"/>
            <w:noWrap/>
            <w:vAlign w:val="center"/>
            <w:hideMark/>
          </w:tcPr>
          <w:p w14:paraId="737B88DA" w14:textId="77777777" w:rsidR="00C7787C" w:rsidRPr="006A3169" w:rsidRDefault="00C7787C"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53E0516"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31,0</w:t>
            </w:r>
          </w:p>
        </w:tc>
        <w:tc>
          <w:tcPr>
            <w:tcW w:w="0" w:type="auto"/>
            <w:tcBorders>
              <w:top w:val="nil"/>
              <w:left w:val="nil"/>
              <w:bottom w:val="single" w:sz="4" w:space="0" w:color="auto"/>
              <w:right w:val="single" w:sz="4" w:space="0" w:color="auto"/>
            </w:tcBorders>
            <w:shd w:val="clear" w:color="auto" w:fill="auto"/>
            <w:noWrap/>
            <w:vAlign w:val="center"/>
            <w:hideMark/>
          </w:tcPr>
          <w:p w14:paraId="1755FA6E"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-5,9</w:t>
            </w:r>
          </w:p>
        </w:tc>
        <w:tc>
          <w:tcPr>
            <w:tcW w:w="0" w:type="auto"/>
            <w:tcBorders>
              <w:top w:val="nil"/>
              <w:left w:val="nil"/>
              <w:bottom w:val="single" w:sz="4" w:space="0" w:color="auto"/>
              <w:right w:val="single" w:sz="4" w:space="0" w:color="auto"/>
            </w:tcBorders>
            <w:shd w:val="clear" w:color="auto" w:fill="auto"/>
            <w:noWrap/>
            <w:vAlign w:val="center"/>
            <w:hideMark/>
          </w:tcPr>
          <w:p w14:paraId="587514D8"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2,1</w:t>
            </w:r>
          </w:p>
        </w:tc>
        <w:tc>
          <w:tcPr>
            <w:tcW w:w="0" w:type="auto"/>
            <w:tcBorders>
              <w:top w:val="nil"/>
              <w:left w:val="nil"/>
              <w:bottom w:val="single" w:sz="4" w:space="0" w:color="auto"/>
              <w:right w:val="single" w:sz="4" w:space="0" w:color="auto"/>
            </w:tcBorders>
            <w:shd w:val="clear" w:color="auto" w:fill="auto"/>
            <w:noWrap/>
            <w:vAlign w:val="center"/>
            <w:hideMark/>
          </w:tcPr>
          <w:p w14:paraId="1EAD75DE" w14:textId="77777777" w:rsidR="00C7787C" w:rsidRPr="006A3169" w:rsidRDefault="00C7787C" w:rsidP="00687CD9">
            <w:pPr>
              <w:spacing w:after="0"/>
              <w:ind w:firstLine="0"/>
              <w:jc w:val="center"/>
              <w:rPr>
                <w:rFonts w:eastAsia="Times New Roman" w:cs="Times New Roman"/>
                <w:sz w:val="18"/>
                <w:szCs w:val="18"/>
              </w:rPr>
            </w:pPr>
            <w:r w:rsidRPr="006A3169">
              <w:rPr>
                <w:rFonts w:eastAsia="Times New Roman" w:cs="Times New Roman"/>
                <w:sz w:val="18"/>
                <w:szCs w:val="18"/>
              </w:rPr>
              <w:t>-27,2</w:t>
            </w:r>
          </w:p>
        </w:tc>
      </w:tr>
      <w:tr w:rsidR="00C7787C" w:rsidRPr="00F506D4" w14:paraId="7BB0AA66" w14:textId="77777777" w:rsidTr="00687CD9">
        <w:trPr>
          <w:trHeight w:val="20"/>
        </w:trPr>
        <w:tc>
          <w:tcPr>
            <w:tcW w:w="1195" w:type="dxa"/>
            <w:vMerge/>
            <w:tcBorders>
              <w:top w:val="nil"/>
              <w:left w:val="single" w:sz="4" w:space="0" w:color="auto"/>
              <w:bottom w:val="single" w:sz="4" w:space="0" w:color="auto"/>
              <w:right w:val="single" w:sz="4" w:space="0" w:color="auto"/>
            </w:tcBorders>
            <w:vAlign w:val="center"/>
            <w:hideMark/>
          </w:tcPr>
          <w:p w14:paraId="3F1AE74E" w14:textId="77777777" w:rsidR="00C7787C" w:rsidRPr="006A3169" w:rsidRDefault="00C7787C" w:rsidP="00235958">
            <w:pPr>
              <w:spacing w:after="0"/>
              <w:ind w:firstLine="0"/>
              <w:jc w:val="left"/>
              <w:rPr>
                <w:rFonts w:eastAsia="Times New Roman" w:cs="Times New Roman"/>
                <w:sz w:val="18"/>
                <w:szCs w:val="18"/>
              </w:rPr>
            </w:pPr>
          </w:p>
        </w:tc>
        <w:tc>
          <w:tcPr>
            <w:tcW w:w="5178" w:type="dxa"/>
            <w:gridSpan w:val="3"/>
            <w:tcBorders>
              <w:top w:val="single" w:sz="4" w:space="0" w:color="auto"/>
              <w:left w:val="nil"/>
              <w:bottom w:val="single" w:sz="4" w:space="0" w:color="auto"/>
              <w:right w:val="single" w:sz="4" w:space="0" w:color="auto"/>
            </w:tcBorders>
            <w:shd w:val="clear" w:color="auto" w:fill="BDD6EE" w:themeFill="accent1" w:themeFillTint="66"/>
            <w:noWrap/>
            <w:vAlign w:val="bottom"/>
            <w:hideMark/>
          </w:tcPr>
          <w:p w14:paraId="06286FC9" w14:textId="77777777" w:rsidR="00C7787C" w:rsidRPr="006A3169" w:rsidRDefault="00C7787C" w:rsidP="00235958">
            <w:pPr>
              <w:spacing w:after="0"/>
              <w:ind w:firstLine="0"/>
              <w:jc w:val="right"/>
              <w:rPr>
                <w:rFonts w:eastAsia="Times New Roman" w:cs="Times New Roman"/>
                <w:b/>
                <w:bCs/>
                <w:sz w:val="18"/>
                <w:szCs w:val="18"/>
              </w:rPr>
            </w:pPr>
            <w:r w:rsidRPr="006A3169">
              <w:rPr>
                <w:rFonts w:eastAsia="Times New Roman" w:cs="Times New Roman"/>
                <w:b/>
                <w:bCs/>
                <w:sz w:val="18"/>
                <w:szCs w:val="18"/>
              </w:rPr>
              <w:t>Kopā solidaritātes iemaksa</w:t>
            </w:r>
          </w:p>
        </w:tc>
        <w:tc>
          <w:tcPr>
            <w:tcW w:w="0" w:type="auto"/>
            <w:tcBorders>
              <w:top w:val="nil"/>
              <w:left w:val="nil"/>
              <w:bottom w:val="single" w:sz="4" w:space="0" w:color="auto"/>
              <w:right w:val="single" w:sz="4" w:space="0" w:color="auto"/>
            </w:tcBorders>
            <w:shd w:val="clear" w:color="auto" w:fill="auto"/>
            <w:noWrap/>
            <w:vAlign w:val="center"/>
            <w:hideMark/>
          </w:tcPr>
          <w:p w14:paraId="58551A54"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124,0</w:t>
            </w:r>
          </w:p>
        </w:tc>
        <w:tc>
          <w:tcPr>
            <w:tcW w:w="0" w:type="auto"/>
            <w:tcBorders>
              <w:top w:val="nil"/>
              <w:left w:val="nil"/>
              <w:bottom w:val="single" w:sz="4" w:space="0" w:color="auto"/>
              <w:right w:val="single" w:sz="4" w:space="0" w:color="auto"/>
            </w:tcBorders>
            <w:shd w:val="clear" w:color="auto" w:fill="auto"/>
            <w:noWrap/>
            <w:vAlign w:val="center"/>
            <w:hideMark/>
          </w:tcPr>
          <w:p w14:paraId="53DFFE14"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100,4</w:t>
            </w:r>
          </w:p>
        </w:tc>
        <w:tc>
          <w:tcPr>
            <w:tcW w:w="0" w:type="auto"/>
            <w:tcBorders>
              <w:top w:val="nil"/>
              <w:left w:val="nil"/>
              <w:bottom w:val="single" w:sz="4" w:space="0" w:color="auto"/>
              <w:right w:val="single" w:sz="4" w:space="0" w:color="auto"/>
            </w:tcBorders>
            <w:shd w:val="clear" w:color="auto" w:fill="auto"/>
            <w:noWrap/>
            <w:vAlign w:val="center"/>
            <w:hideMark/>
          </w:tcPr>
          <w:p w14:paraId="53231EE1"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108,8</w:t>
            </w:r>
          </w:p>
        </w:tc>
        <w:tc>
          <w:tcPr>
            <w:tcW w:w="0" w:type="auto"/>
            <w:tcBorders>
              <w:top w:val="nil"/>
              <w:left w:val="nil"/>
              <w:bottom w:val="single" w:sz="4" w:space="0" w:color="auto"/>
              <w:right w:val="single" w:sz="4" w:space="0" w:color="auto"/>
            </w:tcBorders>
            <w:shd w:val="clear" w:color="auto" w:fill="auto"/>
            <w:noWrap/>
            <w:vAlign w:val="center"/>
            <w:hideMark/>
          </w:tcPr>
          <w:p w14:paraId="056480DF"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0,0</w:t>
            </w:r>
          </w:p>
        </w:tc>
      </w:tr>
      <w:tr w:rsidR="00C7787C" w:rsidRPr="00F506D4" w14:paraId="2C4D4288" w14:textId="77777777" w:rsidTr="00687CD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bottom"/>
            <w:hideMark/>
          </w:tcPr>
          <w:p w14:paraId="4385FE85" w14:textId="77777777" w:rsidR="00C7787C" w:rsidRPr="006A3169" w:rsidRDefault="00C7787C" w:rsidP="00235958">
            <w:pPr>
              <w:spacing w:after="0"/>
              <w:ind w:firstLine="0"/>
              <w:jc w:val="right"/>
              <w:rPr>
                <w:rFonts w:eastAsia="Times New Roman" w:cs="Times New Roman"/>
                <w:b/>
                <w:bCs/>
                <w:sz w:val="18"/>
                <w:szCs w:val="18"/>
              </w:rPr>
            </w:pPr>
            <w:r w:rsidRPr="006A3169">
              <w:rPr>
                <w:rFonts w:eastAsia="Times New Roman" w:cs="Times New Roman"/>
                <w:b/>
                <w:bCs/>
                <w:sz w:val="18"/>
                <w:szCs w:val="18"/>
              </w:rPr>
              <w:t>Budžeta prioritātes kopā</w:t>
            </w:r>
          </w:p>
        </w:tc>
        <w:tc>
          <w:tcPr>
            <w:tcW w:w="0" w:type="auto"/>
            <w:tcBorders>
              <w:top w:val="nil"/>
              <w:left w:val="nil"/>
              <w:bottom w:val="single" w:sz="4" w:space="0" w:color="auto"/>
              <w:right w:val="single" w:sz="4" w:space="0" w:color="auto"/>
            </w:tcBorders>
            <w:shd w:val="clear" w:color="auto" w:fill="auto"/>
            <w:noWrap/>
            <w:vAlign w:val="center"/>
            <w:hideMark/>
          </w:tcPr>
          <w:p w14:paraId="06820AB6"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197,9</w:t>
            </w:r>
          </w:p>
        </w:tc>
        <w:tc>
          <w:tcPr>
            <w:tcW w:w="0" w:type="auto"/>
            <w:tcBorders>
              <w:top w:val="nil"/>
              <w:left w:val="nil"/>
              <w:bottom w:val="single" w:sz="4" w:space="0" w:color="auto"/>
              <w:right w:val="single" w:sz="4" w:space="0" w:color="auto"/>
            </w:tcBorders>
            <w:shd w:val="clear" w:color="auto" w:fill="auto"/>
            <w:noWrap/>
            <w:vAlign w:val="center"/>
            <w:hideMark/>
          </w:tcPr>
          <w:p w14:paraId="45E1AC27"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138,7</w:t>
            </w:r>
          </w:p>
        </w:tc>
        <w:tc>
          <w:tcPr>
            <w:tcW w:w="0" w:type="auto"/>
            <w:tcBorders>
              <w:top w:val="nil"/>
              <w:left w:val="nil"/>
              <w:bottom w:val="single" w:sz="4" w:space="0" w:color="auto"/>
              <w:right w:val="single" w:sz="4" w:space="0" w:color="auto"/>
            </w:tcBorders>
            <w:shd w:val="clear" w:color="auto" w:fill="auto"/>
            <w:noWrap/>
            <w:vAlign w:val="center"/>
            <w:hideMark/>
          </w:tcPr>
          <w:p w14:paraId="7D962B4E"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145,0</w:t>
            </w:r>
          </w:p>
        </w:tc>
        <w:tc>
          <w:tcPr>
            <w:tcW w:w="0" w:type="auto"/>
            <w:tcBorders>
              <w:top w:val="nil"/>
              <w:left w:val="nil"/>
              <w:bottom w:val="single" w:sz="4" w:space="0" w:color="auto"/>
              <w:right w:val="single" w:sz="4" w:space="0" w:color="auto"/>
            </w:tcBorders>
            <w:shd w:val="clear" w:color="auto" w:fill="auto"/>
            <w:noWrap/>
            <w:vAlign w:val="center"/>
            <w:hideMark/>
          </w:tcPr>
          <w:p w14:paraId="0508590F" w14:textId="77777777" w:rsidR="00C7787C" w:rsidRPr="006A3169" w:rsidRDefault="00C7787C"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57,3</w:t>
            </w:r>
          </w:p>
        </w:tc>
      </w:tr>
      <w:tr w:rsidR="00C7787C" w:rsidRPr="00F506D4" w14:paraId="5CA2F2FE" w14:textId="77777777" w:rsidTr="000B7682">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bottom"/>
          </w:tcPr>
          <w:p w14:paraId="7EDF6E9A" w14:textId="77777777" w:rsidR="00C7787C" w:rsidRPr="006A3169" w:rsidRDefault="00C7787C" w:rsidP="000B7682">
            <w:pPr>
              <w:spacing w:after="0"/>
              <w:ind w:firstLine="0"/>
              <w:jc w:val="left"/>
              <w:rPr>
                <w:rFonts w:eastAsia="Times New Roman" w:cs="Times New Roman"/>
                <w:b/>
                <w:bCs/>
                <w:sz w:val="18"/>
                <w:szCs w:val="18"/>
              </w:rPr>
            </w:pPr>
          </w:p>
        </w:tc>
      </w:tr>
      <w:tr w:rsidR="00F04FA7" w:rsidRPr="00F506D4" w14:paraId="4A54895E" w14:textId="77777777" w:rsidTr="000B7682">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bottom"/>
            <w:hideMark/>
          </w:tcPr>
          <w:p w14:paraId="43630F73" w14:textId="77777777" w:rsidR="00F04FA7" w:rsidRPr="006A3169" w:rsidRDefault="00F04FA7" w:rsidP="000B7682">
            <w:pPr>
              <w:spacing w:after="0"/>
              <w:ind w:firstLine="0"/>
              <w:jc w:val="left"/>
              <w:rPr>
                <w:rFonts w:eastAsia="Times New Roman" w:cs="Times New Roman"/>
                <w:b/>
                <w:bCs/>
                <w:sz w:val="18"/>
                <w:szCs w:val="18"/>
              </w:rPr>
            </w:pPr>
            <w:r w:rsidRPr="006A3169">
              <w:rPr>
                <w:rFonts w:eastAsia="Times New Roman" w:cs="Times New Roman"/>
                <w:b/>
                <w:bCs/>
                <w:sz w:val="18"/>
                <w:szCs w:val="18"/>
              </w:rPr>
              <w:t>Nodokļu politikas pārskatīšana</w:t>
            </w:r>
          </w:p>
        </w:tc>
      </w:tr>
      <w:tr w:rsidR="00A82412" w:rsidRPr="00F506D4" w14:paraId="2BD033C3" w14:textId="77777777" w:rsidTr="00687CD9">
        <w:trPr>
          <w:trHeight w:val="20"/>
        </w:trPr>
        <w:tc>
          <w:tcPr>
            <w:tcW w:w="1195" w:type="dxa"/>
            <w:vMerge w:val="restart"/>
            <w:tcBorders>
              <w:top w:val="nil"/>
              <w:left w:val="single" w:sz="4" w:space="0" w:color="auto"/>
              <w:bottom w:val="single" w:sz="4" w:space="0" w:color="000000"/>
              <w:right w:val="single" w:sz="4" w:space="0" w:color="auto"/>
            </w:tcBorders>
            <w:shd w:val="clear" w:color="auto" w:fill="auto"/>
            <w:vAlign w:val="center"/>
            <w:hideMark/>
          </w:tcPr>
          <w:p w14:paraId="2826A5C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Ar IIN saistītās izmaiņas</w:t>
            </w:r>
          </w:p>
        </w:tc>
        <w:tc>
          <w:tcPr>
            <w:tcW w:w="2628" w:type="dxa"/>
            <w:tcBorders>
              <w:top w:val="nil"/>
              <w:left w:val="nil"/>
              <w:bottom w:val="single" w:sz="4" w:space="0" w:color="auto"/>
              <w:right w:val="single" w:sz="4" w:space="0" w:color="auto"/>
            </w:tcBorders>
            <w:shd w:val="clear" w:color="auto" w:fill="auto"/>
            <w:vAlign w:val="center"/>
            <w:hideMark/>
          </w:tcPr>
          <w:p w14:paraId="6DB299D5"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Neapliekamā minimuma palielināšana</w:t>
            </w:r>
          </w:p>
        </w:tc>
        <w:tc>
          <w:tcPr>
            <w:tcW w:w="1193" w:type="dxa"/>
            <w:tcBorders>
              <w:top w:val="nil"/>
              <w:left w:val="nil"/>
              <w:bottom w:val="single" w:sz="4" w:space="0" w:color="auto"/>
              <w:right w:val="single" w:sz="4" w:space="0" w:color="auto"/>
            </w:tcBorders>
            <w:shd w:val="clear" w:color="auto" w:fill="auto"/>
            <w:vAlign w:val="center"/>
            <w:hideMark/>
          </w:tcPr>
          <w:p w14:paraId="77C478B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4757D388" w14:textId="77777777" w:rsidR="00F04FA7" w:rsidRPr="006A3169" w:rsidRDefault="00F04FA7"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F5AD429"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-449,9</w:t>
            </w:r>
          </w:p>
        </w:tc>
        <w:tc>
          <w:tcPr>
            <w:tcW w:w="0" w:type="auto"/>
            <w:tcBorders>
              <w:top w:val="nil"/>
              <w:left w:val="nil"/>
              <w:bottom w:val="single" w:sz="4" w:space="0" w:color="auto"/>
              <w:right w:val="single" w:sz="4" w:space="0" w:color="auto"/>
            </w:tcBorders>
            <w:shd w:val="clear" w:color="auto" w:fill="auto"/>
            <w:noWrap/>
            <w:vAlign w:val="center"/>
            <w:hideMark/>
          </w:tcPr>
          <w:p w14:paraId="2A89F4E0"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-568,4</w:t>
            </w:r>
          </w:p>
        </w:tc>
        <w:tc>
          <w:tcPr>
            <w:tcW w:w="0" w:type="auto"/>
            <w:tcBorders>
              <w:top w:val="nil"/>
              <w:left w:val="nil"/>
              <w:bottom w:val="single" w:sz="4" w:space="0" w:color="auto"/>
              <w:right w:val="single" w:sz="4" w:space="0" w:color="auto"/>
            </w:tcBorders>
            <w:shd w:val="clear" w:color="auto" w:fill="auto"/>
            <w:noWrap/>
            <w:vAlign w:val="center"/>
            <w:hideMark/>
          </w:tcPr>
          <w:p w14:paraId="0983EFE6"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-616,8</w:t>
            </w:r>
          </w:p>
        </w:tc>
        <w:tc>
          <w:tcPr>
            <w:tcW w:w="0" w:type="auto"/>
            <w:tcBorders>
              <w:top w:val="nil"/>
              <w:left w:val="nil"/>
              <w:bottom w:val="single" w:sz="4" w:space="0" w:color="auto"/>
              <w:right w:val="single" w:sz="4" w:space="0" w:color="auto"/>
            </w:tcBorders>
            <w:shd w:val="clear" w:color="auto" w:fill="auto"/>
            <w:noWrap/>
            <w:vAlign w:val="center"/>
            <w:hideMark/>
          </w:tcPr>
          <w:p w14:paraId="2596F8B6"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-633,4</w:t>
            </w:r>
          </w:p>
        </w:tc>
      </w:tr>
      <w:tr w:rsidR="00A82412" w:rsidRPr="00F506D4" w14:paraId="434A24D6"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6D5E8AEA"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5F04335C"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IIN likmju un ienākumu sliekšņu izmaiņas</w:t>
            </w:r>
          </w:p>
        </w:tc>
        <w:tc>
          <w:tcPr>
            <w:tcW w:w="1193" w:type="dxa"/>
            <w:tcBorders>
              <w:top w:val="nil"/>
              <w:left w:val="nil"/>
              <w:bottom w:val="single" w:sz="4" w:space="0" w:color="auto"/>
              <w:right w:val="single" w:sz="4" w:space="0" w:color="auto"/>
            </w:tcBorders>
            <w:shd w:val="clear" w:color="auto" w:fill="auto"/>
            <w:vAlign w:val="center"/>
            <w:hideMark/>
          </w:tcPr>
          <w:p w14:paraId="3F33301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29C953ED" w14:textId="77777777" w:rsidR="00F04FA7" w:rsidRPr="006A3169" w:rsidRDefault="00F04FA7"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BA575F4"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352,9</w:t>
            </w:r>
          </w:p>
        </w:tc>
        <w:tc>
          <w:tcPr>
            <w:tcW w:w="0" w:type="auto"/>
            <w:tcBorders>
              <w:top w:val="nil"/>
              <w:left w:val="nil"/>
              <w:bottom w:val="single" w:sz="4" w:space="0" w:color="auto"/>
              <w:right w:val="single" w:sz="4" w:space="0" w:color="auto"/>
            </w:tcBorders>
            <w:shd w:val="clear" w:color="auto" w:fill="auto"/>
            <w:noWrap/>
            <w:vAlign w:val="center"/>
            <w:hideMark/>
          </w:tcPr>
          <w:p w14:paraId="05AAD6BA"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409,7</w:t>
            </w:r>
          </w:p>
        </w:tc>
        <w:tc>
          <w:tcPr>
            <w:tcW w:w="0" w:type="auto"/>
            <w:tcBorders>
              <w:top w:val="nil"/>
              <w:left w:val="nil"/>
              <w:bottom w:val="single" w:sz="4" w:space="0" w:color="auto"/>
              <w:right w:val="single" w:sz="4" w:space="0" w:color="auto"/>
            </w:tcBorders>
            <w:shd w:val="clear" w:color="auto" w:fill="auto"/>
            <w:noWrap/>
            <w:vAlign w:val="center"/>
            <w:hideMark/>
          </w:tcPr>
          <w:p w14:paraId="05FC632F"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430,6</w:t>
            </w:r>
          </w:p>
        </w:tc>
        <w:tc>
          <w:tcPr>
            <w:tcW w:w="0" w:type="auto"/>
            <w:tcBorders>
              <w:top w:val="nil"/>
              <w:left w:val="nil"/>
              <w:bottom w:val="single" w:sz="4" w:space="0" w:color="auto"/>
              <w:right w:val="single" w:sz="4" w:space="0" w:color="auto"/>
            </w:tcBorders>
            <w:shd w:val="clear" w:color="auto" w:fill="auto"/>
            <w:noWrap/>
            <w:vAlign w:val="center"/>
            <w:hideMark/>
          </w:tcPr>
          <w:p w14:paraId="3E75ABBC"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451,8</w:t>
            </w:r>
          </w:p>
        </w:tc>
      </w:tr>
      <w:tr w:rsidR="00A82412" w:rsidRPr="00F506D4" w14:paraId="3DB10CDD"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0E7401E8"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1379E4CB"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Pensionāra neapliekamā minimuma palielināšana</w:t>
            </w:r>
          </w:p>
        </w:tc>
        <w:tc>
          <w:tcPr>
            <w:tcW w:w="1193" w:type="dxa"/>
            <w:tcBorders>
              <w:top w:val="nil"/>
              <w:left w:val="nil"/>
              <w:bottom w:val="single" w:sz="4" w:space="0" w:color="auto"/>
              <w:right w:val="single" w:sz="4" w:space="0" w:color="auto"/>
            </w:tcBorders>
            <w:shd w:val="clear" w:color="auto" w:fill="auto"/>
            <w:vAlign w:val="center"/>
            <w:hideMark/>
          </w:tcPr>
          <w:p w14:paraId="464B0C7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482A57CC" w14:textId="77777777" w:rsidR="00F04FA7" w:rsidRPr="006A3169" w:rsidRDefault="00F04FA7"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B76FEC9"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-119,3</w:t>
            </w:r>
          </w:p>
        </w:tc>
        <w:tc>
          <w:tcPr>
            <w:tcW w:w="0" w:type="auto"/>
            <w:tcBorders>
              <w:top w:val="nil"/>
              <w:left w:val="nil"/>
              <w:bottom w:val="single" w:sz="4" w:space="0" w:color="auto"/>
              <w:right w:val="single" w:sz="4" w:space="0" w:color="auto"/>
            </w:tcBorders>
            <w:shd w:val="clear" w:color="auto" w:fill="auto"/>
            <w:noWrap/>
            <w:vAlign w:val="center"/>
            <w:hideMark/>
          </w:tcPr>
          <w:p w14:paraId="3F19180C"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-128,9</w:t>
            </w:r>
          </w:p>
        </w:tc>
        <w:tc>
          <w:tcPr>
            <w:tcW w:w="0" w:type="auto"/>
            <w:tcBorders>
              <w:top w:val="nil"/>
              <w:left w:val="nil"/>
              <w:bottom w:val="single" w:sz="4" w:space="0" w:color="auto"/>
              <w:right w:val="single" w:sz="4" w:space="0" w:color="auto"/>
            </w:tcBorders>
            <w:shd w:val="clear" w:color="auto" w:fill="auto"/>
            <w:noWrap/>
            <w:vAlign w:val="center"/>
            <w:hideMark/>
          </w:tcPr>
          <w:p w14:paraId="40BC5296"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-139,2</w:t>
            </w:r>
          </w:p>
        </w:tc>
        <w:tc>
          <w:tcPr>
            <w:tcW w:w="0" w:type="auto"/>
            <w:tcBorders>
              <w:top w:val="nil"/>
              <w:left w:val="nil"/>
              <w:bottom w:val="single" w:sz="4" w:space="0" w:color="auto"/>
              <w:right w:val="single" w:sz="4" w:space="0" w:color="auto"/>
            </w:tcBorders>
            <w:shd w:val="clear" w:color="auto" w:fill="auto"/>
            <w:noWrap/>
            <w:vAlign w:val="center"/>
            <w:hideMark/>
          </w:tcPr>
          <w:p w14:paraId="13B9103F"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-150,3</w:t>
            </w:r>
          </w:p>
        </w:tc>
      </w:tr>
      <w:tr w:rsidR="00A82412" w:rsidRPr="00F506D4" w14:paraId="271E0DB2"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4C475B2B"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68815523"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 xml:space="preserve">Papildus IIN likme 3% apmērā ienākumiem (dividendes, kapitāls) virs 200 000 </w:t>
            </w:r>
            <w:proofErr w:type="spellStart"/>
            <w:r w:rsidRPr="006A3169">
              <w:rPr>
                <w:rFonts w:eastAsia="Times New Roman" w:cs="Times New Roman"/>
                <w:i/>
                <w:iCs/>
                <w:sz w:val="18"/>
                <w:szCs w:val="18"/>
              </w:rPr>
              <w:t>euro</w:t>
            </w:r>
            <w:proofErr w:type="spellEnd"/>
            <w:r w:rsidRPr="006A3169">
              <w:rPr>
                <w:rFonts w:eastAsia="Times New Roman" w:cs="Times New Roman"/>
                <w:sz w:val="18"/>
                <w:szCs w:val="18"/>
              </w:rPr>
              <w:t xml:space="preserve"> gadā, deklarējot gada ienākumus </w:t>
            </w:r>
          </w:p>
        </w:tc>
        <w:tc>
          <w:tcPr>
            <w:tcW w:w="1193" w:type="dxa"/>
            <w:tcBorders>
              <w:top w:val="nil"/>
              <w:left w:val="nil"/>
              <w:bottom w:val="single" w:sz="4" w:space="0" w:color="auto"/>
              <w:right w:val="single" w:sz="4" w:space="0" w:color="auto"/>
            </w:tcBorders>
            <w:shd w:val="clear" w:color="auto" w:fill="auto"/>
            <w:vAlign w:val="center"/>
            <w:hideMark/>
          </w:tcPr>
          <w:p w14:paraId="44AC1BB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19B0534A" w14:textId="77777777" w:rsidR="00F04FA7" w:rsidRPr="006A3169" w:rsidRDefault="00F04FA7"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C77F183"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4078E7D6"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13,0</w:t>
            </w:r>
          </w:p>
        </w:tc>
        <w:tc>
          <w:tcPr>
            <w:tcW w:w="0" w:type="auto"/>
            <w:tcBorders>
              <w:top w:val="nil"/>
              <w:left w:val="nil"/>
              <w:bottom w:val="single" w:sz="4" w:space="0" w:color="auto"/>
              <w:right w:val="single" w:sz="4" w:space="0" w:color="auto"/>
            </w:tcBorders>
            <w:shd w:val="clear" w:color="auto" w:fill="auto"/>
            <w:noWrap/>
            <w:vAlign w:val="center"/>
            <w:hideMark/>
          </w:tcPr>
          <w:p w14:paraId="7962CDE3"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13,0</w:t>
            </w:r>
          </w:p>
        </w:tc>
        <w:tc>
          <w:tcPr>
            <w:tcW w:w="0" w:type="auto"/>
            <w:tcBorders>
              <w:top w:val="nil"/>
              <w:left w:val="nil"/>
              <w:bottom w:val="single" w:sz="4" w:space="0" w:color="auto"/>
              <w:right w:val="single" w:sz="4" w:space="0" w:color="auto"/>
            </w:tcBorders>
            <w:shd w:val="clear" w:color="auto" w:fill="auto"/>
            <w:noWrap/>
            <w:vAlign w:val="center"/>
            <w:hideMark/>
          </w:tcPr>
          <w:p w14:paraId="5E8172CD"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13,0</w:t>
            </w:r>
          </w:p>
        </w:tc>
      </w:tr>
      <w:tr w:rsidR="00A82412" w:rsidRPr="00F506D4" w14:paraId="78335608"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47003CBB"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6F26AE51"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Lauksaimnieku saņemtās atbalsta summas arī turpmāka neaplikšana ar IIN (šobrīd terminēts līdz 31.12.2024.)</w:t>
            </w:r>
          </w:p>
        </w:tc>
        <w:tc>
          <w:tcPr>
            <w:tcW w:w="1193" w:type="dxa"/>
            <w:tcBorders>
              <w:top w:val="nil"/>
              <w:left w:val="nil"/>
              <w:bottom w:val="single" w:sz="4" w:space="0" w:color="auto"/>
              <w:right w:val="single" w:sz="4" w:space="0" w:color="auto"/>
            </w:tcBorders>
            <w:shd w:val="clear" w:color="auto" w:fill="auto"/>
            <w:vAlign w:val="center"/>
            <w:hideMark/>
          </w:tcPr>
          <w:p w14:paraId="39FA583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5416A99E" w14:textId="77777777" w:rsidR="00F04FA7" w:rsidRPr="006A3169" w:rsidRDefault="00F04FA7"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475ED5E"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3B1FCFE5"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-23,1</w:t>
            </w:r>
          </w:p>
        </w:tc>
        <w:tc>
          <w:tcPr>
            <w:tcW w:w="0" w:type="auto"/>
            <w:tcBorders>
              <w:top w:val="nil"/>
              <w:left w:val="nil"/>
              <w:bottom w:val="single" w:sz="4" w:space="0" w:color="auto"/>
              <w:right w:val="single" w:sz="4" w:space="0" w:color="auto"/>
            </w:tcBorders>
            <w:shd w:val="clear" w:color="auto" w:fill="auto"/>
            <w:noWrap/>
            <w:vAlign w:val="center"/>
            <w:hideMark/>
          </w:tcPr>
          <w:p w14:paraId="4E774621"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-23,1</w:t>
            </w:r>
          </w:p>
        </w:tc>
        <w:tc>
          <w:tcPr>
            <w:tcW w:w="0" w:type="auto"/>
            <w:tcBorders>
              <w:top w:val="nil"/>
              <w:left w:val="nil"/>
              <w:bottom w:val="single" w:sz="4" w:space="0" w:color="auto"/>
              <w:right w:val="single" w:sz="4" w:space="0" w:color="auto"/>
            </w:tcBorders>
            <w:shd w:val="clear" w:color="auto" w:fill="auto"/>
            <w:noWrap/>
            <w:vAlign w:val="center"/>
            <w:hideMark/>
          </w:tcPr>
          <w:p w14:paraId="50CA33D5"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-23,1</w:t>
            </w:r>
          </w:p>
        </w:tc>
      </w:tr>
      <w:tr w:rsidR="00A82412" w:rsidRPr="00F506D4" w14:paraId="615D1B38"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64786112"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center"/>
            <w:hideMark/>
          </w:tcPr>
          <w:p w14:paraId="7930EC97"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IIN atvieglojuma koplīgumiem paplašināšana</w:t>
            </w:r>
          </w:p>
        </w:tc>
        <w:tc>
          <w:tcPr>
            <w:tcW w:w="1193" w:type="dxa"/>
            <w:tcBorders>
              <w:top w:val="nil"/>
              <w:left w:val="nil"/>
              <w:bottom w:val="single" w:sz="4" w:space="0" w:color="auto"/>
              <w:right w:val="single" w:sz="4" w:space="0" w:color="auto"/>
            </w:tcBorders>
            <w:shd w:val="clear" w:color="auto" w:fill="auto"/>
            <w:vAlign w:val="center"/>
            <w:hideMark/>
          </w:tcPr>
          <w:p w14:paraId="64F1632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1B74AFA6" w14:textId="77777777" w:rsidR="00F04FA7" w:rsidRPr="006A3169" w:rsidRDefault="00F04FA7"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68331CB"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-5,4</w:t>
            </w:r>
          </w:p>
        </w:tc>
        <w:tc>
          <w:tcPr>
            <w:tcW w:w="0" w:type="auto"/>
            <w:tcBorders>
              <w:top w:val="nil"/>
              <w:left w:val="nil"/>
              <w:bottom w:val="single" w:sz="4" w:space="0" w:color="auto"/>
              <w:right w:val="single" w:sz="4" w:space="0" w:color="auto"/>
            </w:tcBorders>
            <w:shd w:val="clear" w:color="auto" w:fill="auto"/>
            <w:noWrap/>
            <w:vAlign w:val="center"/>
            <w:hideMark/>
          </w:tcPr>
          <w:p w14:paraId="521A2551"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-5,4</w:t>
            </w:r>
          </w:p>
        </w:tc>
        <w:tc>
          <w:tcPr>
            <w:tcW w:w="0" w:type="auto"/>
            <w:tcBorders>
              <w:top w:val="nil"/>
              <w:left w:val="nil"/>
              <w:bottom w:val="single" w:sz="4" w:space="0" w:color="auto"/>
              <w:right w:val="single" w:sz="4" w:space="0" w:color="auto"/>
            </w:tcBorders>
            <w:shd w:val="clear" w:color="auto" w:fill="auto"/>
            <w:noWrap/>
            <w:vAlign w:val="center"/>
            <w:hideMark/>
          </w:tcPr>
          <w:p w14:paraId="501675D5"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-5,4</w:t>
            </w:r>
          </w:p>
        </w:tc>
        <w:tc>
          <w:tcPr>
            <w:tcW w:w="0" w:type="auto"/>
            <w:tcBorders>
              <w:top w:val="nil"/>
              <w:left w:val="nil"/>
              <w:bottom w:val="single" w:sz="4" w:space="0" w:color="auto"/>
              <w:right w:val="single" w:sz="4" w:space="0" w:color="auto"/>
            </w:tcBorders>
            <w:shd w:val="clear" w:color="auto" w:fill="auto"/>
            <w:noWrap/>
            <w:vAlign w:val="center"/>
            <w:hideMark/>
          </w:tcPr>
          <w:p w14:paraId="08B34B51"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-5,4</w:t>
            </w:r>
          </w:p>
        </w:tc>
      </w:tr>
      <w:tr w:rsidR="00A82412" w:rsidRPr="00F506D4" w14:paraId="73629104"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4BEA2768"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70F6A87B"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No IIN atbrīvojamās summas paaugstināšana darba devēja izmaksātajam bēru pabalstam un bērna piedzimšanas pabalstam</w:t>
            </w:r>
          </w:p>
        </w:tc>
        <w:tc>
          <w:tcPr>
            <w:tcW w:w="1193" w:type="dxa"/>
            <w:tcBorders>
              <w:top w:val="nil"/>
              <w:left w:val="nil"/>
              <w:bottom w:val="single" w:sz="4" w:space="0" w:color="auto"/>
              <w:right w:val="single" w:sz="4" w:space="0" w:color="auto"/>
            </w:tcBorders>
            <w:shd w:val="clear" w:color="auto" w:fill="auto"/>
            <w:vAlign w:val="center"/>
            <w:hideMark/>
          </w:tcPr>
          <w:p w14:paraId="41AA5F8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401EDC90" w14:textId="77777777" w:rsidR="00F04FA7" w:rsidRPr="006A3169" w:rsidRDefault="00F04FA7"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B004E16"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-0,8</w:t>
            </w:r>
          </w:p>
        </w:tc>
        <w:tc>
          <w:tcPr>
            <w:tcW w:w="0" w:type="auto"/>
            <w:tcBorders>
              <w:top w:val="nil"/>
              <w:left w:val="nil"/>
              <w:bottom w:val="single" w:sz="4" w:space="0" w:color="auto"/>
              <w:right w:val="single" w:sz="4" w:space="0" w:color="auto"/>
            </w:tcBorders>
            <w:shd w:val="clear" w:color="auto" w:fill="auto"/>
            <w:noWrap/>
            <w:vAlign w:val="center"/>
            <w:hideMark/>
          </w:tcPr>
          <w:p w14:paraId="55C090A9"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-0,8</w:t>
            </w:r>
          </w:p>
        </w:tc>
        <w:tc>
          <w:tcPr>
            <w:tcW w:w="0" w:type="auto"/>
            <w:tcBorders>
              <w:top w:val="nil"/>
              <w:left w:val="nil"/>
              <w:bottom w:val="single" w:sz="4" w:space="0" w:color="auto"/>
              <w:right w:val="single" w:sz="4" w:space="0" w:color="auto"/>
            </w:tcBorders>
            <w:shd w:val="clear" w:color="auto" w:fill="auto"/>
            <w:noWrap/>
            <w:vAlign w:val="center"/>
            <w:hideMark/>
          </w:tcPr>
          <w:p w14:paraId="577A882C"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-0,8</w:t>
            </w:r>
          </w:p>
        </w:tc>
        <w:tc>
          <w:tcPr>
            <w:tcW w:w="0" w:type="auto"/>
            <w:tcBorders>
              <w:top w:val="nil"/>
              <w:left w:val="nil"/>
              <w:bottom w:val="single" w:sz="4" w:space="0" w:color="auto"/>
              <w:right w:val="single" w:sz="4" w:space="0" w:color="auto"/>
            </w:tcBorders>
            <w:shd w:val="clear" w:color="auto" w:fill="auto"/>
            <w:noWrap/>
            <w:vAlign w:val="center"/>
            <w:hideMark/>
          </w:tcPr>
          <w:p w14:paraId="12C6E597"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-0,8</w:t>
            </w:r>
          </w:p>
        </w:tc>
      </w:tr>
      <w:tr w:rsidR="00A82412" w:rsidRPr="00F506D4" w14:paraId="1F3D4163"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27624B61"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00F284B6"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IIN attaisnoto izdevumu pieaugums par izglītības un  ārstniecības izdevumiem, kā arī ziedojumiem dēļ IIN likmes pieauguma</w:t>
            </w:r>
          </w:p>
        </w:tc>
        <w:tc>
          <w:tcPr>
            <w:tcW w:w="1193" w:type="dxa"/>
            <w:tcBorders>
              <w:top w:val="nil"/>
              <w:left w:val="nil"/>
              <w:bottom w:val="single" w:sz="4" w:space="0" w:color="auto"/>
              <w:right w:val="single" w:sz="4" w:space="0" w:color="auto"/>
            </w:tcBorders>
            <w:shd w:val="clear" w:color="auto" w:fill="auto"/>
            <w:vAlign w:val="center"/>
            <w:hideMark/>
          </w:tcPr>
          <w:p w14:paraId="72D9DDA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2B186D71" w14:textId="77777777" w:rsidR="00F04FA7" w:rsidRPr="006A3169" w:rsidRDefault="00F04FA7"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32B421E"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0D947056"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-8,3</w:t>
            </w:r>
          </w:p>
        </w:tc>
        <w:tc>
          <w:tcPr>
            <w:tcW w:w="0" w:type="auto"/>
            <w:tcBorders>
              <w:top w:val="nil"/>
              <w:left w:val="nil"/>
              <w:bottom w:val="single" w:sz="4" w:space="0" w:color="auto"/>
              <w:right w:val="single" w:sz="4" w:space="0" w:color="auto"/>
            </w:tcBorders>
            <w:shd w:val="clear" w:color="auto" w:fill="auto"/>
            <w:noWrap/>
            <w:vAlign w:val="center"/>
            <w:hideMark/>
          </w:tcPr>
          <w:p w14:paraId="12A65B40"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-8,4</w:t>
            </w:r>
          </w:p>
        </w:tc>
        <w:tc>
          <w:tcPr>
            <w:tcW w:w="0" w:type="auto"/>
            <w:tcBorders>
              <w:top w:val="nil"/>
              <w:left w:val="nil"/>
              <w:bottom w:val="single" w:sz="4" w:space="0" w:color="auto"/>
              <w:right w:val="single" w:sz="4" w:space="0" w:color="auto"/>
            </w:tcBorders>
            <w:shd w:val="clear" w:color="auto" w:fill="auto"/>
            <w:noWrap/>
            <w:vAlign w:val="center"/>
            <w:hideMark/>
          </w:tcPr>
          <w:p w14:paraId="13076F15"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-8,5</w:t>
            </w:r>
          </w:p>
        </w:tc>
      </w:tr>
      <w:tr w:rsidR="00A82412" w:rsidRPr="00F506D4" w14:paraId="056CBCF4"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0C0234C1"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center"/>
            <w:hideMark/>
          </w:tcPr>
          <w:p w14:paraId="4BAE9605"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Pārejot uz 25,5% pamatlikmi, tiek izlīdzināta IIN likmes pārējiem ienākumiem, kuriem šobrīd ir 20%</w:t>
            </w:r>
          </w:p>
        </w:tc>
        <w:tc>
          <w:tcPr>
            <w:tcW w:w="1193" w:type="dxa"/>
            <w:tcBorders>
              <w:top w:val="nil"/>
              <w:left w:val="nil"/>
              <w:bottom w:val="single" w:sz="4" w:space="0" w:color="auto"/>
              <w:right w:val="single" w:sz="4" w:space="0" w:color="auto"/>
            </w:tcBorders>
            <w:shd w:val="clear" w:color="auto" w:fill="auto"/>
            <w:vAlign w:val="center"/>
            <w:hideMark/>
          </w:tcPr>
          <w:p w14:paraId="03BE29B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31531A89" w14:textId="77777777" w:rsidR="00F04FA7" w:rsidRPr="006A3169" w:rsidRDefault="00F04FA7" w:rsidP="00687CD9">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C2DD76E"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17,0</w:t>
            </w:r>
          </w:p>
        </w:tc>
        <w:tc>
          <w:tcPr>
            <w:tcW w:w="0" w:type="auto"/>
            <w:tcBorders>
              <w:top w:val="nil"/>
              <w:left w:val="nil"/>
              <w:bottom w:val="single" w:sz="4" w:space="0" w:color="auto"/>
              <w:right w:val="single" w:sz="4" w:space="0" w:color="auto"/>
            </w:tcBorders>
            <w:shd w:val="clear" w:color="auto" w:fill="auto"/>
            <w:noWrap/>
            <w:vAlign w:val="center"/>
            <w:hideMark/>
          </w:tcPr>
          <w:p w14:paraId="65AE72BF"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21,8</w:t>
            </w:r>
          </w:p>
        </w:tc>
        <w:tc>
          <w:tcPr>
            <w:tcW w:w="0" w:type="auto"/>
            <w:tcBorders>
              <w:top w:val="nil"/>
              <w:left w:val="nil"/>
              <w:bottom w:val="single" w:sz="4" w:space="0" w:color="auto"/>
              <w:right w:val="single" w:sz="4" w:space="0" w:color="auto"/>
            </w:tcBorders>
            <w:shd w:val="clear" w:color="auto" w:fill="auto"/>
            <w:noWrap/>
            <w:vAlign w:val="center"/>
            <w:hideMark/>
          </w:tcPr>
          <w:p w14:paraId="7074F6C8"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22,8</w:t>
            </w:r>
          </w:p>
        </w:tc>
        <w:tc>
          <w:tcPr>
            <w:tcW w:w="0" w:type="auto"/>
            <w:tcBorders>
              <w:top w:val="nil"/>
              <w:left w:val="nil"/>
              <w:bottom w:val="single" w:sz="4" w:space="0" w:color="auto"/>
              <w:right w:val="single" w:sz="4" w:space="0" w:color="auto"/>
            </w:tcBorders>
            <w:shd w:val="clear" w:color="auto" w:fill="auto"/>
            <w:noWrap/>
            <w:vAlign w:val="center"/>
            <w:hideMark/>
          </w:tcPr>
          <w:p w14:paraId="522C37FD"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24,0</w:t>
            </w:r>
          </w:p>
        </w:tc>
      </w:tr>
      <w:tr w:rsidR="00A82412" w:rsidRPr="00F506D4" w14:paraId="0B1E4D18"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3799A087"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nil"/>
            </w:tcBorders>
            <w:shd w:val="clear" w:color="auto" w:fill="auto"/>
            <w:noWrap/>
            <w:vAlign w:val="center"/>
            <w:hideMark/>
          </w:tcPr>
          <w:p w14:paraId="1BB02440"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Minimālās algas palielināšana</w:t>
            </w:r>
          </w:p>
        </w:tc>
        <w:tc>
          <w:tcPr>
            <w:tcW w:w="1193" w:type="dxa"/>
            <w:tcBorders>
              <w:top w:val="nil"/>
              <w:left w:val="single" w:sz="4" w:space="0" w:color="auto"/>
              <w:bottom w:val="single" w:sz="4" w:space="0" w:color="auto"/>
              <w:right w:val="single" w:sz="4" w:space="0" w:color="auto"/>
            </w:tcBorders>
            <w:shd w:val="clear" w:color="auto" w:fill="auto"/>
            <w:vAlign w:val="center"/>
            <w:hideMark/>
          </w:tcPr>
          <w:p w14:paraId="4F6B707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nil"/>
              <w:bottom w:val="single" w:sz="4" w:space="0" w:color="auto"/>
              <w:right w:val="single" w:sz="4" w:space="0" w:color="auto"/>
            </w:tcBorders>
            <w:shd w:val="clear" w:color="auto" w:fill="auto"/>
            <w:vAlign w:val="center"/>
            <w:hideMark/>
          </w:tcPr>
          <w:p w14:paraId="67C71897" w14:textId="77777777" w:rsidR="00F04FA7" w:rsidRPr="00E20858" w:rsidRDefault="00F04FA7" w:rsidP="00687CD9">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C074700"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6,0</w:t>
            </w:r>
          </w:p>
        </w:tc>
        <w:tc>
          <w:tcPr>
            <w:tcW w:w="0" w:type="auto"/>
            <w:tcBorders>
              <w:top w:val="nil"/>
              <w:left w:val="nil"/>
              <w:bottom w:val="single" w:sz="4" w:space="0" w:color="auto"/>
              <w:right w:val="single" w:sz="4" w:space="0" w:color="auto"/>
            </w:tcBorders>
            <w:shd w:val="clear" w:color="auto" w:fill="auto"/>
            <w:noWrap/>
            <w:vAlign w:val="center"/>
            <w:hideMark/>
          </w:tcPr>
          <w:p w14:paraId="1E3BA54A"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9,2</w:t>
            </w:r>
          </w:p>
        </w:tc>
        <w:tc>
          <w:tcPr>
            <w:tcW w:w="0" w:type="auto"/>
            <w:tcBorders>
              <w:top w:val="nil"/>
              <w:left w:val="nil"/>
              <w:bottom w:val="single" w:sz="4" w:space="0" w:color="auto"/>
              <w:right w:val="single" w:sz="4" w:space="0" w:color="auto"/>
            </w:tcBorders>
            <w:shd w:val="clear" w:color="auto" w:fill="auto"/>
            <w:noWrap/>
            <w:vAlign w:val="center"/>
            <w:hideMark/>
          </w:tcPr>
          <w:p w14:paraId="7140DD00"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11,9</w:t>
            </w:r>
          </w:p>
        </w:tc>
        <w:tc>
          <w:tcPr>
            <w:tcW w:w="0" w:type="auto"/>
            <w:tcBorders>
              <w:top w:val="nil"/>
              <w:left w:val="nil"/>
              <w:bottom w:val="single" w:sz="4" w:space="0" w:color="auto"/>
              <w:right w:val="single" w:sz="4" w:space="0" w:color="auto"/>
            </w:tcBorders>
            <w:shd w:val="clear" w:color="auto" w:fill="auto"/>
            <w:noWrap/>
            <w:vAlign w:val="center"/>
            <w:hideMark/>
          </w:tcPr>
          <w:p w14:paraId="606B3006"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14,2</w:t>
            </w:r>
          </w:p>
        </w:tc>
      </w:tr>
      <w:tr w:rsidR="00A82412" w:rsidRPr="00F506D4" w14:paraId="75A552B9"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24804F50"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center"/>
            <w:hideMark/>
          </w:tcPr>
          <w:p w14:paraId="696F6F60"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IIN EKS korekcija</w:t>
            </w:r>
          </w:p>
        </w:tc>
        <w:tc>
          <w:tcPr>
            <w:tcW w:w="1193" w:type="dxa"/>
            <w:tcBorders>
              <w:top w:val="nil"/>
              <w:left w:val="nil"/>
              <w:bottom w:val="single" w:sz="4" w:space="0" w:color="auto"/>
              <w:right w:val="nil"/>
            </w:tcBorders>
            <w:shd w:val="clear" w:color="auto" w:fill="auto"/>
            <w:vAlign w:val="center"/>
            <w:hideMark/>
          </w:tcPr>
          <w:p w14:paraId="7310A25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nil"/>
              <w:left w:val="single" w:sz="4" w:space="0" w:color="auto"/>
              <w:bottom w:val="single" w:sz="4" w:space="0" w:color="auto"/>
              <w:right w:val="single" w:sz="4" w:space="0" w:color="auto"/>
            </w:tcBorders>
            <w:shd w:val="clear" w:color="auto" w:fill="auto"/>
            <w:vAlign w:val="center"/>
            <w:hideMark/>
          </w:tcPr>
          <w:p w14:paraId="6031F0F3" w14:textId="77777777" w:rsidR="00F04FA7" w:rsidRPr="00E20858" w:rsidRDefault="00F04FA7" w:rsidP="00687CD9">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6F57D68"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-25,7</w:t>
            </w:r>
          </w:p>
        </w:tc>
        <w:tc>
          <w:tcPr>
            <w:tcW w:w="0" w:type="auto"/>
            <w:tcBorders>
              <w:top w:val="nil"/>
              <w:left w:val="nil"/>
              <w:bottom w:val="single" w:sz="4" w:space="0" w:color="auto"/>
              <w:right w:val="single" w:sz="4" w:space="0" w:color="auto"/>
            </w:tcBorders>
            <w:shd w:val="clear" w:color="auto" w:fill="auto"/>
            <w:noWrap/>
            <w:vAlign w:val="center"/>
            <w:hideMark/>
          </w:tcPr>
          <w:p w14:paraId="42D8E489"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-3,5</w:t>
            </w:r>
          </w:p>
        </w:tc>
        <w:tc>
          <w:tcPr>
            <w:tcW w:w="0" w:type="auto"/>
            <w:tcBorders>
              <w:top w:val="nil"/>
              <w:left w:val="nil"/>
              <w:bottom w:val="single" w:sz="4" w:space="0" w:color="auto"/>
              <w:right w:val="single" w:sz="4" w:space="0" w:color="auto"/>
            </w:tcBorders>
            <w:shd w:val="clear" w:color="auto" w:fill="auto"/>
            <w:noWrap/>
            <w:vAlign w:val="center"/>
            <w:hideMark/>
          </w:tcPr>
          <w:p w14:paraId="15C42906"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-0,5</w:t>
            </w:r>
          </w:p>
        </w:tc>
        <w:tc>
          <w:tcPr>
            <w:tcW w:w="0" w:type="auto"/>
            <w:tcBorders>
              <w:top w:val="nil"/>
              <w:left w:val="nil"/>
              <w:bottom w:val="single" w:sz="4" w:space="0" w:color="auto"/>
              <w:right w:val="single" w:sz="4" w:space="0" w:color="auto"/>
            </w:tcBorders>
            <w:shd w:val="clear" w:color="auto" w:fill="auto"/>
            <w:noWrap/>
            <w:vAlign w:val="center"/>
            <w:hideMark/>
          </w:tcPr>
          <w:p w14:paraId="21668913" w14:textId="77777777" w:rsidR="00F04FA7" w:rsidRPr="006A3169" w:rsidRDefault="00F04FA7" w:rsidP="00687CD9">
            <w:pPr>
              <w:spacing w:after="0"/>
              <w:ind w:firstLine="0"/>
              <w:jc w:val="center"/>
              <w:rPr>
                <w:rFonts w:eastAsia="Times New Roman" w:cs="Times New Roman"/>
                <w:sz w:val="18"/>
                <w:szCs w:val="18"/>
              </w:rPr>
            </w:pPr>
            <w:r w:rsidRPr="006A3169">
              <w:rPr>
                <w:rFonts w:eastAsia="Times New Roman" w:cs="Times New Roman"/>
                <w:sz w:val="18"/>
                <w:szCs w:val="18"/>
              </w:rPr>
              <w:t>-0,3</w:t>
            </w:r>
          </w:p>
        </w:tc>
      </w:tr>
      <w:tr w:rsidR="00F04FA7" w:rsidRPr="00F506D4" w14:paraId="0536F1FC"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62638595" w14:textId="77777777" w:rsidR="00F04FA7" w:rsidRPr="006A3169" w:rsidRDefault="00F04FA7" w:rsidP="000B7682">
            <w:pPr>
              <w:spacing w:after="0"/>
              <w:ind w:firstLine="0"/>
              <w:jc w:val="left"/>
              <w:rPr>
                <w:rFonts w:eastAsia="Times New Roman" w:cs="Times New Roman"/>
                <w:sz w:val="18"/>
                <w:szCs w:val="18"/>
              </w:rPr>
            </w:pPr>
          </w:p>
        </w:tc>
        <w:tc>
          <w:tcPr>
            <w:tcW w:w="5178" w:type="dxa"/>
            <w:gridSpan w:val="3"/>
            <w:tcBorders>
              <w:top w:val="single" w:sz="4" w:space="0" w:color="auto"/>
              <w:left w:val="nil"/>
              <w:bottom w:val="single" w:sz="4" w:space="0" w:color="auto"/>
              <w:right w:val="single" w:sz="4" w:space="0" w:color="000000"/>
            </w:tcBorders>
            <w:shd w:val="clear" w:color="auto" w:fill="BDD6EE" w:themeFill="accent1" w:themeFillTint="66"/>
            <w:noWrap/>
            <w:vAlign w:val="center"/>
            <w:hideMark/>
          </w:tcPr>
          <w:p w14:paraId="1F088111"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Kopā IIN</w:t>
            </w:r>
          </w:p>
        </w:tc>
        <w:tc>
          <w:tcPr>
            <w:tcW w:w="0" w:type="auto"/>
            <w:tcBorders>
              <w:top w:val="nil"/>
              <w:left w:val="nil"/>
              <w:bottom w:val="single" w:sz="4" w:space="0" w:color="auto"/>
              <w:right w:val="single" w:sz="4" w:space="0" w:color="auto"/>
            </w:tcBorders>
            <w:shd w:val="clear" w:color="auto" w:fill="auto"/>
            <w:noWrap/>
            <w:vAlign w:val="center"/>
            <w:hideMark/>
          </w:tcPr>
          <w:p w14:paraId="244C3E25"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-225,2</w:t>
            </w:r>
          </w:p>
        </w:tc>
        <w:tc>
          <w:tcPr>
            <w:tcW w:w="0" w:type="auto"/>
            <w:tcBorders>
              <w:top w:val="nil"/>
              <w:left w:val="nil"/>
              <w:bottom w:val="single" w:sz="4" w:space="0" w:color="auto"/>
              <w:right w:val="single" w:sz="4" w:space="0" w:color="auto"/>
            </w:tcBorders>
            <w:shd w:val="clear" w:color="auto" w:fill="auto"/>
            <w:noWrap/>
            <w:vAlign w:val="center"/>
            <w:hideMark/>
          </w:tcPr>
          <w:p w14:paraId="1BF8EA89"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-284,6</w:t>
            </w:r>
          </w:p>
        </w:tc>
        <w:tc>
          <w:tcPr>
            <w:tcW w:w="0" w:type="auto"/>
            <w:tcBorders>
              <w:top w:val="nil"/>
              <w:left w:val="nil"/>
              <w:bottom w:val="single" w:sz="4" w:space="0" w:color="auto"/>
              <w:right w:val="single" w:sz="4" w:space="0" w:color="auto"/>
            </w:tcBorders>
            <w:shd w:val="clear" w:color="auto" w:fill="auto"/>
            <w:noWrap/>
            <w:vAlign w:val="center"/>
            <w:hideMark/>
          </w:tcPr>
          <w:p w14:paraId="374A3C1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-315,8</w:t>
            </w:r>
          </w:p>
        </w:tc>
        <w:tc>
          <w:tcPr>
            <w:tcW w:w="0" w:type="auto"/>
            <w:tcBorders>
              <w:top w:val="nil"/>
              <w:left w:val="nil"/>
              <w:bottom w:val="single" w:sz="4" w:space="0" w:color="auto"/>
              <w:right w:val="single" w:sz="4" w:space="0" w:color="auto"/>
            </w:tcBorders>
            <w:shd w:val="clear" w:color="auto" w:fill="auto"/>
            <w:noWrap/>
            <w:vAlign w:val="center"/>
            <w:hideMark/>
          </w:tcPr>
          <w:p w14:paraId="35F14D80"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-318,6</w:t>
            </w:r>
          </w:p>
        </w:tc>
      </w:tr>
      <w:tr w:rsidR="00A82412" w:rsidRPr="00F506D4" w14:paraId="69C700F8" w14:textId="77777777" w:rsidTr="00687CD9">
        <w:trPr>
          <w:trHeight w:val="20"/>
        </w:trPr>
        <w:tc>
          <w:tcPr>
            <w:tcW w:w="1195" w:type="dxa"/>
            <w:vMerge w:val="restart"/>
            <w:tcBorders>
              <w:top w:val="nil"/>
              <w:left w:val="single" w:sz="4" w:space="0" w:color="auto"/>
              <w:bottom w:val="single" w:sz="4" w:space="0" w:color="000000"/>
              <w:right w:val="single" w:sz="4" w:space="0" w:color="auto"/>
            </w:tcBorders>
            <w:shd w:val="clear" w:color="auto" w:fill="auto"/>
            <w:vAlign w:val="center"/>
            <w:hideMark/>
          </w:tcPr>
          <w:p w14:paraId="27EDF2C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Izmaiņas VSAOI</w:t>
            </w:r>
          </w:p>
        </w:tc>
        <w:tc>
          <w:tcPr>
            <w:tcW w:w="2628" w:type="dxa"/>
            <w:tcBorders>
              <w:top w:val="nil"/>
              <w:left w:val="nil"/>
              <w:bottom w:val="single" w:sz="4" w:space="0" w:color="auto"/>
              <w:right w:val="single" w:sz="4" w:space="0" w:color="auto"/>
            </w:tcBorders>
            <w:shd w:val="clear" w:color="auto" w:fill="auto"/>
            <w:noWrap/>
            <w:vAlign w:val="center"/>
            <w:hideMark/>
          </w:tcPr>
          <w:p w14:paraId="6E880998"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IIN atvieglojuma koplīgumiem paplašināšana</w:t>
            </w:r>
          </w:p>
        </w:tc>
        <w:tc>
          <w:tcPr>
            <w:tcW w:w="1193" w:type="dxa"/>
            <w:tcBorders>
              <w:top w:val="nil"/>
              <w:left w:val="nil"/>
              <w:bottom w:val="single" w:sz="4" w:space="0" w:color="auto"/>
              <w:right w:val="single" w:sz="4" w:space="0" w:color="auto"/>
            </w:tcBorders>
            <w:shd w:val="clear" w:color="auto" w:fill="auto"/>
            <w:noWrap/>
            <w:vAlign w:val="center"/>
            <w:hideMark/>
          </w:tcPr>
          <w:p w14:paraId="73E500B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VSAOI</w:t>
            </w:r>
          </w:p>
        </w:tc>
        <w:tc>
          <w:tcPr>
            <w:tcW w:w="1357" w:type="dxa"/>
            <w:tcBorders>
              <w:top w:val="nil"/>
              <w:left w:val="nil"/>
              <w:bottom w:val="single" w:sz="4" w:space="0" w:color="auto"/>
              <w:right w:val="single" w:sz="4" w:space="0" w:color="auto"/>
            </w:tcBorders>
            <w:shd w:val="clear" w:color="auto" w:fill="auto"/>
            <w:vAlign w:val="center"/>
            <w:hideMark/>
          </w:tcPr>
          <w:p w14:paraId="3359F128"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C8562A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-8,6</w:t>
            </w:r>
          </w:p>
        </w:tc>
        <w:tc>
          <w:tcPr>
            <w:tcW w:w="0" w:type="auto"/>
            <w:tcBorders>
              <w:top w:val="nil"/>
              <w:left w:val="nil"/>
              <w:bottom w:val="single" w:sz="4" w:space="0" w:color="auto"/>
              <w:right w:val="single" w:sz="4" w:space="0" w:color="auto"/>
            </w:tcBorders>
            <w:shd w:val="clear" w:color="auto" w:fill="auto"/>
            <w:noWrap/>
            <w:vAlign w:val="center"/>
            <w:hideMark/>
          </w:tcPr>
          <w:p w14:paraId="442743D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-8,6</w:t>
            </w:r>
          </w:p>
        </w:tc>
        <w:tc>
          <w:tcPr>
            <w:tcW w:w="0" w:type="auto"/>
            <w:tcBorders>
              <w:top w:val="nil"/>
              <w:left w:val="nil"/>
              <w:bottom w:val="single" w:sz="4" w:space="0" w:color="auto"/>
              <w:right w:val="single" w:sz="4" w:space="0" w:color="auto"/>
            </w:tcBorders>
            <w:shd w:val="clear" w:color="auto" w:fill="auto"/>
            <w:noWrap/>
            <w:vAlign w:val="center"/>
            <w:hideMark/>
          </w:tcPr>
          <w:p w14:paraId="3162636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-8,6</w:t>
            </w:r>
          </w:p>
        </w:tc>
        <w:tc>
          <w:tcPr>
            <w:tcW w:w="0" w:type="auto"/>
            <w:tcBorders>
              <w:top w:val="nil"/>
              <w:left w:val="nil"/>
              <w:bottom w:val="single" w:sz="4" w:space="0" w:color="auto"/>
              <w:right w:val="single" w:sz="4" w:space="0" w:color="auto"/>
            </w:tcBorders>
            <w:shd w:val="clear" w:color="auto" w:fill="auto"/>
            <w:noWrap/>
            <w:vAlign w:val="center"/>
            <w:hideMark/>
          </w:tcPr>
          <w:p w14:paraId="268C272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-8,6</w:t>
            </w:r>
          </w:p>
        </w:tc>
      </w:tr>
      <w:tr w:rsidR="00A82412" w:rsidRPr="00F506D4" w14:paraId="5626D2EC"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127D2953"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66A718F6"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No IIN atbrīvojamās summas paaugstināšana darba devēja izmaksātajam bēru pabalstam un bērna piedzimšanas pabalstam</w:t>
            </w:r>
          </w:p>
        </w:tc>
        <w:tc>
          <w:tcPr>
            <w:tcW w:w="1193" w:type="dxa"/>
            <w:tcBorders>
              <w:top w:val="nil"/>
              <w:left w:val="nil"/>
              <w:bottom w:val="single" w:sz="4" w:space="0" w:color="auto"/>
              <w:right w:val="single" w:sz="4" w:space="0" w:color="auto"/>
            </w:tcBorders>
            <w:shd w:val="clear" w:color="auto" w:fill="auto"/>
            <w:noWrap/>
            <w:vAlign w:val="center"/>
            <w:hideMark/>
          </w:tcPr>
          <w:p w14:paraId="33757DF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VSAOI</w:t>
            </w:r>
          </w:p>
        </w:tc>
        <w:tc>
          <w:tcPr>
            <w:tcW w:w="1357" w:type="dxa"/>
            <w:tcBorders>
              <w:top w:val="nil"/>
              <w:left w:val="nil"/>
              <w:bottom w:val="single" w:sz="4" w:space="0" w:color="auto"/>
              <w:right w:val="single" w:sz="4" w:space="0" w:color="auto"/>
            </w:tcBorders>
            <w:shd w:val="clear" w:color="auto" w:fill="auto"/>
            <w:vAlign w:val="center"/>
            <w:hideMark/>
          </w:tcPr>
          <w:p w14:paraId="3D6E5C73"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DDD7AF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14:paraId="44C2879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14:paraId="75D827A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14:paraId="007651A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-1,2</w:t>
            </w:r>
          </w:p>
        </w:tc>
      </w:tr>
      <w:tr w:rsidR="00A82412" w:rsidRPr="00F506D4" w14:paraId="22B4B6B6"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2A76997A"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center"/>
            <w:hideMark/>
          </w:tcPr>
          <w:p w14:paraId="22EAB849"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 xml:space="preserve">1% </w:t>
            </w:r>
            <w:proofErr w:type="spellStart"/>
            <w:r w:rsidRPr="006A3169">
              <w:rPr>
                <w:rFonts w:eastAsia="Times New Roman" w:cs="Times New Roman"/>
                <w:sz w:val="18"/>
                <w:szCs w:val="18"/>
              </w:rPr>
              <w:t>pārnese</w:t>
            </w:r>
            <w:proofErr w:type="spellEnd"/>
            <w:r w:rsidRPr="006A3169">
              <w:rPr>
                <w:rFonts w:eastAsia="Times New Roman" w:cs="Times New Roman"/>
                <w:sz w:val="18"/>
                <w:szCs w:val="18"/>
              </w:rPr>
              <w:t xml:space="preserve"> no </w:t>
            </w:r>
            <w:proofErr w:type="spellStart"/>
            <w:r w:rsidRPr="006A3169">
              <w:rPr>
                <w:rFonts w:eastAsia="Times New Roman" w:cs="Times New Roman"/>
                <w:sz w:val="18"/>
                <w:szCs w:val="18"/>
              </w:rPr>
              <w:t>fondētās</w:t>
            </w:r>
            <w:proofErr w:type="spellEnd"/>
            <w:r w:rsidRPr="006A3169">
              <w:rPr>
                <w:rFonts w:eastAsia="Times New Roman" w:cs="Times New Roman"/>
                <w:sz w:val="18"/>
                <w:szCs w:val="18"/>
              </w:rPr>
              <w:t xml:space="preserve"> pensiju shēmas uz pirmo līmeni (pēc uzkrājuma principa)</w:t>
            </w:r>
          </w:p>
        </w:tc>
        <w:tc>
          <w:tcPr>
            <w:tcW w:w="1193" w:type="dxa"/>
            <w:tcBorders>
              <w:top w:val="nil"/>
              <w:left w:val="nil"/>
              <w:bottom w:val="single" w:sz="4" w:space="0" w:color="auto"/>
              <w:right w:val="single" w:sz="4" w:space="0" w:color="auto"/>
            </w:tcBorders>
            <w:shd w:val="clear" w:color="auto" w:fill="auto"/>
            <w:noWrap/>
            <w:vAlign w:val="center"/>
            <w:hideMark/>
          </w:tcPr>
          <w:p w14:paraId="21AC8FA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VSAOI</w:t>
            </w:r>
          </w:p>
        </w:tc>
        <w:tc>
          <w:tcPr>
            <w:tcW w:w="1357" w:type="dxa"/>
            <w:tcBorders>
              <w:top w:val="nil"/>
              <w:left w:val="nil"/>
              <w:bottom w:val="single" w:sz="4" w:space="0" w:color="auto"/>
              <w:right w:val="single" w:sz="4" w:space="0" w:color="auto"/>
            </w:tcBorders>
            <w:shd w:val="clear" w:color="auto" w:fill="auto"/>
            <w:vAlign w:val="center"/>
            <w:hideMark/>
          </w:tcPr>
          <w:p w14:paraId="740ED56C"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81E8A7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156,3</w:t>
            </w:r>
          </w:p>
        </w:tc>
        <w:tc>
          <w:tcPr>
            <w:tcW w:w="0" w:type="auto"/>
            <w:tcBorders>
              <w:top w:val="nil"/>
              <w:left w:val="nil"/>
              <w:bottom w:val="single" w:sz="4" w:space="0" w:color="auto"/>
              <w:right w:val="single" w:sz="4" w:space="0" w:color="auto"/>
            </w:tcBorders>
            <w:shd w:val="clear" w:color="auto" w:fill="auto"/>
            <w:noWrap/>
            <w:vAlign w:val="center"/>
            <w:hideMark/>
          </w:tcPr>
          <w:p w14:paraId="46B1F4C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165,0</w:t>
            </w:r>
          </w:p>
        </w:tc>
        <w:tc>
          <w:tcPr>
            <w:tcW w:w="0" w:type="auto"/>
            <w:tcBorders>
              <w:top w:val="nil"/>
              <w:left w:val="nil"/>
              <w:bottom w:val="single" w:sz="4" w:space="0" w:color="auto"/>
              <w:right w:val="single" w:sz="4" w:space="0" w:color="auto"/>
            </w:tcBorders>
            <w:shd w:val="clear" w:color="auto" w:fill="auto"/>
            <w:noWrap/>
            <w:vAlign w:val="center"/>
            <w:hideMark/>
          </w:tcPr>
          <w:p w14:paraId="34086D8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173,7</w:t>
            </w:r>
          </w:p>
        </w:tc>
        <w:tc>
          <w:tcPr>
            <w:tcW w:w="0" w:type="auto"/>
            <w:tcBorders>
              <w:top w:val="nil"/>
              <w:left w:val="nil"/>
              <w:bottom w:val="single" w:sz="4" w:space="0" w:color="auto"/>
              <w:right w:val="single" w:sz="4" w:space="0" w:color="auto"/>
            </w:tcBorders>
            <w:shd w:val="clear" w:color="auto" w:fill="auto"/>
            <w:noWrap/>
            <w:vAlign w:val="center"/>
            <w:hideMark/>
          </w:tcPr>
          <w:p w14:paraId="425DC75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181,8</w:t>
            </w:r>
          </w:p>
        </w:tc>
      </w:tr>
      <w:tr w:rsidR="00A82412" w:rsidRPr="00F506D4" w14:paraId="148F1261"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09D22BC1"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nil"/>
            </w:tcBorders>
            <w:shd w:val="clear" w:color="auto" w:fill="auto"/>
            <w:noWrap/>
            <w:vAlign w:val="center"/>
            <w:hideMark/>
          </w:tcPr>
          <w:p w14:paraId="5EE5311A"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Minimālās algas palielināšana</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19998FC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1357" w:type="dxa"/>
            <w:tcBorders>
              <w:top w:val="nil"/>
              <w:left w:val="nil"/>
              <w:bottom w:val="single" w:sz="4" w:space="0" w:color="auto"/>
              <w:right w:val="single" w:sz="4" w:space="0" w:color="auto"/>
            </w:tcBorders>
            <w:shd w:val="clear" w:color="auto" w:fill="auto"/>
            <w:vAlign w:val="center"/>
            <w:hideMark/>
          </w:tcPr>
          <w:p w14:paraId="332EB81D" w14:textId="77777777" w:rsidR="00F04FA7" w:rsidRPr="006A3169" w:rsidRDefault="00F04FA7" w:rsidP="000B7682">
            <w:pPr>
              <w:spacing w:after="0"/>
              <w:ind w:firstLine="0"/>
              <w:jc w:val="center"/>
              <w:rPr>
                <w:rFonts w:eastAsia="Times New Roman" w:cs="Times New Roman"/>
                <w:sz w:val="18"/>
                <w:szCs w:val="18"/>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25A080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9,8</w:t>
            </w:r>
          </w:p>
        </w:tc>
        <w:tc>
          <w:tcPr>
            <w:tcW w:w="0" w:type="auto"/>
            <w:tcBorders>
              <w:top w:val="nil"/>
              <w:left w:val="nil"/>
              <w:bottom w:val="single" w:sz="4" w:space="0" w:color="auto"/>
              <w:right w:val="single" w:sz="4" w:space="0" w:color="auto"/>
            </w:tcBorders>
            <w:shd w:val="clear" w:color="auto" w:fill="auto"/>
            <w:noWrap/>
            <w:vAlign w:val="center"/>
            <w:hideMark/>
          </w:tcPr>
          <w:p w14:paraId="72F3BA8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16,0</w:t>
            </w:r>
          </w:p>
        </w:tc>
        <w:tc>
          <w:tcPr>
            <w:tcW w:w="0" w:type="auto"/>
            <w:tcBorders>
              <w:top w:val="nil"/>
              <w:left w:val="nil"/>
              <w:bottom w:val="single" w:sz="4" w:space="0" w:color="auto"/>
              <w:right w:val="single" w:sz="4" w:space="0" w:color="auto"/>
            </w:tcBorders>
            <w:shd w:val="clear" w:color="auto" w:fill="auto"/>
            <w:noWrap/>
            <w:vAlign w:val="center"/>
            <w:hideMark/>
          </w:tcPr>
          <w:p w14:paraId="0B48BFA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21,5</w:t>
            </w:r>
          </w:p>
        </w:tc>
        <w:tc>
          <w:tcPr>
            <w:tcW w:w="0" w:type="auto"/>
            <w:tcBorders>
              <w:top w:val="nil"/>
              <w:left w:val="nil"/>
              <w:bottom w:val="single" w:sz="4" w:space="0" w:color="auto"/>
              <w:right w:val="single" w:sz="4" w:space="0" w:color="auto"/>
            </w:tcBorders>
            <w:shd w:val="clear" w:color="auto" w:fill="auto"/>
            <w:noWrap/>
            <w:vAlign w:val="center"/>
            <w:hideMark/>
          </w:tcPr>
          <w:p w14:paraId="00ECB95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26,4</w:t>
            </w:r>
          </w:p>
        </w:tc>
      </w:tr>
      <w:tr w:rsidR="00F04FA7" w:rsidRPr="00F506D4" w14:paraId="418CA234" w14:textId="77777777" w:rsidTr="00687CD9">
        <w:trPr>
          <w:trHeight w:val="241"/>
        </w:trPr>
        <w:tc>
          <w:tcPr>
            <w:tcW w:w="1195" w:type="dxa"/>
            <w:vMerge/>
            <w:tcBorders>
              <w:top w:val="nil"/>
              <w:left w:val="single" w:sz="4" w:space="0" w:color="auto"/>
              <w:bottom w:val="single" w:sz="4" w:space="0" w:color="000000"/>
              <w:right w:val="single" w:sz="4" w:space="0" w:color="auto"/>
            </w:tcBorders>
            <w:vAlign w:val="center"/>
            <w:hideMark/>
          </w:tcPr>
          <w:p w14:paraId="4FC0C990" w14:textId="77777777" w:rsidR="00F04FA7" w:rsidRPr="006A3169" w:rsidRDefault="00F04FA7" w:rsidP="000B7682">
            <w:pPr>
              <w:spacing w:after="0"/>
              <w:ind w:firstLine="0"/>
              <w:jc w:val="left"/>
              <w:rPr>
                <w:rFonts w:eastAsia="Times New Roman" w:cs="Times New Roman"/>
                <w:sz w:val="18"/>
                <w:szCs w:val="18"/>
              </w:rPr>
            </w:pPr>
          </w:p>
        </w:tc>
        <w:tc>
          <w:tcPr>
            <w:tcW w:w="5178" w:type="dxa"/>
            <w:gridSpan w:val="3"/>
            <w:tcBorders>
              <w:top w:val="single" w:sz="4" w:space="0" w:color="auto"/>
              <w:left w:val="nil"/>
              <w:bottom w:val="single" w:sz="4" w:space="0" w:color="auto"/>
              <w:right w:val="single" w:sz="4" w:space="0" w:color="000000"/>
            </w:tcBorders>
            <w:shd w:val="clear" w:color="auto" w:fill="BDD6EE" w:themeFill="accent1" w:themeFillTint="66"/>
            <w:noWrap/>
            <w:vAlign w:val="center"/>
            <w:hideMark/>
          </w:tcPr>
          <w:p w14:paraId="320172BE"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Kopā VSAOI</w:t>
            </w:r>
          </w:p>
        </w:tc>
        <w:tc>
          <w:tcPr>
            <w:tcW w:w="0" w:type="auto"/>
            <w:tcBorders>
              <w:top w:val="nil"/>
              <w:left w:val="nil"/>
              <w:bottom w:val="single" w:sz="4" w:space="0" w:color="auto"/>
              <w:right w:val="single" w:sz="4" w:space="0" w:color="auto"/>
            </w:tcBorders>
            <w:shd w:val="clear" w:color="auto" w:fill="auto"/>
            <w:noWrap/>
            <w:vAlign w:val="center"/>
            <w:hideMark/>
          </w:tcPr>
          <w:p w14:paraId="7C9BA183"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156,3</w:t>
            </w:r>
          </w:p>
        </w:tc>
        <w:tc>
          <w:tcPr>
            <w:tcW w:w="0" w:type="auto"/>
            <w:tcBorders>
              <w:top w:val="nil"/>
              <w:left w:val="nil"/>
              <w:bottom w:val="single" w:sz="4" w:space="0" w:color="auto"/>
              <w:right w:val="single" w:sz="4" w:space="0" w:color="auto"/>
            </w:tcBorders>
            <w:shd w:val="clear" w:color="auto" w:fill="auto"/>
            <w:noWrap/>
            <w:vAlign w:val="center"/>
            <w:hideMark/>
          </w:tcPr>
          <w:p w14:paraId="79900B28"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171,2</w:t>
            </w:r>
          </w:p>
        </w:tc>
        <w:tc>
          <w:tcPr>
            <w:tcW w:w="0" w:type="auto"/>
            <w:tcBorders>
              <w:top w:val="nil"/>
              <w:left w:val="nil"/>
              <w:bottom w:val="single" w:sz="4" w:space="0" w:color="auto"/>
              <w:right w:val="single" w:sz="4" w:space="0" w:color="auto"/>
            </w:tcBorders>
            <w:shd w:val="clear" w:color="auto" w:fill="auto"/>
            <w:noWrap/>
            <w:vAlign w:val="center"/>
            <w:hideMark/>
          </w:tcPr>
          <w:p w14:paraId="26090561"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185,4</w:t>
            </w:r>
          </w:p>
        </w:tc>
        <w:tc>
          <w:tcPr>
            <w:tcW w:w="0" w:type="auto"/>
            <w:tcBorders>
              <w:top w:val="nil"/>
              <w:left w:val="nil"/>
              <w:bottom w:val="single" w:sz="4" w:space="0" w:color="auto"/>
              <w:right w:val="single" w:sz="4" w:space="0" w:color="auto"/>
            </w:tcBorders>
            <w:shd w:val="clear" w:color="auto" w:fill="auto"/>
            <w:noWrap/>
            <w:vAlign w:val="center"/>
            <w:hideMark/>
          </w:tcPr>
          <w:p w14:paraId="432019DA"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198,4</w:t>
            </w:r>
          </w:p>
        </w:tc>
      </w:tr>
      <w:tr w:rsidR="00A82412" w:rsidRPr="00F506D4" w14:paraId="15F3F2E5" w14:textId="77777777" w:rsidTr="00687CD9">
        <w:trPr>
          <w:trHeight w:val="20"/>
        </w:trPr>
        <w:tc>
          <w:tcPr>
            <w:tcW w:w="1195" w:type="dxa"/>
            <w:vMerge w:val="restart"/>
            <w:tcBorders>
              <w:top w:val="nil"/>
              <w:left w:val="single" w:sz="4" w:space="0" w:color="auto"/>
              <w:bottom w:val="single" w:sz="4" w:space="0" w:color="000000"/>
              <w:right w:val="single" w:sz="4" w:space="0" w:color="auto"/>
            </w:tcBorders>
            <w:shd w:val="clear" w:color="auto" w:fill="auto"/>
            <w:vAlign w:val="center"/>
            <w:hideMark/>
          </w:tcPr>
          <w:p w14:paraId="4B376ED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 likmju izmaiņas</w:t>
            </w:r>
          </w:p>
        </w:tc>
        <w:tc>
          <w:tcPr>
            <w:tcW w:w="2628" w:type="dxa"/>
            <w:tcBorders>
              <w:top w:val="nil"/>
              <w:left w:val="nil"/>
              <w:bottom w:val="single" w:sz="4" w:space="0" w:color="auto"/>
              <w:right w:val="single" w:sz="4" w:space="0" w:color="auto"/>
            </w:tcBorders>
            <w:shd w:val="clear" w:color="auto" w:fill="auto"/>
            <w:vAlign w:val="center"/>
            <w:hideMark/>
          </w:tcPr>
          <w:p w14:paraId="28A43906"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likmju pakāpeniska paaugstināšana degvielai, ietverot akcīzes nodoklī CO</w:t>
            </w:r>
            <w:r w:rsidRPr="006A3169">
              <w:rPr>
                <w:rFonts w:eastAsia="Times New Roman" w:cs="Times New Roman"/>
                <w:sz w:val="18"/>
                <w:szCs w:val="18"/>
                <w:vertAlign w:val="subscript"/>
              </w:rPr>
              <w:t>2</w:t>
            </w:r>
            <w:r w:rsidRPr="006A3169">
              <w:rPr>
                <w:rFonts w:eastAsia="Times New Roman" w:cs="Times New Roman"/>
                <w:sz w:val="18"/>
                <w:szCs w:val="18"/>
              </w:rPr>
              <w:t xml:space="preserve"> komponenti </w:t>
            </w:r>
          </w:p>
        </w:tc>
        <w:tc>
          <w:tcPr>
            <w:tcW w:w="1193" w:type="dxa"/>
            <w:tcBorders>
              <w:top w:val="nil"/>
              <w:left w:val="nil"/>
              <w:bottom w:val="single" w:sz="4" w:space="0" w:color="auto"/>
              <w:right w:val="single" w:sz="4" w:space="0" w:color="auto"/>
            </w:tcBorders>
            <w:shd w:val="clear" w:color="auto" w:fill="auto"/>
            <w:vAlign w:val="center"/>
            <w:hideMark/>
          </w:tcPr>
          <w:p w14:paraId="3F2C6BE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1357" w:type="dxa"/>
            <w:tcBorders>
              <w:top w:val="nil"/>
              <w:left w:val="nil"/>
              <w:bottom w:val="single" w:sz="4" w:space="0" w:color="auto"/>
              <w:right w:val="single" w:sz="4" w:space="0" w:color="auto"/>
            </w:tcBorders>
            <w:shd w:val="clear" w:color="auto" w:fill="auto"/>
            <w:vAlign w:val="center"/>
            <w:hideMark/>
          </w:tcPr>
          <w:p w14:paraId="26336245"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C4DA82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5,7</w:t>
            </w:r>
          </w:p>
        </w:tc>
        <w:tc>
          <w:tcPr>
            <w:tcW w:w="0" w:type="auto"/>
            <w:tcBorders>
              <w:top w:val="nil"/>
              <w:left w:val="nil"/>
              <w:bottom w:val="single" w:sz="4" w:space="0" w:color="auto"/>
              <w:right w:val="single" w:sz="4" w:space="0" w:color="auto"/>
            </w:tcBorders>
            <w:shd w:val="clear" w:color="auto" w:fill="auto"/>
            <w:noWrap/>
            <w:vAlign w:val="center"/>
            <w:hideMark/>
          </w:tcPr>
          <w:p w14:paraId="6A3833F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10,8</w:t>
            </w:r>
          </w:p>
        </w:tc>
        <w:tc>
          <w:tcPr>
            <w:tcW w:w="0" w:type="auto"/>
            <w:tcBorders>
              <w:top w:val="nil"/>
              <w:left w:val="nil"/>
              <w:bottom w:val="single" w:sz="4" w:space="0" w:color="auto"/>
              <w:right w:val="single" w:sz="4" w:space="0" w:color="auto"/>
            </w:tcBorders>
            <w:shd w:val="clear" w:color="auto" w:fill="auto"/>
            <w:noWrap/>
            <w:vAlign w:val="center"/>
            <w:hideMark/>
          </w:tcPr>
          <w:p w14:paraId="092E37C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2,1</w:t>
            </w:r>
          </w:p>
        </w:tc>
        <w:tc>
          <w:tcPr>
            <w:tcW w:w="0" w:type="auto"/>
            <w:tcBorders>
              <w:top w:val="nil"/>
              <w:left w:val="nil"/>
              <w:bottom w:val="single" w:sz="4" w:space="0" w:color="auto"/>
              <w:right w:val="single" w:sz="4" w:space="0" w:color="auto"/>
            </w:tcBorders>
            <w:shd w:val="clear" w:color="auto" w:fill="auto"/>
            <w:noWrap/>
            <w:vAlign w:val="center"/>
            <w:hideMark/>
          </w:tcPr>
          <w:p w14:paraId="4D1E140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r>
      <w:tr w:rsidR="00A82412" w:rsidRPr="00F506D4" w14:paraId="0A4F9EBB"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4AB9E932"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5934113C"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 xml:space="preserve">AN likmju pakāpeniska paaugstināšana degvielai, </w:t>
            </w:r>
            <w:r w:rsidRPr="006A3169">
              <w:rPr>
                <w:rFonts w:eastAsia="Times New Roman" w:cs="Times New Roman"/>
                <w:sz w:val="18"/>
                <w:szCs w:val="18"/>
              </w:rPr>
              <w:lastRenderedPageBreak/>
              <w:t>dabasgāzei un naftas gāzēm, ko izmanto par kurināmo</w:t>
            </w:r>
          </w:p>
        </w:tc>
        <w:tc>
          <w:tcPr>
            <w:tcW w:w="1193" w:type="dxa"/>
            <w:tcBorders>
              <w:top w:val="nil"/>
              <w:left w:val="nil"/>
              <w:bottom w:val="single" w:sz="4" w:space="0" w:color="auto"/>
              <w:right w:val="single" w:sz="4" w:space="0" w:color="auto"/>
            </w:tcBorders>
            <w:shd w:val="clear" w:color="auto" w:fill="auto"/>
            <w:vAlign w:val="center"/>
            <w:hideMark/>
          </w:tcPr>
          <w:p w14:paraId="3D85FE1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lastRenderedPageBreak/>
              <w:t>PVN</w:t>
            </w:r>
          </w:p>
        </w:tc>
        <w:tc>
          <w:tcPr>
            <w:tcW w:w="1357" w:type="dxa"/>
            <w:tcBorders>
              <w:top w:val="nil"/>
              <w:left w:val="nil"/>
              <w:bottom w:val="single" w:sz="4" w:space="0" w:color="auto"/>
              <w:right w:val="single" w:sz="4" w:space="0" w:color="auto"/>
            </w:tcBorders>
            <w:shd w:val="clear" w:color="auto" w:fill="auto"/>
            <w:vAlign w:val="center"/>
            <w:hideMark/>
          </w:tcPr>
          <w:p w14:paraId="58729E23"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0298B5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0,9</w:t>
            </w:r>
          </w:p>
        </w:tc>
        <w:tc>
          <w:tcPr>
            <w:tcW w:w="0" w:type="auto"/>
            <w:tcBorders>
              <w:top w:val="nil"/>
              <w:left w:val="nil"/>
              <w:bottom w:val="single" w:sz="4" w:space="0" w:color="auto"/>
              <w:right w:val="single" w:sz="4" w:space="0" w:color="auto"/>
            </w:tcBorders>
            <w:shd w:val="clear" w:color="auto" w:fill="auto"/>
            <w:noWrap/>
            <w:vAlign w:val="center"/>
            <w:hideMark/>
          </w:tcPr>
          <w:p w14:paraId="14D4692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w:t>
            </w:r>
          </w:p>
        </w:tc>
        <w:tc>
          <w:tcPr>
            <w:tcW w:w="0" w:type="auto"/>
            <w:tcBorders>
              <w:top w:val="nil"/>
              <w:left w:val="nil"/>
              <w:bottom w:val="single" w:sz="4" w:space="0" w:color="auto"/>
              <w:right w:val="single" w:sz="4" w:space="0" w:color="auto"/>
            </w:tcBorders>
            <w:shd w:val="clear" w:color="auto" w:fill="auto"/>
            <w:noWrap/>
            <w:vAlign w:val="center"/>
            <w:hideMark/>
          </w:tcPr>
          <w:p w14:paraId="33D27BA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2,5</w:t>
            </w:r>
          </w:p>
        </w:tc>
        <w:tc>
          <w:tcPr>
            <w:tcW w:w="0" w:type="auto"/>
            <w:tcBorders>
              <w:top w:val="nil"/>
              <w:left w:val="nil"/>
              <w:bottom w:val="single" w:sz="4" w:space="0" w:color="auto"/>
              <w:right w:val="single" w:sz="4" w:space="0" w:color="auto"/>
            </w:tcBorders>
            <w:shd w:val="clear" w:color="auto" w:fill="auto"/>
            <w:noWrap/>
            <w:vAlign w:val="center"/>
            <w:hideMark/>
          </w:tcPr>
          <w:p w14:paraId="2CDF370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2,5</w:t>
            </w:r>
          </w:p>
        </w:tc>
      </w:tr>
      <w:tr w:rsidR="00A82412" w:rsidRPr="00F506D4" w14:paraId="0DD1F6E5"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2B891778"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45561E86"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paaugstināšana alkoholiskajiem dzērieniem un alum</w:t>
            </w:r>
          </w:p>
        </w:tc>
        <w:tc>
          <w:tcPr>
            <w:tcW w:w="1193" w:type="dxa"/>
            <w:tcBorders>
              <w:top w:val="nil"/>
              <w:left w:val="nil"/>
              <w:bottom w:val="single" w:sz="4" w:space="0" w:color="auto"/>
              <w:right w:val="single" w:sz="4" w:space="0" w:color="auto"/>
            </w:tcBorders>
            <w:shd w:val="clear" w:color="auto" w:fill="auto"/>
            <w:vAlign w:val="center"/>
            <w:hideMark/>
          </w:tcPr>
          <w:p w14:paraId="13DDE2E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1357" w:type="dxa"/>
            <w:tcBorders>
              <w:top w:val="nil"/>
              <w:left w:val="nil"/>
              <w:bottom w:val="single" w:sz="4" w:space="0" w:color="auto"/>
              <w:right w:val="single" w:sz="4" w:space="0" w:color="auto"/>
            </w:tcBorders>
            <w:shd w:val="clear" w:color="auto" w:fill="auto"/>
            <w:vAlign w:val="center"/>
            <w:hideMark/>
          </w:tcPr>
          <w:p w14:paraId="4256AB28"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1F1054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6665712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5CB1D92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1,5</w:t>
            </w:r>
          </w:p>
        </w:tc>
        <w:tc>
          <w:tcPr>
            <w:tcW w:w="0" w:type="auto"/>
            <w:tcBorders>
              <w:top w:val="nil"/>
              <w:left w:val="nil"/>
              <w:bottom w:val="single" w:sz="4" w:space="0" w:color="auto"/>
              <w:right w:val="single" w:sz="4" w:space="0" w:color="auto"/>
            </w:tcBorders>
            <w:shd w:val="clear" w:color="auto" w:fill="auto"/>
            <w:noWrap/>
            <w:vAlign w:val="center"/>
            <w:hideMark/>
          </w:tcPr>
          <w:p w14:paraId="2DE38E2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1,3</w:t>
            </w:r>
          </w:p>
        </w:tc>
      </w:tr>
      <w:tr w:rsidR="00A82412" w:rsidRPr="00F506D4" w14:paraId="2997EB43"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4AF9588D"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5AC6FD40"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paaugstināšana tabakas izstrādājumiem un pēc izmantošanas mērķa līdzīgiem produktiem</w:t>
            </w:r>
          </w:p>
        </w:tc>
        <w:tc>
          <w:tcPr>
            <w:tcW w:w="1193" w:type="dxa"/>
            <w:tcBorders>
              <w:top w:val="nil"/>
              <w:left w:val="nil"/>
              <w:bottom w:val="single" w:sz="4" w:space="0" w:color="auto"/>
              <w:right w:val="single" w:sz="4" w:space="0" w:color="auto"/>
            </w:tcBorders>
            <w:shd w:val="clear" w:color="auto" w:fill="auto"/>
            <w:vAlign w:val="center"/>
            <w:hideMark/>
          </w:tcPr>
          <w:p w14:paraId="1EEE6CE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1357" w:type="dxa"/>
            <w:tcBorders>
              <w:top w:val="nil"/>
              <w:left w:val="nil"/>
              <w:bottom w:val="single" w:sz="4" w:space="0" w:color="auto"/>
              <w:right w:val="single" w:sz="4" w:space="0" w:color="auto"/>
            </w:tcBorders>
            <w:shd w:val="clear" w:color="auto" w:fill="auto"/>
            <w:vAlign w:val="center"/>
            <w:hideMark/>
          </w:tcPr>
          <w:p w14:paraId="3BD47591"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0AF167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37FE98F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3D3E461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2,2</w:t>
            </w:r>
          </w:p>
        </w:tc>
        <w:tc>
          <w:tcPr>
            <w:tcW w:w="0" w:type="auto"/>
            <w:tcBorders>
              <w:top w:val="nil"/>
              <w:left w:val="nil"/>
              <w:bottom w:val="single" w:sz="4" w:space="0" w:color="auto"/>
              <w:right w:val="single" w:sz="4" w:space="0" w:color="auto"/>
            </w:tcBorders>
            <w:shd w:val="clear" w:color="auto" w:fill="auto"/>
            <w:noWrap/>
            <w:vAlign w:val="center"/>
            <w:hideMark/>
          </w:tcPr>
          <w:p w14:paraId="1913D9D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w:t>
            </w:r>
          </w:p>
        </w:tc>
      </w:tr>
      <w:tr w:rsidR="00A82412" w:rsidRPr="00F506D4" w14:paraId="12331AD8"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442935FE"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7C092424"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paaugstināšana bezalkoholiskajiem dzērieniem ar cukura saturu līdz 8 g uz 100 ml</w:t>
            </w:r>
          </w:p>
        </w:tc>
        <w:tc>
          <w:tcPr>
            <w:tcW w:w="1193" w:type="dxa"/>
            <w:tcBorders>
              <w:top w:val="nil"/>
              <w:left w:val="nil"/>
              <w:bottom w:val="single" w:sz="4" w:space="0" w:color="auto"/>
              <w:right w:val="single" w:sz="4" w:space="0" w:color="auto"/>
            </w:tcBorders>
            <w:shd w:val="clear" w:color="auto" w:fill="auto"/>
            <w:vAlign w:val="center"/>
            <w:hideMark/>
          </w:tcPr>
          <w:p w14:paraId="05BC753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1357" w:type="dxa"/>
            <w:tcBorders>
              <w:top w:val="nil"/>
              <w:left w:val="nil"/>
              <w:bottom w:val="single" w:sz="4" w:space="0" w:color="auto"/>
              <w:right w:val="single" w:sz="4" w:space="0" w:color="auto"/>
            </w:tcBorders>
            <w:shd w:val="clear" w:color="auto" w:fill="auto"/>
            <w:vAlign w:val="center"/>
            <w:hideMark/>
          </w:tcPr>
          <w:p w14:paraId="29EA57E3"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E3A782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0,6</w:t>
            </w:r>
          </w:p>
        </w:tc>
        <w:tc>
          <w:tcPr>
            <w:tcW w:w="0" w:type="auto"/>
            <w:tcBorders>
              <w:top w:val="nil"/>
              <w:left w:val="nil"/>
              <w:bottom w:val="single" w:sz="4" w:space="0" w:color="auto"/>
              <w:right w:val="single" w:sz="4" w:space="0" w:color="auto"/>
            </w:tcBorders>
            <w:shd w:val="clear" w:color="auto" w:fill="auto"/>
            <w:noWrap/>
            <w:vAlign w:val="center"/>
            <w:hideMark/>
          </w:tcPr>
          <w:p w14:paraId="442158F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0,6</w:t>
            </w:r>
          </w:p>
        </w:tc>
        <w:tc>
          <w:tcPr>
            <w:tcW w:w="0" w:type="auto"/>
            <w:tcBorders>
              <w:top w:val="nil"/>
              <w:left w:val="nil"/>
              <w:bottom w:val="single" w:sz="4" w:space="0" w:color="auto"/>
              <w:right w:val="single" w:sz="4" w:space="0" w:color="auto"/>
            </w:tcBorders>
            <w:shd w:val="clear" w:color="auto" w:fill="auto"/>
            <w:noWrap/>
            <w:vAlign w:val="center"/>
            <w:hideMark/>
          </w:tcPr>
          <w:p w14:paraId="4E5E2CC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0,6</w:t>
            </w:r>
          </w:p>
        </w:tc>
        <w:tc>
          <w:tcPr>
            <w:tcW w:w="0" w:type="auto"/>
            <w:tcBorders>
              <w:top w:val="nil"/>
              <w:left w:val="nil"/>
              <w:bottom w:val="single" w:sz="4" w:space="0" w:color="auto"/>
              <w:right w:val="single" w:sz="4" w:space="0" w:color="auto"/>
            </w:tcBorders>
            <w:shd w:val="clear" w:color="auto" w:fill="auto"/>
            <w:noWrap/>
            <w:vAlign w:val="center"/>
            <w:hideMark/>
          </w:tcPr>
          <w:p w14:paraId="0DE7D71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0,6</w:t>
            </w:r>
          </w:p>
        </w:tc>
      </w:tr>
      <w:tr w:rsidR="00A82412" w:rsidRPr="00F506D4" w14:paraId="5488CFD9"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4D999E9E"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1966FE8C"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PVN likmes 12 % apmērā Latvijai raksturīgajiem svaigiem augļiem, ogām un dārzeņiem piemērošana arī turpmāk līdz nākamajam izvērtēšanas periodam</w:t>
            </w:r>
          </w:p>
        </w:tc>
        <w:tc>
          <w:tcPr>
            <w:tcW w:w="1193" w:type="dxa"/>
            <w:tcBorders>
              <w:top w:val="nil"/>
              <w:left w:val="nil"/>
              <w:bottom w:val="single" w:sz="4" w:space="0" w:color="auto"/>
              <w:right w:val="single" w:sz="4" w:space="0" w:color="auto"/>
            </w:tcBorders>
            <w:shd w:val="clear" w:color="auto" w:fill="auto"/>
            <w:vAlign w:val="center"/>
            <w:hideMark/>
          </w:tcPr>
          <w:p w14:paraId="1F4010F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1357" w:type="dxa"/>
            <w:tcBorders>
              <w:top w:val="nil"/>
              <w:left w:val="nil"/>
              <w:bottom w:val="single" w:sz="4" w:space="0" w:color="auto"/>
              <w:right w:val="single" w:sz="4" w:space="0" w:color="auto"/>
            </w:tcBorders>
            <w:shd w:val="clear" w:color="auto" w:fill="auto"/>
            <w:vAlign w:val="center"/>
            <w:hideMark/>
          </w:tcPr>
          <w:p w14:paraId="77D76782"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DAAE4A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-17,1</w:t>
            </w:r>
          </w:p>
        </w:tc>
        <w:tc>
          <w:tcPr>
            <w:tcW w:w="0" w:type="auto"/>
            <w:tcBorders>
              <w:top w:val="nil"/>
              <w:left w:val="nil"/>
              <w:bottom w:val="single" w:sz="4" w:space="0" w:color="auto"/>
              <w:right w:val="single" w:sz="4" w:space="0" w:color="auto"/>
            </w:tcBorders>
            <w:shd w:val="clear" w:color="auto" w:fill="auto"/>
            <w:noWrap/>
            <w:vAlign w:val="center"/>
            <w:hideMark/>
          </w:tcPr>
          <w:p w14:paraId="4011DED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-19,1</w:t>
            </w:r>
          </w:p>
        </w:tc>
        <w:tc>
          <w:tcPr>
            <w:tcW w:w="0" w:type="auto"/>
            <w:tcBorders>
              <w:top w:val="nil"/>
              <w:left w:val="nil"/>
              <w:bottom w:val="single" w:sz="4" w:space="0" w:color="auto"/>
              <w:right w:val="single" w:sz="4" w:space="0" w:color="auto"/>
            </w:tcBorders>
            <w:shd w:val="clear" w:color="auto" w:fill="auto"/>
            <w:noWrap/>
            <w:vAlign w:val="center"/>
            <w:hideMark/>
          </w:tcPr>
          <w:p w14:paraId="089DA1B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-23,4</w:t>
            </w:r>
          </w:p>
        </w:tc>
        <w:tc>
          <w:tcPr>
            <w:tcW w:w="0" w:type="auto"/>
            <w:tcBorders>
              <w:top w:val="nil"/>
              <w:left w:val="nil"/>
              <w:bottom w:val="single" w:sz="4" w:space="0" w:color="auto"/>
              <w:right w:val="single" w:sz="4" w:space="0" w:color="auto"/>
            </w:tcBorders>
            <w:shd w:val="clear" w:color="auto" w:fill="auto"/>
            <w:noWrap/>
            <w:vAlign w:val="center"/>
            <w:hideMark/>
          </w:tcPr>
          <w:p w14:paraId="225290C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-24,0</w:t>
            </w:r>
          </w:p>
        </w:tc>
      </w:tr>
      <w:tr w:rsidR="00A82412" w:rsidRPr="00F506D4" w14:paraId="033E9450"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1F9AA275"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nil"/>
            </w:tcBorders>
            <w:shd w:val="clear" w:color="auto" w:fill="auto"/>
            <w:noWrap/>
            <w:vAlign w:val="center"/>
            <w:hideMark/>
          </w:tcPr>
          <w:p w14:paraId="0A572831"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Minimālās algas palielināšana</w:t>
            </w:r>
          </w:p>
        </w:tc>
        <w:tc>
          <w:tcPr>
            <w:tcW w:w="1193" w:type="dxa"/>
            <w:tcBorders>
              <w:top w:val="nil"/>
              <w:left w:val="single" w:sz="4" w:space="0" w:color="auto"/>
              <w:bottom w:val="single" w:sz="4" w:space="0" w:color="auto"/>
              <w:right w:val="single" w:sz="4" w:space="0" w:color="auto"/>
            </w:tcBorders>
            <w:shd w:val="clear" w:color="auto" w:fill="auto"/>
            <w:vAlign w:val="center"/>
            <w:hideMark/>
          </w:tcPr>
          <w:p w14:paraId="4CAD906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1357" w:type="dxa"/>
            <w:tcBorders>
              <w:top w:val="nil"/>
              <w:left w:val="nil"/>
              <w:bottom w:val="single" w:sz="4" w:space="0" w:color="auto"/>
              <w:right w:val="single" w:sz="4" w:space="0" w:color="auto"/>
            </w:tcBorders>
            <w:shd w:val="clear" w:color="auto" w:fill="auto"/>
            <w:vAlign w:val="center"/>
            <w:hideMark/>
          </w:tcPr>
          <w:p w14:paraId="398AA161" w14:textId="77777777" w:rsidR="00F04FA7" w:rsidRPr="00E20858" w:rsidRDefault="00F04FA7" w:rsidP="000B7682">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65DE2C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2,6</w:t>
            </w:r>
          </w:p>
        </w:tc>
        <w:tc>
          <w:tcPr>
            <w:tcW w:w="0" w:type="auto"/>
            <w:tcBorders>
              <w:top w:val="nil"/>
              <w:left w:val="nil"/>
              <w:bottom w:val="single" w:sz="4" w:space="0" w:color="auto"/>
              <w:right w:val="single" w:sz="4" w:space="0" w:color="auto"/>
            </w:tcBorders>
            <w:shd w:val="clear" w:color="auto" w:fill="auto"/>
            <w:noWrap/>
            <w:vAlign w:val="center"/>
            <w:hideMark/>
          </w:tcPr>
          <w:p w14:paraId="2AD1AC4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4,6</w:t>
            </w:r>
          </w:p>
        </w:tc>
        <w:tc>
          <w:tcPr>
            <w:tcW w:w="0" w:type="auto"/>
            <w:tcBorders>
              <w:top w:val="nil"/>
              <w:left w:val="nil"/>
              <w:bottom w:val="single" w:sz="4" w:space="0" w:color="auto"/>
              <w:right w:val="single" w:sz="4" w:space="0" w:color="auto"/>
            </w:tcBorders>
            <w:shd w:val="clear" w:color="auto" w:fill="auto"/>
            <w:noWrap/>
            <w:vAlign w:val="center"/>
            <w:hideMark/>
          </w:tcPr>
          <w:p w14:paraId="48CB24A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6,3</w:t>
            </w:r>
          </w:p>
        </w:tc>
        <w:tc>
          <w:tcPr>
            <w:tcW w:w="0" w:type="auto"/>
            <w:tcBorders>
              <w:top w:val="nil"/>
              <w:left w:val="nil"/>
              <w:bottom w:val="single" w:sz="4" w:space="0" w:color="auto"/>
              <w:right w:val="single" w:sz="4" w:space="0" w:color="auto"/>
            </w:tcBorders>
            <w:shd w:val="clear" w:color="auto" w:fill="auto"/>
            <w:noWrap/>
            <w:vAlign w:val="center"/>
            <w:hideMark/>
          </w:tcPr>
          <w:p w14:paraId="3449834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7,8</w:t>
            </w:r>
          </w:p>
        </w:tc>
      </w:tr>
      <w:tr w:rsidR="00A82412" w:rsidRPr="00F506D4" w14:paraId="67A3D00D"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12CC8028"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nil"/>
            </w:tcBorders>
            <w:shd w:val="clear" w:color="auto" w:fill="auto"/>
            <w:vAlign w:val="center"/>
            <w:hideMark/>
          </w:tcPr>
          <w:p w14:paraId="4A5D2FC3"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Atgriezeniskais efekts no nodokļu politikas pārskatīšanas</w:t>
            </w:r>
          </w:p>
        </w:tc>
        <w:tc>
          <w:tcPr>
            <w:tcW w:w="1193" w:type="dxa"/>
            <w:tcBorders>
              <w:top w:val="nil"/>
              <w:left w:val="single" w:sz="4" w:space="0" w:color="auto"/>
              <w:bottom w:val="single" w:sz="4" w:space="0" w:color="auto"/>
              <w:right w:val="single" w:sz="4" w:space="0" w:color="auto"/>
            </w:tcBorders>
            <w:shd w:val="clear" w:color="auto" w:fill="auto"/>
            <w:vAlign w:val="center"/>
            <w:hideMark/>
          </w:tcPr>
          <w:p w14:paraId="73FE234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1357" w:type="dxa"/>
            <w:tcBorders>
              <w:top w:val="nil"/>
              <w:left w:val="nil"/>
              <w:bottom w:val="single" w:sz="4" w:space="0" w:color="auto"/>
              <w:right w:val="single" w:sz="4" w:space="0" w:color="auto"/>
            </w:tcBorders>
            <w:shd w:val="clear" w:color="auto" w:fill="auto"/>
            <w:vAlign w:val="center"/>
            <w:hideMark/>
          </w:tcPr>
          <w:p w14:paraId="779C5A05" w14:textId="77777777" w:rsidR="00F04FA7" w:rsidRPr="00E20858" w:rsidRDefault="00F04FA7" w:rsidP="000B7682">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4365C2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25,2</w:t>
            </w:r>
          </w:p>
        </w:tc>
        <w:tc>
          <w:tcPr>
            <w:tcW w:w="0" w:type="auto"/>
            <w:tcBorders>
              <w:top w:val="nil"/>
              <w:left w:val="nil"/>
              <w:bottom w:val="single" w:sz="4" w:space="0" w:color="auto"/>
              <w:right w:val="single" w:sz="4" w:space="0" w:color="auto"/>
            </w:tcBorders>
            <w:shd w:val="clear" w:color="auto" w:fill="auto"/>
            <w:noWrap/>
            <w:vAlign w:val="center"/>
            <w:hideMark/>
          </w:tcPr>
          <w:p w14:paraId="7479A15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33,5</w:t>
            </w:r>
          </w:p>
        </w:tc>
        <w:tc>
          <w:tcPr>
            <w:tcW w:w="0" w:type="auto"/>
            <w:tcBorders>
              <w:top w:val="nil"/>
              <w:left w:val="nil"/>
              <w:bottom w:val="single" w:sz="4" w:space="0" w:color="auto"/>
              <w:right w:val="single" w:sz="4" w:space="0" w:color="auto"/>
            </w:tcBorders>
            <w:shd w:val="clear" w:color="auto" w:fill="auto"/>
            <w:noWrap/>
            <w:vAlign w:val="center"/>
            <w:hideMark/>
          </w:tcPr>
          <w:p w14:paraId="792EDB9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38,0</w:t>
            </w:r>
          </w:p>
        </w:tc>
        <w:tc>
          <w:tcPr>
            <w:tcW w:w="0" w:type="auto"/>
            <w:tcBorders>
              <w:top w:val="nil"/>
              <w:left w:val="nil"/>
              <w:bottom w:val="single" w:sz="4" w:space="0" w:color="auto"/>
              <w:right w:val="single" w:sz="4" w:space="0" w:color="auto"/>
            </w:tcBorders>
            <w:shd w:val="clear" w:color="auto" w:fill="auto"/>
            <w:noWrap/>
            <w:vAlign w:val="center"/>
            <w:hideMark/>
          </w:tcPr>
          <w:p w14:paraId="15AB4C8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38,7</w:t>
            </w:r>
          </w:p>
        </w:tc>
      </w:tr>
      <w:tr w:rsidR="00F04FA7" w:rsidRPr="00F506D4" w14:paraId="68B2D7D8" w14:textId="77777777" w:rsidTr="00687CD9">
        <w:trPr>
          <w:trHeight w:val="325"/>
        </w:trPr>
        <w:tc>
          <w:tcPr>
            <w:tcW w:w="1195" w:type="dxa"/>
            <w:vMerge/>
            <w:tcBorders>
              <w:top w:val="nil"/>
              <w:left w:val="single" w:sz="4" w:space="0" w:color="auto"/>
              <w:bottom w:val="single" w:sz="4" w:space="0" w:color="000000"/>
              <w:right w:val="single" w:sz="4" w:space="0" w:color="auto"/>
            </w:tcBorders>
            <w:vAlign w:val="center"/>
            <w:hideMark/>
          </w:tcPr>
          <w:p w14:paraId="127169FA" w14:textId="77777777" w:rsidR="00F04FA7" w:rsidRPr="006A3169" w:rsidRDefault="00F04FA7" w:rsidP="000B7682">
            <w:pPr>
              <w:spacing w:after="0"/>
              <w:ind w:firstLine="0"/>
              <w:jc w:val="left"/>
              <w:rPr>
                <w:rFonts w:eastAsia="Times New Roman" w:cs="Times New Roman"/>
                <w:sz w:val="18"/>
                <w:szCs w:val="18"/>
              </w:rPr>
            </w:pPr>
          </w:p>
        </w:tc>
        <w:tc>
          <w:tcPr>
            <w:tcW w:w="5178" w:type="dxa"/>
            <w:gridSpan w:val="3"/>
            <w:tcBorders>
              <w:top w:val="single" w:sz="4" w:space="0" w:color="auto"/>
              <w:left w:val="nil"/>
              <w:bottom w:val="single" w:sz="4" w:space="0" w:color="auto"/>
              <w:right w:val="single" w:sz="4" w:space="0" w:color="000000"/>
            </w:tcBorders>
            <w:shd w:val="clear" w:color="auto" w:fill="BDD6EE" w:themeFill="accent1" w:themeFillTint="66"/>
            <w:vAlign w:val="center"/>
            <w:hideMark/>
          </w:tcPr>
          <w:p w14:paraId="23FB5AD6"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Kopā PVN</w:t>
            </w:r>
          </w:p>
        </w:tc>
        <w:tc>
          <w:tcPr>
            <w:tcW w:w="0" w:type="auto"/>
            <w:tcBorders>
              <w:top w:val="nil"/>
              <w:left w:val="nil"/>
              <w:bottom w:val="single" w:sz="4" w:space="0" w:color="auto"/>
              <w:right w:val="single" w:sz="4" w:space="0" w:color="auto"/>
            </w:tcBorders>
            <w:shd w:val="clear" w:color="auto" w:fill="auto"/>
            <w:noWrap/>
            <w:vAlign w:val="center"/>
            <w:hideMark/>
          </w:tcPr>
          <w:p w14:paraId="7CD8945D"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18,0</w:t>
            </w:r>
          </w:p>
        </w:tc>
        <w:tc>
          <w:tcPr>
            <w:tcW w:w="0" w:type="auto"/>
            <w:tcBorders>
              <w:top w:val="nil"/>
              <w:left w:val="nil"/>
              <w:bottom w:val="single" w:sz="4" w:space="0" w:color="auto"/>
              <w:right w:val="single" w:sz="4" w:space="0" w:color="auto"/>
            </w:tcBorders>
            <w:shd w:val="clear" w:color="auto" w:fill="auto"/>
            <w:noWrap/>
            <w:vAlign w:val="center"/>
            <w:hideMark/>
          </w:tcPr>
          <w:p w14:paraId="1BC09EB6"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32,2</w:t>
            </w:r>
          </w:p>
        </w:tc>
        <w:tc>
          <w:tcPr>
            <w:tcW w:w="0" w:type="auto"/>
            <w:tcBorders>
              <w:top w:val="nil"/>
              <w:left w:val="nil"/>
              <w:bottom w:val="single" w:sz="4" w:space="0" w:color="auto"/>
              <w:right w:val="single" w:sz="4" w:space="0" w:color="auto"/>
            </w:tcBorders>
            <w:shd w:val="clear" w:color="auto" w:fill="auto"/>
            <w:noWrap/>
            <w:vAlign w:val="center"/>
            <w:hideMark/>
          </w:tcPr>
          <w:p w14:paraId="47956763"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29,8</w:t>
            </w:r>
          </w:p>
        </w:tc>
        <w:tc>
          <w:tcPr>
            <w:tcW w:w="0" w:type="auto"/>
            <w:tcBorders>
              <w:top w:val="nil"/>
              <w:left w:val="nil"/>
              <w:bottom w:val="single" w:sz="4" w:space="0" w:color="auto"/>
              <w:right w:val="single" w:sz="4" w:space="0" w:color="auto"/>
            </w:tcBorders>
            <w:shd w:val="clear" w:color="auto" w:fill="auto"/>
            <w:noWrap/>
            <w:vAlign w:val="center"/>
            <w:hideMark/>
          </w:tcPr>
          <w:p w14:paraId="49AC0E71"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28,6</w:t>
            </w:r>
          </w:p>
        </w:tc>
      </w:tr>
      <w:tr w:rsidR="00A82412" w:rsidRPr="00F506D4" w14:paraId="4829DF35" w14:textId="77777777" w:rsidTr="00687CD9">
        <w:trPr>
          <w:trHeight w:val="20"/>
        </w:trPr>
        <w:tc>
          <w:tcPr>
            <w:tcW w:w="1195" w:type="dxa"/>
            <w:vMerge w:val="restart"/>
            <w:tcBorders>
              <w:top w:val="nil"/>
              <w:left w:val="single" w:sz="4" w:space="0" w:color="auto"/>
              <w:bottom w:val="single" w:sz="4" w:space="0" w:color="000000"/>
              <w:right w:val="single" w:sz="4" w:space="0" w:color="auto"/>
            </w:tcBorders>
            <w:shd w:val="clear" w:color="auto" w:fill="auto"/>
            <w:vAlign w:val="center"/>
            <w:hideMark/>
          </w:tcPr>
          <w:p w14:paraId="300F6EA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AN likmju izmaiņas</w:t>
            </w:r>
          </w:p>
        </w:tc>
        <w:tc>
          <w:tcPr>
            <w:tcW w:w="2628" w:type="dxa"/>
            <w:tcBorders>
              <w:top w:val="nil"/>
              <w:left w:val="nil"/>
              <w:bottom w:val="single" w:sz="4" w:space="0" w:color="auto"/>
              <w:right w:val="single" w:sz="4" w:space="0" w:color="auto"/>
            </w:tcBorders>
            <w:shd w:val="clear" w:color="auto" w:fill="auto"/>
            <w:vAlign w:val="center"/>
            <w:hideMark/>
          </w:tcPr>
          <w:p w14:paraId="5B15002A"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likmju pakāpeniska paaugstināšana degvielai, ietverot akcīzes nodoklī CO</w:t>
            </w:r>
            <w:r w:rsidRPr="006A3169">
              <w:rPr>
                <w:rFonts w:eastAsia="Times New Roman" w:cs="Times New Roman"/>
                <w:sz w:val="18"/>
                <w:szCs w:val="18"/>
                <w:vertAlign w:val="subscript"/>
              </w:rPr>
              <w:t>2</w:t>
            </w:r>
            <w:r w:rsidRPr="006A3169">
              <w:rPr>
                <w:rFonts w:eastAsia="Times New Roman" w:cs="Times New Roman"/>
                <w:sz w:val="18"/>
                <w:szCs w:val="18"/>
              </w:rPr>
              <w:t xml:space="preserve"> komponenti </w:t>
            </w:r>
          </w:p>
        </w:tc>
        <w:tc>
          <w:tcPr>
            <w:tcW w:w="1193" w:type="dxa"/>
            <w:tcBorders>
              <w:top w:val="nil"/>
              <w:left w:val="nil"/>
              <w:bottom w:val="single" w:sz="4" w:space="0" w:color="auto"/>
              <w:right w:val="single" w:sz="4" w:space="0" w:color="auto"/>
            </w:tcBorders>
            <w:shd w:val="clear" w:color="auto" w:fill="auto"/>
            <w:vAlign w:val="center"/>
            <w:hideMark/>
          </w:tcPr>
          <w:p w14:paraId="4FB442F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AN</w:t>
            </w:r>
          </w:p>
        </w:tc>
        <w:tc>
          <w:tcPr>
            <w:tcW w:w="1357" w:type="dxa"/>
            <w:tcBorders>
              <w:top w:val="nil"/>
              <w:left w:val="nil"/>
              <w:bottom w:val="single" w:sz="4" w:space="0" w:color="auto"/>
              <w:right w:val="single" w:sz="4" w:space="0" w:color="auto"/>
            </w:tcBorders>
            <w:shd w:val="clear" w:color="auto" w:fill="auto"/>
            <w:vAlign w:val="center"/>
            <w:hideMark/>
          </w:tcPr>
          <w:p w14:paraId="517AEE27"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40F2CE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27,3</w:t>
            </w:r>
          </w:p>
        </w:tc>
        <w:tc>
          <w:tcPr>
            <w:tcW w:w="0" w:type="auto"/>
            <w:tcBorders>
              <w:top w:val="nil"/>
              <w:left w:val="nil"/>
              <w:bottom w:val="single" w:sz="4" w:space="0" w:color="auto"/>
              <w:right w:val="single" w:sz="4" w:space="0" w:color="auto"/>
            </w:tcBorders>
            <w:shd w:val="clear" w:color="auto" w:fill="auto"/>
            <w:noWrap/>
            <w:vAlign w:val="center"/>
            <w:hideMark/>
          </w:tcPr>
          <w:p w14:paraId="05397DF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51,7</w:t>
            </w:r>
          </w:p>
        </w:tc>
        <w:tc>
          <w:tcPr>
            <w:tcW w:w="0" w:type="auto"/>
            <w:tcBorders>
              <w:top w:val="nil"/>
              <w:left w:val="nil"/>
              <w:bottom w:val="single" w:sz="4" w:space="0" w:color="auto"/>
              <w:right w:val="single" w:sz="4" w:space="0" w:color="auto"/>
            </w:tcBorders>
            <w:shd w:val="clear" w:color="auto" w:fill="auto"/>
            <w:noWrap/>
            <w:vAlign w:val="center"/>
            <w:hideMark/>
          </w:tcPr>
          <w:p w14:paraId="09A3536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4,8</w:t>
            </w:r>
          </w:p>
        </w:tc>
        <w:tc>
          <w:tcPr>
            <w:tcW w:w="0" w:type="auto"/>
            <w:tcBorders>
              <w:top w:val="nil"/>
              <w:left w:val="nil"/>
              <w:bottom w:val="single" w:sz="4" w:space="0" w:color="auto"/>
              <w:right w:val="single" w:sz="4" w:space="0" w:color="auto"/>
            </w:tcBorders>
            <w:shd w:val="clear" w:color="auto" w:fill="auto"/>
            <w:noWrap/>
            <w:vAlign w:val="center"/>
            <w:hideMark/>
          </w:tcPr>
          <w:p w14:paraId="59C3D0B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r>
      <w:tr w:rsidR="00A82412" w:rsidRPr="00F506D4" w14:paraId="2A7BF8A0"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0964C3FB"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79BF31D9"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likmju pakāpeniska paaugstināšana degvielai, dabasgāzei un naftas gāzēm, ko izmanto par kurināmo</w:t>
            </w:r>
          </w:p>
        </w:tc>
        <w:tc>
          <w:tcPr>
            <w:tcW w:w="1193" w:type="dxa"/>
            <w:tcBorders>
              <w:top w:val="nil"/>
              <w:left w:val="nil"/>
              <w:bottom w:val="single" w:sz="4" w:space="0" w:color="auto"/>
              <w:right w:val="single" w:sz="4" w:space="0" w:color="auto"/>
            </w:tcBorders>
            <w:shd w:val="clear" w:color="auto" w:fill="auto"/>
            <w:vAlign w:val="center"/>
            <w:hideMark/>
          </w:tcPr>
          <w:p w14:paraId="36E83E7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AN</w:t>
            </w:r>
          </w:p>
        </w:tc>
        <w:tc>
          <w:tcPr>
            <w:tcW w:w="1357" w:type="dxa"/>
            <w:tcBorders>
              <w:top w:val="nil"/>
              <w:left w:val="nil"/>
              <w:bottom w:val="single" w:sz="4" w:space="0" w:color="auto"/>
              <w:right w:val="single" w:sz="4" w:space="0" w:color="auto"/>
            </w:tcBorders>
            <w:shd w:val="clear" w:color="auto" w:fill="auto"/>
            <w:vAlign w:val="center"/>
            <w:hideMark/>
          </w:tcPr>
          <w:p w14:paraId="06B1B6D9"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AC0653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4,4</w:t>
            </w:r>
          </w:p>
        </w:tc>
        <w:tc>
          <w:tcPr>
            <w:tcW w:w="0" w:type="auto"/>
            <w:tcBorders>
              <w:top w:val="nil"/>
              <w:left w:val="nil"/>
              <w:bottom w:val="single" w:sz="4" w:space="0" w:color="auto"/>
              <w:right w:val="single" w:sz="4" w:space="0" w:color="auto"/>
            </w:tcBorders>
            <w:shd w:val="clear" w:color="auto" w:fill="auto"/>
            <w:noWrap/>
            <w:vAlign w:val="center"/>
            <w:hideMark/>
          </w:tcPr>
          <w:p w14:paraId="71F7ECA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7,9</w:t>
            </w:r>
          </w:p>
        </w:tc>
        <w:tc>
          <w:tcPr>
            <w:tcW w:w="0" w:type="auto"/>
            <w:tcBorders>
              <w:top w:val="nil"/>
              <w:left w:val="nil"/>
              <w:bottom w:val="single" w:sz="4" w:space="0" w:color="auto"/>
              <w:right w:val="single" w:sz="4" w:space="0" w:color="auto"/>
            </w:tcBorders>
            <w:shd w:val="clear" w:color="auto" w:fill="auto"/>
            <w:noWrap/>
            <w:vAlign w:val="center"/>
            <w:hideMark/>
          </w:tcPr>
          <w:p w14:paraId="4F3DF42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11,7</w:t>
            </w:r>
          </w:p>
        </w:tc>
        <w:tc>
          <w:tcPr>
            <w:tcW w:w="0" w:type="auto"/>
            <w:tcBorders>
              <w:top w:val="nil"/>
              <w:left w:val="nil"/>
              <w:bottom w:val="single" w:sz="4" w:space="0" w:color="auto"/>
              <w:right w:val="single" w:sz="4" w:space="0" w:color="auto"/>
            </w:tcBorders>
            <w:shd w:val="clear" w:color="auto" w:fill="auto"/>
            <w:noWrap/>
            <w:vAlign w:val="center"/>
            <w:hideMark/>
          </w:tcPr>
          <w:p w14:paraId="16CBFB7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12,1</w:t>
            </w:r>
          </w:p>
        </w:tc>
      </w:tr>
      <w:tr w:rsidR="00A82412" w:rsidRPr="00F506D4" w14:paraId="30FA783D"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70FDE285"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56E804B2"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atbrīvojuma atcelšana naftas produktiem, kurus izmanto elektroenerģijas ražošanā un koģenerācijā</w:t>
            </w:r>
          </w:p>
        </w:tc>
        <w:tc>
          <w:tcPr>
            <w:tcW w:w="1193" w:type="dxa"/>
            <w:tcBorders>
              <w:top w:val="nil"/>
              <w:left w:val="nil"/>
              <w:bottom w:val="single" w:sz="4" w:space="0" w:color="auto"/>
              <w:right w:val="single" w:sz="4" w:space="0" w:color="auto"/>
            </w:tcBorders>
            <w:shd w:val="clear" w:color="auto" w:fill="auto"/>
            <w:vAlign w:val="center"/>
            <w:hideMark/>
          </w:tcPr>
          <w:p w14:paraId="1E090E9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AN</w:t>
            </w:r>
          </w:p>
        </w:tc>
        <w:tc>
          <w:tcPr>
            <w:tcW w:w="1357" w:type="dxa"/>
            <w:tcBorders>
              <w:top w:val="nil"/>
              <w:left w:val="nil"/>
              <w:bottom w:val="single" w:sz="4" w:space="0" w:color="auto"/>
              <w:right w:val="single" w:sz="4" w:space="0" w:color="auto"/>
            </w:tcBorders>
            <w:shd w:val="clear" w:color="auto" w:fill="auto"/>
            <w:vAlign w:val="center"/>
            <w:hideMark/>
          </w:tcPr>
          <w:p w14:paraId="5C8155E0"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8C853D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0,2</w:t>
            </w:r>
          </w:p>
        </w:tc>
        <w:tc>
          <w:tcPr>
            <w:tcW w:w="0" w:type="auto"/>
            <w:tcBorders>
              <w:top w:val="nil"/>
              <w:left w:val="nil"/>
              <w:bottom w:val="single" w:sz="4" w:space="0" w:color="auto"/>
              <w:right w:val="single" w:sz="4" w:space="0" w:color="auto"/>
            </w:tcBorders>
            <w:shd w:val="clear" w:color="auto" w:fill="auto"/>
            <w:noWrap/>
            <w:vAlign w:val="center"/>
            <w:hideMark/>
          </w:tcPr>
          <w:p w14:paraId="6845DE7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0,3</w:t>
            </w:r>
          </w:p>
        </w:tc>
        <w:tc>
          <w:tcPr>
            <w:tcW w:w="0" w:type="auto"/>
            <w:tcBorders>
              <w:top w:val="nil"/>
              <w:left w:val="nil"/>
              <w:bottom w:val="single" w:sz="4" w:space="0" w:color="auto"/>
              <w:right w:val="single" w:sz="4" w:space="0" w:color="auto"/>
            </w:tcBorders>
            <w:shd w:val="clear" w:color="auto" w:fill="auto"/>
            <w:noWrap/>
            <w:vAlign w:val="center"/>
            <w:hideMark/>
          </w:tcPr>
          <w:p w14:paraId="5B742FE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0,4</w:t>
            </w:r>
          </w:p>
        </w:tc>
        <w:tc>
          <w:tcPr>
            <w:tcW w:w="0" w:type="auto"/>
            <w:tcBorders>
              <w:top w:val="nil"/>
              <w:left w:val="nil"/>
              <w:bottom w:val="single" w:sz="4" w:space="0" w:color="auto"/>
              <w:right w:val="single" w:sz="4" w:space="0" w:color="auto"/>
            </w:tcBorders>
            <w:shd w:val="clear" w:color="auto" w:fill="auto"/>
            <w:noWrap/>
            <w:vAlign w:val="center"/>
            <w:hideMark/>
          </w:tcPr>
          <w:p w14:paraId="135EA55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0,5</w:t>
            </w:r>
          </w:p>
        </w:tc>
      </w:tr>
      <w:tr w:rsidR="00A82412" w:rsidRPr="00F506D4" w14:paraId="7984C795"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13E39062"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1C26B960"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paaugstināšana alkoholiskajiem dzērieniem un alum</w:t>
            </w:r>
          </w:p>
        </w:tc>
        <w:tc>
          <w:tcPr>
            <w:tcW w:w="1193" w:type="dxa"/>
            <w:tcBorders>
              <w:top w:val="nil"/>
              <w:left w:val="nil"/>
              <w:bottom w:val="single" w:sz="4" w:space="0" w:color="auto"/>
              <w:right w:val="single" w:sz="4" w:space="0" w:color="auto"/>
            </w:tcBorders>
            <w:shd w:val="clear" w:color="auto" w:fill="auto"/>
            <w:vAlign w:val="center"/>
            <w:hideMark/>
          </w:tcPr>
          <w:p w14:paraId="14A24D1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AN</w:t>
            </w:r>
          </w:p>
        </w:tc>
        <w:tc>
          <w:tcPr>
            <w:tcW w:w="1357" w:type="dxa"/>
            <w:tcBorders>
              <w:top w:val="nil"/>
              <w:left w:val="nil"/>
              <w:bottom w:val="single" w:sz="4" w:space="0" w:color="auto"/>
              <w:right w:val="single" w:sz="4" w:space="0" w:color="auto"/>
            </w:tcBorders>
            <w:shd w:val="clear" w:color="auto" w:fill="auto"/>
            <w:vAlign w:val="center"/>
            <w:hideMark/>
          </w:tcPr>
          <w:p w14:paraId="3173AA65"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D5CAC0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2740390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65D862A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7,0</w:t>
            </w:r>
          </w:p>
        </w:tc>
        <w:tc>
          <w:tcPr>
            <w:tcW w:w="0" w:type="auto"/>
            <w:tcBorders>
              <w:top w:val="nil"/>
              <w:left w:val="nil"/>
              <w:bottom w:val="single" w:sz="4" w:space="0" w:color="auto"/>
              <w:right w:val="single" w:sz="4" w:space="0" w:color="auto"/>
            </w:tcBorders>
            <w:shd w:val="clear" w:color="auto" w:fill="auto"/>
            <w:noWrap/>
            <w:vAlign w:val="center"/>
            <w:hideMark/>
          </w:tcPr>
          <w:p w14:paraId="394DD22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6,0</w:t>
            </w:r>
          </w:p>
        </w:tc>
      </w:tr>
      <w:tr w:rsidR="00A82412" w:rsidRPr="00F506D4" w14:paraId="02B5266D"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75E9AB04"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2052BD74"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paaugstināšana tabakas izstrādājumiem un pēc izmantošanas mērķa līdzīgiem produktiem</w:t>
            </w:r>
          </w:p>
        </w:tc>
        <w:tc>
          <w:tcPr>
            <w:tcW w:w="1193" w:type="dxa"/>
            <w:tcBorders>
              <w:top w:val="nil"/>
              <w:left w:val="nil"/>
              <w:bottom w:val="single" w:sz="4" w:space="0" w:color="auto"/>
              <w:right w:val="single" w:sz="4" w:space="0" w:color="auto"/>
            </w:tcBorders>
            <w:shd w:val="clear" w:color="auto" w:fill="auto"/>
            <w:vAlign w:val="center"/>
            <w:hideMark/>
          </w:tcPr>
          <w:p w14:paraId="213ACE8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AN</w:t>
            </w:r>
          </w:p>
        </w:tc>
        <w:tc>
          <w:tcPr>
            <w:tcW w:w="1357" w:type="dxa"/>
            <w:tcBorders>
              <w:top w:val="nil"/>
              <w:left w:val="nil"/>
              <w:bottom w:val="single" w:sz="4" w:space="0" w:color="auto"/>
              <w:right w:val="single" w:sz="4" w:space="0" w:color="auto"/>
            </w:tcBorders>
            <w:shd w:val="clear" w:color="auto" w:fill="auto"/>
            <w:vAlign w:val="center"/>
            <w:hideMark/>
          </w:tcPr>
          <w:p w14:paraId="6810E9A7"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BE08DB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20AACFA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53EDD9E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10,6</w:t>
            </w:r>
          </w:p>
        </w:tc>
        <w:tc>
          <w:tcPr>
            <w:tcW w:w="0" w:type="auto"/>
            <w:tcBorders>
              <w:top w:val="nil"/>
              <w:left w:val="nil"/>
              <w:bottom w:val="single" w:sz="4" w:space="0" w:color="auto"/>
              <w:right w:val="single" w:sz="4" w:space="0" w:color="auto"/>
            </w:tcBorders>
            <w:shd w:val="clear" w:color="auto" w:fill="auto"/>
            <w:noWrap/>
            <w:vAlign w:val="center"/>
            <w:hideMark/>
          </w:tcPr>
          <w:p w14:paraId="66CDDD7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8,1</w:t>
            </w:r>
          </w:p>
        </w:tc>
      </w:tr>
      <w:tr w:rsidR="00A82412" w:rsidRPr="00F506D4" w14:paraId="3A7CFD98"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7A8FC610"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78AE42EE"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AN paaugstināšana bezalkoholiskajiem dzērieniem ar cukura saturu līdz 8 g uz 100 ml</w:t>
            </w:r>
          </w:p>
        </w:tc>
        <w:tc>
          <w:tcPr>
            <w:tcW w:w="1193" w:type="dxa"/>
            <w:tcBorders>
              <w:top w:val="nil"/>
              <w:left w:val="nil"/>
              <w:bottom w:val="single" w:sz="4" w:space="0" w:color="auto"/>
              <w:right w:val="single" w:sz="4" w:space="0" w:color="auto"/>
            </w:tcBorders>
            <w:shd w:val="clear" w:color="auto" w:fill="auto"/>
            <w:vAlign w:val="center"/>
            <w:hideMark/>
          </w:tcPr>
          <w:p w14:paraId="504AA39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AN</w:t>
            </w:r>
          </w:p>
        </w:tc>
        <w:tc>
          <w:tcPr>
            <w:tcW w:w="1357" w:type="dxa"/>
            <w:tcBorders>
              <w:top w:val="nil"/>
              <w:left w:val="nil"/>
              <w:bottom w:val="single" w:sz="4" w:space="0" w:color="auto"/>
              <w:right w:val="single" w:sz="4" w:space="0" w:color="auto"/>
            </w:tcBorders>
            <w:shd w:val="clear" w:color="auto" w:fill="auto"/>
            <w:vAlign w:val="center"/>
            <w:hideMark/>
          </w:tcPr>
          <w:p w14:paraId="5A73A150"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1006DC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2,8</w:t>
            </w:r>
          </w:p>
        </w:tc>
        <w:tc>
          <w:tcPr>
            <w:tcW w:w="0" w:type="auto"/>
            <w:tcBorders>
              <w:top w:val="nil"/>
              <w:left w:val="nil"/>
              <w:bottom w:val="single" w:sz="4" w:space="0" w:color="auto"/>
              <w:right w:val="single" w:sz="4" w:space="0" w:color="auto"/>
            </w:tcBorders>
            <w:shd w:val="clear" w:color="auto" w:fill="auto"/>
            <w:noWrap/>
            <w:vAlign w:val="center"/>
            <w:hideMark/>
          </w:tcPr>
          <w:p w14:paraId="287F49F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c>
          <w:tcPr>
            <w:tcW w:w="0" w:type="auto"/>
            <w:tcBorders>
              <w:top w:val="nil"/>
              <w:left w:val="nil"/>
              <w:bottom w:val="single" w:sz="4" w:space="0" w:color="auto"/>
              <w:right w:val="single" w:sz="4" w:space="0" w:color="auto"/>
            </w:tcBorders>
            <w:shd w:val="clear" w:color="auto" w:fill="auto"/>
            <w:noWrap/>
            <w:vAlign w:val="center"/>
            <w:hideMark/>
          </w:tcPr>
          <w:p w14:paraId="3645AC8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c>
          <w:tcPr>
            <w:tcW w:w="0" w:type="auto"/>
            <w:tcBorders>
              <w:top w:val="nil"/>
              <w:left w:val="nil"/>
              <w:bottom w:val="single" w:sz="4" w:space="0" w:color="auto"/>
              <w:right w:val="single" w:sz="4" w:space="0" w:color="auto"/>
            </w:tcBorders>
            <w:shd w:val="clear" w:color="auto" w:fill="auto"/>
            <w:noWrap/>
            <w:vAlign w:val="center"/>
            <w:hideMark/>
          </w:tcPr>
          <w:p w14:paraId="29F86D1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r>
      <w:tr w:rsidR="00F04FA7" w:rsidRPr="00F506D4" w14:paraId="4CBC5F11" w14:textId="77777777" w:rsidTr="00687CD9">
        <w:trPr>
          <w:trHeight w:val="273"/>
        </w:trPr>
        <w:tc>
          <w:tcPr>
            <w:tcW w:w="1195" w:type="dxa"/>
            <w:vMerge/>
            <w:tcBorders>
              <w:top w:val="nil"/>
              <w:left w:val="single" w:sz="4" w:space="0" w:color="auto"/>
              <w:bottom w:val="single" w:sz="4" w:space="0" w:color="000000"/>
              <w:right w:val="single" w:sz="4" w:space="0" w:color="auto"/>
            </w:tcBorders>
            <w:vAlign w:val="center"/>
            <w:hideMark/>
          </w:tcPr>
          <w:p w14:paraId="68197094" w14:textId="77777777" w:rsidR="00F04FA7" w:rsidRPr="006A3169" w:rsidRDefault="00F04FA7" w:rsidP="000B7682">
            <w:pPr>
              <w:spacing w:after="0"/>
              <w:ind w:firstLine="0"/>
              <w:jc w:val="left"/>
              <w:rPr>
                <w:rFonts w:eastAsia="Times New Roman" w:cs="Times New Roman"/>
                <w:sz w:val="18"/>
                <w:szCs w:val="18"/>
              </w:rPr>
            </w:pPr>
          </w:p>
        </w:tc>
        <w:tc>
          <w:tcPr>
            <w:tcW w:w="5178" w:type="dxa"/>
            <w:gridSpan w:val="3"/>
            <w:tcBorders>
              <w:top w:val="single" w:sz="4" w:space="0" w:color="auto"/>
              <w:left w:val="nil"/>
              <w:bottom w:val="single" w:sz="4" w:space="0" w:color="auto"/>
              <w:right w:val="single" w:sz="4" w:space="0" w:color="000000"/>
            </w:tcBorders>
            <w:shd w:val="clear" w:color="auto" w:fill="BDD6EE" w:themeFill="accent1" w:themeFillTint="66"/>
            <w:vAlign w:val="center"/>
            <w:hideMark/>
          </w:tcPr>
          <w:p w14:paraId="3300DF18"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Kopā AN</w:t>
            </w:r>
          </w:p>
        </w:tc>
        <w:tc>
          <w:tcPr>
            <w:tcW w:w="0" w:type="auto"/>
            <w:tcBorders>
              <w:top w:val="nil"/>
              <w:left w:val="nil"/>
              <w:bottom w:val="single" w:sz="4" w:space="0" w:color="auto"/>
              <w:right w:val="single" w:sz="4" w:space="0" w:color="auto"/>
            </w:tcBorders>
            <w:shd w:val="clear" w:color="auto" w:fill="auto"/>
            <w:noWrap/>
            <w:vAlign w:val="center"/>
            <w:hideMark/>
          </w:tcPr>
          <w:p w14:paraId="437B62D3"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34,6</w:t>
            </w:r>
          </w:p>
        </w:tc>
        <w:tc>
          <w:tcPr>
            <w:tcW w:w="0" w:type="auto"/>
            <w:tcBorders>
              <w:top w:val="nil"/>
              <w:left w:val="nil"/>
              <w:bottom w:val="single" w:sz="4" w:space="0" w:color="auto"/>
              <w:right w:val="single" w:sz="4" w:space="0" w:color="auto"/>
            </w:tcBorders>
            <w:shd w:val="clear" w:color="auto" w:fill="auto"/>
            <w:noWrap/>
            <w:vAlign w:val="center"/>
            <w:hideMark/>
          </w:tcPr>
          <w:p w14:paraId="6F8B20F3"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62,8</w:t>
            </w:r>
          </w:p>
        </w:tc>
        <w:tc>
          <w:tcPr>
            <w:tcW w:w="0" w:type="auto"/>
            <w:tcBorders>
              <w:top w:val="nil"/>
              <w:left w:val="nil"/>
              <w:bottom w:val="single" w:sz="4" w:space="0" w:color="auto"/>
              <w:right w:val="single" w:sz="4" w:space="0" w:color="auto"/>
            </w:tcBorders>
            <w:shd w:val="clear" w:color="auto" w:fill="auto"/>
            <w:noWrap/>
            <w:vAlign w:val="center"/>
            <w:hideMark/>
          </w:tcPr>
          <w:p w14:paraId="477C047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37,5</w:t>
            </w:r>
          </w:p>
        </w:tc>
        <w:tc>
          <w:tcPr>
            <w:tcW w:w="0" w:type="auto"/>
            <w:tcBorders>
              <w:top w:val="nil"/>
              <w:left w:val="nil"/>
              <w:bottom w:val="single" w:sz="4" w:space="0" w:color="auto"/>
              <w:right w:val="single" w:sz="4" w:space="0" w:color="auto"/>
            </w:tcBorders>
            <w:shd w:val="clear" w:color="auto" w:fill="auto"/>
            <w:noWrap/>
            <w:vAlign w:val="center"/>
            <w:hideMark/>
          </w:tcPr>
          <w:p w14:paraId="7BC4ECC6"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29,6</w:t>
            </w:r>
          </w:p>
        </w:tc>
      </w:tr>
      <w:tr w:rsidR="00A82412" w:rsidRPr="00F506D4" w14:paraId="5CE703A8"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vAlign w:val="center"/>
            <w:hideMark/>
          </w:tcPr>
          <w:p w14:paraId="7197E1D2" w14:textId="13EE1AB8"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DRN likmes palielināšana akmeņoglē</w:t>
            </w:r>
            <w:r w:rsidR="00A82412" w:rsidRPr="006A3169">
              <w:rPr>
                <w:rFonts w:eastAsia="Times New Roman" w:cs="Times New Roman"/>
                <w:sz w:val="18"/>
                <w:szCs w:val="18"/>
              </w:rPr>
              <w:t xml:space="preserve">m, </w:t>
            </w:r>
            <w:r w:rsidRPr="006A3169">
              <w:rPr>
                <w:rFonts w:eastAsia="Times New Roman" w:cs="Times New Roman"/>
                <w:sz w:val="18"/>
                <w:szCs w:val="18"/>
              </w:rPr>
              <w:t xml:space="preserve">koksam un </w:t>
            </w:r>
            <w:proofErr w:type="spellStart"/>
            <w:r w:rsidRPr="006A3169">
              <w:rPr>
                <w:rFonts w:eastAsia="Times New Roman" w:cs="Times New Roman"/>
                <w:sz w:val="18"/>
                <w:szCs w:val="18"/>
              </w:rPr>
              <w:t>lignītam</w:t>
            </w:r>
            <w:proofErr w:type="spellEnd"/>
            <w:r w:rsidRPr="006A3169">
              <w:rPr>
                <w:rFonts w:eastAsia="Times New Roman" w:cs="Times New Roman"/>
                <w:sz w:val="18"/>
                <w:szCs w:val="18"/>
              </w:rPr>
              <w:t xml:space="preserve"> (brūnoglēm)</w:t>
            </w:r>
          </w:p>
        </w:tc>
        <w:tc>
          <w:tcPr>
            <w:tcW w:w="2628" w:type="dxa"/>
            <w:tcBorders>
              <w:top w:val="nil"/>
              <w:left w:val="nil"/>
              <w:bottom w:val="single" w:sz="4" w:space="0" w:color="auto"/>
              <w:right w:val="single" w:sz="4" w:space="0" w:color="auto"/>
            </w:tcBorders>
            <w:shd w:val="clear" w:color="auto" w:fill="auto"/>
            <w:vAlign w:val="center"/>
            <w:hideMark/>
          </w:tcPr>
          <w:p w14:paraId="6ABF1C8A"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 xml:space="preserve">DRN likmes palielināšana akmeņoglēm, koksam un </w:t>
            </w:r>
            <w:proofErr w:type="spellStart"/>
            <w:r w:rsidRPr="006A3169">
              <w:rPr>
                <w:rFonts w:eastAsia="Times New Roman" w:cs="Times New Roman"/>
                <w:sz w:val="18"/>
                <w:szCs w:val="18"/>
              </w:rPr>
              <w:t>lignītam</w:t>
            </w:r>
            <w:proofErr w:type="spellEnd"/>
            <w:r w:rsidRPr="006A3169">
              <w:rPr>
                <w:rFonts w:eastAsia="Times New Roman" w:cs="Times New Roman"/>
                <w:sz w:val="18"/>
                <w:szCs w:val="18"/>
              </w:rPr>
              <w:t xml:space="preserve"> (brūnoglēm)</w:t>
            </w:r>
          </w:p>
        </w:tc>
        <w:tc>
          <w:tcPr>
            <w:tcW w:w="1193" w:type="dxa"/>
            <w:tcBorders>
              <w:top w:val="nil"/>
              <w:left w:val="nil"/>
              <w:bottom w:val="single" w:sz="4" w:space="0" w:color="auto"/>
              <w:right w:val="single" w:sz="4" w:space="0" w:color="auto"/>
            </w:tcBorders>
            <w:shd w:val="clear" w:color="auto" w:fill="auto"/>
            <w:vAlign w:val="center"/>
            <w:hideMark/>
          </w:tcPr>
          <w:p w14:paraId="40B6BFA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DRN</w:t>
            </w:r>
          </w:p>
        </w:tc>
        <w:tc>
          <w:tcPr>
            <w:tcW w:w="1357" w:type="dxa"/>
            <w:tcBorders>
              <w:top w:val="nil"/>
              <w:left w:val="nil"/>
              <w:bottom w:val="single" w:sz="4" w:space="0" w:color="auto"/>
              <w:right w:val="single" w:sz="4" w:space="0" w:color="auto"/>
            </w:tcBorders>
            <w:shd w:val="clear" w:color="auto" w:fill="auto"/>
            <w:vAlign w:val="center"/>
            <w:hideMark/>
          </w:tcPr>
          <w:p w14:paraId="3DE394F4"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ED6375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0,3</w:t>
            </w:r>
          </w:p>
        </w:tc>
        <w:tc>
          <w:tcPr>
            <w:tcW w:w="0" w:type="auto"/>
            <w:tcBorders>
              <w:top w:val="nil"/>
              <w:left w:val="nil"/>
              <w:bottom w:val="single" w:sz="4" w:space="0" w:color="auto"/>
              <w:right w:val="single" w:sz="4" w:space="0" w:color="auto"/>
            </w:tcBorders>
            <w:shd w:val="clear" w:color="auto" w:fill="auto"/>
            <w:noWrap/>
            <w:vAlign w:val="center"/>
            <w:hideMark/>
          </w:tcPr>
          <w:p w14:paraId="5B152718"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0,3</w:t>
            </w:r>
          </w:p>
        </w:tc>
        <w:tc>
          <w:tcPr>
            <w:tcW w:w="0" w:type="auto"/>
            <w:tcBorders>
              <w:top w:val="nil"/>
              <w:left w:val="nil"/>
              <w:bottom w:val="single" w:sz="4" w:space="0" w:color="auto"/>
              <w:right w:val="single" w:sz="4" w:space="0" w:color="auto"/>
            </w:tcBorders>
            <w:shd w:val="clear" w:color="auto" w:fill="auto"/>
            <w:noWrap/>
            <w:vAlign w:val="center"/>
            <w:hideMark/>
          </w:tcPr>
          <w:p w14:paraId="5589A98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0,4</w:t>
            </w:r>
          </w:p>
        </w:tc>
        <w:tc>
          <w:tcPr>
            <w:tcW w:w="0" w:type="auto"/>
            <w:tcBorders>
              <w:top w:val="nil"/>
              <w:left w:val="nil"/>
              <w:bottom w:val="single" w:sz="4" w:space="0" w:color="auto"/>
              <w:right w:val="single" w:sz="4" w:space="0" w:color="auto"/>
            </w:tcBorders>
            <w:shd w:val="clear" w:color="auto" w:fill="auto"/>
            <w:noWrap/>
            <w:vAlign w:val="center"/>
            <w:hideMark/>
          </w:tcPr>
          <w:p w14:paraId="1D3A33EE"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0,4</w:t>
            </w:r>
          </w:p>
        </w:tc>
      </w:tr>
      <w:tr w:rsidR="00A82412" w:rsidRPr="00F506D4" w14:paraId="796682AB"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vAlign w:val="center"/>
            <w:hideMark/>
          </w:tcPr>
          <w:p w14:paraId="258427D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TEN likmju palielināšana un izmaiņas samaksas termiņā</w:t>
            </w:r>
          </w:p>
        </w:tc>
        <w:tc>
          <w:tcPr>
            <w:tcW w:w="2628" w:type="dxa"/>
            <w:tcBorders>
              <w:top w:val="nil"/>
              <w:left w:val="nil"/>
              <w:bottom w:val="single" w:sz="4" w:space="0" w:color="auto"/>
              <w:right w:val="single" w:sz="4" w:space="0" w:color="auto"/>
            </w:tcBorders>
            <w:shd w:val="clear" w:color="auto" w:fill="auto"/>
            <w:vAlign w:val="center"/>
            <w:hideMark/>
          </w:tcPr>
          <w:p w14:paraId="59F9147B"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TEN likmju palielināšana un izmaiņas samaksas termiņā</w:t>
            </w:r>
          </w:p>
        </w:tc>
        <w:tc>
          <w:tcPr>
            <w:tcW w:w="1193" w:type="dxa"/>
            <w:tcBorders>
              <w:top w:val="nil"/>
              <w:left w:val="nil"/>
              <w:bottom w:val="single" w:sz="4" w:space="0" w:color="auto"/>
              <w:right w:val="single" w:sz="4" w:space="0" w:color="auto"/>
            </w:tcBorders>
            <w:shd w:val="clear" w:color="auto" w:fill="auto"/>
            <w:vAlign w:val="center"/>
            <w:hideMark/>
          </w:tcPr>
          <w:p w14:paraId="4393A76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TEN</w:t>
            </w:r>
          </w:p>
        </w:tc>
        <w:tc>
          <w:tcPr>
            <w:tcW w:w="1357" w:type="dxa"/>
            <w:tcBorders>
              <w:top w:val="nil"/>
              <w:left w:val="nil"/>
              <w:bottom w:val="single" w:sz="4" w:space="0" w:color="auto"/>
              <w:right w:val="single" w:sz="4" w:space="0" w:color="auto"/>
            </w:tcBorders>
            <w:shd w:val="clear" w:color="auto" w:fill="auto"/>
            <w:vAlign w:val="center"/>
            <w:hideMark/>
          </w:tcPr>
          <w:p w14:paraId="128AB3ED"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6E254ED5"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11,4</w:t>
            </w:r>
          </w:p>
        </w:tc>
        <w:tc>
          <w:tcPr>
            <w:tcW w:w="0" w:type="auto"/>
            <w:tcBorders>
              <w:top w:val="nil"/>
              <w:left w:val="nil"/>
              <w:bottom w:val="single" w:sz="4" w:space="0" w:color="auto"/>
              <w:right w:val="single" w:sz="4" w:space="0" w:color="auto"/>
            </w:tcBorders>
            <w:shd w:val="clear" w:color="auto" w:fill="auto"/>
            <w:noWrap/>
            <w:vAlign w:val="bottom"/>
            <w:hideMark/>
          </w:tcPr>
          <w:p w14:paraId="284E2303"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12,0</w:t>
            </w:r>
          </w:p>
        </w:tc>
        <w:tc>
          <w:tcPr>
            <w:tcW w:w="0" w:type="auto"/>
            <w:tcBorders>
              <w:top w:val="nil"/>
              <w:left w:val="nil"/>
              <w:bottom w:val="single" w:sz="4" w:space="0" w:color="auto"/>
              <w:right w:val="single" w:sz="4" w:space="0" w:color="auto"/>
            </w:tcBorders>
            <w:shd w:val="clear" w:color="auto" w:fill="auto"/>
            <w:noWrap/>
            <w:vAlign w:val="bottom"/>
            <w:hideMark/>
          </w:tcPr>
          <w:p w14:paraId="58A1F7A4"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12,7</w:t>
            </w:r>
          </w:p>
        </w:tc>
        <w:tc>
          <w:tcPr>
            <w:tcW w:w="0" w:type="auto"/>
            <w:tcBorders>
              <w:top w:val="nil"/>
              <w:left w:val="nil"/>
              <w:bottom w:val="single" w:sz="4" w:space="0" w:color="auto"/>
              <w:right w:val="single" w:sz="4" w:space="0" w:color="auto"/>
            </w:tcBorders>
            <w:shd w:val="clear" w:color="auto" w:fill="auto"/>
            <w:noWrap/>
            <w:vAlign w:val="bottom"/>
            <w:hideMark/>
          </w:tcPr>
          <w:p w14:paraId="58A62857"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13,3</w:t>
            </w:r>
          </w:p>
        </w:tc>
      </w:tr>
      <w:tr w:rsidR="00A82412" w:rsidRPr="00F506D4" w14:paraId="4193B6BE"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noWrap/>
            <w:vAlign w:val="center"/>
            <w:hideMark/>
          </w:tcPr>
          <w:p w14:paraId="6CAFDDF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UVTN likmju palielināšana</w:t>
            </w:r>
          </w:p>
        </w:tc>
        <w:tc>
          <w:tcPr>
            <w:tcW w:w="2628" w:type="dxa"/>
            <w:tcBorders>
              <w:top w:val="nil"/>
              <w:left w:val="nil"/>
              <w:bottom w:val="single" w:sz="4" w:space="0" w:color="auto"/>
              <w:right w:val="single" w:sz="4" w:space="0" w:color="auto"/>
            </w:tcBorders>
            <w:shd w:val="clear" w:color="auto" w:fill="auto"/>
            <w:noWrap/>
            <w:vAlign w:val="center"/>
            <w:hideMark/>
          </w:tcPr>
          <w:p w14:paraId="31E44D7D"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UVTN likmju palielināšana</w:t>
            </w:r>
          </w:p>
        </w:tc>
        <w:tc>
          <w:tcPr>
            <w:tcW w:w="1193" w:type="dxa"/>
            <w:tcBorders>
              <w:top w:val="nil"/>
              <w:left w:val="nil"/>
              <w:bottom w:val="single" w:sz="4" w:space="0" w:color="auto"/>
              <w:right w:val="single" w:sz="4" w:space="0" w:color="auto"/>
            </w:tcBorders>
            <w:shd w:val="clear" w:color="auto" w:fill="auto"/>
            <w:vAlign w:val="center"/>
            <w:hideMark/>
          </w:tcPr>
          <w:p w14:paraId="1E7D83C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UVTN</w:t>
            </w:r>
          </w:p>
        </w:tc>
        <w:tc>
          <w:tcPr>
            <w:tcW w:w="1357" w:type="dxa"/>
            <w:tcBorders>
              <w:top w:val="nil"/>
              <w:left w:val="nil"/>
              <w:bottom w:val="single" w:sz="4" w:space="0" w:color="auto"/>
              <w:right w:val="single" w:sz="4" w:space="0" w:color="auto"/>
            </w:tcBorders>
            <w:shd w:val="clear" w:color="auto" w:fill="auto"/>
            <w:vAlign w:val="center"/>
            <w:hideMark/>
          </w:tcPr>
          <w:p w14:paraId="50349107"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BAC946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76C72676"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511B694A"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2,7</w:t>
            </w:r>
          </w:p>
        </w:tc>
        <w:tc>
          <w:tcPr>
            <w:tcW w:w="0" w:type="auto"/>
            <w:tcBorders>
              <w:top w:val="nil"/>
              <w:left w:val="nil"/>
              <w:bottom w:val="single" w:sz="4" w:space="0" w:color="auto"/>
              <w:right w:val="single" w:sz="4" w:space="0" w:color="auto"/>
            </w:tcBorders>
            <w:shd w:val="clear" w:color="auto" w:fill="auto"/>
            <w:noWrap/>
            <w:vAlign w:val="center"/>
            <w:hideMark/>
          </w:tcPr>
          <w:p w14:paraId="23A30F6E"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2,8</w:t>
            </w:r>
          </w:p>
        </w:tc>
      </w:tr>
      <w:tr w:rsidR="00A82412" w:rsidRPr="00F506D4" w14:paraId="46D146FF" w14:textId="77777777" w:rsidTr="00687CD9">
        <w:trPr>
          <w:trHeight w:val="20"/>
        </w:trPr>
        <w:tc>
          <w:tcPr>
            <w:tcW w:w="1195" w:type="dxa"/>
            <w:vMerge w:val="restart"/>
            <w:tcBorders>
              <w:top w:val="nil"/>
              <w:left w:val="single" w:sz="4" w:space="0" w:color="auto"/>
              <w:bottom w:val="single" w:sz="4" w:space="0" w:color="000000"/>
              <w:right w:val="single" w:sz="4" w:space="0" w:color="auto"/>
            </w:tcBorders>
            <w:shd w:val="clear" w:color="auto" w:fill="auto"/>
            <w:vAlign w:val="center"/>
            <w:hideMark/>
          </w:tcPr>
          <w:p w14:paraId="5AD6715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IAN likmju palielināšana</w:t>
            </w:r>
          </w:p>
        </w:tc>
        <w:tc>
          <w:tcPr>
            <w:tcW w:w="2628" w:type="dxa"/>
            <w:tcBorders>
              <w:top w:val="nil"/>
              <w:left w:val="nil"/>
              <w:bottom w:val="single" w:sz="4" w:space="0" w:color="auto"/>
              <w:right w:val="single" w:sz="4" w:space="0" w:color="auto"/>
            </w:tcBorders>
            <w:shd w:val="clear" w:color="auto" w:fill="auto"/>
            <w:vAlign w:val="center"/>
            <w:hideMark/>
          </w:tcPr>
          <w:p w14:paraId="6FC5DF2E"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Izložu nodokļa likmes palielināšana</w:t>
            </w:r>
          </w:p>
        </w:tc>
        <w:tc>
          <w:tcPr>
            <w:tcW w:w="1193" w:type="dxa"/>
            <w:tcBorders>
              <w:top w:val="nil"/>
              <w:left w:val="nil"/>
              <w:bottom w:val="single" w:sz="4" w:space="0" w:color="auto"/>
              <w:right w:val="single" w:sz="4" w:space="0" w:color="auto"/>
            </w:tcBorders>
            <w:shd w:val="clear" w:color="auto" w:fill="auto"/>
            <w:vAlign w:val="center"/>
            <w:hideMark/>
          </w:tcPr>
          <w:p w14:paraId="150FCEB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IAN</w:t>
            </w:r>
          </w:p>
        </w:tc>
        <w:tc>
          <w:tcPr>
            <w:tcW w:w="1357" w:type="dxa"/>
            <w:tcBorders>
              <w:top w:val="nil"/>
              <w:left w:val="nil"/>
              <w:bottom w:val="single" w:sz="4" w:space="0" w:color="auto"/>
              <w:right w:val="single" w:sz="4" w:space="0" w:color="auto"/>
            </w:tcBorders>
            <w:shd w:val="clear" w:color="auto" w:fill="auto"/>
            <w:vAlign w:val="center"/>
            <w:hideMark/>
          </w:tcPr>
          <w:p w14:paraId="1A7AF936"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AB74A3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2,5</w:t>
            </w:r>
          </w:p>
        </w:tc>
        <w:tc>
          <w:tcPr>
            <w:tcW w:w="0" w:type="auto"/>
            <w:tcBorders>
              <w:top w:val="nil"/>
              <w:left w:val="nil"/>
              <w:bottom w:val="single" w:sz="4" w:space="0" w:color="auto"/>
              <w:right w:val="single" w:sz="4" w:space="0" w:color="auto"/>
            </w:tcBorders>
            <w:shd w:val="clear" w:color="auto" w:fill="auto"/>
            <w:noWrap/>
            <w:vAlign w:val="center"/>
            <w:hideMark/>
          </w:tcPr>
          <w:p w14:paraId="64A6B8E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2,7</w:t>
            </w:r>
          </w:p>
        </w:tc>
        <w:tc>
          <w:tcPr>
            <w:tcW w:w="0" w:type="auto"/>
            <w:tcBorders>
              <w:top w:val="nil"/>
              <w:left w:val="nil"/>
              <w:bottom w:val="single" w:sz="4" w:space="0" w:color="auto"/>
              <w:right w:val="single" w:sz="4" w:space="0" w:color="auto"/>
            </w:tcBorders>
            <w:shd w:val="clear" w:color="auto" w:fill="auto"/>
            <w:noWrap/>
            <w:vAlign w:val="center"/>
            <w:hideMark/>
          </w:tcPr>
          <w:p w14:paraId="6B116F0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c>
          <w:tcPr>
            <w:tcW w:w="0" w:type="auto"/>
            <w:tcBorders>
              <w:top w:val="nil"/>
              <w:left w:val="nil"/>
              <w:bottom w:val="single" w:sz="4" w:space="0" w:color="auto"/>
              <w:right w:val="single" w:sz="4" w:space="0" w:color="auto"/>
            </w:tcBorders>
            <w:shd w:val="clear" w:color="auto" w:fill="auto"/>
            <w:noWrap/>
            <w:vAlign w:val="center"/>
            <w:hideMark/>
          </w:tcPr>
          <w:p w14:paraId="16DD675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r>
      <w:tr w:rsidR="00A82412" w:rsidRPr="00F506D4" w14:paraId="38FBFACC"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659D83CB"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vAlign w:val="center"/>
            <w:hideMark/>
          </w:tcPr>
          <w:p w14:paraId="66D5F6CF"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Azartspēļu nodokļa likmes palielināšana</w:t>
            </w:r>
          </w:p>
        </w:tc>
        <w:tc>
          <w:tcPr>
            <w:tcW w:w="1193" w:type="dxa"/>
            <w:tcBorders>
              <w:top w:val="nil"/>
              <w:left w:val="nil"/>
              <w:bottom w:val="single" w:sz="4" w:space="0" w:color="auto"/>
              <w:right w:val="single" w:sz="4" w:space="0" w:color="auto"/>
            </w:tcBorders>
            <w:shd w:val="clear" w:color="auto" w:fill="auto"/>
            <w:vAlign w:val="center"/>
            <w:hideMark/>
          </w:tcPr>
          <w:p w14:paraId="396A4AE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IAN</w:t>
            </w:r>
          </w:p>
        </w:tc>
        <w:tc>
          <w:tcPr>
            <w:tcW w:w="1357" w:type="dxa"/>
            <w:tcBorders>
              <w:top w:val="nil"/>
              <w:left w:val="nil"/>
              <w:bottom w:val="single" w:sz="4" w:space="0" w:color="auto"/>
              <w:right w:val="single" w:sz="4" w:space="0" w:color="auto"/>
            </w:tcBorders>
            <w:shd w:val="clear" w:color="auto" w:fill="auto"/>
            <w:vAlign w:val="center"/>
            <w:hideMark/>
          </w:tcPr>
          <w:p w14:paraId="3DC84261"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6A7617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1E54324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1F1ACD2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9,5</w:t>
            </w:r>
          </w:p>
        </w:tc>
        <w:tc>
          <w:tcPr>
            <w:tcW w:w="0" w:type="auto"/>
            <w:tcBorders>
              <w:top w:val="nil"/>
              <w:left w:val="nil"/>
              <w:bottom w:val="single" w:sz="4" w:space="0" w:color="auto"/>
              <w:right w:val="single" w:sz="4" w:space="0" w:color="auto"/>
            </w:tcBorders>
            <w:shd w:val="clear" w:color="auto" w:fill="auto"/>
            <w:noWrap/>
            <w:vAlign w:val="center"/>
            <w:hideMark/>
          </w:tcPr>
          <w:p w14:paraId="623C28F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9,5</w:t>
            </w:r>
          </w:p>
        </w:tc>
      </w:tr>
      <w:tr w:rsidR="00F04FA7" w:rsidRPr="00F506D4" w14:paraId="42BDE0D5" w14:textId="77777777" w:rsidTr="00687CD9">
        <w:trPr>
          <w:trHeight w:val="332"/>
        </w:trPr>
        <w:tc>
          <w:tcPr>
            <w:tcW w:w="1195" w:type="dxa"/>
            <w:vMerge/>
            <w:tcBorders>
              <w:top w:val="nil"/>
              <w:left w:val="single" w:sz="4" w:space="0" w:color="auto"/>
              <w:bottom w:val="single" w:sz="4" w:space="0" w:color="000000"/>
              <w:right w:val="single" w:sz="4" w:space="0" w:color="auto"/>
            </w:tcBorders>
            <w:vAlign w:val="center"/>
            <w:hideMark/>
          </w:tcPr>
          <w:p w14:paraId="35D13C00" w14:textId="77777777" w:rsidR="00F04FA7" w:rsidRPr="006A3169" w:rsidRDefault="00F04FA7" w:rsidP="000B7682">
            <w:pPr>
              <w:spacing w:after="0"/>
              <w:ind w:firstLine="0"/>
              <w:jc w:val="left"/>
              <w:rPr>
                <w:rFonts w:eastAsia="Times New Roman" w:cs="Times New Roman"/>
                <w:sz w:val="18"/>
                <w:szCs w:val="18"/>
              </w:rPr>
            </w:pPr>
          </w:p>
        </w:tc>
        <w:tc>
          <w:tcPr>
            <w:tcW w:w="5178" w:type="dxa"/>
            <w:gridSpan w:val="3"/>
            <w:tcBorders>
              <w:top w:val="single" w:sz="4" w:space="0" w:color="auto"/>
              <w:left w:val="nil"/>
              <w:bottom w:val="single" w:sz="4" w:space="0" w:color="auto"/>
              <w:right w:val="single" w:sz="4" w:space="0" w:color="000000"/>
            </w:tcBorders>
            <w:shd w:val="clear" w:color="auto" w:fill="BDD6EE" w:themeFill="accent1" w:themeFillTint="66"/>
            <w:vAlign w:val="center"/>
            <w:hideMark/>
          </w:tcPr>
          <w:p w14:paraId="36F7A850"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Kopā IAN</w:t>
            </w:r>
          </w:p>
        </w:tc>
        <w:tc>
          <w:tcPr>
            <w:tcW w:w="0" w:type="auto"/>
            <w:tcBorders>
              <w:top w:val="nil"/>
              <w:left w:val="nil"/>
              <w:bottom w:val="single" w:sz="4" w:space="0" w:color="auto"/>
              <w:right w:val="single" w:sz="4" w:space="0" w:color="auto"/>
            </w:tcBorders>
            <w:shd w:val="clear" w:color="auto" w:fill="auto"/>
            <w:noWrap/>
            <w:vAlign w:val="center"/>
            <w:hideMark/>
          </w:tcPr>
          <w:p w14:paraId="5600D68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2,5</w:t>
            </w:r>
          </w:p>
        </w:tc>
        <w:tc>
          <w:tcPr>
            <w:tcW w:w="0" w:type="auto"/>
            <w:tcBorders>
              <w:top w:val="nil"/>
              <w:left w:val="nil"/>
              <w:bottom w:val="single" w:sz="4" w:space="0" w:color="auto"/>
              <w:right w:val="single" w:sz="4" w:space="0" w:color="auto"/>
            </w:tcBorders>
            <w:shd w:val="clear" w:color="auto" w:fill="auto"/>
            <w:noWrap/>
            <w:vAlign w:val="center"/>
            <w:hideMark/>
          </w:tcPr>
          <w:p w14:paraId="7932241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2,7</w:t>
            </w:r>
          </w:p>
        </w:tc>
        <w:tc>
          <w:tcPr>
            <w:tcW w:w="0" w:type="auto"/>
            <w:tcBorders>
              <w:top w:val="nil"/>
              <w:left w:val="nil"/>
              <w:bottom w:val="single" w:sz="4" w:space="0" w:color="auto"/>
              <w:right w:val="single" w:sz="4" w:space="0" w:color="auto"/>
            </w:tcBorders>
            <w:shd w:val="clear" w:color="auto" w:fill="auto"/>
            <w:noWrap/>
            <w:vAlign w:val="center"/>
            <w:hideMark/>
          </w:tcPr>
          <w:p w14:paraId="139EC77E"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12,4</w:t>
            </w:r>
          </w:p>
        </w:tc>
        <w:tc>
          <w:tcPr>
            <w:tcW w:w="0" w:type="auto"/>
            <w:tcBorders>
              <w:top w:val="nil"/>
              <w:left w:val="nil"/>
              <w:bottom w:val="single" w:sz="4" w:space="0" w:color="auto"/>
              <w:right w:val="single" w:sz="4" w:space="0" w:color="auto"/>
            </w:tcBorders>
            <w:shd w:val="clear" w:color="auto" w:fill="auto"/>
            <w:noWrap/>
            <w:vAlign w:val="center"/>
            <w:hideMark/>
          </w:tcPr>
          <w:p w14:paraId="4D57F77A"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12,4</w:t>
            </w:r>
          </w:p>
        </w:tc>
      </w:tr>
      <w:tr w:rsidR="00A82412" w:rsidRPr="00F506D4" w14:paraId="5DB8CCFD"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vAlign w:val="center"/>
            <w:hideMark/>
          </w:tcPr>
          <w:p w14:paraId="0967193C"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2628" w:type="dxa"/>
            <w:tcBorders>
              <w:top w:val="nil"/>
              <w:left w:val="nil"/>
              <w:bottom w:val="single" w:sz="4" w:space="0" w:color="auto"/>
              <w:right w:val="single" w:sz="4" w:space="0" w:color="auto"/>
            </w:tcBorders>
            <w:shd w:val="clear" w:color="auto" w:fill="auto"/>
            <w:vAlign w:val="center"/>
            <w:hideMark/>
          </w:tcPr>
          <w:p w14:paraId="533FBBB5"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Ieņēmumi no konfiscēto noziedzīgi iegūto līdzekļu realizācijas</w:t>
            </w:r>
          </w:p>
        </w:tc>
        <w:tc>
          <w:tcPr>
            <w:tcW w:w="1193" w:type="dxa"/>
            <w:tcBorders>
              <w:top w:val="nil"/>
              <w:left w:val="nil"/>
              <w:bottom w:val="single" w:sz="4" w:space="0" w:color="auto"/>
              <w:right w:val="single" w:sz="4" w:space="0" w:color="auto"/>
            </w:tcBorders>
            <w:shd w:val="clear" w:color="auto" w:fill="auto"/>
            <w:vAlign w:val="center"/>
            <w:hideMark/>
          </w:tcPr>
          <w:p w14:paraId="4F10EF56"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1357" w:type="dxa"/>
            <w:tcBorders>
              <w:top w:val="nil"/>
              <w:left w:val="nil"/>
              <w:bottom w:val="single" w:sz="4" w:space="0" w:color="auto"/>
              <w:right w:val="single" w:sz="4" w:space="0" w:color="auto"/>
            </w:tcBorders>
            <w:shd w:val="clear" w:color="auto" w:fill="auto"/>
            <w:vAlign w:val="center"/>
            <w:hideMark/>
          </w:tcPr>
          <w:p w14:paraId="57BA9540" w14:textId="77777777" w:rsidR="00F04FA7" w:rsidRPr="00E20858" w:rsidRDefault="00F04FA7" w:rsidP="000B7682">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BFC9E61"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30,0</w:t>
            </w:r>
          </w:p>
        </w:tc>
        <w:tc>
          <w:tcPr>
            <w:tcW w:w="0" w:type="auto"/>
            <w:tcBorders>
              <w:top w:val="nil"/>
              <w:left w:val="nil"/>
              <w:bottom w:val="single" w:sz="4" w:space="0" w:color="auto"/>
              <w:right w:val="single" w:sz="4" w:space="0" w:color="auto"/>
            </w:tcBorders>
            <w:shd w:val="clear" w:color="auto" w:fill="auto"/>
            <w:noWrap/>
            <w:vAlign w:val="center"/>
            <w:hideMark/>
          </w:tcPr>
          <w:p w14:paraId="1554B8D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30,0</w:t>
            </w:r>
          </w:p>
        </w:tc>
        <w:tc>
          <w:tcPr>
            <w:tcW w:w="0" w:type="auto"/>
            <w:tcBorders>
              <w:top w:val="nil"/>
              <w:left w:val="nil"/>
              <w:bottom w:val="single" w:sz="4" w:space="0" w:color="auto"/>
              <w:right w:val="single" w:sz="4" w:space="0" w:color="auto"/>
            </w:tcBorders>
            <w:shd w:val="clear" w:color="auto" w:fill="auto"/>
            <w:noWrap/>
            <w:vAlign w:val="center"/>
            <w:hideMark/>
          </w:tcPr>
          <w:p w14:paraId="6E431200"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30,0</w:t>
            </w:r>
          </w:p>
        </w:tc>
        <w:tc>
          <w:tcPr>
            <w:tcW w:w="0" w:type="auto"/>
            <w:tcBorders>
              <w:top w:val="nil"/>
              <w:left w:val="nil"/>
              <w:bottom w:val="single" w:sz="4" w:space="0" w:color="auto"/>
              <w:right w:val="single" w:sz="4" w:space="0" w:color="auto"/>
            </w:tcBorders>
            <w:shd w:val="clear" w:color="auto" w:fill="auto"/>
            <w:noWrap/>
            <w:vAlign w:val="center"/>
            <w:hideMark/>
          </w:tcPr>
          <w:p w14:paraId="1E166F4E"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30,0</w:t>
            </w:r>
          </w:p>
        </w:tc>
      </w:tr>
      <w:tr w:rsidR="00F04FA7" w:rsidRPr="00F506D4" w14:paraId="71741046" w14:textId="77777777" w:rsidTr="000B7682">
        <w:trPr>
          <w:trHeight w:val="259"/>
        </w:trPr>
        <w:tc>
          <w:tcPr>
            <w:tcW w:w="0" w:type="auto"/>
            <w:gridSpan w:val="4"/>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bottom"/>
            <w:hideMark/>
          </w:tcPr>
          <w:p w14:paraId="159CF4F5"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Nodokļu politikas pārskatīšana kopā</w:t>
            </w:r>
          </w:p>
        </w:tc>
        <w:tc>
          <w:tcPr>
            <w:tcW w:w="0" w:type="auto"/>
            <w:tcBorders>
              <w:top w:val="nil"/>
              <w:left w:val="nil"/>
              <w:bottom w:val="single" w:sz="4" w:space="0" w:color="auto"/>
              <w:right w:val="single" w:sz="4" w:space="0" w:color="auto"/>
            </w:tcBorders>
            <w:shd w:val="clear" w:color="auto" w:fill="auto"/>
            <w:noWrap/>
            <w:vAlign w:val="bottom"/>
            <w:hideMark/>
          </w:tcPr>
          <w:p w14:paraId="416E15D3"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28,0</w:t>
            </w:r>
          </w:p>
        </w:tc>
        <w:tc>
          <w:tcPr>
            <w:tcW w:w="0" w:type="auto"/>
            <w:tcBorders>
              <w:top w:val="nil"/>
              <w:left w:val="nil"/>
              <w:bottom w:val="single" w:sz="4" w:space="0" w:color="auto"/>
              <w:right w:val="single" w:sz="4" w:space="0" w:color="auto"/>
            </w:tcBorders>
            <w:shd w:val="clear" w:color="auto" w:fill="auto"/>
            <w:noWrap/>
            <w:vAlign w:val="bottom"/>
            <w:hideMark/>
          </w:tcPr>
          <w:p w14:paraId="374809A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26,6</w:t>
            </w:r>
          </w:p>
        </w:tc>
        <w:tc>
          <w:tcPr>
            <w:tcW w:w="0" w:type="auto"/>
            <w:tcBorders>
              <w:top w:val="nil"/>
              <w:left w:val="nil"/>
              <w:bottom w:val="single" w:sz="4" w:space="0" w:color="auto"/>
              <w:right w:val="single" w:sz="4" w:space="0" w:color="auto"/>
            </w:tcBorders>
            <w:shd w:val="clear" w:color="auto" w:fill="auto"/>
            <w:noWrap/>
            <w:vAlign w:val="bottom"/>
            <w:hideMark/>
          </w:tcPr>
          <w:p w14:paraId="61A843BB"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-7,7</w:t>
            </w:r>
          </w:p>
        </w:tc>
        <w:tc>
          <w:tcPr>
            <w:tcW w:w="0" w:type="auto"/>
            <w:tcBorders>
              <w:top w:val="nil"/>
              <w:left w:val="nil"/>
              <w:bottom w:val="single" w:sz="4" w:space="0" w:color="auto"/>
              <w:right w:val="single" w:sz="4" w:space="0" w:color="auto"/>
            </w:tcBorders>
            <w:shd w:val="clear" w:color="auto" w:fill="auto"/>
            <w:noWrap/>
            <w:vAlign w:val="bottom"/>
            <w:hideMark/>
          </w:tcPr>
          <w:p w14:paraId="0F3B4FE0"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-6,0</w:t>
            </w:r>
          </w:p>
        </w:tc>
      </w:tr>
      <w:tr w:rsidR="00F04FA7" w:rsidRPr="00F506D4" w14:paraId="11C6FED1" w14:textId="77777777" w:rsidTr="000B7682">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bottom"/>
            <w:hideMark/>
          </w:tcPr>
          <w:p w14:paraId="51C871EA" w14:textId="77777777" w:rsidR="00F04FA7" w:rsidRPr="006A3169" w:rsidRDefault="00F04FA7" w:rsidP="000B7682">
            <w:pPr>
              <w:spacing w:after="0"/>
              <w:ind w:firstLine="0"/>
              <w:jc w:val="left"/>
              <w:rPr>
                <w:rFonts w:eastAsia="Times New Roman" w:cs="Times New Roman"/>
                <w:b/>
                <w:bCs/>
                <w:sz w:val="18"/>
                <w:szCs w:val="18"/>
              </w:rPr>
            </w:pPr>
            <w:r w:rsidRPr="006A3169">
              <w:rPr>
                <w:rFonts w:eastAsia="Times New Roman" w:cs="Times New Roman"/>
                <w:b/>
                <w:bCs/>
                <w:sz w:val="18"/>
                <w:szCs w:val="18"/>
              </w:rPr>
              <w:t>Izdevumu pārskatīšana</w:t>
            </w:r>
          </w:p>
        </w:tc>
      </w:tr>
      <w:tr w:rsidR="00A82412" w:rsidRPr="00F506D4" w14:paraId="605D59B7" w14:textId="77777777" w:rsidTr="00687CD9">
        <w:trPr>
          <w:trHeight w:val="20"/>
        </w:trPr>
        <w:tc>
          <w:tcPr>
            <w:tcW w:w="119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A2A657B"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2628" w:type="dxa"/>
            <w:tcBorders>
              <w:top w:val="nil"/>
              <w:left w:val="nil"/>
              <w:bottom w:val="single" w:sz="4" w:space="0" w:color="auto"/>
              <w:right w:val="single" w:sz="4" w:space="0" w:color="auto"/>
            </w:tcBorders>
            <w:shd w:val="clear" w:color="auto" w:fill="auto"/>
            <w:vAlign w:val="center"/>
            <w:hideMark/>
          </w:tcPr>
          <w:p w14:paraId="6783D315"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Ieņēmumu palielināšana no dividenžu maksājumiem, AS “Latvijas valsts meži”</w:t>
            </w:r>
          </w:p>
        </w:tc>
        <w:tc>
          <w:tcPr>
            <w:tcW w:w="1193" w:type="dxa"/>
            <w:tcBorders>
              <w:top w:val="nil"/>
              <w:left w:val="nil"/>
              <w:bottom w:val="single" w:sz="4" w:space="0" w:color="auto"/>
              <w:right w:val="single" w:sz="4" w:space="0" w:color="auto"/>
            </w:tcBorders>
            <w:shd w:val="clear" w:color="auto" w:fill="auto"/>
            <w:noWrap/>
            <w:vAlign w:val="bottom"/>
            <w:hideMark/>
          </w:tcPr>
          <w:p w14:paraId="4745BDB2"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1357" w:type="dxa"/>
            <w:tcBorders>
              <w:top w:val="nil"/>
              <w:left w:val="nil"/>
              <w:bottom w:val="single" w:sz="4" w:space="0" w:color="auto"/>
              <w:right w:val="single" w:sz="4" w:space="0" w:color="auto"/>
            </w:tcBorders>
            <w:shd w:val="clear" w:color="auto" w:fill="auto"/>
            <w:vAlign w:val="center"/>
            <w:hideMark/>
          </w:tcPr>
          <w:p w14:paraId="598B332C"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C37133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46,3</w:t>
            </w:r>
          </w:p>
        </w:tc>
        <w:tc>
          <w:tcPr>
            <w:tcW w:w="0" w:type="auto"/>
            <w:tcBorders>
              <w:top w:val="nil"/>
              <w:left w:val="nil"/>
              <w:bottom w:val="single" w:sz="4" w:space="0" w:color="auto"/>
              <w:right w:val="single" w:sz="4" w:space="0" w:color="auto"/>
            </w:tcBorders>
            <w:shd w:val="clear" w:color="auto" w:fill="auto"/>
            <w:noWrap/>
            <w:vAlign w:val="bottom"/>
            <w:hideMark/>
          </w:tcPr>
          <w:p w14:paraId="77E85AC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27F04B0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487C372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r>
      <w:tr w:rsidR="00A82412" w:rsidRPr="00F506D4" w14:paraId="75CE03EF"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7847AD4D" w14:textId="77777777" w:rsidR="00F04FA7" w:rsidRPr="006A3169" w:rsidRDefault="00F04FA7" w:rsidP="000B7682">
            <w:pPr>
              <w:spacing w:after="0"/>
              <w:ind w:firstLine="0"/>
              <w:jc w:val="left"/>
              <w:rPr>
                <w:rFonts w:eastAsia="Times New Roman" w:cs="Times New Roman"/>
                <w:sz w:val="18"/>
                <w:szCs w:val="18"/>
              </w:rPr>
            </w:pPr>
          </w:p>
        </w:tc>
        <w:tc>
          <w:tcPr>
            <w:tcW w:w="2628" w:type="dxa"/>
            <w:tcBorders>
              <w:top w:val="nil"/>
              <w:left w:val="nil"/>
              <w:bottom w:val="single" w:sz="4" w:space="0" w:color="auto"/>
              <w:right w:val="single" w:sz="4" w:space="0" w:color="auto"/>
            </w:tcBorders>
            <w:shd w:val="clear" w:color="auto" w:fill="auto"/>
            <w:noWrap/>
            <w:vAlign w:val="center"/>
            <w:hideMark/>
          </w:tcPr>
          <w:p w14:paraId="70D04B6C"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Dažādu nodevu pārskatīšana</w:t>
            </w:r>
          </w:p>
        </w:tc>
        <w:tc>
          <w:tcPr>
            <w:tcW w:w="1193" w:type="dxa"/>
            <w:tcBorders>
              <w:top w:val="nil"/>
              <w:left w:val="nil"/>
              <w:bottom w:val="single" w:sz="4" w:space="0" w:color="auto"/>
              <w:right w:val="single" w:sz="4" w:space="0" w:color="auto"/>
            </w:tcBorders>
            <w:shd w:val="clear" w:color="auto" w:fill="auto"/>
            <w:noWrap/>
            <w:vAlign w:val="bottom"/>
            <w:hideMark/>
          </w:tcPr>
          <w:p w14:paraId="01EA502B"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Nenodokļi</w:t>
            </w:r>
            <w:proofErr w:type="spellEnd"/>
          </w:p>
        </w:tc>
        <w:tc>
          <w:tcPr>
            <w:tcW w:w="1357" w:type="dxa"/>
            <w:tcBorders>
              <w:top w:val="nil"/>
              <w:left w:val="nil"/>
              <w:bottom w:val="single" w:sz="4" w:space="0" w:color="auto"/>
              <w:right w:val="single" w:sz="4" w:space="0" w:color="auto"/>
            </w:tcBorders>
            <w:shd w:val="clear" w:color="auto" w:fill="auto"/>
            <w:vAlign w:val="center"/>
            <w:hideMark/>
          </w:tcPr>
          <w:p w14:paraId="151244AF" w14:textId="77777777" w:rsidR="00F04FA7" w:rsidRPr="006A3169" w:rsidRDefault="00F04FA7" w:rsidP="000B7682">
            <w:pPr>
              <w:spacing w:after="0"/>
              <w:ind w:firstLine="0"/>
              <w:jc w:val="center"/>
              <w:rPr>
                <w:rFonts w:eastAsia="Times New Roman" w:cs="Times New Roman"/>
                <w:sz w:val="18"/>
                <w:szCs w:val="18"/>
              </w:rPr>
            </w:pPr>
            <w:proofErr w:type="spellStart"/>
            <w:r w:rsidRPr="006A3169">
              <w:rPr>
                <w:rFonts w:eastAsia="Times New Roman" w:cs="Times New Roman"/>
                <w:sz w:val="18"/>
                <w:szCs w:val="18"/>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8E1B6D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8,5</w:t>
            </w:r>
          </w:p>
        </w:tc>
        <w:tc>
          <w:tcPr>
            <w:tcW w:w="0" w:type="auto"/>
            <w:tcBorders>
              <w:top w:val="nil"/>
              <w:left w:val="nil"/>
              <w:bottom w:val="single" w:sz="4" w:space="0" w:color="auto"/>
              <w:right w:val="single" w:sz="4" w:space="0" w:color="auto"/>
            </w:tcBorders>
            <w:shd w:val="clear" w:color="auto" w:fill="auto"/>
            <w:noWrap/>
            <w:vAlign w:val="center"/>
            <w:hideMark/>
          </w:tcPr>
          <w:p w14:paraId="0630D2C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8,8</w:t>
            </w:r>
          </w:p>
        </w:tc>
        <w:tc>
          <w:tcPr>
            <w:tcW w:w="0" w:type="auto"/>
            <w:tcBorders>
              <w:top w:val="nil"/>
              <w:left w:val="nil"/>
              <w:bottom w:val="single" w:sz="4" w:space="0" w:color="auto"/>
              <w:right w:val="single" w:sz="4" w:space="0" w:color="auto"/>
            </w:tcBorders>
            <w:shd w:val="clear" w:color="auto" w:fill="auto"/>
            <w:noWrap/>
            <w:vAlign w:val="center"/>
            <w:hideMark/>
          </w:tcPr>
          <w:p w14:paraId="1A126F9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8,8</w:t>
            </w:r>
          </w:p>
        </w:tc>
        <w:tc>
          <w:tcPr>
            <w:tcW w:w="0" w:type="auto"/>
            <w:tcBorders>
              <w:top w:val="nil"/>
              <w:left w:val="nil"/>
              <w:bottom w:val="single" w:sz="4" w:space="0" w:color="auto"/>
              <w:right w:val="single" w:sz="4" w:space="0" w:color="auto"/>
            </w:tcBorders>
            <w:shd w:val="clear" w:color="auto" w:fill="auto"/>
            <w:noWrap/>
            <w:vAlign w:val="center"/>
            <w:hideMark/>
          </w:tcPr>
          <w:p w14:paraId="504EB04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8,8</w:t>
            </w:r>
          </w:p>
        </w:tc>
      </w:tr>
      <w:tr w:rsidR="00F04FA7" w:rsidRPr="00F506D4" w14:paraId="3BA1D897" w14:textId="77777777" w:rsidTr="00687CD9">
        <w:trPr>
          <w:trHeight w:val="20"/>
        </w:trPr>
        <w:tc>
          <w:tcPr>
            <w:tcW w:w="1195" w:type="dxa"/>
            <w:vMerge/>
            <w:tcBorders>
              <w:top w:val="nil"/>
              <w:left w:val="single" w:sz="4" w:space="0" w:color="auto"/>
              <w:bottom w:val="single" w:sz="4" w:space="0" w:color="000000"/>
              <w:right w:val="single" w:sz="4" w:space="0" w:color="auto"/>
            </w:tcBorders>
            <w:vAlign w:val="center"/>
            <w:hideMark/>
          </w:tcPr>
          <w:p w14:paraId="7B79EE18" w14:textId="77777777" w:rsidR="00F04FA7" w:rsidRPr="006A3169" w:rsidRDefault="00F04FA7" w:rsidP="000B7682">
            <w:pPr>
              <w:spacing w:after="0"/>
              <w:ind w:firstLine="0"/>
              <w:jc w:val="left"/>
              <w:rPr>
                <w:rFonts w:eastAsia="Times New Roman" w:cs="Times New Roman"/>
                <w:sz w:val="18"/>
                <w:szCs w:val="18"/>
              </w:rPr>
            </w:pPr>
          </w:p>
        </w:tc>
        <w:tc>
          <w:tcPr>
            <w:tcW w:w="5178" w:type="dxa"/>
            <w:gridSpan w:val="3"/>
            <w:tcBorders>
              <w:top w:val="single" w:sz="4" w:space="0" w:color="auto"/>
              <w:left w:val="nil"/>
              <w:bottom w:val="nil"/>
              <w:right w:val="single" w:sz="4" w:space="0" w:color="auto"/>
            </w:tcBorders>
            <w:shd w:val="clear" w:color="auto" w:fill="BDD6EE" w:themeFill="accent1" w:themeFillTint="66"/>
            <w:noWrap/>
            <w:vAlign w:val="bottom"/>
            <w:hideMark/>
          </w:tcPr>
          <w:p w14:paraId="0FAFFBBE"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 xml:space="preserve">Kopā </w:t>
            </w:r>
            <w:proofErr w:type="spellStart"/>
            <w:r w:rsidRPr="006A3169">
              <w:rPr>
                <w:rFonts w:eastAsia="Times New Roman" w:cs="Times New Roman"/>
                <w:b/>
                <w:bCs/>
                <w:sz w:val="18"/>
                <w:szCs w:val="18"/>
              </w:rPr>
              <w:t>nenodokļi</w:t>
            </w:r>
            <w:proofErr w:type="spellEnd"/>
          </w:p>
        </w:tc>
        <w:tc>
          <w:tcPr>
            <w:tcW w:w="0" w:type="auto"/>
            <w:tcBorders>
              <w:top w:val="nil"/>
              <w:left w:val="nil"/>
              <w:bottom w:val="nil"/>
              <w:right w:val="single" w:sz="4" w:space="0" w:color="auto"/>
            </w:tcBorders>
            <w:shd w:val="clear" w:color="auto" w:fill="auto"/>
            <w:noWrap/>
            <w:vAlign w:val="bottom"/>
            <w:hideMark/>
          </w:tcPr>
          <w:p w14:paraId="6D596696"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54,8</w:t>
            </w:r>
          </w:p>
        </w:tc>
        <w:tc>
          <w:tcPr>
            <w:tcW w:w="0" w:type="auto"/>
            <w:tcBorders>
              <w:top w:val="nil"/>
              <w:left w:val="nil"/>
              <w:bottom w:val="nil"/>
              <w:right w:val="single" w:sz="4" w:space="0" w:color="auto"/>
            </w:tcBorders>
            <w:shd w:val="clear" w:color="auto" w:fill="auto"/>
            <w:noWrap/>
            <w:vAlign w:val="bottom"/>
            <w:hideMark/>
          </w:tcPr>
          <w:p w14:paraId="19C17C09"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8,8</w:t>
            </w:r>
          </w:p>
        </w:tc>
        <w:tc>
          <w:tcPr>
            <w:tcW w:w="0" w:type="auto"/>
            <w:tcBorders>
              <w:top w:val="nil"/>
              <w:left w:val="nil"/>
              <w:bottom w:val="nil"/>
              <w:right w:val="single" w:sz="4" w:space="0" w:color="auto"/>
            </w:tcBorders>
            <w:shd w:val="clear" w:color="auto" w:fill="auto"/>
            <w:noWrap/>
            <w:vAlign w:val="bottom"/>
            <w:hideMark/>
          </w:tcPr>
          <w:p w14:paraId="2EC01C58"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8,8</w:t>
            </w:r>
          </w:p>
        </w:tc>
        <w:tc>
          <w:tcPr>
            <w:tcW w:w="0" w:type="auto"/>
            <w:tcBorders>
              <w:top w:val="nil"/>
              <w:left w:val="nil"/>
              <w:bottom w:val="nil"/>
              <w:right w:val="single" w:sz="4" w:space="0" w:color="auto"/>
            </w:tcBorders>
            <w:shd w:val="clear" w:color="auto" w:fill="auto"/>
            <w:noWrap/>
            <w:vAlign w:val="bottom"/>
            <w:hideMark/>
          </w:tcPr>
          <w:p w14:paraId="1B0C22DA"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8,8</w:t>
            </w:r>
          </w:p>
        </w:tc>
      </w:tr>
      <w:tr w:rsidR="00A82412" w:rsidRPr="00F506D4" w14:paraId="3B99AF8C"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noWrap/>
            <w:vAlign w:val="bottom"/>
            <w:hideMark/>
          </w:tcPr>
          <w:p w14:paraId="4AFEF91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26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A5BD58"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Ēnu ekonomikas apkarošana</w:t>
            </w:r>
          </w:p>
        </w:tc>
        <w:tc>
          <w:tcPr>
            <w:tcW w:w="1193" w:type="dxa"/>
            <w:tcBorders>
              <w:top w:val="single" w:sz="4" w:space="0" w:color="auto"/>
              <w:left w:val="nil"/>
              <w:bottom w:val="single" w:sz="4" w:space="0" w:color="auto"/>
              <w:right w:val="single" w:sz="4" w:space="0" w:color="auto"/>
            </w:tcBorders>
            <w:shd w:val="clear" w:color="auto" w:fill="auto"/>
            <w:noWrap/>
            <w:vAlign w:val="bottom"/>
            <w:hideMark/>
          </w:tcPr>
          <w:p w14:paraId="1B5DAD5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IIN</w:t>
            </w:r>
          </w:p>
        </w:tc>
        <w:tc>
          <w:tcPr>
            <w:tcW w:w="1357" w:type="dxa"/>
            <w:tcBorders>
              <w:top w:val="single" w:sz="4" w:space="0" w:color="auto"/>
              <w:left w:val="nil"/>
              <w:bottom w:val="single" w:sz="4" w:space="0" w:color="auto"/>
              <w:right w:val="single" w:sz="4" w:space="0" w:color="auto"/>
            </w:tcBorders>
            <w:shd w:val="clear" w:color="auto" w:fill="auto"/>
            <w:noWrap/>
            <w:vAlign w:val="bottom"/>
            <w:hideMark/>
          </w:tcPr>
          <w:p w14:paraId="73CFAA4F" w14:textId="77777777" w:rsidR="00F04FA7" w:rsidRPr="00E20858" w:rsidRDefault="00F04FA7" w:rsidP="000B7682">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0C59263"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68D92D8"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5,6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04728C1"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7,3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4F379E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7,3</w:t>
            </w:r>
          </w:p>
        </w:tc>
      </w:tr>
      <w:tr w:rsidR="00A82412" w:rsidRPr="00F506D4" w14:paraId="3F215524"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noWrap/>
            <w:vAlign w:val="bottom"/>
            <w:hideMark/>
          </w:tcPr>
          <w:p w14:paraId="11F0731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VSAOI</w:t>
            </w:r>
          </w:p>
        </w:tc>
        <w:tc>
          <w:tcPr>
            <w:tcW w:w="2628" w:type="dxa"/>
            <w:vMerge/>
            <w:tcBorders>
              <w:top w:val="single" w:sz="4" w:space="0" w:color="auto"/>
              <w:left w:val="single" w:sz="4" w:space="0" w:color="auto"/>
              <w:bottom w:val="single" w:sz="4" w:space="0" w:color="auto"/>
              <w:right w:val="single" w:sz="4" w:space="0" w:color="auto"/>
            </w:tcBorders>
            <w:vAlign w:val="center"/>
            <w:hideMark/>
          </w:tcPr>
          <w:p w14:paraId="507BFC0A" w14:textId="77777777" w:rsidR="00F04FA7" w:rsidRPr="006A3169" w:rsidRDefault="00F04FA7" w:rsidP="000B7682">
            <w:pPr>
              <w:spacing w:after="0"/>
              <w:ind w:firstLine="0"/>
              <w:jc w:val="left"/>
              <w:rPr>
                <w:rFonts w:eastAsia="Times New Roman" w:cs="Times New Roman"/>
                <w:sz w:val="18"/>
                <w:szCs w:val="18"/>
              </w:rPr>
            </w:pPr>
          </w:p>
        </w:tc>
        <w:tc>
          <w:tcPr>
            <w:tcW w:w="1193" w:type="dxa"/>
            <w:tcBorders>
              <w:top w:val="nil"/>
              <w:left w:val="nil"/>
              <w:bottom w:val="single" w:sz="4" w:space="0" w:color="auto"/>
              <w:right w:val="single" w:sz="4" w:space="0" w:color="auto"/>
            </w:tcBorders>
            <w:shd w:val="clear" w:color="auto" w:fill="auto"/>
            <w:noWrap/>
            <w:vAlign w:val="bottom"/>
            <w:hideMark/>
          </w:tcPr>
          <w:p w14:paraId="3F80FEC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VSAOI</w:t>
            </w:r>
          </w:p>
        </w:tc>
        <w:tc>
          <w:tcPr>
            <w:tcW w:w="1357" w:type="dxa"/>
            <w:tcBorders>
              <w:top w:val="nil"/>
              <w:left w:val="nil"/>
              <w:bottom w:val="single" w:sz="4" w:space="0" w:color="auto"/>
              <w:right w:val="single" w:sz="4" w:space="0" w:color="auto"/>
            </w:tcBorders>
            <w:shd w:val="clear" w:color="auto" w:fill="auto"/>
            <w:noWrap/>
            <w:vAlign w:val="bottom"/>
            <w:hideMark/>
          </w:tcPr>
          <w:p w14:paraId="52BBB8EA" w14:textId="77777777" w:rsidR="00F04FA7" w:rsidRPr="00E20858" w:rsidRDefault="00F04FA7" w:rsidP="000B7682">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6B1DCED"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14:paraId="7075237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14:paraId="58DFB034"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14:paraId="1877987B"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w:t>
            </w:r>
          </w:p>
        </w:tc>
      </w:tr>
      <w:tr w:rsidR="00A82412" w:rsidRPr="00F506D4" w14:paraId="0F575DE5"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noWrap/>
            <w:vAlign w:val="bottom"/>
            <w:hideMark/>
          </w:tcPr>
          <w:p w14:paraId="7CCC113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2628" w:type="dxa"/>
            <w:vMerge/>
            <w:tcBorders>
              <w:top w:val="single" w:sz="4" w:space="0" w:color="auto"/>
              <w:left w:val="single" w:sz="4" w:space="0" w:color="auto"/>
              <w:bottom w:val="single" w:sz="4" w:space="0" w:color="auto"/>
              <w:right w:val="single" w:sz="4" w:space="0" w:color="auto"/>
            </w:tcBorders>
            <w:vAlign w:val="center"/>
            <w:hideMark/>
          </w:tcPr>
          <w:p w14:paraId="3BBDE564" w14:textId="77777777" w:rsidR="00F04FA7" w:rsidRPr="006A3169" w:rsidRDefault="00F04FA7" w:rsidP="000B7682">
            <w:pPr>
              <w:spacing w:after="0"/>
              <w:ind w:firstLine="0"/>
              <w:jc w:val="left"/>
              <w:rPr>
                <w:rFonts w:eastAsia="Times New Roman" w:cs="Times New Roman"/>
                <w:sz w:val="18"/>
                <w:szCs w:val="18"/>
              </w:rPr>
            </w:pPr>
          </w:p>
        </w:tc>
        <w:tc>
          <w:tcPr>
            <w:tcW w:w="1193" w:type="dxa"/>
            <w:tcBorders>
              <w:top w:val="nil"/>
              <w:left w:val="nil"/>
              <w:bottom w:val="single" w:sz="4" w:space="0" w:color="auto"/>
              <w:right w:val="single" w:sz="4" w:space="0" w:color="auto"/>
            </w:tcBorders>
            <w:shd w:val="clear" w:color="auto" w:fill="auto"/>
            <w:noWrap/>
            <w:vAlign w:val="bottom"/>
            <w:hideMark/>
          </w:tcPr>
          <w:p w14:paraId="7F1608F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PVN</w:t>
            </w:r>
          </w:p>
        </w:tc>
        <w:tc>
          <w:tcPr>
            <w:tcW w:w="1357" w:type="dxa"/>
            <w:tcBorders>
              <w:top w:val="nil"/>
              <w:left w:val="nil"/>
              <w:bottom w:val="single" w:sz="4" w:space="0" w:color="auto"/>
              <w:right w:val="single" w:sz="4" w:space="0" w:color="auto"/>
            </w:tcBorders>
            <w:shd w:val="clear" w:color="auto" w:fill="auto"/>
            <w:noWrap/>
            <w:vAlign w:val="bottom"/>
            <w:hideMark/>
          </w:tcPr>
          <w:p w14:paraId="0B62CB31" w14:textId="77777777" w:rsidR="00F04FA7" w:rsidRPr="00E20858" w:rsidRDefault="00F04FA7" w:rsidP="000B7682">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6819DA29"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3,0</w:t>
            </w:r>
          </w:p>
        </w:tc>
        <w:tc>
          <w:tcPr>
            <w:tcW w:w="0" w:type="auto"/>
            <w:tcBorders>
              <w:top w:val="nil"/>
              <w:left w:val="nil"/>
              <w:bottom w:val="single" w:sz="4" w:space="0" w:color="auto"/>
              <w:right w:val="single" w:sz="4" w:space="0" w:color="auto"/>
            </w:tcBorders>
            <w:shd w:val="clear" w:color="auto" w:fill="auto"/>
            <w:noWrap/>
            <w:vAlign w:val="bottom"/>
            <w:hideMark/>
          </w:tcPr>
          <w:p w14:paraId="42D33C0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8,4</w:t>
            </w:r>
          </w:p>
        </w:tc>
        <w:tc>
          <w:tcPr>
            <w:tcW w:w="0" w:type="auto"/>
            <w:tcBorders>
              <w:top w:val="nil"/>
              <w:left w:val="nil"/>
              <w:bottom w:val="single" w:sz="4" w:space="0" w:color="auto"/>
              <w:right w:val="single" w:sz="4" w:space="0" w:color="auto"/>
            </w:tcBorders>
            <w:shd w:val="clear" w:color="auto" w:fill="auto"/>
            <w:noWrap/>
            <w:vAlign w:val="bottom"/>
            <w:hideMark/>
          </w:tcPr>
          <w:p w14:paraId="3CB37A71"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8,2</w:t>
            </w:r>
          </w:p>
        </w:tc>
        <w:tc>
          <w:tcPr>
            <w:tcW w:w="0" w:type="auto"/>
            <w:tcBorders>
              <w:top w:val="nil"/>
              <w:left w:val="nil"/>
              <w:bottom w:val="single" w:sz="4" w:space="0" w:color="auto"/>
              <w:right w:val="single" w:sz="4" w:space="0" w:color="auto"/>
            </w:tcBorders>
            <w:shd w:val="clear" w:color="auto" w:fill="auto"/>
            <w:noWrap/>
            <w:vAlign w:val="bottom"/>
            <w:hideMark/>
          </w:tcPr>
          <w:p w14:paraId="4C6D11F9"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8,2</w:t>
            </w:r>
          </w:p>
        </w:tc>
      </w:tr>
      <w:tr w:rsidR="00A82412" w:rsidRPr="00F506D4" w14:paraId="006B5EA0" w14:textId="77777777" w:rsidTr="00687CD9">
        <w:trPr>
          <w:trHeight w:val="20"/>
        </w:trPr>
        <w:tc>
          <w:tcPr>
            <w:tcW w:w="1195" w:type="dxa"/>
            <w:tcBorders>
              <w:top w:val="nil"/>
              <w:left w:val="single" w:sz="4" w:space="0" w:color="auto"/>
              <w:bottom w:val="single" w:sz="4" w:space="0" w:color="auto"/>
              <w:right w:val="single" w:sz="4" w:space="0" w:color="auto"/>
            </w:tcBorders>
            <w:shd w:val="clear" w:color="auto" w:fill="auto"/>
            <w:noWrap/>
            <w:vAlign w:val="bottom"/>
            <w:hideMark/>
          </w:tcPr>
          <w:p w14:paraId="25B9C4E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AN</w:t>
            </w:r>
          </w:p>
        </w:tc>
        <w:tc>
          <w:tcPr>
            <w:tcW w:w="2628" w:type="dxa"/>
            <w:vMerge/>
            <w:tcBorders>
              <w:top w:val="single" w:sz="4" w:space="0" w:color="auto"/>
              <w:left w:val="single" w:sz="4" w:space="0" w:color="auto"/>
              <w:bottom w:val="single" w:sz="4" w:space="0" w:color="auto"/>
              <w:right w:val="single" w:sz="4" w:space="0" w:color="auto"/>
            </w:tcBorders>
            <w:vAlign w:val="center"/>
            <w:hideMark/>
          </w:tcPr>
          <w:p w14:paraId="62C399EC" w14:textId="77777777" w:rsidR="00F04FA7" w:rsidRPr="006A3169" w:rsidRDefault="00F04FA7" w:rsidP="000B7682">
            <w:pPr>
              <w:spacing w:after="0"/>
              <w:ind w:firstLine="0"/>
              <w:jc w:val="left"/>
              <w:rPr>
                <w:rFonts w:eastAsia="Times New Roman" w:cs="Times New Roman"/>
                <w:sz w:val="18"/>
                <w:szCs w:val="18"/>
              </w:rPr>
            </w:pPr>
          </w:p>
        </w:tc>
        <w:tc>
          <w:tcPr>
            <w:tcW w:w="1193" w:type="dxa"/>
            <w:tcBorders>
              <w:top w:val="nil"/>
              <w:left w:val="nil"/>
              <w:bottom w:val="single" w:sz="4" w:space="0" w:color="auto"/>
              <w:right w:val="single" w:sz="4" w:space="0" w:color="auto"/>
            </w:tcBorders>
            <w:shd w:val="clear" w:color="auto" w:fill="auto"/>
            <w:noWrap/>
            <w:vAlign w:val="bottom"/>
            <w:hideMark/>
          </w:tcPr>
          <w:p w14:paraId="04F4E1E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AN</w:t>
            </w:r>
          </w:p>
        </w:tc>
        <w:tc>
          <w:tcPr>
            <w:tcW w:w="1357" w:type="dxa"/>
            <w:tcBorders>
              <w:top w:val="nil"/>
              <w:left w:val="nil"/>
              <w:bottom w:val="single" w:sz="4" w:space="0" w:color="auto"/>
              <w:right w:val="single" w:sz="4" w:space="0" w:color="auto"/>
            </w:tcBorders>
            <w:shd w:val="clear" w:color="auto" w:fill="auto"/>
            <w:noWrap/>
            <w:vAlign w:val="bottom"/>
            <w:hideMark/>
          </w:tcPr>
          <w:p w14:paraId="418C3037" w14:textId="77777777" w:rsidR="00F04FA7" w:rsidRPr="00E20858" w:rsidRDefault="00F04FA7" w:rsidP="000B7682">
            <w:pPr>
              <w:spacing w:after="0"/>
              <w:ind w:firstLine="0"/>
              <w:jc w:val="center"/>
              <w:rPr>
                <w:rFonts w:eastAsia="Times New Roman" w:cs="Times New Roman"/>
                <w:sz w:val="16"/>
                <w:szCs w:val="16"/>
              </w:rPr>
            </w:pPr>
            <w:r w:rsidRPr="00E20858">
              <w:rPr>
                <w:rFonts w:eastAsia="Times New Roman" w:cs="Times New Roman"/>
                <w:sz w:val="16"/>
                <w:szCs w:val="16"/>
              </w:rPr>
              <w:t>Ne-</w:t>
            </w:r>
            <w:proofErr w:type="spellStart"/>
            <w:r w:rsidRPr="00E20858">
              <w:rPr>
                <w:rFonts w:eastAsia="Times New Roman" w:cs="Times New Roman"/>
                <w:sz w:val="16"/>
                <w:szCs w:val="16"/>
              </w:rPr>
              <w:t>diskrecionāri</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3A22962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1,0</w:t>
            </w:r>
          </w:p>
        </w:tc>
        <w:tc>
          <w:tcPr>
            <w:tcW w:w="0" w:type="auto"/>
            <w:tcBorders>
              <w:top w:val="nil"/>
              <w:left w:val="nil"/>
              <w:bottom w:val="single" w:sz="4" w:space="0" w:color="auto"/>
              <w:right w:val="single" w:sz="4" w:space="0" w:color="auto"/>
            </w:tcBorders>
            <w:shd w:val="clear" w:color="auto" w:fill="auto"/>
            <w:noWrap/>
            <w:vAlign w:val="bottom"/>
            <w:hideMark/>
          </w:tcPr>
          <w:p w14:paraId="5BE65C4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1,0</w:t>
            </w:r>
          </w:p>
        </w:tc>
        <w:tc>
          <w:tcPr>
            <w:tcW w:w="0" w:type="auto"/>
            <w:tcBorders>
              <w:top w:val="nil"/>
              <w:left w:val="nil"/>
              <w:bottom w:val="single" w:sz="4" w:space="0" w:color="auto"/>
              <w:right w:val="single" w:sz="4" w:space="0" w:color="auto"/>
            </w:tcBorders>
            <w:shd w:val="clear" w:color="auto" w:fill="auto"/>
            <w:noWrap/>
            <w:vAlign w:val="bottom"/>
            <w:hideMark/>
          </w:tcPr>
          <w:p w14:paraId="2F6E3BE0"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w:t>
            </w:r>
          </w:p>
        </w:tc>
        <w:tc>
          <w:tcPr>
            <w:tcW w:w="0" w:type="auto"/>
            <w:tcBorders>
              <w:top w:val="nil"/>
              <w:left w:val="nil"/>
              <w:bottom w:val="single" w:sz="4" w:space="0" w:color="auto"/>
              <w:right w:val="single" w:sz="4" w:space="0" w:color="auto"/>
            </w:tcBorders>
            <w:shd w:val="clear" w:color="auto" w:fill="auto"/>
            <w:noWrap/>
            <w:vAlign w:val="bottom"/>
            <w:hideMark/>
          </w:tcPr>
          <w:p w14:paraId="32FBC96E"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w:t>
            </w:r>
          </w:p>
        </w:tc>
      </w:tr>
      <w:tr w:rsidR="00F04FA7" w:rsidRPr="00F506D4" w14:paraId="37F9657B" w14:textId="77777777" w:rsidTr="000B7682">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bottom"/>
            <w:hideMark/>
          </w:tcPr>
          <w:p w14:paraId="3219D58D"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Izdevumu pārskatīšana kopā</w:t>
            </w:r>
          </w:p>
        </w:tc>
        <w:tc>
          <w:tcPr>
            <w:tcW w:w="0" w:type="auto"/>
            <w:tcBorders>
              <w:top w:val="nil"/>
              <w:left w:val="nil"/>
              <w:bottom w:val="single" w:sz="4" w:space="0" w:color="auto"/>
              <w:right w:val="single" w:sz="4" w:space="0" w:color="auto"/>
            </w:tcBorders>
            <w:shd w:val="clear" w:color="auto" w:fill="auto"/>
            <w:noWrap/>
            <w:vAlign w:val="bottom"/>
            <w:hideMark/>
          </w:tcPr>
          <w:p w14:paraId="2422494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61,3</w:t>
            </w:r>
          </w:p>
        </w:tc>
        <w:tc>
          <w:tcPr>
            <w:tcW w:w="0" w:type="auto"/>
            <w:tcBorders>
              <w:top w:val="nil"/>
              <w:left w:val="nil"/>
              <w:bottom w:val="single" w:sz="4" w:space="0" w:color="auto"/>
              <w:right w:val="single" w:sz="4" w:space="0" w:color="auto"/>
            </w:tcBorders>
            <w:shd w:val="clear" w:color="auto" w:fill="auto"/>
            <w:noWrap/>
            <w:vAlign w:val="bottom"/>
            <w:hideMark/>
          </w:tcPr>
          <w:p w14:paraId="52612F7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25,0</w:t>
            </w:r>
          </w:p>
        </w:tc>
        <w:tc>
          <w:tcPr>
            <w:tcW w:w="0" w:type="auto"/>
            <w:tcBorders>
              <w:top w:val="nil"/>
              <w:left w:val="nil"/>
              <w:bottom w:val="single" w:sz="4" w:space="0" w:color="auto"/>
              <w:right w:val="single" w:sz="4" w:space="0" w:color="auto"/>
            </w:tcBorders>
            <w:shd w:val="clear" w:color="auto" w:fill="auto"/>
            <w:noWrap/>
            <w:vAlign w:val="bottom"/>
            <w:hideMark/>
          </w:tcPr>
          <w:p w14:paraId="75660F07"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26,7</w:t>
            </w:r>
          </w:p>
        </w:tc>
        <w:tc>
          <w:tcPr>
            <w:tcW w:w="0" w:type="auto"/>
            <w:tcBorders>
              <w:top w:val="nil"/>
              <w:left w:val="nil"/>
              <w:bottom w:val="single" w:sz="4" w:space="0" w:color="auto"/>
              <w:right w:val="single" w:sz="4" w:space="0" w:color="auto"/>
            </w:tcBorders>
            <w:shd w:val="clear" w:color="auto" w:fill="auto"/>
            <w:noWrap/>
            <w:vAlign w:val="bottom"/>
            <w:hideMark/>
          </w:tcPr>
          <w:p w14:paraId="675B633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26,7</w:t>
            </w:r>
          </w:p>
        </w:tc>
      </w:tr>
      <w:tr w:rsidR="00A82412" w:rsidRPr="00F506D4" w14:paraId="45C2B2B9" w14:textId="77777777" w:rsidTr="00687CD9">
        <w:trPr>
          <w:trHeight w:val="20"/>
        </w:trPr>
        <w:tc>
          <w:tcPr>
            <w:tcW w:w="1195" w:type="dxa"/>
            <w:tcBorders>
              <w:top w:val="nil"/>
              <w:left w:val="single" w:sz="4" w:space="0" w:color="auto"/>
              <w:bottom w:val="nil"/>
              <w:right w:val="single" w:sz="4" w:space="0" w:color="auto"/>
            </w:tcBorders>
            <w:shd w:val="clear" w:color="auto" w:fill="auto"/>
            <w:noWrap/>
            <w:vAlign w:val="bottom"/>
            <w:hideMark/>
          </w:tcPr>
          <w:p w14:paraId="75B7043C" w14:textId="77777777" w:rsidR="00F04FA7" w:rsidRPr="006A3169" w:rsidRDefault="00F04FA7" w:rsidP="000B7682">
            <w:pPr>
              <w:spacing w:after="0"/>
              <w:ind w:firstLine="0"/>
              <w:jc w:val="left"/>
              <w:rPr>
                <w:rFonts w:eastAsia="Times New Roman" w:cs="Times New Roman"/>
                <w:b/>
                <w:bCs/>
                <w:sz w:val="18"/>
                <w:szCs w:val="18"/>
              </w:rPr>
            </w:pPr>
            <w:r w:rsidRPr="006A3169">
              <w:rPr>
                <w:rFonts w:eastAsia="Times New Roman" w:cs="Times New Roman"/>
                <w:b/>
                <w:bCs/>
                <w:sz w:val="18"/>
                <w:szCs w:val="18"/>
              </w:rPr>
              <w:t>Citi pasākumi, tostarp citas EKS korekcijas</w:t>
            </w:r>
          </w:p>
        </w:tc>
        <w:tc>
          <w:tcPr>
            <w:tcW w:w="2628" w:type="dxa"/>
            <w:tcBorders>
              <w:top w:val="nil"/>
              <w:left w:val="nil"/>
              <w:bottom w:val="nil"/>
              <w:right w:val="single" w:sz="4" w:space="0" w:color="auto"/>
            </w:tcBorders>
            <w:shd w:val="clear" w:color="auto" w:fill="auto"/>
            <w:noWrap/>
            <w:vAlign w:val="center"/>
            <w:hideMark/>
          </w:tcPr>
          <w:p w14:paraId="092A68DD" w14:textId="77777777" w:rsidR="00F04FA7" w:rsidRPr="006A3169" w:rsidRDefault="00F04FA7" w:rsidP="00E20858">
            <w:pPr>
              <w:spacing w:after="0"/>
              <w:ind w:firstLine="0"/>
              <w:jc w:val="center"/>
              <w:rPr>
                <w:rFonts w:eastAsia="Times New Roman" w:cs="Times New Roman"/>
                <w:b/>
                <w:bCs/>
                <w:sz w:val="18"/>
                <w:szCs w:val="18"/>
              </w:rPr>
            </w:pPr>
            <w:r w:rsidRPr="006A3169">
              <w:rPr>
                <w:rFonts w:eastAsia="Times New Roman" w:cs="Times New Roman"/>
                <w:b/>
                <w:bCs/>
                <w:sz w:val="18"/>
                <w:szCs w:val="18"/>
              </w:rPr>
              <w:t>citi</w:t>
            </w:r>
          </w:p>
        </w:tc>
        <w:tc>
          <w:tcPr>
            <w:tcW w:w="1193" w:type="dxa"/>
            <w:tcBorders>
              <w:top w:val="nil"/>
              <w:left w:val="nil"/>
              <w:bottom w:val="nil"/>
              <w:right w:val="single" w:sz="4" w:space="0" w:color="auto"/>
            </w:tcBorders>
            <w:shd w:val="clear" w:color="auto" w:fill="auto"/>
            <w:noWrap/>
            <w:vAlign w:val="center"/>
            <w:hideMark/>
          </w:tcPr>
          <w:p w14:paraId="3B058B86" w14:textId="77777777" w:rsidR="00F04FA7" w:rsidRPr="006A3169" w:rsidRDefault="00F04FA7" w:rsidP="00E20858">
            <w:pPr>
              <w:spacing w:after="0"/>
              <w:ind w:firstLine="0"/>
              <w:jc w:val="center"/>
              <w:rPr>
                <w:rFonts w:eastAsia="Times New Roman" w:cs="Times New Roman"/>
                <w:b/>
                <w:bCs/>
                <w:sz w:val="18"/>
                <w:szCs w:val="18"/>
              </w:rPr>
            </w:pPr>
            <w:r w:rsidRPr="006A3169">
              <w:rPr>
                <w:rFonts w:eastAsia="Times New Roman" w:cs="Times New Roman"/>
                <w:b/>
                <w:bCs/>
                <w:sz w:val="18"/>
                <w:szCs w:val="18"/>
              </w:rPr>
              <w:t>citi</w:t>
            </w:r>
          </w:p>
        </w:tc>
        <w:tc>
          <w:tcPr>
            <w:tcW w:w="1357" w:type="dxa"/>
            <w:tcBorders>
              <w:top w:val="nil"/>
              <w:left w:val="nil"/>
              <w:bottom w:val="nil"/>
              <w:right w:val="single" w:sz="4" w:space="0" w:color="auto"/>
            </w:tcBorders>
            <w:shd w:val="clear" w:color="auto" w:fill="auto"/>
            <w:noWrap/>
            <w:vAlign w:val="center"/>
            <w:hideMark/>
          </w:tcPr>
          <w:p w14:paraId="5EC67815" w14:textId="77777777" w:rsidR="00F04FA7" w:rsidRPr="006A3169" w:rsidRDefault="00F04FA7" w:rsidP="00E20858">
            <w:pPr>
              <w:spacing w:after="0"/>
              <w:ind w:firstLine="0"/>
              <w:jc w:val="center"/>
              <w:rPr>
                <w:rFonts w:eastAsia="Times New Roman" w:cs="Times New Roman"/>
                <w:b/>
                <w:bCs/>
                <w:sz w:val="18"/>
                <w:szCs w:val="18"/>
              </w:rPr>
            </w:pPr>
            <w:r w:rsidRPr="006A3169">
              <w:rPr>
                <w:rFonts w:eastAsia="Times New Roman" w:cs="Times New Roman"/>
                <w:b/>
                <w:bCs/>
                <w:sz w:val="18"/>
                <w:szCs w:val="18"/>
              </w:rPr>
              <w:t>Ne-</w:t>
            </w:r>
            <w:proofErr w:type="spellStart"/>
            <w:r w:rsidRPr="006A3169">
              <w:rPr>
                <w:rFonts w:eastAsia="Times New Roman" w:cs="Times New Roman"/>
                <w:b/>
                <w:bCs/>
                <w:sz w:val="18"/>
                <w:szCs w:val="18"/>
              </w:rPr>
              <w:t>diskrecionāri</w:t>
            </w:r>
            <w:proofErr w:type="spellEnd"/>
          </w:p>
        </w:tc>
        <w:tc>
          <w:tcPr>
            <w:tcW w:w="0" w:type="auto"/>
            <w:tcBorders>
              <w:top w:val="nil"/>
              <w:left w:val="nil"/>
              <w:bottom w:val="nil"/>
              <w:right w:val="single" w:sz="4" w:space="0" w:color="auto"/>
            </w:tcBorders>
            <w:shd w:val="clear" w:color="auto" w:fill="auto"/>
            <w:noWrap/>
            <w:vAlign w:val="center"/>
            <w:hideMark/>
          </w:tcPr>
          <w:p w14:paraId="7EF9A6C0" w14:textId="77777777" w:rsidR="00F04FA7" w:rsidRPr="006A3169" w:rsidRDefault="00F04FA7"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12,0</w:t>
            </w:r>
          </w:p>
        </w:tc>
        <w:tc>
          <w:tcPr>
            <w:tcW w:w="0" w:type="auto"/>
            <w:tcBorders>
              <w:top w:val="nil"/>
              <w:left w:val="nil"/>
              <w:bottom w:val="nil"/>
              <w:right w:val="single" w:sz="4" w:space="0" w:color="auto"/>
            </w:tcBorders>
            <w:shd w:val="clear" w:color="auto" w:fill="auto"/>
            <w:noWrap/>
            <w:vAlign w:val="center"/>
            <w:hideMark/>
          </w:tcPr>
          <w:p w14:paraId="4A7F0DE2" w14:textId="77777777" w:rsidR="00F04FA7" w:rsidRPr="006A3169" w:rsidRDefault="00F04FA7"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5,0</w:t>
            </w:r>
          </w:p>
        </w:tc>
        <w:tc>
          <w:tcPr>
            <w:tcW w:w="0" w:type="auto"/>
            <w:tcBorders>
              <w:top w:val="nil"/>
              <w:left w:val="nil"/>
              <w:bottom w:val="nil"/>
              <w:right w:val="single" w:sz="4" w:space="0" w:color="auto"/>
            </w:tcBorders>
            <w:shd w:val="clear" w:color="auto" w:fill="auto"/>
            <w:noWrap/>
            <w:vAlign w:val="center"/>
            <w:hideMark/>
          </w:tcPr>
          <w:p w14:paraId="074473F1" w14:textId="77777777" w:rsidR="00F04FA7" w:rsidRPr="006A3169" w:rsidRDefault="00F04FA7"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6,7</w:t>
            </w:r>
          </w:p>
        </w:tc>
        <w:tc>
          <w:tcPr>
            <w:tcW w:w="0" w:type="auto"/>
            <w:tcBorders>
              <w:top w:val="nil"/>
              <w:left w:val="nil"/>
              <w:bottom w:val="nil"/>
              <w:right w:val="single" w:sz="4" w:space="0" w:color="auto"/>
            </w:tcBorders>
            <w:shd w:val="clear" w:color="auto" w:fill="auto"/>
            <w:noWrap/>
            <w:vAlign w:val="center"/>
            <w:hideMark/>
          </w:tcPr>
          <w:p w14:paraId="68209A0C" w14:textId="77777777" w:rsidR="00F04FA7" w:rsidRPr="006A3169" w:rsidRDefault="00F04FA7" w:rsidP="00687CD9">
            <w:pPr>
              <w:spacing w:after="0"/>
              <w:ind w:firstLine="0"/>
              <w:jc w:val="center"/>
              <w:rPr>
                <w:rFonts w:eastAsia="Times New Roman" w:cs="Times New Roman"/>
                <w:b/>
                <w:bCs/>
                <w:sz w:val="18"/>
                <w:szCs w:val="18"/>
              </w:rPr>
            </w:pPr>
            <w:r w:rsidRPr="006A3169">
              <w:rPr>
                <w:rFonts w:eastAsia="Times New Roman" w:cs="Times New Roman"/>
                <w:b/>
                <w:bCs/>
                <w:sz w:val="18"/>
                <w:szCs w:val="18"/>
              </w:rPr>
              <w:t>8,2</w:t>
            </w:r>
          </w:p>
        </w:tc>
      </w:tr>
      <w:tr w:rsidR="00F04FA7" w:rsidRPr="00F506D4" w14:paraId="00AE0BE8" w14:textId="77777777" w:rsidTr="000B7682">
        <w:trPr>
          <w:trHeight w:val="20"/>
        </w:trPr>
        <w:tc>
          <w:tcPr>
            <w:tcW w:w="0" w:type="auto"/>
            <w:gridSpan w:val="4"/>
            <w:tcBorders>
              <w:top w:val="single" w:sz="8" w:space="0" w:color="auto"/>
              <w:left w:val="single" w:sz="8" w:space="0" w:color="auto"/>
              <w:bottom w:val="single" w:sz="8" w:space="0" w:color="auto"/>
              <w:right w:val="single" w:sz="4" w:space="0" w:color="auto"/>
            </w:tcBorders>
            <w:shd w:val="clear" w:color="auto" w:fill="BDD6EE" w:themeFill="accent1" w:themeFillTint="66"/>
            <w:noWrap/>
            <w:vAlign w:val="bottom"/>
            <w:hideMark/>
          </w:tcPr>
          <w:p w14:paraId="594F406B"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Ieņēmumu pasākumi kopā</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50672136"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299,1</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1F71F461"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195,4</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71B8E5F5"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170,8</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5D5AD519"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86,2</w:t>
            </w:r>
          </w:p>
        </w:tc>
      </w:tr>
    </w:tbl>
    <w:p w14:paraId="7353A53D" w14:textId="77777777" w:rsidR="00CB7E29" w:rsidRPr="00FD1578" w:rsidRDefault="00CB7E29" w:rsidP="008349F0">
      <w:pPr>
        <w:widowControl w:val="0"/>
        <w:spacing w:after="0"/>
        <w:rPr>
          <w:rFonts w:eastAsia="Times New Roman" w:cs="Times New Roman"/>
          <w:color w:val="000000"/>
          <w:highlight w:val="lightGray"/>
        </w:rPr>
      </w:pPr>
    </w:p>
    <w:p w14:paraId="4F3CA63F" w14:textId="6A9444E3" w:rsidR="002B6EFC" w:rsidRPr="002B6EFC" w:rsidRDefault="00E11486" w:rsidP="002B6EFC">
      <w:pPr>
        <w:widowControl w:val="0"/>
        <w:rPr>
          <w:rFonts w:eastAsia="Times New Roman" w:cs="Times New Roman"/>
          <w:color w:val="000000"/>
        </w:rPr>
      </w:pPr>
      <w:r w:rsidRPr="00F62287">
        <w:rPr>
          <w:rFonts w:eastAsia="Times New Roman" w:cs="Times New Roman"/>
          <w:color w:val="000000"/>
        </w:rPr>
        <w:t>MK</w:t>
      </w:r>
      <w:r w:rsidR="00CB7E29" w:rsidRPr="00F62287">
        <w:rPr>
          <w:rFonts w:eastAsia="Times New Roman" w:cs="Times New Roman"/>
          <w:color w:val="000000"/>
        </w:rPr>
        <w:t xml:space="preserve"> lēmumi par finansējuma palielinājumu vidēja termiņa prioritāraj</w:t>
      </w:r>
      <w:r w:rsidR="002B6EFC">
        <w:rPr>
          <w:rFonts w:eastAsia="Times New Roman" w:cs="Times New Roman"/>
          <w:color w:val="000000"/>
        </w:rPr>
        <w:t>am</w:t>
      </w:r>
      <w:r w:rsidR="00CB7E29" w:rsidRPr="00F62287">
        <w:rPr>
          <w:rFonts w:eastAsia="Times New Roman" w:cs="Times New Roman"/>
          <w:color w:val="000000"/>
        </w:rPr>
        <w:t xml:space="preserve"> virzien</w:t>
      </w:r>
      <w:r w:rsidR="002B6EFC">
        <w:rPr>
          <w:rFonts w:eastAsia="Times New Roman" w:cs="Times New Roman"/>
          <w:color w:val="000000"/>
        </w:rPr>
        <w:t>am</w:t>
      </w:r>
      <w:r w:rsidR="00CB7E29" w:rsidRPr="00F62287">
        <w:rPr>
          <w:rFonts w:eastAsia="Times New Roman" w:cs="Times New Roman"/>
          <w:color w:val="000000"/>
        </w:rPr>
        <w:t xml:space="preserve"> ir apkopoti </w:t>
      </w:r>
      <w:r w:rsidR="00CB7E29" w:rsidRPr="0051507C">
        <w:rPr>
          <w:rFonts w:eastAsia="Times New Roman" w:cs="Times New Roman"/>
          <w:color w:val="000000"/>
        </w:rPr>
        <w:t>2.</w:t>
      </w:r>
      <w:r w:rsidR="00F04FA7" w:rsidRPr="0051507C">
        <w:rPr>
          <w:rFonts w:eastAsia="Times New Roman" w:cs="Times New Roman"/>
          <w:color w:val="000000"/>
        </w:rPr>
        <w:t>25</w:t>
      </w:r>
      <w:r w:rsidR="00CB7E29" w:rsidRPr="0051507C">
        <w:rPr>
          <w:rFonts w:eastAsia="Times New Roman" w:cs="Times New Roman"/>
          <w:color w:val="000000"/>
        </w:rPr>
        <w:t>. tabulā.</w:t>
      </w:r>
      <w:r w:rsidR="002B6EFC">
        <w:rPr>
          <w:rFonts w:eastAsia="Times New Roman" w:cs="Times New Roman"/>
          <w:color w:val="000000"/>
        </w:rPr>
        <w:t xml:space="preserve"> Tabula papildināta arī ar </w:t>
      </w:r>
      <w:r w:rsidR="002D70A6">
        <w:rPr>
          <w:rFonts w:eastAsia="Times New Roman" w:cs="Times New Roman"/>
          <w:color w:val="000000"/>
        </w:rPr>
        <w:t>izdevumu pasākumiem, kas pilnībā kompensēti (</w:t>
      </w:r>
      <w:r w:rsidR="002B6EFC">
        <w:rPr>
          <w:rFonts w:eastAsia="Times New Roman" w:cs="Times New Roman"/>
          <w:color w:val="000000"/>
        </w:rPr>
        <w:t>fiskāli neitrāliem</w:t>
      </w:r>
      <w:r w:rsidR="002D70A6">
        <w:rPr>
          <w:rFonts w:eastAsia="Times New Roman" w:cs="Times New Roman"/>
          <w:color w:val="000000"/>
        </w:rPr>
        <w:t>),</w:t>
      </w:r>
      <w:r w:rsidR="002B6EFC">
        <w:rPr>
          <w:rFonts w:eastAsia="Times New Roman" w:cs="Times New Roman"/>
          <w:color w:val="000000"/>
        </w:rPr>
        <w:t xml:space="preserve"> </w:t>
      </w:r>
      <w:r w:rsidR="002B6EFC" w:rsidRPr="002B6EFC">
        <w:rPr>
          <w:rFonts w:eastAsia="Times New Roman" w:cs="Times New Roman"/>
          <w:color w:val="000000"/>
        </w:rPr>
        <w:t xml:space="preserve">atsevišķi </w:t>
      </w:r>
      <w:r w:rsidR="002D70A6">
        <w:rPr>
          <w:rFonts w:eastAsia="Times New Roman" w:cs="Times New Roman"/>
          <w:color w:val="000000"/>
        </w:rPr>
        <w:t xml:space="preserve">izdalīti arī </w:t>
      </w:r>
      <w:r w:rsidR="002B6EFC" w:rsidRPr="002B6EFC">
        <w:rPr>
          <w:rFonts w:eastAsia="Times New Roman" w:cs="Times New Roman"/>
          <w:color w:val="000000"/>
        </w:rPr>
        <w:t>nodokļu politikas pārskatīšanas un izdevumu pārskatīšanas ietvaros pieņemt</w:t>
      </w:r>
      <w:r w:rsidR="002D70A6">
        <w:rPr>
          <w:rFonts w:eastAsia="Times New Roman" w:cs="Times New Roman"/>
          <w:color w:val="000000"/>
        </w:rPr>
        <w:t>ie</w:t>
      </w:r>
      <w:r w:rsidR="002B6EFC" w:rsidRPr="002B6EFC">
        <w:rPr>
          <w:rFonts w:eastAsia="Times New Roman" w:cs="Times New Roman"/>
          <w:color w:val="000000"/>
        </w:rPr>
        <w:t xml:space="preserve"> lēmum</w:t>
      </w:r>
      <w:r w:rsidR="002D70A6">
        <w:rPr>
          <w:rFonts w:eastAsia="Times New Roman" w:cs="Times New Roman"/>
          <w:color w:val="000000"/>
        </w:rPr>
        <w:t>i</w:t>
      </w:r>
      <w:r w:rsidR="002B6EFC" w:rsidRPr="002B6EFC">
        <w:rPr>
          <w:rFonts w:eastAsia="Times New Roman" w:cs="Times New Roman"/>
          <w:color w:val="000000"/>
        </w:rPr>
        <w:t>.</w:t>
      </w:r>
    </w:p>
    <w:p w14:paraId="21E4BA97" w14:textId="6F413526" w:rsidR="00CB7E29" w:rsidRPr="00FD1578" w:rsidRDefault="00CB7E29" w:rsidP="008349F0">
      <w:pPr>
        <w:widowControl w:val="0"/>
        <w:jc w:val="right"/>
        <w:rPr>
          <w:rFonts w:eastAsia="Times New Roman" w:cs="Times New Roman"/>
          <w:b/>
          <w:i/>
          <w:color w:val="000000"/>
          <w:highlight w:val="lightGray"/>
        </w:rPr>
      </w:pPr>
      <w:r w:rsidRPr="00187E6E">
        <w:rPr>
          <w:rFonts w:eastAsia="Times New Roman" w:cs="Times New Roman"/>
          <w:b/>
          <w:i/>
          <w:color w:val="000000"/>
        </w:rPr>
        <w:t>2.</w:t>
      </w:r>
      <w:r w:rsidR="00F04FA7" w:rsidRPr="00187E6E">
        <w:rPr>
          <w:rFonts w:eastAsia="Times New Roman" w:cs="Times New Roman"/>
          <w:b/>
          <w:i/>
          <w:color w:val="000000"/>
        </w:rPr>
        <w:t>25</w:t>
      </w:r>
      <w:r w:rsidRPr="00187E6E">
        <w:rPr>
          <w:rFonts w:eastAsia="Times New Roman" w:cs="Times New Roman"/>
          <w:b/>
          <w:i/>
          <w:color w:val="000000"/>
        </w:rPr>
        <w:t>. tabula</w:t>
      </w:r>
      <w:r w:rsidRPr="00F04FA7">
        <w:rPr>
          <w:rFonts w:eastAsia="Times New Roman" w:cs="Times New Roman"/>
          <w:b/>
          <w:i/>
          <w:color w:val="000000"/>
        </w:rPr>
        <w:t xml:space="preserve">. Izdevumu pasākumi, milj. </w:t>
      </w:r>
      <w:proofErr w:type="spellStart"/>
      <w:r w:rsidRPr="00F04FA7">
        <w:rPr>
          <w:rFonts w:eastAsia="Times New Roman" w:cs="Times New Roman"/>
          <w:b/>
          <w:i/>
          <w:color w:val="000000"/>
        </w:rPr>
        <w:t>euro</w:t>
      </w:r>
      <w:proofErr w:type="spellEnd"/>
    </w:p>
    <w:tbl>
      <w:tblPr>
        <w:tblW w:w="0" w:type="auto"/>
        <w:tblLook w:val="04A0" w:firstRow="1" w:lastRow="0" w:firstColumn="1" w:lastColumn="0" w:noHBand="0" w:noVBand="1"/>
      </w:tblPr>
      <w:tblGrid>
        <w:gridCol w:w="6354"/>
        <w:gridCol w:w="664"/>
        <w:gridCol w:w="681"/>
        <w:gridCol w:w="681"/>
        <w:gridCol w:w="681"/>
      </w:tblGrid>
      <w:tr w:rsidR="00F04FA7" w:rsidRPr="006A3169" w14:paraId="14E6667A" w14:textId="77777777" w:rsidTr="003602A1">
        <w:trPr>
          <w:trHeight w:val="20"/>
          <w:tblHeader/>
        </w:trPr>
        <w:tc>
          <w:tcPr>
            <w:tcW w:w="6354" w:type="dxa"/>
            <w:vMerge w:val="restart"/>
            <w:tcBorders>
              <w:top w:val="single" w:sz="4" w:space="0" w:color="auto"/>
              <w:left w:val="single" w:sz="4" w:space="0" w:color="auto"/>
              <w:right w:val="single" w:sz="4" w:space="0" w:color="auto"/>
            </w:tcBorders>
            <w:shd w:val="clear" w:color="auto" w:fill="9CC2E5" w:themeFill="accent1" w:themeFillTint="99"/>
            <w:noWrap/>
            <w:vAlign w:val="center"/>
            <w:hideMark/>
          </w:tcPr>
          <w:p w14:paraId="27F84A2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Pasākuma nosaukums</w:t>
            </w:r>
          </w:p>
          <w:p w14:paraId="7B42AB56" w14:textId="77777777" w:rsidR="00F04FA7" w:rsidRPr="006A3169" w:rsidRDefault="00F04FA7" w:rsidP="000B7682">
            <w:pPr>
              <w:spacing w:after="0"/>
              <w:jc w:val="center"/>
              <w:rPr>
                <w:rFonts w:eastAsia="Times New Roman" w:cs="Times New Roman"/>
                <w:b/>
                <w:bCs/>
                <w:sz w:val="18"/>
                <w:szCs w:val="18"/>
              </w:rPr>
            </w:pPr>
          </w:p>
        </w:tc>
        <w:tc>
          <w:tcPr>
            <w:tcW w:w="664"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47B40045"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2025</w:t>
            </w:r>
          </w:p>
        </w:tc>
        <w:tc>
          <w:tcPr>
            <w:tcW w:w="0" w:type="auto"/>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5F7B44F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2026</w:t>
            </w:r>
          </w:p>
        </w:tc>
        <w:tc>
          <w:tcPr>
            <w:tcW w:w="0" w:type="auto"/>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1712634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2027</w:t>
            </w:r>
          </w:p>
        </w:tc>
        <w:tc>
          <w:tcPr>
            <w:tcW w:w="0" w:type="auto"/>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377815BB"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2028</w:t>
            </w:r>
          </w:p>
        </w:tc>
      </w:tr>
      <w:tr w:rsidR="00F04FA7" w:rsidRPr="006A3169" w14:paraId="38D8784C" w14:textId="77777777" w:rsidTr="003602A1">
        <w:trPr>
          <w:trHeight w:val="20"/>
          <w:tblHeader/>
        </w:trPr>
        <w:tc>
          <w:tcPr>
            <w:tcW w:w="6354" w:type="dxa"/>
            <w:vMerge/>
            <w:tcBorders>
              <w:left w:val="single" w:sz="4" w:space="0" w:color="auto"/>
              <w:bottom w:val="single" w:sz="4" w:space="0" w:color="auto"/>
              <w:right w:val="single" w:sz="4" w:space="0" w:color="auto"/>
            </w:tcBorders>
            <w:shd w:val="clear" w:color="auto" w:fill="auto"/>
            <w:noWrap/>
            <w:vAlign w:val="center"/>
            <w:hideMark/>
          </w:tcPr>
          <w:p w14:paraId="65F60AFE" w14:textId="77777777" w:rsidR="00F04FA7" w:rsidRPr="006A3169" w:rsidRDefault="00F04FA7" w:rsidP="000B7682">
            <w:pPr>
              <w:spacing w:after="0"/>
              <w:ind w:firstLine="0"/>
              <w:jc w:val="left"/>
              <w:rPr>
                <w:rFonts w:eastAsia="Times New Roman" w:cs="Times New Roman"/>
                <w:sz w:val="18"/>
                <w:szCs w:val="18"/>
              </w:rPr>
            </w:pPr>
          </w:p>
        </w:tc>
        <w:tc>
          <w:tcPr>
            <w:tcW w:w="2707" w:type="dxa"/>
            <w:gridSpan w:val="4"/>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2B10A6B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xml:space="preserve">milj. </w:t>
            </w:r>
            <w:proofErr w:type="spellStart"/>
            <w:r w:rsidRPr="006A3169">
              <w:rPr>
                <w:rFonts w:eastAsia="Times New Roman" w:cs="Times New Roman"/>
                <w:i/>
                <w:iCs/>
                <w:sz w:val="18"/>
                <w:szCs w:val="18"/>
              </w:rPr>
              <w:t>euro</w:t>
            </w:r>
            <w:proofErr w:type="spellEnd"/>
          </w:p>
        </w:tc>
      </w:tr>
      <w:tr w:rsidR="00F04FA7" w:rsidRPr="006A3169" w14:paraId="05B0D827" w14:textId="77777777" w:rsidTr="000B7682">
        <w:trPr>
          <w:trHeight w:val="20"/>
        </w:trPr>
        <w:tc>
          <w:tcPr>
            <w:tcW w:w="0" w:type="auto"/>
            <w:gridSpan w:val="5"/>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center"/>
            <w:hideMark/>
          </w:tcPr>
          <w:p w14:paraId="638BCFD4" w14:textId="77777777" w:rsidR="00F04FA7" w:rsidRPr="006A3169" w:rsidRDefault="00F04FA7" w:rsidP="000B7682">
            <w:pPr>
              <w:spacing w:after="0"/>
              <w:ind w:firstLine="0"/>
              <w:jc w:val="left"/>
              <w:rPr>
                <w:rFonts w:eastAsia="Times New Roman" w:cs="Times New Roman"/>
                <w:b/>
                <w:bCs/>
                <w:sz w:val="18"/>
                <w:szCs w:val="18"/>
              </w:rPr>
            </w:pPr>
            <w:r w:rsidRPr="006A3169">
              <w:rPr>
                <w:rFonts w:eastAsia="Times New Roman" w:cs="Times New Roman"/>
                <w:b/>
                <w:bCs/>
                <w:sz w:val="18"/>
                <w:szCs w:val="18"/>
              </w:rPr>
              <w:t>Prioritārie pasākumi</w:t>
            </w:r>
          </w:p>
        </w:tc>
      </w:tr>
      <w:tr w:rsidR="00F04FA7" w:rsidRPr="006A3169" w14:paraId="557BD3CF"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6C61055D" w14:textId="77777777" w:rsidR="00F04FA7" w:rsidRPr="006A3169" w:rsidRDefault="00F04FA7" w:rsidP="000B7682">
            <w:pPr>
              <w:spacing w:after="0"/>
              <w:ind w:firstLine="0"/>
              <w:rPr>
                <w:rFonts w:eastAsia="Times New Roman" w:cs="Times New Roman"/>
                <w:b/>
                <w:bCs/>
                <w:sz w:val="18"/>
                <w:szCs w:val="18"/>
              </w:rPr>
            </w:pPr>
            <w:r w:rsidRPr="006A3169">
              <w:rPr>
                <w:rFonts w:eastAsia="Times New Roman" w:cs="Times New Roman"/>
                <w:b/>
                <w:bCs/>
                <w:sz w:val="18"/>
                <w:szCs w:val="18"/>
              </w:rPr>
              <w:t>Ar valsts drošību saistītie prioritārie pasākumi</w:t>
            </w:r>
          </w:p>
        </w:tc>
        <w:tc>
          <w:tcPr>
            <w:tcW w:w="664" w:type="dxa"/>
            <w:tcBorders>
              <w:top w:val="nil"/>
              <w:left w:val="nil"/>
              <w:bottom w:val="single" w:sz="4" w:space="0" w:color="auto"/>
              <w:right w:val="single" w:sz="4" w:space="0" w:color="auto"/>
            </w:tcBorders>
            <w:shd w:val="clear" w:color="auto" w:fill="auto"/>
            <w:noWrap/>
            <w:vAlign w:val="center"/>
            <w:hideMark/>
          </w:tcPr>
          <w:p w14:paraId="6117BFA3" w14:textId="7AF27500"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w:t>
            </w:r>
            <w:r w:rsidR="006D4A79" w:rsidRPr="006A3169">
              <w:rPr>
                <w:rFonts w:eastAsia="Times New Roman" w:cs="Times New Roman"/>
                <w:b/>
                <w:bCs/>
                <w:sz w:val="18"/>
                <w:szCs w:val="18"/>
              </w:rPr>
              <w:t>69</w:t>
            </w:r>
            <w:r w:rsidRPr="006A3169">
              <w:rPr>
                <w:rFonts w:eastAsia="Times New Roman" w:cs="Times New Roman"/>
                <w:b/>
                <w:bCs/>
                <w:sz w:val="18"/>
                <w:szCs w:val="18"/>
              </w:rPr>
              <w:t>,3</w:t>
            </w:r>
          </w:p>
        </w:tc>
        <w:tc>
          <w:tcPr>
            <w:tcW w:w="0" w:type="auto"/>
            <w:tcBorders>
              <w:top w:val="nil"/>
              <w:left w:val="nil"/>
              <w:bottom w:val="single" w:sz="4" w:space="0" w:color="auto"/>
              <w:right w:val="single" w:sz="4" w:space="0" w:color="auto"/>
            </w:tcBorders>
            <w:shd w:val="clear" w:color="auto" w:fill="auto"/>
            <w:noWrap/>
            <w:vAlign w:val="center"/>
            <w:hideMark/>
          </w:tcPr>
          <w:p w14:paraId="671FBDF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206,1</w:t>
            </w:r>
          </w:p>
        </w:tc>
        <w:tc>
          <w:tcPr>
            <w:tcW w:w="0" w:type="auto"/>
            <w:tcBorders>
              <w:top w:val="nil"/>
              <w:left w:val="nil"/>
              <w:bottom w:val="single" w:sz="4" w:space="0" w:color="auto"/>
              <w:right w:val="single" w:sz="4" w:space="0" w:color="auto"/>
            </w:tcBorders>
            <w:shd w:val="clear" w:color="auto" w:fill="auto"/>
            <w:noWrap/>
            <w:vAlign w:val="center"/>
            <w:hideMark/>
          </w:tcPr>
          <w:p w14:paraId="47C84A5B"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240,8</w:t>
            </w:r>
          </w:p>
        </w:tc>
        <w:tc>
          <w:tcPr>
            <w:tcW w:w="0" w:type="auto"/>
            <w:tcBorders>
              <w:top w:val="nil"/>
              <w:left w:val="nil"/>
              <w:bottom w:val="single" w:sz="4" w:space="0" w:color="auto"/>
              <w:right w:val="single" w:sz="4" w:space="0" w:color="auto"/>
            </w:tcBorders>
            <w:shd w:val="clear" w:color="auto" w:fill="auto"/>
            <w:noWrap/>
            <w:vAlign w:val="center"/>
            <w:hideMark/>
          </w:tcPr>
          <w:p w14:paraId="69D96EC8"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148,2</w:t>
            </w:r>
          </w:p>
        </w:tc>
      </w:tr>
      <w:tr w:rsidR="00F04FA7" w:rsidRPr="006A3169" w14:paraId="7D4F8DDC"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0A798E49"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Valsts drošības dienesta darbības prioritāro jomu stiprināšana</w:t>
            </w:r>
          </w:p>
        </w:tc>
        <w:tc>
          <w:tcPr>
            <w:tcW w:w="664" w:type="dxa"/>
            <w:tcBorders>
              <w:top w:val="nil"/>
              <w:left w:val="nil"/>
              <w:bottom w:val="single" w:sz="4" w:space="0" w:color="auto"/>
              <w:right w:val="single" w:sz="4" w:space="0" w:color="auto"/>
            </w:tcBorders>
            <w:shd w:val="clear" w:color="auto" w:fill="auto"/>
            <w:noWrap/>
            <w:vAlign w:val="center"/>
            <w:hideMark/>
          </w:tcPr>
          <w:p w14:paraId="7454311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5,1</w:t>
            </w:r>
          </w:p>
        </w:tc>
        <w:tc>
          <w:tcPr>
            <w:tcW w:w="0" w:type="auto"/>
            <w:tcBorders>
              <w:top w:val="nil"/>
              <w:left w:val="nil"/>
              <w:bottom w:val="single" w:sz="4" w:space="0" w:color="auto"/>
              <w:right w:val="single" w:sz="4" w:space="0" w:color="auto"/>
            </w:tcBorders>
            <w:shd w:val="clear" w:color="auto" w:fill="auto"/>
            <w:noWrap/>
            <w:vAlign w:val="center"/>
            <w:hideMark/>
          </w:tcPr>
          <w:p w14:paraId="5CEBACB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10,3</w:t>
            </w:r>
          </w:p>
        </w:tc>
        <w:tc>
          <w:tcPr>
            <w:tcW w:w="0" w:type="auto"/>
            <w:tcBorders>
              <w:top w:val="nil"/>
              <w:left w:val="nil"/>
              <w:bottom w:val="single" w:sz="4" w:space="0" w:color="auto"/>
              <w:right w:val="single" w:sz="4" w:space="0" w:color="auto"/>
            </w:tcBorders>
            <w:shd w:val="clear" w:color="auto" w:fill="auto"/>
            <w:noWrap/>
            <w:vAlign w:val="center"/>
            <w:hideMark/>
          </w:tcPr>
          <w:p w14:paraId="584D202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14:paraId="21D82D5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10,1</w:t>
            </w:r>
          </w:p>
        </w:tc>
      </w:tr>
      <w:tr w:rsidR="00F04FA7" w:rsidRPr="006A3169" w14:paraId="216EF7B3"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7002206A"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 xml:space="preserve">Satversmes aizsardzības biroja darbības nodrošināšana </w:t>
            </w:r>
          </w:p>
        </w:tc>
        <w:tc>
          <w:tcPr>
            <w:tcW w:w="664" w:type="dxa"/>
            <w:tcBorders>
              <w:top w:val="nil"/>
              <w:left w:val="nil"/>
              <w:bottom w:val="single" w:sz="4" w:space="0" w:color="auto"/>
              <w:right w:val="single" w:sz="4" w:space="0" w:color="auto"/>
            </w:tcBorders>
            <w:shd w:val="clear" w:color="auto" w:fill="auto"/>
            <w:noWrap/>
            <w:vAlign w:val="center"/>
            <w:hideMark/>
          </w:tcPr>
          <w:p w14:paraId="1CA2672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5,0</w:t>
            </w:r>
          </w:p>
        </w:tc>
        <w:tc>
          <w:tcPr>
            <w:tcW w:w="0" w:type="auto"/>
            <w:tcBorders>
              <w:top w:val="nil"/>
              <w:left w:val="nil"/>
              <w:bottom w:val="single" w:sz="4" w:space="0" w:color="auto"/>
              <w:right w:val="single" w:sz="4" w:space="0" w:color="auto"/>
            </w:tcBorders>
            <w:shd w:val="clear" w:color="auto" w:fill="auto"/>
            <w:noWrap/>
            <w:vAlign w:val="center"/>
            <w:hideMark/>
          </w:tcPr>
          <w:p w14:paraId="1D5B817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4,5</w:t>
            </w:r>
          </w:p>
        </w:tc>
        <w:tc>
          <w:tcPr>
            <w:tcW w:w="0" w:type="auto"/>
            <w:tcBorders>
              <w:top w:val="nil"/>
              <w:left w:val="nil"/>
              <w:bottom w:val="single" w:sz="4" w:space="0" w:color="auto"/>
              <w:right w:val="single" w:sz="4" w:space="0" w:color="auto"/>
            </w:tcBorders>
            <w:shd w:val="clear" w:color="auto" w:fill="auto"/>
            <w:noWrap/>
            <w:vAlign w:val="center"/>
            <w:hideMark/>
          </w:tcPr>
          <w:p w14:paraId="5A8233E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4,6</w:t>
            </w:r>
          </w:p>
        </w:tc>
        <w:tc>
          <w:tcPr>
            <w:tcW w:w="0" w:type="auto"/>
            <w:tcBorders>
              <w:top w:val="nil"/>
              <w:left w:val="nil"/>
              <w:bottom w:val="single" w:sz="4" w:space="0" w:color="auto"/>
              <w:right w:val="single" w:sz="4" w:space="0" w:color="auto"/>
            </w:tcBorders>
            <w:shd w:val="clear" w:color="auto" w:fill="auto"/>
            <w:noWrap/>
            <w:vAlign w:val="center"/>
            <w:hideMark/>
          </w:tcPr>
          <w:p w14:paraId="500D186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3,7</w:t>
            </w:r>
          </w:p>
        </w:tc>
      </w:tr>
      <w:tr w:rsidR="00F04FA7" w:rsidRPr="006A3169" w14:paraId="5D7983B3"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3921494C"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Krīzes vadības centra kapacitātes nodrošināšana (Valsts kanceleja)</w:t>
            </w:r>
          </w:p>
        </w:tc>
        <w:tc>
          <w:tcPr>
            <w:tcW w:w="664" w:type="dxa"/>
            <w:tcBorders>
              <w:top w:val="nil"/>
              <w:left w:val="nil"/>
              <w:bottom w:val="single" w:sz="4" w:space="0" w:color="auto"/>
              <w:right w:val="single" w:sz="4" w:space="0" w:color="auto"/>
            </w:tcBorders>
            <w:shd w:val="clear" w:color="auto" w:fill="auto"/>
            <w:noWrap/>
            <w:vAlign w:val="center"/>
            <w:hideMark/>
          </w:tcPr>
          <w:p w14:paraId="4D05B61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14:paraId="6F273CC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14:paraId="4F53E03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14:paraId="5FCD2E6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1,1</w:t>
            </w:r>
          </w:p>
        </w:tc>
      </w:tr>
      <w:tr w:rsidR="00F04FA7" w:rsidRPr="006A3169" w14:paraId="50C2D6FE"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19BE4DE9"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Neatliekamās medicīniskās palīdzības dienesta pamatfunkciju stiprināšana, tai skaitā gatavībai ārkārtas gadījumos</w:t>
            </w:r>
          </w:p>
        </w:tc>
        <w:tc>
          <w:tcPr>
            <w:tcW w:w="664" w:type="dxa"/>
            <w:tcBorders>
              <w:top w:val="nil"/>
              <w:left w:val="nil"/>
              <w:bottom w:val="single" w:sz="4" w:space="0" w:color="auto"/>
              <w:right w:val="single" w:sz="4" w:space="0" w:color="auto"/>
            </w:tcBorders>
            <w:shd w:val="clear" w:color="auto" w:fill="auto"/>
            <w:noWrap/>
            <w:vAlign w:val="center"/>
            <w:hideMark/>
          </w:tcPr>
          <w:p w14:paraId="34BF9BF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2,6</w:t>
            </w:r>
          </w:p>
        </w:tc>
        <w:tc>
          <w:tcPr>
            <w:tcW w:w="0" w:type="auto"/>
            <w:tcBorders>
              <w:top w:val="nil"/>
              <w:left w:val="nil"/>
              <w:bottom w:val="single" w:sz="4" w:space="0" w:color="auto"/>
              <w:right w:val="single" w:sz="4" w:space="0" w:color="auto"/>
            </w:tcBorders>
            <w:shd w:val="clear" w:color="auto" w:fill="auto"/>
            <w:noWrap/>
            <w:vAlign w:val="center"/>
            <w:hideMark/>
          </w:tcPr>
          <w:p w14:paraId="35D0298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2,5</w:t>
            </w:r>
          </w:p>
        </w:tc>
        <w:tc>
          <w:tcPr>
            <w:tcW w:w="0" w:type="auto"/>
            <w:tcBorders>
              <w:top w:val="nil"/>
              <w:left w:val="nil"/>
              <w:bottom w:val="single" w:sz="4" w:space="0" w:color="auto"/>
              <w:right w:val="single" w:sz="4" w:space="0" w:color="auto"/>
            </w:tcBorders>
            <w:shd w:val="clear" w:color="auto" w:fill="auto"/>
            <w:noWrap/>
            <w:vAlign w:val="center"/>
            <w:hideMark/>
          </w:tcPr>
          <w:p w14:paraId="0DD5FA1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2,5</w:t>
            </w:r>
          </w:p>
        </w:tc>
        <w:tc>
          <w:tcPr>
            <w:tcW w:w="0" w:type="auto"/>
            <w:tcBorders>
              <w:top w:val="nil"/>
              <w:left w:val="nil"/>
              <w:bottom w:val="single" w:sz="4" w:space="0" w:color="auto"/>
              <w:right w:val="single" w:sz="4" w:space="0" w:color="auto"/>
            </w:tcBorders>
            <w:shd w:val="clear" w:color="auto" w:fill="auto"/>
            <w:noWrap/>
            <w:vAlign w:val="center"/>
            <w:hideMark/>
          </w:tcPr>
          <w:p w14:paraId="64E8C46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2,5</w:t>
            </w:r>
          </w:p>
        </w:tc>
      </w:tr>
      <w:tr w:rsidR="00F04FA7" w:rsidRPr="006A3169" w14:paraId="2162B6D8"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5DBE9D9F" w14:textId="77777777" w:rsidR="00F04FA7" w:rsidRPr="006A3169" w:rsidRDefault="00F04FA7" w:rsidP="003602A1">
            <w:pPr>
              <w:spacing w:after="0"/>
              <w:ind w:firstLine="0"/>
              <w:jc w:val="left"/>
              <w:rPr>
                <w:rFonts w:eastAsia="Times New Roman" w:cs="Times New Roman"/>
                <w:sz w:val="18"/>
                <w:szCs w:val="18"/>
              </w:rPr>
            </w:pPr>
            <w:r w:rsidRPr="006A3169">
              <w:rPr>
                <w:rFonts w:eastAsia="Times New Roman" w:cs="Times New Roman"/>
                <w:sz w:val="18"/>
                <w:szCs w:val="18"/>
              </w:rPr>
              <w:t>Latvijas Republikas pastāvīgās pārstāvniecības ANO, Ņujorkā darbības nepārtrauktības nodrošināšana</w:t>
            </w:r>
          </w:p>
        </w:tc>
        <w:tc>
          <w:tcPr>
            <w:tcW w:w="664" w:type="dxa"/>
            <w:tcBorders>
              <w:top w:val="nil"/>
              <w:left w:val="nil"/>
              <w:bottom w:val="single" w:sz="4" w:space="0" w:color="auto"/>
              <w:right w:val="single" w:sz="4" w:space="0" w:color="auto"/>
            </w:tcBorders>
            <w:shd w:val="clear" w:color="auto" w:fill="auto"/>
            <w:noWrap/>
            <w:vAlign w:val="center"/>
            <w:hideMark/>
          </w:tcPr>
          <w:p w14:paraId="74B1C44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0,5</w:t>
            </w:r>
          </w:p>
        </w:tc>
        <w:tc>
          <w:tcPr>
            <w:tcW w:w="0" w:type="auto"/>
            <w:tcBorders>
              <w:top w:val="nil"/>
              <w:left w:val="nil"/>
              <w:bottom w:val="single" w:sz="4" w:space="0" w:color="auto"/>
              <w:right w:val="single" w:sz="4" w:space="0" w:color="auto"/>
            </w:tcBorders>
            <w:shd w:val="clear" w:color="auto" w:fill="auto"/>
            <w:noWrap/>
            <w:vAlign w:val="center"/>
            <w:hideMark/>
          </w:tcPr>
          <w:p w14:paraId="62C50BF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0,4</w:t>
            </w:r>
          </w:p>
        </w:tc>
        <w:tc>
          <w:tcPr>
            <w:tcW w:w="0" w:type="auto"/>
            <w:tcBorders>
              <w:top w:val="nil"/>
              <w:left w:val="nil"/>
              <w:bottom w:val="single" w:sz="4" w:space="0" w:color="auto"/>
              <w:right w:val="single" w:sz="4" w:space="0" w:color="auto"/>
            </w:tcBorders>
            <w:shd w:val="clear" w:color="auto" w:fill="auto"/>
            <w:noWrap/>
            <w:vAlign w:val="center"/>
            <w:hideMark/>
          </w:tcPr>
          <w:p w14:paraId="3C684FD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0,4</w:t>
            </w:r>
          </w:p>
        </w:tc>
        <w:tc>
          <w:tcPr>
            <w:tcW w:w="0" w:type="auto"/>
            <w:tcBorders>
              <w:top w:val="nil"/>
              <w:left w:val="nil"/>
              <w:bottom w:val="single" w:sz="4" w:space="0" w:color="auto"/>
              <w:right w:val="single" w:sz="4" w:space="0" w:color="auto"/>
            </w:tcBorders>
            <w:shd w:val="clear" w:color="auto" w:fill="auto"/>
            <w:noWrap/>
            <w:vAlign w:val="center"/>
            <w:hideMark/>
          </w:tcPr>
          <w:p w14:paraId="08CC519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0,4</w:t>
            </w:r>
          </w:p>
        </w:tc>
      </w:tr>
      <w:tr w:rsidR="00F04FA7" w:rsidRPr="006A3169" w14:paraId="095CE3ED"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630D3DA8" w14:textId="2F737F5A" w:rsidR="00F04FA7" w:rsidRPr="006A3169" w:rsidRDefault="00F04FA7" w:rsidP="000B7682">
            <w:pPr>
              <w:spacing w:after="0"/>
              <w:ind w:firstLine="0"/>
              <w:jc w:val="left"/>
              <w:rPr>
                <w:rFonts w:eastAsia="Times New Roman" w:cs="Times New Roman"/>
                <w:sz w:val="18"/>
                <w:szCs w:val="18"/>
              </w:rPr>
            </w:pPr>
            <w:proofErr w:type="spellStart"/>
            <w:r w:rsidRPr="006A3169">
              <w:rPr>
                <w:rFonts w:eastAsia="Times New Roman" w:cs="Times New Roman"/>
                <w:sz w:val="18"/>
                <w:szCs w:val="18"/>
              </w:rPr>
              <w:t>Kiberdrošības</w:t>
            </w:r>
            <w:proofErr w:type="spellEnd"/>
            <w:r w:rsidRPr="006A3169">
              <w:rPr>
                <w:rFonts w:eastAsia="Times New Roman" w:cs="Times New Roman"/>
                <w:sz w:val="18"/>
                <w:szCs w:val="18"/>
              </w:rPr>
              <w:t xml:space="preserve"> stiprināšana (horizontāli</w:t>
            </w:r>
            <w:r w:rsidR="003877B3">
              <w:rPr>
                <w:rFonts w:eastAsia="Times New Roman" w:cs="Times New Roman"/>
                <w:sz w:val="18"/>
                <w:szCs w:val="18"/>
              </w:rPr>
              <w:t xml:space="preserve">; </w:t>
            </w:r>
            <w:r w:rsidRPr="006A3169">
              <w:rPr>
                <w:rFonts w:eastAsia="Times New Roman" w:cs="Times New Roman"/>
                <w:sz w:val="18"/>
                <w:szCs w:val="18"/>
              </w:rPr>
              <w:t>no ES fondiem)</w:t>
            </w:r>
          </w:p>
        </w:tc>
        <w:tc>
          <w:tcPr>
            <w:tcW w:w="664" w:type="dxa"/>
            <w:tcBorders>
              <w:top w:val="nil"/>
              <w:left w:val="nil"/>
              <w:bottom w:val="single" w:sz="4" w:space="0" w:color="auto"/>
              <w:right w:val="single" w:sz="4" w:space="0" w:color="auto"/>
            </w:tcBorders>
            <w:shd w:val="clear" w:color="auto" w:fill="auto"/>
            <w:noWrap/>
            <w:vAlign w:val="center"/>
            <w:hideMark/>
          </w:tcPr>
          <w:p w14:paraId="0E0330E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12,5</w:t>
            </w:r>
          </w:p>
        </w:tc>
        <w:tc>
          <w:tcPr>
            <w:tcW w:w="0" w:type="auto"/>
            <w:tcBorders>
              <w:top w:val="nil"/>
              <w:left w:val="nil"/>
              <w:bottom w:val="single" w:sz="4" w:space="0" w:color="auto"/>
              <w:right w:val="single" w:sz="4" w:space="0" w:color="auto"/>
            </w:tcBorders>
            <w:shd w:val="clear" w:color="auto" w:fill="auto"/>
            <w:noWrap/>
            <w:vAlign w:val="center"/>
            <w:hideMark/>
          </w:tcPr>
          <w:p w14:paraId="2B788DE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11,4</w:t>
            </w:r>
          </w:p>
        </w:tc>
        <w:tc>
          <w:tcPr>
            <w:tcW w:w="0" w:type="auto"/>
            <w:tcBorders>
              <w:top w:val="nil"/>
              <w:left w:val="nil"/>
              <w:bottom w:val="single" w:sz="4" w:space="0" w:color="auto"/>
              <w:right w:val="single" w:sz="4" w:space="0" w:color="auto"/>
            </w:tcBorders>
            <w:shd w:val="clear" w:color="auto" w:fill="auto"/>
            <w:noWrap/>
            <w:vAlign w:val="center"/>
            <w:hideMark/>
          </w:tcPr>
          <w:p w14:paraId="4AE7906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8,9</w:t>
            </w:r>
          </w:p>
        </w:tc>
        <w:tc>
          <w:tcPr>
            <w:tcW w:w="0" w:type="auto"/>
            <w:tcBorders>
              <w:top w:val="nil"/>
              <w:left w:val="nil"/>
              <w:bottom w:val="single" w:sz="4" w:space="0" w:color="auto"/>
              <w:right w:val="single" w:sz="4" w:space="0" w:color="auto"/>
            </w:tcBorders>
            <w:shd w:val="clear" w:color="auto" w:fill="auto"/>
            <w:noWrap/>
            <w:vAlign w:val="center"/>
            <w:hideMark/>
          </w:tcPr>
          <w:p w14:paraId="309CC5C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8,7</w:t>
            </w:r>
          </w:p>
        </w:tc>
      </w:tr>
      <w:tr w:rsidR="00F04FA7" w:rsidRPr="006A3169" w14:paraId="79264C2A"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4BA0B325"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Atbalsts Ukrainai (atbilstoši noslēgtajam līgumam par militāro atbalstu)</w:t>
            </w:r>
          </w:p>
        </w:tc>
        <w:tc>
          <w:tcPr>
            <w:tcW w:w="664" w:type="dxa"/>
            <w:tcBorders>
              <w:top w:val="nil"/>
              <w:left w:val="nil"/>
              <w:bottom w:val="single" w:sz="4" w:space="0" w:color="auto"/>
              <w:right w:val="single" w:sz="4" w:space="0" w:color="auto"/>
            </w:tcBorders>
            <w:shd w:val="clear" w:color="auto" w:fill="auto"/>
            <w:noWrap/>
            <w:vAlign w:val="center"/>
            <w:hideMark/>
          </w:tcPr>
          <w:p w14:paraId="6F05672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50,0</w:t>
            </w:r>
          </w:p>
        </w:tc>
        <w:tc>
          <w:tcPr>
            <w:tcW w:w="0" w:type="auto"/>
            <w:tcBorders>
              <w:top w:val="nil"/>
              <w:left w:val="nil"/>
              <w:bottom w:val="single" w:sz="4" w:space="0" w:color="auto"/>
              <w:right w:val="single" w:sz="4" w:space="0" w:color="auto"/>
            </w:tcBorders>
            <w:shd w:val="clear" w:color="auto" w:fill="auto"/>
            <w:noWrap/>
            <w:vAlign w:val="center"/>
            <w:hideMark/>
          </w:tcPr>
          <w:p w14:paraId="3D54609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690B98F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7CF90AF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r>
      <w:tr w:rsidR="00F04FA7" w:rsidRPr="006A3169" w14:paraId="64824DD2"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4D44EE81"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Militārā poligona “Sēlija” piekļuves ceļa uzlabošana un vienības tilta Daugavpilī pārbūve mobilitātes uzlabošanai (no ES fondiem)</w:t>
            </w:r>
          </w:p>
        </w:tc>
        <w:tc>
          <w:tcPr>
            <w:tcW w:w="664" w:type="dxa"/>
            <w:tcBorders>
              <w:top w:val="nil"/>
              <w:left w:val="nil"/>
              <w:bottom w:val="single" w:sz="4" w:space="0" w:color="auto"/>
              <w:right w:val="single" w:sz="4" w:space="0" w:color="auto"/>
            </w:tcBorders>
            <w:shd w:val="clear" w:color="auto" w:fill="auto"/>
            <w:noWrap/>
            <w:vAlign w:val="center"/>
            <w:hideMark/>
          </w:tcPr>
          <w:p w14:paraId="687E9F7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2,3</w:t>
            </w:r>
          </w:p>
        </w:tc>
        <w:tc>
          <w:tcPr>
            <w:tcW w:w="0" w:type="auto"/>
            <w:tcBorders>
              <w:top w:val="nil"/>
              <w:left w:val="nil"/>
              <w:bottom w:val="single" w:sz="4" w:space="0" w:color="auto"/>
              <w:right w:val="single" w:sz="4" w:space="0" w:color="auto"/>
            </w:tcBorders>
            <w:shd w:val="clear" w:color="auto" w:fill="auto"/>
            <w:noWrap/>
            <w:vAlign w:val="center"/>
            <w:hideMark/>
          </w:tcPr>
          <w:p w14:paraId="5CB8281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9,0</w:t>
            </w:r>
          </w:p>
        </w:tc>
        <w:tc>
          <w:tcPr>
            <w:tcW w:w="0" w:type="auto"/>
            <w:tcBorders>
              <w:top w:val="nil"/>
              <w:left w:val="nil"/>
              <w:bottom w:val="single" w:sz="4" w:space="0" w:color="auto"/>
              <w:right w:val="single" w:sz="4" w:space="0" w:color="auto"/>
            </w:tcBorders>
            <w:shd w:val="clear" w:color="auto" w:fill="auto"/>
            <w:noWrap/>
            <w:vAlign w:val="center"/>
            <w:hideMark/>
          </w:tcPr>
          <w:p w14:paraId="1FE7CDD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14:paraId="1AD124E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r>
      <w:tr w:rsidR="00F04FA7" w:rsidRPr="006A3169" w14:paraId="310DAE70"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75F05431"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 xml:space="preserve">Munīcijas krājumu papildināšana un individuālā ekipējuma nodrošināšana </w:t>
            </w:r>
          </w:p>
        </w:tc>
        <w:tc>
          <w:tcPr>
            <w:tcW w:w="664" w:type="dxa"/>
            <w:tcBorders>
              <w:top w:val="nil"/>
              <w:left w:val="nil"/>
              <w:bottom w:val="single" w:sz="4" w:space="0" w:color="auto"/>
              <w:right w:val="single" w:sz="4" w:space="0" w:color="auto"/>
            </w:tcBorders>
            <w:shd w:val="clear" w:color="auto" w:fill="auto"/>
            <w:noWrap/>
            <w:vAlign w:val="center"/>
            <w:hideMark/>
          </w:tcPr>
          <w:p w14:paraId="1FDAD30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23,0</w:t>
            </w:r>
          </w:p>
        </w:tc>
        <w:tc>
          <w:tcPr>
            <w:tcW w:w="0" w:type="auto"/>
            <w:tcBorders>
              <w:top w:val="nil"/>
              <w:left w:val="nil"/>
              <w:bottom w:val="single" w:sz="4" w:space="0" w:color="auto"/>
              <w:right w:val="single" w:sz="4" w:space="0" w:color="auto"/>
            </w:tcBorders>
            <w:shd w:val="clear" w:color="auto" w:fill="auto"/>
            <w:noWrap/>
            <w:vAlign w:val="center"/>
            <w:hideMark/>
          </w:tcPr>
          <w:p w14:paraId="28DDF3A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72,2</w:t>
            </w:r>
          </w:p>
        </w:tc>
        <w:tc>
          <w:tcPr>
            <w:tcW w:w="0" w:type="auto"/>
            <w:tcBorders>
              <w:top w:val="nil"/>
              <w:left w:val="nil"/>
              <w:bottom w:val="single" w:sz="4" w:space="0" w:color="auto"/>
              <w:right w:val="single" w:sz="4" w:space="0" w:color="auto"/>
            </w:tcBorders>
            <w:shd w:val="clear" w:color="auto" w:fill="auto"/>
            <w:noWrap/>
            <w:vAlign w:val="center"/>
            <w:hideMark/>
          </w:tcPr>
          <w:p w14:paraId="65D843A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61,1</w:t>
            </w:r>
          </w:p>
        </w:tc>
        <w:tc>
          <w:tcPr>
            <w:tcW w:w="0" w:type="auto"/>
            <w:tcBorders>
              <w:top w:val="nil"/>
              <w:left w:val="nil"/>
              <w:bottom w:val="single" w:sz="4" w:space="0" w:color="auto"/>
              <w:right w:val="single" w:sz="4" w:space="0" w:color="auto"/>
            </w:tcBorders>
            <w:shd w:val="clear" w:color="auto" w:fill="auto"/>
            <w:noWrap/>
            <w:vAlign w:val="center"/>
            <w:hideMark/>
          </w:tcPr>
          <w:p w14:paraId="34A8212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27,6</w:t>
            </w:r>
          </w:p>
        </w:tc>
      </w:tr>
      <w:tr w:rsidR="00F04FA7" w:rsidRPr="006A3169" w14:paraId="4E3CEE22"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74E9D886"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 xml:space="preserve">Papildu radaru iegāde vēja parku attīstībai </w:t>
            </w:r>
          </w:p>
        </w:tc>
        <w:tc>
          <w:tcPr>
            <w:tcW w:w="664" w:type="dxa"/>
            <w:tcBorders>
              <w:top w:val="nil"/>
              <w:left w:val="nil"/>
              <w:bottom w:val="single" w:sz="4" w:space="0" w:color="auto"/>
              <w:right w:val="single" w:sz="4" w:space="0" w:color="auto"/>
            </w:tcBorders>
            <w:shd w:val="clear" w:color="auto" w:fill="auto"/>
            <w:noWrap/>
            <w:vAlign w:val="center"/>
            <w:hideMark/>
          </w:tcPr>
          <w:p w14:paraId="4A2484B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15,0</w:t>
            </w:r>
          </w:p>
        </w:tc>
        <w:tc>
          <w:tcPr>
            <w:tcW w:w="0" w:type="auto"/>
            <w:tcBorders>
              <w:top w:val="nil"/>
              <w:left w:val="nil"/>
              <w:bottom w:val="single" w:sz="4" w:space="0" w:color="auto"/>
              <w:right w:val="single" w:sz="4" w:space="0" w:color="auto"/>
            </w:tcBorders>
            <w:shd w:val="clear" w:color="auto" w:fill="auto"/>
            <w:noWrap/>
            <w:vAlign w:val="center"/>
            <w:hideMark/>
          </w:tcPr>
          <w:p w14:paraId="76043A0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15,0</w:t>
            </w:r>
          </w:p>
        </w:tc>
        <w:tc>
          <w:tcPr>
            <w:tcW w:w="0" w:type="auto"/>
            <w:tcBorders>
              <w:top w:val="nil"/>
              <w:left w:val="nil"/>
              <w:bottom w:val="single" w:sz="4" w:space="0" w:color="auto"/>
              <w:right w:val="single" w:sz="4" w:space="0" w:color="auto"/>
            </w:tcBorders>
            <w:shd w:val="clear" w:color="auto" w:fill="auto"/>
            <w:noWrap/>
            <w:vAlign w:val="center"/>
            <w:hideMark/>
          </w:tcPr>
          <w:p w14:paraId="1B32ADF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18,0</w:t>
            </w:r>
          </w:p>
        </w:tc>
        <w:tc>
          <w:tcPr>
            <w:tcW w:w="0" w:type="auto"/>
            <w:tcBorders>
              <w:top w:val="nil"/>
              <w:left w:val="nil"/>
              <w:bottom w:val="single" w:sz="4" w:space="0" w:color="auto"/>
              <w:right w:val="single" w:sz="4" w:space="0" w:color="auto"/>
            </w:tcBorders>
            <w:shd w:val="clear" w:color="auto" w:fill="auto"/>
            <w:noWrap/>
            <w:vAlign w:val="center"/>
            <w:hideMark/>
          </w:tcPr>
          <w:p w14:paraId="024939D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r>
      <w:tr w:rsidR="00F04FA7" w:rsidRPr="006A3169" w14:paraId="4B67ECF1"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12885FF4"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Radaru iegādes EKS korekcija)</w:t>
            </w:r>
          </w:p>
        </w:tc>
        <w:tc>
          <w:tcPr>
            <w:tcW w:w="664" w:type="dxa"/>
            <w:tcBorders>
              <w:top w:val="nil"/>
              <w:left w:val="nil"/>
              <w:bottom w:val="single" w:sz="4" w:space="0" w:color="auto"/>
              <w:right w:val="single" w:sz="4" w:space="0" w:color="auto"/>
            </w:tcBorders>
            <w:shd w:val="clear" w:color="auto" w:fill="auto"/>
            <w:noWrap/>
            <w:vAlign w:val="center"/>
            <w:hideMark/>
          </w:tcPr>
          <w:p w14:paraId="14D5D6B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-15,0</w:t>
            </w:r>
          </w:p>
        </w:tc>
        <w:tc>
          <w:tcPr>
            <w:tcW w:w="0" w:type="auto"/>
            <w:tcBorders>
              <w:top w:val="nil"/>
              <w:left w:val="nil"/>
              <w:bottom w:val="single" w:sz="4" w:space="0" w:color="auto"/>
              <w:right w:val="single" w:sz="4" w:space="0" w:color="auto"/>
            </w:tcBorders>
            <w:shd w:val="clear" w:color="auto" w:fill="auto"/>
            <w:noWrap/>
            <w:vAlign w:val="center"/>
            <w:hideMark/>
          </w:tcPr>
          <w:p w14:paraId="6A9A80A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-15,0</w:t>
            </w:r>
          </w:p>
        </w:tc>
        <w:tc>
          <w:tcPr>
            <w:tcW w:w="0" w:type="auto"/>
            <w:tcBorders>
              <w:top w:val="nil"/>
              <w:left w:val="nil"/>
              <w:bottom w:val="single" w:sz="4" w:space="0" w:color="auto"/>
              <w:right w:val="single" w:sz="4" w:space="0" w:color="auto"/>
            </w:tcBorders>
            <w:shd w:val="clear" w:color="auto" w:fill="auto"/>
            <w:noWrap/>
            <w:vAlign w:val="center"/>
            <w:hideMark/>
          </w:tcPr>
          <w:p w14:paraId="444712B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30,0</w:t>
            </w:r>
          </w:p>
        </w:tc>
        <w:tc>
          <w:tcPr>
            <w:tcW w:w="0" w:type="auto"/>
            <w:tcBorders>
              <w:top w:val="nil"/>
              <w:left w:val="nil"/>
              <w:bottom w:val="single" w:sz="4" w:space="0" w:color="auto"/>
              <w:right w:val="single" w:sz="4" w:space="0" w:color="auto"/>
            </w:tcBorders>
            <w:shd w:val="clear" w:color="auto" w:fill="auto"/>
            <w:noWrap/>
            <w:vAlign w:val="center"/>
            <w:hideMark/>
          </w:tcPr>
          <w:p w14:paraId="75A4B95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r>
      <w:tr w:rsidR="00F04FA7" w:rsidRPr="006A3169" w14:paraId="28DAA4BB"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6CF9B064" w14:textId="77777777" w:rsidR="00F04FA7" w:rsidRPr="006A3169" w:rsidRDefault="00F04FA7" w:rsidP="000B7682">
            <w:pPr>
              <w:spacing w:after="0"/>
              <w:ind w:firstLine="0"/>
              <w:jc w:val="left"/>
              <w:rPr>
                <w:rFonts w:eastAsia="Times New Roman" w:cs="Times New Roman"/>
                <w:sz w:val="18"/>
                <w:szCs w:val="18"/>
              </w:rPr>
            </w:pPr>
            <w:proofErr w:type="spellStart"/>
            <w:r w:rsidRPr="006A3169">
              <w:rPr>
                <w:rFonts w:eastAsia="Times New Roman" w:cs="Times New Roman"/>
                <w:sz w:val="18"/>
                <w:szCs w:val="18"/>
              </w:rPr>
              <w:t>Iekšlietu</w:t>
            </w:r>
            <w:proofErr w:type="spellEnd"/>
            <w:r w:rsidRPr="006A3169">
              <w:rPr>
                <w:rFonts w:eastAsia="Times New Roman" w:cs="Times New Roman"/>
                <w:sz w:val="18"/>
                <w:szCs w:val="18"/>
              </w:rPr>
              <w:t xml:space="preserve"> dienestu un Ieslodzījuma vietu pārvaldes amatpersonu ar speciālajām dienesta pakāpēm, kā arī Valsts ieņēmumu dienesta Nodokļu un muitas policijas pārvaldes  atalgojuma palielināšana par 10%  un jaunās piemaksas ieviešana par darbu dienestā (IeM, TM un VID)</w:t>
            </w:r>
          </w:p>
        </w:tc>
        <w:tc>
          <w:tcPr>
            <w:tcW w:w="664" w:type="dxa"/>
            <w:tcBorders>
              <w:top w:val="nil"/>
              <w:left w:val="nil"/>
              <w:bottom w:val="single" w:sz="4" w:space="0" w:color="auto"/>
              <w:right w:val="single" w:sz="4" w:space="0" w:color="auto"/>
            </w:tcBorders>
            <w:shd w:val="clear" w:color="auto" w:fill="auto"/>
            <w:noWrap/>
            <w:vAlign w:val="center"/>
            <w:hideMark/>
          </w:tcPr>
          <w:p w14:paraId="41F0DA2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90,1</w:t>
            </w:r>
          </w:p>
        </w:tc>
        <w:tc>
          <w:tcPr>
            <w:tcW w:w="0" w:type="auto"/>
            <w:tcBorders>
              <w:top w:val="nil"/>
              <w:left w:val="nil"/>
              <w:bottom w:val="single" w:sz="4" w:space="0" w:color="auto"/>
              <w:right w:val="single" w:sz="4" w:space="0" w:color="auto"/>
            </w:tcBorders>
            <w:shd w:val="clear" w:color="auto" w:fill="auto"/>
            <w:noWrap/>
            <w:vAlign w:val="center"/>
            <w:hideMark/>
          </w:tcPr>
          <w:p w14:paraId="4FEEAEE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90,1</w:t>
            </w:r>
          </w:p>
        </w:tc>
        <w:tc>
          <w:tcPr>
            <w:tcW w:w="0" w:type="auto"/>
            <w:tcBorders>
              <w:top w:val="nil"/>
              <w:left w:val="nil"/>
              <w:bottom w:val="single" w:sz="4" w:space="0" w:color="auto"/>
              <w:right w:val="single" w:sz="4" w:space="0" w:color="auto"/>
            </w:tcBorders>
            <w:shd w:val="clear" w:color="auto" w:fill="auto"/>
            <w:noWrap/>
            <w:vAlign w:val="center"/>
            <w:hideMark/>
          </w:tcPr>
          <w:p w14:paraId="12B9143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90,1</w:t>
            </w:r>
          </w:p>
        </w:tc>
        <w:tc>
          <w:tcPr>
            <w:tcW w:w="0" w:type="auto"/>
            <w:tcBorders>
              <w:top w:val="nil"/>
              <w:left w:val="nil"/>
              <w:bottom w:val="single" w:sz="4" w:space="0" w:color="auto"/>
              <w:right w:val="single" w:sz="4" w:space="0" w:color="auto"/>
            </w:tcBorders>
            <w:shd w:val="clear" w:color="auto" w:fill="auto"/>
            <w:noWrap/>
            <w:vAlign w:val="center"/>
            <w:hideMark/>
          </w:tcPr>
          <w:p w14:paraId="61482C5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90,1</w:t>
            </w:r>
          </w:p>
        </w:tc>
      </w:tr>
      <w:tr w:rsidR="00F04FA7" w:rsidRPr="006A3169" w14:paraId="054CD111"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66EE7592"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Pastiprināta robežapsardzības sistēmas darbības režīma pagarināšana (74.resors)</w:t>
            </w:r>
          </w:p>
        </w:tc>
        <w:tc>
          <w:tcPr>
            <w:tcW w:w="664" w:type="dxa"/>
            <w:tcBorders>
              <w:top w:val="nil"/>
              <w:left w:val="nil"/>
              <w:bottom w:val="single" w:sz="4" w:space="0" w:color="auto"/>
              <w:right w:val="single" w:sz="4" w:space="0" w:color="auto"/>
            </w:tcBorders>
            <w:shd w:val="clear" w:color="auto" w:fill="auto"/>
            <w:noWrap/>
            <w:vAlign w:val="center"/>
            <w:hideMark/>
          </w:tcPr>
          <w:p w14:paraId="6521417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4,8</w:t>
            </w:r>
          </w:p>
        </w:tc>
        <w:tc>
          <w:tcPr>
            <w:tcW w:w="0" w:type="auto"/>
            <w:tcBorders>
              <w:top w:val="nil"/>
              <w:left w:val="nil"/>
              <w:bottom w:val="single" w:sz="4" w:space="0" w:color="auto"/>
              <w:right w:val="single" w:sz="4" w:space="0" w:color="auto"/>
            </w:tcBorders>
            <w:shd w:val="clear" w:color="auto" w:fill="auto"/>
            <w:noWrap/>
            <w:vAlign w:val="center"/>
            <w:hideMark/>
          </w:tcPr>
          <w:p w14:paraId="47DA8EB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26A1B35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2469AE3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r>
      <w:tr w:rsidR="00F04FA7" w:rsidRPr="006A3169" w14:paraId="43BE8095"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6EFD3A49"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Valsts materiālo rezervju iegāde, atjaunināšana un uzturēšana (horizontāli IeM, FM, SM, LM, TM, VM)</w:t>
            </w:r>
          </w:p>
        </w:tc>
        <w:tc>
          <w:tcPr>
            <w:tcW w:w="664" w:type="dxa"/>
            <w:tcBorders>
              <w:top w:val="nil"/>
              <w:left w:val="nil"/>
              <w:bottom w:val="single" w:sz="4" w:space="0" w:color="auto"/>
              <w:right w:val="single" w:sz="4" w:space="0" w:color="auto"/>
            </w:tcBorders>
            <w:shd w:val="clear" w:color="auto" w:fill="auto"/>
            <w:noWrap/>
            <w:vAlign w:val="center"/>
            <w:hideMark/>
          </w:tcPr>
          <w:p w14:paraId="03B1FCC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4,3</w:t>
            </w:r>
          </w:p>
        </w:tc>
        <w:tc>
          <w:tcPr>
            <w:tcW w:w="0" w:type="auto"/>
            <w:tcBorders>
              <w:top w:val="nil"/>
              <w:left w:val="nil"/>
              <w:bottom w:val="single" w:sz="4" w:space="0" w:color="auto"/>
              <w:right w:val="single" w:sz="4" w:space="0" w:color="auto"/>
            </w:tcBorders>
            <w:shd w:val="clear" w:color="auto" w:fill="auto"/>
            <w:noWrap/>
            <w:vAlign w:val="center"/>
            <w:hideMark/>
          </w:tcPr>
          <w:p w14:paraId="5E3C2F1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3,1</w:t>
            </w:r>
          </w:p>
        </w:tc>
        <w:tc>
          <w:tcPr>
            <w:tcW w:w="0" w:type="auto"/>
            <w:tcBorders>
              <w:top w:val="nil"/>
              <w:left w:val="nil"/>
              <w:bottom w:val="single" w:sz="4" w:space="0" w:color="auto"/>
              <w:right w:val="single" w:sz="4" w:space="0" w:color="auto"/>
            </w:tcBorders>
            <w:shd w:val="clear" w:color="auto" w:fill="auto"/>
            <w:noWrap/>
            <w:vAlign w:val="center"/>
            <w:hideMark/>
          </w:tcPr>
          <w:p w14:paraId="45E797C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2,8</w:t>
            </w:r>
          </w:p>
        </w:tc>
        <w:tc>
          <w:tcPr>
            <w:tcW w:w="0" w:type="auto"/>
            <w:tcBorders>
              <w:top w:val="nil"/>
              <w:left w:val="nil"/>
              <w:bottom w:val="single" w:sz="4" w:space="0" w:color="auto"/>
              <w:right w:val="single" w:sz="4" w:space="0" w:color="auto"/>
            </w:tcBorders>
            <w:shd w:val="clear" w:color="auto" w:fill="auto"/>
            <w:noWrap/>
            <w:vAlign w:val="center"/>
            <w:hideMark/>
          </w:tcPr>
          <w:p w14:paraId="60B6113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2,6</w:t>
            </w:r>
          </w:p>
        </w:tc>
      </w:tr>
      <w:tr w:rsidR="00F04FA7" w:rsidRPr="006A3169" w14:paraId="23D42CA3"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7E57B0A9" w14:textId="362566BD"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Pasākumu plāna atbalsta sniegšanai Ukrainas civiliedzīvotājiem Latvijas Republikā 2025. gadam īstenošana (74.</w:t>
            </w:r>
            <w:r w:rsidR="003602A1">
              <w:rPr>
                <w:rFonts w:eastAsia="Times New Roman" w:cs="Times New Roman"/>
                <w:sz w:val="18"/>
                <w:szCs w:val="18"/>
              </w:rPr>
              <w:t xml:space="preserve"> </w:t>
            </w:r>
            <w:r w:rsidRPr="006A3169">
              <w:rPr>
                <w:rFonts w:eastAsia="Times New Roman" w:cs="Times New Roman"/>
                <w:sz w:val="18"/>
                <w:szCs w:val="18"/>
              </w:rPr>
              <w:t>resors)</w:t>
            </w:r>
          </w:p>
        </w:tc>
        <w:tc>
          <w:tcPr>
            <w:tcW w:w="664" w:type="dxa"/>
            <w:tcBorders>
              <w:top w:val="nil"/>
              <w:left w:val="nil"/>
              <w:bottom w:val="single" w:sz="4" w:space="0" w:color="auto"/>
              <w:right w:val="single" w:sz="4" w:space="0" w:color="auto"/>
            </w:tcBorders>
            <w:shd w:val="clear" w:color="auto" w:fill="auto"/>
            <w:noWrap/>
            <w:vAlign w:val="center"/>
            <w:hideMark/>
          </w:tcPr>
          <w:p w14:paraId="0521501D" w14:textId="427F682D" w:rsidR="00F04FA7" w:rsidRPr="006A3169" w:rsidRDefault="006D4A79" w:rsidP="000B7682">
            <w:pPr>
              <w:spacing w:after="0"/>
              <w:ind w:firstLine="0"/>
              <w:jc w:val="center"/>
              <w:rPr>
                <w:rFonts w:eastAsia="Times New Roman" w:cs="Times New Roman"/>
                <w:sz w:val="18"/>
                <w:szCs w:val="18"/>
              </w:rPr>
            </w:pPr>
            <w:r w:rsidRPr="006A3169">
              <w:rPr>
                <w:rFonts w:eastAsia="Times New Roman" w:cs="Times New Roman"/>
                <w:sz w:val="18"/>
                <w:szCs w:val="18"/>
              </w:rPr>
              <w:t>65</w:t>
            </w:r>
            <w:r w:rsidR="00F04FA7" w:rsidRPr="006A3169">
              <w:rPr>
                <w:rFonts w:eastAsia="Times New Roman" w:cs="Times New Roman"/>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14:paraId="6A0B20C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47F6687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53133B3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r>
      <w:tr w:rsidR="00F04FA7" w:rsidRPr="006A3169" w14:paraId="6680E891"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1DC139C4"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Apcietināto un notiesāto personu konvojēšanas funkcijas pārņemšana no Valsts policijas uz TM</w:t>
            </w:r>
          </w:p>
        </w:tc>
        <w:tc>
          <w:tcPr>
            <w:tcW w:w="664" w:type="dxa"/>
            <w:tcBorders>
              <w:top w:val="nil"/>
              <w:left w:val="nil"/>
              <w:bottom w:val="single" w:sz="4" w:space="0" w:color="auto"/>
              <w:right w:val="single" w:sz="4" w:space="0" w:color="auto"/>
            </w:tcBorders>
            <w:shd w:val="clear" w:color="auto" w:fill="auto"/>
            <w:noWrap/>
            <w:vAlign w:val="center"/>
            <w:hideMark/>
          </w:tcPr>
          <w:p w14:paraId="18D1D1C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3,2</w:t>
            </w:r>
          </w:p>
        </w:tc>
        <w:tc>
          <w:tcPr>
            <w:tcW w:w="0" w:type="auto"/>
            <w:tcBorders>
              <w:top w:val="nil"/>
              <w:left w:val="nil"/>
              <w:bottom w:val="single" w:sz="4" w:space="0" w:color="auto"/>
              <w:right w:val="single" w:sz="4" w:space="0" w:color="auto"/>
            </w:tcBorders>
            <w:shd w:val="clear" w:color="auto" w:fill="auto"/>
            <w:noWrap/>
            <w:vAlign w:val="center"/>
            <w:hideMark/>
          </w:tcPr>
          <w:p w14:paraId="446A3E6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1,5</w:t>
            </w:r>
          </w:p>
        </w:tc>
        <w:tc>
          <w:tcPr>
            <w:tcW w:w="0" w:type="auto"/>
            <w:tcBorders>
              <w:top w:val="nil"/>
              <w:left w:val="nil"/>
              <w:bottom w:val="single" w:sz="4" w:space="0" w:color="auto"/>
              <w:right w:val="single" w:sz="4" w:space="0" w:color="auto"/>
            </w:tcBorders>
            <w:shd w:val="clear" w:color="auto" w:fill="auto"/>
            <w:noWrap/>
            <w:vAlign w:val="center"/>
            <w:hideMark/>
          </w:tcPr>
          <w:p w14:paraId="3AE9A1B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1,3</w:t>
            </w:r>
          </w:p>
        </w:tc>
        <w:tc>
          <w:tcPr>
            <w:tcW w:w="0" w:type="auto"/>
            <w:tcBorders>
              <w:top w:val="nil"/>
              <w:left w:val="nil"/>
              <w:bottom w:val="single" w:sz="4" w:space="0" w:color="auto"/>
              <w:right w:val="single" w:sz="4" w:space="0" w:color="auto"/>
            </w:tcBorders>
            <w:shd w:val="clear" w:color="auto" w:fill="auto"/>
            <w:noWrap/>
            <w:vAlign w:val="center"/>
            <w:hideMark/>
          </w:tcPr>
          <w:p w14:paraId="2FEE5D6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1,3</w:t>
            </w:r>
          </w:p>
        </w:tc>
      </w:tr>
      <w:tr w:rsidR="00F04FA7" w:rsidRPr="006A3169" w14:paraId="489C4B08"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7A66E175" w14:textId="6E3AE1B1" w:rsidR="00F04FA7" w:rsidRPr="006A3169" w:rsidRDefault="00F04FA7" w:rsidP="000B7682">
            <w:pPr>
              <w:spacing w:after="0"/>
              <w:ind w:firstLine="0"/>
              <w:rPr>
                <w:rFonts w:eastAsia="Times New Roman" w:cs="Times New Roman"/>
                <w:b/>
                <w:bCs/>
                <w:sz w:val="18"/>
                <w:szCs w:val="18"/>
              </w:rPr>
            </w:pPr>
            <w:r w:rsidRPr="006A3169">
              <w:rPr>
                <w:rFonts w:eastAsia="Times New Roman" w:cs="Times New Roman"/>
                <w:b/>
                <w:bCs/>
                <w:sz w:val="18"/>
                <w:szCs w:val="18"/>
              </w:rPr>
              <w:t>Fiskāli neitrāl</w:t>
            </w:r>
            <w:r w:rsidR="002B6EFC" w:rsidRPr="006A3169">
              <w:rPr>
                <w:rFonts w:eastAsia="Times New Roman" w:cs="Times New Roman"/>
                <w:b/>
                <w:bCs/>
                <w:sz w:val="18"/>
                <w:szCs w:val="18"/>
              </w:rPr>
              <w:t>i</w:t>
            </w:r>
            <w:r w:rsidRPr="006A3169">
              <w:rPr>
                <w:rFonts w:eastAsia="Times New Roman" w:cs="Times New Roman"/>
                <w:b/>
                <w:bCs/>
                <w:sz w:val="18"/>
                <w:szCs w:val="18"/>
              </w:rPr>
              <w:t xml:space="preserve"> </w:t>
            </w:r>
            <w:r w:rsidR="002B6EFC" w:rsidRPr="006A3169">
              <w:rPr>
                <w:rFonts w:eastAsia="Times New Roman" w:cs="Times New Roman"/>
                <w:b/>
                <w:bCs/>
                <w:sz w:val="18"/>
                <w:szCs w:val="18"/>
              </w:rPr>
              <w:t xml:space="preserve">pasākumi </w:t>
            </w:r>
          </w:p>
        </w:tc>
        <w:tc>
          <w:tcPr>
            <w:tcW w:w="664" w:type="dxa"/>
            <w:tcBorders>
              <w:top w:val="nil"/>
              <w:left w:val="nil"/>
              <w:bottom w:val="single" w:sz="4" w:space="0" w:color="auto"/>
              <w:right w:val="single" w:sz="4" w:space="0" w:color="auto"/>
            </w:tcBorders>
            <w:shd w:val="clear" w:color="auto" w:fill="auto"/>
            <w:noWrap/>
            <w:vAlign w:val="center"/>
            <w:hideMark/>
          </w:tcPr>
          <w:p w14:paraId="57E43D17"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44,3</w:t>
            </w:r>
          </w:p>
        </w:tc>
        <w:tc>
          <w:tcPr>
            <w:tcW w:w="0" w:type="auto"/>
            <w:tcBorders>
              <w:top w:val="nil"/>
              <w:left w:val="nil"/>
              <w:bottom w:val="single" w:sz="4" w:space="0" w:color="auto"/>
              <w:right w:val="single" w:sz="4" w:space="0" w:color="auto"/>
            </w:tcBorders>
            <w:shd w:val="clear" w:color="auto" w:fill="auto"/>
            <w:noWrap/>
            <w:vAlign w:val="center"/>
            <w:hideMark/>
          </w:tcPr>
          <w:p w14:paraId="6A08714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24,2</w:t>
            </w:r>
          </w:p>
        </w:tc>
        <w:tc>
          <w:tcPr>
            <w:tcW w:w="0" w:type="auto"/>
            <w:tcBorders>
              <w:top w:val="nil"/>
              <w:left w:val="nil"/>
              <w:bottom w:val="single" w:sz="4" w:space="0" w:color="auto"/>
              <w:right w:val="single" w:sz="4" w:space="0" w:color="auto"/>
            </w:tcBorders>
            <w:shd w:val="clear" w:color="auto" w:fill="auto"/>
            <w:noWrap/>
            <w:vAlign w:val="center"/>
            <w:hideMark/>
          </w:tcPr>
          <w:p w14:paraId="60EF578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24,5</w:t>
            </w:r>
          </w:p>
        </w:tc>
        <w:tc>
          <w:tcPr>
            <w:tcW w:w="0" w:type="auto"/>
            <w:tcBorders>
              <w:top w:val="nil"/>
              <w:left w:val="nil"/>
              <w:bottom w:val="single" w:sz="4" w:space="0" w:color="auto"/>
              <w:right w:val="single" w:sz="4" w:space="0" w:color="auto"/>
            </w:tcBorders>
            <w:shd w:val="clear" w:color="auto" w:fill="auto"/>
            <w:noWrap/>
            <w:vAlign w:val="center"/>
            <w:hideMark/>
          </w:tcPr>
          <w:p w14:paraId="58FEF8D1"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24,2</w:t>
            </w:r>
          </w:p>
        </w:tc>
      </w:tr>
      <w:tr w:rsidR="00F04FA7" w:rsidRPr="006A3169" w14:paraId="41D5B55E"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2EF75B55"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lastRenderedPageBreak/>
              <w:t>SM izdevumi, finansēti no autoceļu lietošanas nodevas</w:t>
            </w:r>
          </w:p>
        </w:tc>
        <w:tc>
          <w:tcPr>
            <w:tcW w:w="664" w:type="dxa"/>
            <w:tcBorders>
              <w:top w:val="nil"/>
              <w:left w:val="nil"/>
              <w:bottom w:val="single" w:sz="4" w:space="0" w:color="auto"/>
              <w:right w:val="single" w:sz="4" w:space="0" w:color="auto"/>
            </w:tcBorders>
            <w:shd w:val="clear" w:color="auto" w:fill="auto"/>
            <w:noWrap/>
            <w:vAlign w:val="bottom"/>
            <w:hideMark/>
          </w:tcPr>
          <w:p w14:paraId="6277952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23,8</w:t>
            </w:r>
          </w:p>
        </w:tc>
        <w:tc>
          <w:tcPr>
            <w:tcW w:w="0" w:type="auto"/>
            <w:tcBorders>
              <w:top w:val="nil"/>
              <w:left w:val="nil"/>
              <w:bottom w:val="single" w:sz="4" w:space="0" w:color="auto"/>
              <w:right w:val="single" w:sz="4" w:space="0" w:color="auto"/>
            </w:tcBorders>
            <w:shd w:val="clear" w:color="auto" w:fill="auto"/>
            <w:noWrap/>
            <w:vAlign w:val="bottom"/>
            <w:hideMark/>
          </w:tcPr>
          <w:p w14:paraId="20A2121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23,1</w:t>
            </w:r>
          </w:p>
        </w:tc>
        <w:tc>
          <w:tcPr>
            <w:tcW w:w="0" w:type="auto"/>
            <w:tcBorders>
              <w:top w:val="nil"/>
              <w:left w:val="nil"/>
              <w:bottom w:val="single" w:sz="4" w:space="0" w:color="auto"/>
              <w:right w:val="single" w:sz="4" w:space="0" w:color="auto"/>
            </w:tcBorders>
            <w:shd w:val="clear" w:color="auto" w:fill="auto"/>
            <w:noWrap/>
            <w:vAlign w:val="bottom"/>
            <w:hideMark/>
          </w:tcPr>
          <w:p w14:paraId="049D188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23,1</w:t>
            </w:r>
          </w:p>
        </w:tc>
        <w:tc>
          <w:tcPr>
            <w:tcW w:w="0" w:type="auto"/>
            <w:tcBorders>
              <w:top w:val="nil"/>
              <w:left w:val="nil"/>
              <w:bottom w:val="single" w:sz="4" w:space="0" w:color="auto"/>
              <w:right w:val="single" w:sz="4" w:space="0" w:color="auto"/>
            </w:tcBorders>
            <w:shd w:val="clear" w:color="auto" w:fill="auto"/>
            <w:noWrap/>
            <w:vAlign w:val="bottom"/>
            <w:hideMark/>
          </w:tcPr>
          <w:p w14:paraId="19C1FB6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23,1</w:t>
            </w:r>
          </w:p>
        </w:tc>
      </w:tr>
      <w:tr w:rsidR="00F04FA7" w:rsidRPr="006A3169" w14:paraId="56367ED6"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3E9BBE07"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Ekonomikas un Zemkopības ministrijas pasākumu (finansēti no AS "Latvenergo" dividendēm)</w:t>
            </w:r>
          </w:p>
        </w:tc>
        <w:tc>
          <w:tcPr>
            <w:tcW w:w="664" w:type="dxa"/>
            <w:tcBorders>
              <w:top w:val="nil"/>
              <w:left w:val="nil"/>
              <w:bottom w:val="single" w:sz="4" w:space="0" w:color="auto"/>
              <w:right w:val="single" w:sz="4" w:space="0" w:color="auto"/>
            </w:tcBorders>
            <w:shd w:val="clear" w:color="auto" w:fill="auto"/>
            <w:noWrap/>
            <w:vAlign w:val="bottom"/>
            <w:hideMark/>
          </w:tcPr>
          <w:p w14:paraId="77D5D51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18,3</w:t>
            </w:r>
          </w:p>
        </w:tc>
        <w:tc>
          <w:tcPr>
            <w:tcW w:w="0" w:type="auto"/>
            <w:tcBorders>
              <w:top w:val="nil"/>
              <w:left w:val="nil"/>
              <w:bottom w:val="single" w:sz="4" w:space="0" w:color="auto"/>
              <w:right w:val="single" w:sz="4" w:space="0" w:color="auto"/>
            </w:tcBorders>
            <w:shd w:val="clear" w:color="auto" w:fill="auto"/>
            <w:noWrap/>
            <w:vAlign w:val="bottom"/>
            <w:hideMark/>
          </w:tcPr>
          <w:p w14:paraId="615C457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w:t>
            </w:r>
          </w:p>
        </w:tc>
        <w:tc>
          <w:tcPr>
            <w:tcW w:w="0" w:type="auto"/>
            <w:tcBorders>
              <w:top w:val="nil"/>
              <w:left w:val="nil"/>
              <w:bottom w:val="single" w:sz="4" w:space="0" w:color="auto"/>
              <w:right w:val="single" w:sz="4" w:space="0" w:color="auto"/>
            </w:tcBorders>
            <w:shd w:val="clear" w:color="auto" w:fill="auto"/>
            <w:noWrap/>
            <w:vAlign w:val="bottom"/>
            <w:hideMark/>
          </w:tcPr>
          <w:p w14:paraId="2BE2DBE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w:t>
            </w:r>
          </w:p>
        </w:tc>
        <w:tc>
          <w:tcPr>
            <w:tcW w:w="0" w:type="auto"/>
            <w:tcBorders>
              <w:top w:val="nil"/>
              <w:left w:val="nil"/>
              <w:bottom w:val="single" w:sz="4" w:space="0" w:color="auto"/>
              <w:right w:val="single" w:sz="4" w:space="0" w:color="auto"/>
            </w:tcBorders>
            <w:shd w:val="clear" w:color="auto" w:fill="auto"/>
            <w:noWrap/>
            <w:vAlign w:val="bottom"/>
            <w:hideMark/>
          </w:tcPr>
          <w:p w14:paraId="391ADA5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w:t>
            </w:r>
          </w:p>
        </w:tc>
      </w:tr>
      <w:tr w:rsidR="00F04FA7" w:rsidRPr="006A3169" w14:paraId="73EE09EB"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03ACCC09"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Pabalstu pārskatīšana</w:t>
            </w:r>
          </w:p>
        </w:tc>
        <w:tc>
          <w:tcPr>
            <w:tcW w:w="664" w:type="dxa"/>
            <w:tcBorders>
              <w:top w:val="nil"/>
              <w:left w:val="nil"/>
              <w:bottom w:val="single" w:sz="4" w:space="0" w:color="auto"/>
              <w:right w:val="single" w:sz="4" w:space="0" w:color="auto"/>
            </w:tcBorders>
            <w:shd w:val="clear" w:color="auto" w:fill="auto"/>
            <w:noWrap/>
            <w:vAlign w:val="bottom"/>
            <w:hideMark/>
          </w:tcPr>
          <w:p w14:paraId="171C252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-11,8</w:t>
            </w:r>
          </w:p>
        </w:tc>
        <w:tc>
          <w:tcPr>
            <w:tcW w:w="0" w:type="auto"/>
            <w:tcBorders>
              <w:top w:val="nil"/>
              <w:left w:val="nil"/>
              <w:bottom w:val="single" w:sz="4" w:space="0" w:color="auto"/>
              <w:right w:val="single" w:sz="4" w:space="0" w:color="auto"/>
            </w:tcBorders>
            <w:shd w:val="clear" w:color="auto" w:fill="auto"/>
            <w:noWrap/>
            <w:vAlign w:val="bottom"/>
            <w:hideMark/>
          </w:tcPr>
          <w:p w14:paraId="2DC9FF4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-32,9</w:t>
            </w:r>
          </w:p>
        </w:tc>
        <w:tc>
          <w:tcPr>
            <w:tcW w:w="0" w:type="auto"/>
            <w:tcBorders>
              <w:top w:val="nil"/>
              <w:left w:val="nil"/>
              <w:bottom w:val="single" w:sz="4" w:space="0" w:color="auto"/>
              <w:right w:val="single" w:sz="4" w:space="0" w:color="auto"/>
            </w:tcBorders>
            <w:shd w:val="clear" w:color="auto" w:fill="auto"/>
            <w:noWrap/>
            <w:vAlign w:val="bottom"/>
            <w:hideMark/>
          </w:tcPr>
          <w:p w14:paraId="3952B31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-38,4</w:t>
            </w:r>
          </w:p>
        </w:tc>
        <w:tc>
          <w:tcPr>
            <w:tcW w:w="0" w:type="auto"/>
            <w:tcBorders>
              <w:top w:val="nil"/>
              <w:left w:val="nil"/>
              <w:bottom w:val="single" w:sz="4" w:space="0" w:color="auto"/>
              <w:right w:val="single" w:sz="4" w:space="0" w:color="auto"/>
            </w:tcBorders>
            <w:shd w:val="clear" w:color="auto" w:fill="auto"/>
            <w:noWrap/>
            <w:vAlign w:val="bottom"/>
            <w:hideMark/>
          </w:tcPr>
          <w:p w14:paraId="34AD359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-43,8</w:t>
            </w:r>
          </w:p>
        </w:tc>
      </w:tr>
      <w:tr w:rsidR="00F04FA7" w:rsidRPr="006A3169" w14:paraId="7FE64C9E"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0DFF6653"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74. resora korekcija</w:t>
            </w:r>
          </w:p>
        </w:tc>
        <w:tc>
          <w:tcPr>
            <w:tcW w:w="664" w:type="dxa"/>
            <w:tcBorders>
              <w:top w:val="nil"/>
              <w:left w:val="nil"/>
              <w:bottom w:val="single" w:sz="4" w:space="0" w:color="auto"/>
              <w:right w:val="single" w:sz="4" w:space="0" w:color="auto"/>
            </w:tcBorders>
            <w:shd w:val="clear" w:color="auto" w:fill="auto"/>
            <w:noWrap/>
            <w:vAlign w:val="bottom"/>
            <w:hideMark/>
          </w:tcPr>
          <w:p w14:paraId="1A052BA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5367C98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4FAA4A0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-11,6</w:t>
            </w:r>
          </w:p>
        </w:tc>
        <w:tc>
          <w:tcPr>
            <w:tcW w:w="0" w:type="auto"/>
            <w:tcBorders>
              <w:top w:val="nil"/>
              <w:left w:val="nil"/>
              <w:bottom w:val="single" w:sz="4" w:space="0" w:color="auto"/>
              <w:right w:val="single" w:sz="4" w:space="0" w:color="auto"/>
            </w:tcBorders>
            <w:shd w:val="clear" w:color="auto" w:fill="auto"/>
            <w:noWrap/>
            <w:vAlign w:val="bottom"/>
            <w:hideMark/>
          </w:tcPr>
          <w:p w14:paraId="52E6EB8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-22,2</w:t>
            </w:r>
          </w:p>
        </w:tc>
      </w:tr>
      <w:tr w:rsidR="00F04FA7" w:rsidRPr="006A3169" w14:paraId="52AE571E"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41163A8A"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Pensiju indeksācija, sociālā rehabilitācija un citi</w:t>
            </w:r>
          </w:p>
        </w:tc>
        <w:tc>
          <w:tcPr>
            <w:tcW w:w="664" w:type="dxa"/>
            <w:tcBorders>
              <w:top w:val="nil"/>
              <w:left w:val="nil"/>
              <w:bottom w:val="single" w:sz="4" w:space="0" w:color="auto"/>
              <w:right w:val="single" w:sz="4" w:space="0" w:color="auto"/>
            </w:tcBorders>
            <w:shd w:val="clear" w:color="auto" w:fill="auto"/>
            <w:noWrap/>
            <w:vAlign w:val="bottom"/>
            <w:hideMark/>
          </w:tcPr>
          <w:p w14:paraId="0CD0A4C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11,8</w:t>
            </w:r>
          </w:p>
        </w:tc>
        <w:tc>
          <w:tcPr>
            <w:tcW w:w="0" w:type="auto"/>
            <w:tcBorders>
              <w:top w:val="nil"/>
              <w:left w:val="nil"/>
              <w:bottom w:val="single" w:sz="4" w:space="0" w:color="auto"/>
              <w:right w:val="single" w:sz="4" w:space="0" w:color="auto"/>
            </w:tcBorders>
            <w:shd w:val="clear" w:color="auto" w:fill="auto"/>
            <w:noWrap/>
            <w:vAlign w:val="bottom"/>
            <w:hideMark/>
          </w:tcPr>
          <w:p w14:paraId="3B4DA48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32,9</w:t>
            </w:r>
          </w:p>
        </w:tc>
        <w:tc>
          <w:tcPr>
            <w:tcW w:w="0" w:type="auto"/>
            <w:tcBorders>
              <w:top w:val="nil"/>
              <w:left w:val="nil"/>
              <w:bottom w:val="single" w:sz="4" w:space="0" w:color="auto"/>
              <w:right w:val="single" w:sz="4" w:space="0" w:color="auto"/>
            </w:tcBorders>
            <w:shd w:val="clear" w:color="auto" w:fill="auto"/>
            <w:noWrap/>
            <w:vAlign w:val="bottom"/>
            <w:hideMark/>
          </w:tcPr>
          <w:p w14:paraId="2CACD6A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50,0</w:t>
            </w:r>
          </w:p>
        </w:tc>
        <w:tc>
          <w:tcPr>
            <w:tcW w:w="0" w:type="auto"/>
            <w:tcBorders>
              <w:top w:val="nil"/>
              <w:left w:val="nil"/>
              <w:bottom w:val="single" w:sz="4" w:space="0" w:color="auto"/>
              <w:right w:val="single" w:sz="4" w:space="0" w:color="auto"/>
            </w:tcBorders>
            <w:shd w:val="clear" w:color="auto" w:fill="auto"/>
            <w:noWrap/>
            <w:vAlign w:val="bottom"/>
            <w:hideMark/>
          </w:tcPr>
          <w:p w14:paraId="7DB2E2A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66,1</w:t>
            </w:r>
          </w:p>
        </w:tc>
      </w:tr>
      <w:tr w:rsidR="00F04FA7" w:rsidRPr="006A3169" w14:paraId="607A20C1"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0550FF21"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Kopbudžeta izdevumu pārskatīšana</w:t>
            </w:r>
          </w:p>
        </w:tc>
        <w:tc>
          <w:tcPr>
            <w:tcW w:w="664" w:type="dxa"/>
            <w:tcBorders>
              <w:top w:val="nil"/>
              <w:left w:val="nil"/>
              <w:bottom w:val="single" w:sz="4" w:space="0" w:color="auto"/>
              <w:right w:val="single" w:sz="4" w:space="0" w:color="auto"/>
            </w:tcBorders>
            <w:shd w:val="clear" w:color="auto" w:fill="auto"/>
            <w:noWrap/>
            <w:vAlign w:val="bottom"/>
            <w:hideMark/>
          </w:tcPr>
          <w:p w14:paraId="0F5857A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c>
          <w:tcPr>
            <w:tcW w:w="0" w:type="auto"/>
            <w:tcBorders>
              <w:top w:val="nil"/>
              <w:left w:val="nil"/>
              <w:bottom w:val="single" w:sz="4" w:space="0" w:color="auto"/>
              <w:right w:val="single" w:sz="4" w:space="0" w:color="auto"/>
            </w:tcBorders>
            <w:shd w:val="clear" w:color="auto" w:fill="auto"/>
            <w:noWrap/>
            <w:vAlign w:val="bottom"/>
            <w:hideMark/>
          </w:tcPr>
          <w:p w14:paraId="4B2854A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c>
          <w:tcPr>
            <w:tcW w:w="0" w:type="auto"/>
            <w:tcBorders>
              <w:top w:val="nil"/>
              <w:left w:val="nil"/>
              <w:bottom w:val="single" w:sz="4" w:space="0" w:color="auto"/>
              <w:right w:val="single" w:sz="4" w:space="0" w:color="auto"/>
            </w:tcBorders>
            <w:shd w:val="clear" w:color="auto" w:fill="auto"/>
            <w:noWrap/>
            <w:vAlign w:val="bottom"/>
            <w:hideMark/>
          </w:tcPr>
          <w:p w14:paraId="6544451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c>
          <w:tcPr>
            <w:tcW w:w="0" w:type="auto"/>
            <w:tcBorders>
              <w:top w:val="nil"/>
              <w:left w:val="nil"/>
              <w:bottom w:val="single" w:sz="4" w:space="0" w:color="auto"/>
              <w:right w:val="single" w:sz="4" w:space="0" w:color="auto"/>
            </w:tcBorders>
            <w:shd w:val="clear" w:color="auto" w:fill="auto"/>
            <w:noWrap/>
            <w:vAlign w:val="bottom"/>
            <w:hideMark/>
          </w:tcPr>
          <w:p w14:paraId="071C371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r>
      <w:tr w:rsidR="00F04FA7" w:rsidRPr="006A3169" w14:paraId="1047F6F0"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48477D2E"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74. resora 20. programma "Veselības aprūpes pasākumu īstenošana"</w:t>
            </w:r>
          </w:p>
        </w:tc>
        <w:tc>
          <w:tcPr>
            <w:tcW w:w="664" w:type="dxa"/>
            <w:tcBorders>
              <w:top w:val="nil"/>
              <w:left w:val="nil"/>
              <w:bottom w:val="single" w:sz="4" w:space="0" w:color="auto"/>
              <w:right w:val="single" w:sz="4" w:space="0" w:color="auto"/>
            </w:tcBorders>
            <w:shd w:val="clear" w:color="auto" w:fill="auto"/>
            <w:noWrap/>
            <w:vAlign w:val="bottom"/>
            <w:hideMark/>
          </w:tcPr>
          <w:p w14:paraId="799A2B3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-1,6</w:t>
            </w:r>
          </w:p>
        </w:tc>
        <w:tc>
          <w:tcPr>
            <w:tcW w:w="0" w:type="auto"/>
            <w:tcBorders>
              <w:top w:val="nil"/>
              <w:left w:val="nil"/>
              <w:bottom w:val="single" w:sz="4" w:space="0" w:color="auto"/>
              <w:right w:val="single" w:sz="4" w:space="0" w:color="auto"/>
            </w:tcBorders>
            <w:shd w:val="clear" w:color="auto" w:fill="auto"/>
            <w:noWrap/>
            <w:vAlign w:val="bottom"/>
            <w:hideMark/>
          </w:tcPr>
          <w:p w14:paraId="2A78F78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7DBDF84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7BEB632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r>
      <w:tr w:rsidR="00F04FA7" w:rsidRPr="006A3169" w14:paraId="2EE10CFD"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33D8FCFA"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Kompensējamie medikamenti un laboratoriskā pieredze onkoloģijas jomā</w:t>
            </w:r>
          </w:p>
        </w:tc>
        <w:tc>
          <w:tcPr>
            <w:tcW w:w="664" w:type="dxa"/>
            <w:tcBorders>
              <w:top w:val="nil"/>
              <w:left w:val="nil"/>
              <w:bottom w:val="single" w:sz="4" w:space="0" w:color="auto"/>
              <w:right w:val="single" w:sz="4" w:space="0" w:color="auto"/>
            </w:tcBorders>
            <w:shd w:val="clear" w:color="auto" w:fill="auto"/>
            <w:noWrap/>
            <w:vAlign w:val="bottom"/>
            <w:hideMark/>
          </w:tcPr>
          <w:p w14:paraId="266DC79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21,6</w:t>
            </w:r>
          </w:p>
        </w:tc>
        <w:tc>
          <w:tcPr>
            <w:tcW w:w="0" w:type="auto"/>
            <w:tcBorders>
              <w:top w:val="nil"/>
              <w:left w:val="nil"/>
              <w:bottom w:val="single" w:sz="4" w:space="0" w:color="auto"/>
              <w:right w:val="single" w:sz="4" w:space="0" w:color="auto"/>
            </w:tcBorders>
            <w:shd w:val="clear" w:color="auto" w:fill="auto"/>
            <w:noWrap/>
            <w:vAlign w:val="bottom"/>
            <w:hideMark/>
          </w:tcPr>
          <w:p w14:paraId="5C8F556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c>
          <w:tcPr>
            <w:tcW w:w="0" w:type="auto"/>
            <w:tcBorders>
              <w:top w:val="nil"/>
              <w:left w:val="nil"/>
              <w:bottom w:val="single" w:sz="4" w:space="0" w:color="auto"/>
              <w:right w:val="single" w:sz="4" w:space="0" w:color="auto"/>
            </w:tcBorders>
            <w:shd w:val="clear" w:color="auto" w:fill="auto"/>
            <w:noWrap/>
            <w:vAlign w:val="bottom"/>
            <w:hideMark/>
          </w:tcPr>
          <w:p w14:paraId="01CC574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c>
          <w:tcPr>
            <w:tcW w:w="0" w:type="auto"/>
            <w:tcBorders>
              <w:top w:val="nil"/>
              <w:left w:val="nil"/>
              <w:bottom w:val="single" w:sz="4" w:space="0" w:color="auto"/>
              <w:right w:val="single" w:sz="4" w:space="0" w:color="auto"/>
            </w:tcBorders>
            <w:shd w:val="clear" w:color="auto" w:fill="auto"/>
            <w:noWrap/>
            <w:vAlign w:val="bottom"/>
            <w:hideMark/>
          </w:tcPr>
          <w:p w14:paraId="173D89E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r>
      <w:tr w:rsidR="00F04FA7" w:rsidRPr="006A3169" w14:paraId="06C4C0B5"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0ABBFFC2"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Atbalsts kultūras pieminekļu atjaunošanas darbiem (AS “Latvijas Loto” dividendes)</w:t>
            </w:r>
          </w:p>
        </w:tc>
        <w:tc>
          <w:tcPr>
            <w:tcW w:w="664" w:type="dxa"/>
            <w:tcBorders>
              <w:top w:val="nil"/>
              <w:left w:val="nil"/>
              <w:bottom w:val="single" w:sz="4" w:space="0" w:color="auto"/>
              <w:right w:val="single" w:sz="4" w:space="0" w:color="auto"/>
            </w:tcBorders>
            <w:shd w:val="clear" w:color="auto" w:fill="auto"/>
            <w:noWrap/>
            <w:vAlign w:val="bottom"/>
            <w:hideMark/>
          </w:tcPr>
          <w:p w14:paraId="694F71A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2,3</w:t>
            </w:r>
          </w:p>
        </w:tc>
        <w:tc>
          <w:tcPr>
            <w:tcW w:w="0" w:type="auto"/>
            <w:tcBorders>
              <w:top w:val="nil"/>
              <w:left w:val="nil"/>
              <w:bottom w:val="single" w:sz="4" w:space="0" w:color="auto"/>
              <w:right w:val="single" w:sz="4" w:space="0" w:color="auto"/>
            </w:tcBorders>
            <w:shd w:val="clear" w:color="auto" w:fill="auto"/>
            <w:noWrap/>
            <w:vAlign w:val="bottom"/>
            <w:hideMark/>
          </w:tcPr>
          <w:p w14:paraId="27C79B5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2,4</w:t>
            </w:r>
          </w:p>
        </w:tc>
        <w:tc>
          <w:tcPr>
            <w:tcW w:w="0" w:type="auto"/>
            <w:tcBorders>
              <w:top w:val="nil"/>
              <w:left w:val="nil"/>
              <w:bottom w:val="single" w:sz="4" w:space="0" w:color="auto"/>
              <w:right w:val="single" w:sz="4" w:space="0" w:color="auto"/>
            </w:tcBorders>
            <w:shd w:val="clear" w:color="auto" w:fill="auto"/>
            <w:noWrap/>
            <w:vAlign w:val="bottom"/>
            <w:hideMark/>
          </w:tcPr>
          <w:p w14:paraId="2F9E13C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2,7</w:t>
            </w:r>
          </w:p>
        </w:tc>
        <w:tc>
          <w:tcPr>
            <w:tcW w:w="0" w:type="auto"/>
            <w:tcBorders>
              <w:top w:val="nil"/>
              <w:left w:val="nil"/>
              <w:bottom w:val="single" w:sz="4" w:space="0" w:color="auto"/>
              <w:right w:val="single" w:sz="4" w:space="0" w:color="auto"/>
            </w:tcBorders>
            <w:shd w:val="clear" w:color="auto" w:fill="auto"/>
            <w:noWrap/>
            <w:vAlign w:val="bottom"/>
            <w:hideMark/>
          </w:tcPr>
          <w:p w14:paraId="5E693FE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2,3</w:t>
            </w:r>
          </w:p>
        </w:tc>
      </w:tr>
      <w:tr w:rsidR="00F04FA7" w:rsidRPr="006A3169" w14:paraId="6EF947A0"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4521A00B"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74. resora korekcija</w:t>
            </w:r>
          </w:p>
        </w:tc>
        <w:tc>
          <w:tcPr>
            <w:tcW w:w="664" w:type="dxa"/>
            <w:tcBorders>
              <w:top w:val="nil"/>
              <w:left w:val="nil"/>
              <w:bottom w:val="single" w:sz="4" w:space="0" w:color="auto"/>
              <w:right w:val="single" w:sz="4" w:space="0" w:color="auto"/>
            </w:tcBorders>
            <w:shd w:val="clear" w:color="auto" w:fill="auto"/>
            <w:noWrap/>
            <w:vAlign w:val="bottom"/>
            <w:hideMark/>
          </w:tcPr>
          <w:p w14:paraId="360599F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c>
          <w:tcPr>
            <w:tcW w:w="0" w:type="auto"/>
            <w:tcBorders>
              <w:top w:val="nil"/>
              <w:left w:val="nil"/>
              <w:bottom w:val="single" w:sz="4" w:space="0" w:color="auto"/>
              <w:right w:val="single" w:sz="4" w:space="0" w:color="auto"/>
            </w:tcBorders>
            <w:shd w:val="clear" w:color="auto" w:fill="auto"/>
            <w:noWrap/>
            <w:vAlign w:val="bottom"/>
            <w:hideMark/>
          </w:tcPr>
          <w:p w14:paraId="0FF1708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c>
          <w:tcPr>
            <w:tcW w:w="0" w:type="auto"/>
            <w:tcBorders>
              <w:top w:val="nil"/>
              <w:left w:val="nil"/>
              <w:bottom w:val="single" w:sz="4" w:space="0" w:color="auto"/>
              <w:right w:val="single" w:sz="4" w:space="0" w:color="auto"/>
            </w:tcBorders>
            <w:shd w:val="clear" w:color="auto" w:fill="auto"/>
            <w:noWrap/>
            <w:vAlign w:val="bottom"/>
            <w:hideMark/>
          </w:tcPr>
          <w:p w14:paraId="3C75C66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c>
          <w:tcPr>
            <w:tcW w:w="0" w:type="auto"/>
            <w:tcBorders>
              <w:top w:val="nil"/>
              <w:left w:val="nil"/>
              <w:bottom w:val="single" w:sz="4" w:space="0" w:color="auto"/>
              <w:right w:val="single" w:sz="4" w:space="0" w:color="auto"/>
            </w:tcBorders>
            <w:shd w:val="clear" w:color="auto" w:fill="auto"/>
            <w:noWrap/>
            <w:vAlign w:val="bottom"/>
            <w:hideMark/>
          </w:tcPr>
          <w:p w14:paraId="0D4A1AF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r>
      <w:tr w:rsidR="00F04FA7" w:rsidRPr="006A3169" w14:paraId="4E612D55"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vAlign w:val="center"/>
            <w:hideMark/>
          </w:tcPr>
          <w:p w14:paraId="6C3DB36B"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Profesionālās izglītības bāzes finansējuma pārskatīšana</w:t>
            </w:r>
          </w:p>
        </w:tc>
        <w:tc>
          <w:tcPr>
            <w:tcW w:w="664" w:type="dxa"/>
            <w:tcBorders>
              <w:top w:val="nil"/>
              <w:left w:val="nil"/>
              <w:bottom w:val="single" w:sz="4" w:space="0" w:color="auto"/>
              <w:right w:val="single" w:sz="4" w:space="0" w:color="auto"/>
            </w:tcBorders>
            <w:shd w:val="clear" w:color="auto" w:fill="auto"/>
            <w:noWrap/>
            <w:vAlign w:val="center"/>
            <w:hideMark/>
          </w:tcPr>
          <w:p w14:paraId="1618F81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2,9</w:t>
            </w:r>
          </w:p>
        </w:tc>
        <w:tc>
          <w:tcPr>
            <w:tcW w:w="0" w:type="auto"/>
            <w:tcBorders>
              <w:top w:val="nil"/>
              <w:left w:val="nil"/>
              <w:bottom w:val="single" w:sz="4" w:space="0" w:color="auto"/>
              <w:right w:val="single" w:sz="4" w:space="0" w:color="auto"/>
            </w:tcBorders>
            <w:shd w:val="clear" w:color="auto" w:fill="auto"/>
            <w:noWrap/>
            <w:vAlign w:val="center"/>
            <w:hideMark/>
          </w:tcPr>
          <w:p w14:paraId="56F2A40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358BB5A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4BC48CF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r>
      <w:tr w:rsidR="00F04FA7" w:rsidRPr="006A3169" w14:paraId="1A59F45C"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0114FFE8" w14:textId="77777777" w:rsidR="00F04FA7" w:rsidRPr="006A3169" w:rsidRDefault="00F04FA7" w:rsidP="000B7682">
            <w:pPr>
              <w:spacing w:after="0"/>
              <w:ind w:firstLine="0"/>
              <w:rPr>
                <w:rFonts w:eastAsia="Times New Roman" w:cs="Times New Roman"/>
                <w:b/>
                <w:bCs/>
                <w:sz w:val="18"/>
                <w:szCs w:val="18"/>
              </w:rPr>
            </w:pPr>
            <w:r w:rsidRPr="006A3169">
              <w:rPr>
                <w:rFonts w:eastAsia="Times New Roman" w:cs="Times New Roman"/>
                <w:b/>
                <w:bCs/>
                <w:sz w:val="18"/>
                <w:szCs w:val="18"/>
              </w:rPr>
              <w:t>Finansējums neatkarīgajām iestādēm</w:t>
            </w:r>
          </w:p>
        </w:tc>
        <w:tc>
          <w:tcPr>
            <w:tcW w:w="664" w:type="dxa"/>
            <w:tcBorders>
              <w:top w:val="nil"/>
              <w:left w:val="nil"/>
              <w:bottom w:val="single" w:sz="4" w:space="0" w:color="auto"/>
              <w:right w:val="single" w:sz="4" w:space="0" w:color="auto"/>
            </w:tcBorders>
            <w:shd w:val="clear" w:color="auto" w:fill="auto"/>
            <w:noWrap/>
            <w:vAlign w:val="center"/>
            <w:hideMark/>
          </w:tcPr>
          <w:p w14:paraId="1DAA1B95"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3,6</w:t>
            </w:r>
          </w:p>
        </w:tc>
        <w:tc>
          <w:tcPr>
            <w:tcW w:w="0" w:type="auto"/>
            <w:tcBorders>
              <w:top w:val="nil"/>
              <w:left w:val="nil"/>
              <w:bottom w:val="single" w:sz="4" w:space="0" w:color="auto"/>
              <w:right w:val="single" w:sz="4" w:space="0" w:color="auto"/>
            </w:tcBorders>
            <w:shd w:val="clear" w:color="auto" w:fill="auto"/>
            <w:noWrap/>
            <w:vAlign w:val="center"/>
            <w:hideMark/>
          </w:tcPr>
          <w:p w14:paraId="21F0F4BB"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4,7</w:t>
            </w:r>
          </w:p>
        </w:tc>
        <w:tc>
          <w:tcPr>
            <w:tcW w:w="0" w:type="auto"/>
            <w:tcBorders>
              <w:top w:val="nil"/>
              <w:left w:val="nil"/>
              <w:bottom w:val="single" w:sz="4" w:space="0" w:color="auto"/>
              <w:right w:val="single" w:sz="4" w:space="0" w:color="auto"/>
            </w:tcBorders>
            <w:shd w:val="clear" w:color="auto" w:fill="auto"/>
            <w:noWrap/>
            <w:vAlign w:val="center"/>
            <w:hideMark/>
          </w:tcPr>
          <w:p w14:paraId="33E9617E"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1,8</w:t>
            </w:r>
          </w:p>
        </w:tc>
        <w:tc>
          <w:tcPr>
            <w:tcW w:w="0" w:type="auto"/>
            <w:tcBorders>
              <w:top w:val="nil"/>
              <w:left w:val="nil"/>
              <w:bottom w:val="single" w:sz="4" w:space="0" w:color="auto"/>
              <w:right w:val="single" w:sz="4" w:space="0" w:color="auto"/>
            </w:tcBorders>
            <w:shd w:val="clear" w:color="auto" w:fill="auto"/>
            <w:noWrap/>
            <w:vAlign w:val="center"/>
            <w:hideMark/>
          </w:tcPr>
          <w:p w14:paraId="1B4DFFC5"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1,8</w:t>
            </w:r>
          </w:p>
        </w:tc>
      </w:tr>
      <w:tr w:rsidR="00F04FA7" w:rsidRPr="006A3169" w14:paraId="5AE59781"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080029B5" w14:textId="77777777" w:rsidR="00F04FA7" w:rsidRPr="006A3169" w:rsidRDefault="00F04FA7" w:rsidP="000B7682">
            <w:pPr>
              <w:spacing w:after="0"/>
              <w:ind w:firstLine="0"/>
              <w:rPr>
                <w:rFonts w:eastAsia="Times New Roman" w:cs="Times New Roman"/>
                <w:b/>
                <w:bCs/>
                <w:sz w:val="18"/>
                <w:szCs w:val="18"/>
              </w:rPr>
            </w:pPr>
            <w:r w:rsidRPr="006A3169">
              <w:rPr>
                <w:rFonts w:eastAsia="Times New Roman" w:cs="Times New Roman"/>
                <w:b/>
                <w:bCs/>
                <w:sz w:val="18"/>
                <w:szCs w:val="18"/>
              </w:rPr>
              <w:t>Satversmes tiesas sprieduma un likumu izpildes nodrošināšanai</w:t>
            </w:r>
          </w:p>
        </w:tc>
        <w:tc>
          <w:tcPr>
            <w:tcW w:w="664" w:type="dxa"/>
            <w:tcBorders>
              <w:top w:val="nil"/>
              <w:left w:val="nil"/>
              <w:bottom w:val="single" w:sz="4" w:space="0" w:color="auto"/>
              <w:right w:val="single" w:sz="4" w:space="0" w:color="auto"/>
            </w:tcBorders>
            <w:shd w:val="clear" w:color="auto" w:fill="auto"/>
            <w:noWrap/>
            <w:vAlign w:val="center"/>
            <w:hideMark/>
          </w:tcPr>
          <w:p w14:paraId="094CAA09"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37,0</w:t>
            </w:r>
          </w:p>
        </w:tc>
        <w:tc>
          <w:tcPr>
            <w:tcW w:w="0" w:type="auto"/>
            <w:tcBorders>
              <w:top w:val="nil"/>
              <w:left w:val="nil"/>
              <w:bottom w:val="single" w:sz="4" w:space="0" w:color="auto"/>
              <w:right w:val="single" w:sz="4" w:space="0" w:color="auto"/>
            </w:tcBorders>
            <w:shd w:val="clear" w:color="auto" w:fill="auto"/>
            <w:noWrap/>
            <w:vAlign w:val="center"/>
            <w:hideMark/>
          </w:tcPr>
          <w:p w14:paraId="5D23C99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38,6</w:t>
            </w:r>
          </w:p>
        </w:tc>
        <w:tc>
          <w:tcPr>
            <w:tcW w:w="0" w:type="auto"/>
            <w:tcBorders>
              <w:top w:val="nil"/>
              <w:left w:val="nil"/>
              <w:bottom w:val="single" w:sz="4" w:space="0" w:color="auto"/>
              <w:right w:val="single" w:sz="4" w:space="0" w:color="auto"/>
            </w:tcBorders>
            <w:shd w:val="clear" w:color="auto" w:fill="auto"/>
            <w:noWrap/>
            <w:vAlign w:val="center"/>
            <w:hideMark/>
          </w:tcPr>
          <w:p w14:paraId="40FA5FEB"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38,9</w:t>
            </w:r>
          </w:p>
        </w:tc>
        <w:tc>
          <w:tcPr>
            <w:tcW w:w="0" w:type="auto"/>
            <w:tcBorders>
              <w:top w:val="nil"/>
              <w:left w:val="nil"/>
              <w:bottom w:val="single" w:sz="4" w:space="0" w:color="auto"/>
              <w:right w:val="single" w:sz="4" w:space="0" w:color="auto"/>
            </w:tcBorders>
            <w:shd w:val="clear" w:color="auto" w:fill="auto"/>
            <w:noWrap/>
            <w:vAlign w:val="center"/>
            <w:hideMark/>
          </w:tcPr>
          <w:p w14:paraId="603E8E4A"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40,3</w:t>
            </w:r>
          </w:p>
        </w:tc>
      </w:tr>
      <w:tr w:rsidR="00F04FA7" w:rsidRPr="006A3169" w14:paraId="25F8A2EA"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BDD6EE" w:themeFill="accent1" w:themeFillTint="66"/>
            <w:vAlign w:val="center"/>
            <w:hideMark/>
          </w:tcPr>
          <w:p w14:paraId="34F21BE9"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Kopā izdevumu pasākumi</w:t>
            </w:r>
          </w:p>
        </w:tc>
        <w:tc>
          <w:tcPr>
            <w:tcW w:w="664" w:type="dxa"/>
            <w:tcBorders>
              <w:top w:val="nil"/>
              <w:left w:val="nil"/>
              <w:bottom w:val="single" w:sz="4" w:space="0" w:color="auto"/>
              <w:right w:val="single" w:sz="4" w:space="0" w:color="auto"/>
            </w:tcBorders>
            <w:shd w:val="clear" w:color="auto" w:fill="auto"/>
            <w:noWrap/>
            <w:vAlign w:val="center"/>
            <w:hideMark/>
          </w:tcPr>
          <w:p w14:paraId="472590A3" w14:textId="355C091C"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35</w:t>
            </w:r>
            <w:r w:rsidR="006D4A79" w:rsidRPr="006A3169">
              <w:rPr>
                <w:rFonts w:eastAsia="Times New Roman" w:cs="Times New Roman"/>
                <w:b/>
                <w:bCs/>
                <w:sz w:val="18"/>
                <w:szCs w:val="18"/>
              </w:rPr>
              <w:t>4</w:t>
            </w:r>
            <w:r w:rsidRPr="006A3169">
              <w:rPr>
                <w:rFonts w:eastAsia="Times New Roman" w:cs="Times New Roman"/>
                <w:b/>
                <w:bCs/>
                <w:sz w:val="18"/>
                <w:szCs w:val="18"/>
              </w:rPr>
              <w:t>,2</w:t>
            </w:r>
          </w:p>
        </w:tc>
        <w:tc>
          <w:tcPr>
            <w:tcW w:w="0" w:type="auto"/>
            <w:tcBorders>
              <w:top w:val="nil"/>
              <w:left w:val="nil"/>
              <w:bottom w:val="single" w:sz="4" w:space="0" w:color="auto"/>
              <w:right w:val="single" w:sz="4" w:space="0" w:color="auto"/>
            </w:tcBorders>
            <w:shd w:val="clear" w:color="auto" w:fill="auto"/>
            <w:noWrap/>
            <w:vAlign w:val="center"/>
            <w:hideMark/>
          </w:tcPr>
          <w:p w14:paraId="072A92A3"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273,6</w:t>
            </w:r>
          </w:p>
        </w:tc>
        <w:tc>
          <w:tcPr>
            <w:tcW w:w="0" w:type="auto"/>
            <w:tcBorders>
              <w:top w:val="nil"/>
              <w:left w:val="nil"/>
              <w:bottom w:val="single" w:sz="4" w:space="0" w:color="auto"/>
              <w:right w:val="single" w:sz="4" w:space="0" w:color="auto"/>
            </w:tcBorders>
            <w:shd w:val="clear" w:color="auto" w:fill="auto"/>
            <w:noWrap/>
            <w:vAlign w:val="center"/>
            <w:hideMark/>
          </w:tcPr>
          <w:p w14:paraId="07482D64"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306,1</w:t>
            </w:r>
          </w:p>
        </w:tc>
        <w:tc>
          <w:tcPr>
            <w:tcW w:w="0" w:type="auto"/>
            <w:tcBorders>
              <w:top w:val="nil"/>
              <w:left w:val="nil"/>
              <w:bottom w:val="single" w:sz="4" w:space="0" w:color="auto"/>
              <w:right w:val="single" w:sz="4" w:space="0" w:color="auto"/>
            </w:tcBorders>
            <w:shd w:val="clear" w:color="auto" w:fill="auto"/>
            <w:noWrap/>
            <w:vAlign w:val="center"/>
            <w:hideMark/>
          </w:tcPr>
          <w:p w14:paraId="77021550"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214,5</w:t>
            </w:r>
          </w:p>
        </w:tc>
      </w:tr>
      <w:tr w:rsidR="00F04FA7" w:rsidRPr="006A3169" w14:paraId="6272895E"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4E8EA06E" w14:textId="77777777" w:rsidR="00F04FA7" w:rsidRPr="006A3169" w:rsidRDefault="00F04FA7" w:rsidP="000B7682">
            <w:pPr>
              <w:spacing w:after="0"/>
              <w:ind w:firstLine="0"/>
              <w:rPr>
                <w:rFonts w:eastAsia="Times New Roman" w:cs="Times New Roman"/>
                <w:b/>
                <w:bCs/>
                <w:sz w:val="18"/>
                <w:szCs w:val="18"/>
              </w:rPr>
            </w:pPr>
            <w:r w:rsidRPr="006A3169">
              <w:rPr>
                <w:rFonts w:eastAsia="Times New Roman" w:cs="Times New Roman"/>
                <w:b/>
                <w:bCs/>
                <w:sz w:val="18"/>
                <w:szCs w:val="18"/>
              </w:rPr>
              <w:t>Kompensējošie izdevumu pasākumi</w:t>
            </w:r>
          </w:p>
        </w:tc>
        <w:tc>
          <w:tcPr>
            <w:tcW w:w="664" w:type="dxa"/>
            <w:tcBorders>
              <w:top w:val="nil"/>
              <w:left w:val="nil"/>
              <w:bottom w:val="single" w:sz="4" w:space="0" w:color="auto"/>
              <w:right w:val="single" w:sz="4" w:space="0" w:color="auto"/>
            </w:tcBorders>
            <w:shd w:val="clear" w:color="auto" w:fill="auto"/>
            <w:noWrap/>
            <w:vAlign w:val="center"/>
            <w:hideMark/>
          </w:tcPr>
          <w:p w14:paraId="50AD895B"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-148,1</w:t>
            </w:r>
          </w:p>
        </w:tc>
        <w:tc>
          <w:tcPr>
            <w:tcW w:w="0" w:type="auto"/>
            <w:tcBorders>
              <w:top w:val="nil"/>
              <w:left w:val="nil"/>
              <w:bottom w:val="single" w:sz="4" w:space="0" w:color="auto"/>
              <w:right w:val="single" w:sz="4" w:space="0" w:color="auto"/>
            </w:tcBorders>
            <w:shd w:val="clear" w:color="auto" w:fill="auto"/>
            <w:noWrap/>
            <w:vAlign w:val="center"/>
            <w:hideMark/>
          </w:tcPr>
          <w:p w14:paraId="2C7B4964"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-146,0</w:t>
            </w:r>
          </w:p>
        </w:tc>
        <w:tc>
          <w:tcPr>
            <w:tcW w:w="0" w:type="auto"/>
            <w:tcBorders>
              <w:top w:val="nil"/>
              <w:left w:val="nil"/>
              <w:bottom w:val="single" w:sz="4" w:space="0" w:color="auto"/>
              <w:right w:val="single" w:sz="4" w:space="0" w:color="auto"/>
            </w:tcBorders>
            <w:shd w:val="clear" w:color="auto" w:fill="auto"/>
            <w:noWrap/>
            <w:vAlign w:val="center"/>
            <w:hideMark/>
          </w:tcPr>
          <w:p w14:paraId="10BB594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-151,0</w:t>
            </w:r>
          </w:p>
        </w:tc>
        <w:tc>
          <w:tcPr>
            <w:tcW w:w="0" w:type="auto"/>
            <w:tcBorders>
              <w:top w:val="nil"/>
              <w:left w:val="nil"/>
              <w:bottom w:val="single" w:sz="4" w:space="0" w:color="auto"/>
              <w:right w:val="single" w:sz="4" w:space="0" w:color="auto"/>
            </w:tcBorders>
            <w:shd w:val="clear" w:color="auto" w:fill="auto"/>
            <w:noWrap/>
            <w:vAlign w:val="center"/>
            <w:hideMark/>
          </w:tcPr>
          <w:p w14:paraId="7E5D7586"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-220,5</w:t>
            </w:r>
          </w:p>
        </w:tc>
      </w:tr>
      <w:tr w:rsidR="00F04FA7" w:rsidRPr="006A3169" w14:paraId="0EABF186"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5F0CC65F"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Mēnešalgas pieauguma ierobežošana vēlētām amatpersonām un Saeimas ieceltām amatpersonām (bāzes izdevumu samazināšana ministrijām, citām centrālām valsts iestādēm un neatkarīgajām institūcijām)</w:t>
            </w:r>
          </w:p>
        </w:tc>
        <w:tc>
          <w:tcPr>
            <w:tcW w:w="664" w:type="dxa"/>
            <w:tcBorders>
              <w:top w:val="nil"/>
              <w:left w:val="nil"/>
              <w:bottom w:val="single" w:sz="4" w:space="0" w:color="auto"/>
              <w:right w:val="single" w:sz="4" w:space="0" w:color="auto"/>
            </w:tcBorders>
            <w:shd w:val="clear" w:color="auto" w:fill="auto"/>
            <w:noWrap/>
            <w:vAlign w:val="center"/>
            <w:hideMark/>
          </w:tcPr>
          <w:p w14:paraId="0823019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-2,6</w:t>
            </w:r>
          </w:p>
        </w:tc>
        <w:tc>
          <w:tcPr>
            <w:tcW w:w="0" w:type="auto"/>
            <w:tcBorders>
              <w:top w:val="nil"/>
              <w:left w:val="nil"/>
              <w:bottom w:val="single" w:sz="4" w:space="0" w:color="auto"/>
              <w:right w:val="single" w:sz="4" w:space="0" w:color="auto"/>
            </w:tcBorders>
            <w:shd w:val="clear" w:color="auto" w:fill="auto"/>
            <w:noWrap/>
            <w:vAlign w:val="center"/>
            <w:hideMark/>
          </w:tcPr>
          <w:p w14:paraId="4200672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-2,7</w:t>
            </w:r>
          </w:p>
        </w:tc>
        <w:tc>
          <w:tcPr>
            <w:tcW w:w="0" w:type="auto"/>
            <w:tcBorders>
              <w:top w:val="nil"/>
              <w:left w:val="nil"/>
              <w:bottom w:val="single" w:sz="4" w:space="0" w:color="auto"/>
              <w:right w:val="single" w:sz="4" w:space="0" w:color="auto"/>
            </w:tcBorders>
            <w:shd w:val="clear" w:color="auto" w:fill="auto"/>
            <w:noWrap/>
            <w:vAlign w:val="center"/>
            <w:hideMark/>
          </w:tcPr>
          <w:p w14:paraId="24821B9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-2,7</w:t>
            </w:r>
          </w:p>
        </w:tc>
        <w:tc>
          <w:tcPr>
            <w:tcW w:w="0" w:type="auto"/>
            <w:tcBorders>
              <w:top w:val="nil"/>
              <w:left w:val="nil"/>
              <w:bottom w:val="single" w:sz="4" w:space="0" w:color="auto"/>
              <w:right w:val="single" w:sz="4" w:space="0" w:color="auto"/>
            </w:tcBorders>
            <w:shd w:val="clear" w:color="auto" w:fill="auto"/>
            <w:noWrap/>
            <w:vAlign w:val="center"/>
            <w:hideMark/>
          </w:tcPr>
          <w:p w14:paraId="2E6909D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-2,7</w:t>
            </w:r>
          </w:p>
        </w:tc>
      </w:tr>
      <w:tr w:rsidR="00F04FA7" w:rsidRPr="006A3169" w14:paraId="3125A499"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755D68C9"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 xml:space="preserve">Horizontāla ministriju un citu centrālo iestāžu izdevumu samazināšana (aprēķinā izmantots preču un pakalpojumu % samazinājums (11% uz 50 milj. </w:t>
            </w:r>
            <w:proofErr w:type="spellStart"/>
            <w:r w:rsidRPr="006A3169">
              <w:rPr>
                <w:rFonts w:eastAsia="Times New Roman" w:cs="Times New Roman"/>
                <w:i/>
                <w:iCs/>
                <w:sz w:val="18"/>
                <w:szCs w:val="18"/>
              </w:rPr>
              <w:t>euro</w:t>
            </w:r>
            <w:proofErr w:type="spellEnd"/>
            <w:r w:rsidRPr="006A3169">
              <w:rPr>
                <w:rFonts w:eastAsia="Times New Roman" w:cs="Times New Roman"/>
                <w:sz w:val="18"/>
                <w:szCs w:val="18"/>
              </w:rPr>
              <w:t>))</w:t>
            </w:r>
          </w:p>
        </w:tc>
        <w:tc>
          <w:tcPr>
            <w:tcW w:w="664" w:type="dxa"/>
            <w:tcBorders>
              <w:top w:val="nil"/>
              <w:left w:val="nil"/>
              <w:bottom w:val="single" w:sz="4" w:space="0" w:color="auto"/>
              <w:right w:val="single" w:sz="4" w:space="0" w:color="auto"/>
            </w:tcBorders>
            <w:shd w:val="clear" w:color="auto" w:fill="auto"/>
            <w:noWrap/>
            <w:vAlign w:val="center"/>
            <w:hideMark/>
          </w:tcPr>
          <w:p w14:paraId="1B89CF5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-50,0</w:t>
            </w:r>
          </w:p>
        </w:tc>
        <w:tc>
          <w:tcPr>
            <w:tcW w:w="0" w:type="auto"/>
            <w:tcBorders>
              <w:top w:val="nil"/>
              <w:left w:val="nil"/>
              <w:bottom w:val="single" w:sz="4" w:space="0" w:color="auto"/>
              <w:right w:val="single" w:sz="4" w:space="0" w:color="auto"/>
            </w:tcBorders>
            <w:shd w:val="clear" w:color="auto" w:fill="auto"/>
            <w:noWrap/>
            <w:vAlign w:val="center"/>
            <w:hideMark/>
          </w:tcPr>
          <w:p w14:paraId="10E350A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-50,0</w:t>
            </w:r>
          </w:p>
        </w:tc>
        <w:tc>
          <w:tcPr>
            <w:tcW w:w="0" w:type="auto"/>
            <w:tcBorders>
              <w:top w:val="nil"/>
              <w:left w:val="nil"/>
              <w:bottom w:val="single" w:sz="4" w:space="0" w:color="auto"/>
              <w:right w:val="single" w:sz="4" w:space="0" w:color="auto"/>
            </w:tcBorders>
            <w:shd w:val="clear" w:color="auto" w:fill="auto"/>
            <w:noWrap/>
            <w:vAlign w:val="center"/>
            <w:hideMark/>
          </w:tcPr>
          <w:p w14:paraId="7B993A8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-50,0</w:t>
            </w:r>
          </w:p>
        </w:tc>
        <w:tc>
          <w:tcPr>
            <w:tcW w:w="0" w:type="auto"/>
            <w:tcBorders>
              <w:top w:val="nil"/>
              <w:left w:val="nil"/>
              <w:bottom w:val="single" w:sz="4" w:space="0" w:color="auto"/>
              <w:right w:val="single" w:sz="4" w:space="0" w:color="auto"/>
            </w:tcBorders>
            <w:shd w:val="clear" w:color="auto" w:fill="auto"/>
            <w:noWrap/>
            <w:vAlign w:val="center"/>
            <w:hideMark/>
          </w:tcPr>
          <w:p w14:paraId="4066570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-50,0</w:t>
            </w:r>
          </w:p>
        </w:tc>
      </w:tr>
      <w:tr w:rsidR="00F04FA7" w:rsidRPr="006A3169" w14:paraId="399F1369"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0C28617E"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Pamatfunkciju izdevumu pārplānošana uz ES fondu līdzekļiem</w:t>
            </w:r>
          </w:p>
        </w:tc>
        <w:tc>
          <w:tcPr>
            <w:tcW w:w="664" w:type="dxa"/>
            <w:tcBorders>
              <w:top w:val="nil"/>
              <w:left w:val="nil"/>
              <w:bottom w:val="single" w:sz="4" w:space="0" w:color="auto"/>
              <w:right w:val="single" w:sz="4" w:space="0" w:color="auto"/>
            </w:tcBorders>
            <w:shd w:val="clear" w:color="auto" w:fill="auto"/>
            <w:noWrap/>
            <w:vAlign w:val="center"/>
            <w:hideMark/>
          </w:tcPr>
          <w:p w14:paraId="0430E56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-14,7</w:t>
            </w:r>
          </w:p>
        </w:tc>
        <w:tc>
          <w:tcPr>
            <w:tcW w:w="0" w:type="auto"/>
            <w:tcBorders>
              <w:top w:val="nil"/>
              <w:left w:val="nil"/>
              <w:bottom w:val="single" w:sz="4" w:space="0" w:color="auto"/>
              <w:right w:val="single" w:sz="4" w:space="0" w:color="auto"/>
            </w:tcBorders>
            <w:shd w:val="clear" w:color="auto" w:fill="auto"/>
            <w:noWrap/>
            <w:vAlign w:val="center"/>
            <w:hideMark/>
          </w:tcPr>
          <w:p w14:paraId="62DE91D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-20,4</w:t>
            </w:r>
          </w:p>
        </w:tc>
        <w:tc>
          <w:tcPr>
            <w:tcW w:w="0" w:type="auto"/>
            <w:tcBorders>
              <w:top w:val="nil"/>
              <w:left w:val="nil"/>
              <w:bottom w:val="single" w:sz="4" w:space="0" w:color="auto"/>
              <w:right w:val="single" w:sz="4" w:space="0" w:color="auto"/>
            </w:tcBorders>
            <w:shd w:val="clear" w:color="auto" w:fill="auto"/>
            <w:noWrap/>
            <w:vAlign w:val="center"/>
            <w:hideMark/>
          </w:tcPr>
          <w:p w14:paraId="0F8CC52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-18,9</w:t>
            </w:r>
          </w:p>
        </w:tc>
        <w:tc>
          <w:tcPr>
            <w:tcW w:w="0" w:type="auto"/>
            <w:tcBorders>
              <w:top w:val="nil"/>
              <w:left w:val="nil"/>
              <w:bottom w:val="single" w:sz="4" w:space="0" w:color="auto"/>
              <w:right w:val="single" w:sz="4" w:space="0" w:color="auto"/>
            </w:tcBorders>
            <w:shd w:val="clear" w:color="auto" w:fill="auto"/>
            <w:noWrap/>
            <w:vAlign w:val="center"/>
            <w:hideMark/>
          </w:tcPr>
          <w:p w14:paraId="26738AC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-8,7</w:t>
            </w:r>
          </w:p>
        </w:tc>
      </w:tr>
      <w:tr w:rsidR="00F04FA7" w:rsidRPr="006A3169" w14:paraId="359548CF"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26B8824E"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 xml:space="preserve">Pieklasificēto kapitālsabiedrību ietekmes pārvērtēšana </w:t>
            </w:r>
          </w:p>
        </w:tc>
        <w:tc>
          <w:tcPr>
            <w:tcW w:w="664" w:type="dxa"/>
            <w:tcBorders>
              <w:top w:val="nil"/>
              <w:left w:val="nil"/>
              <w:bottom w:val="single" w:sz="4" w:space="0" w:color="auto"/>
              <w:right w:val="single" w:sz="4" w:space="0" w:color="auto"/>
            </w:tcBorders>
            <w:shd w:val="clear" w:color="auto" w:fill="auto"/>
            <w:noWrap/>
            <w:vAlign w:val="center"/>
            <w:hideMark/>
          </w:tcPr>
          <w:p w14:paraId="0F6BB80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-21,9</w:t>
            </w:r>
          </w:p>
        </w:tc>
        <w:tc>
          <w:tcPr>
            <w:tcW w:w="0" w:type="auto"/>
            <w:tcBorders>
              <w:top w:val="nil"/>
              <w:left w:val="nil"/>
              <w:bottom w:val="single" w:sz="4" w:space="0" w:color="auto"/>
              <w:right w:val="single" w:sz="4" w:space="0" w:color="auto"/>
            </w:tcBorders>
            <w:shd w:val="clear" w:color="auto" w:fill="auto"/>
            <w:noWrap/>
            <w:vAlign w:val="center"/>
            <w:hideMark/>
          </w:tcPr>
          <w:p w14:paraId="328018F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0,4</w:t>
            </w:r>
          </w:p>
        </w:tc>
        <w:tc>
          <w:tcPr>
            <w:tcW w:w="0" w:type="auto"/>
            <w:tcBorders>
              <w:top w:val="nil"/>
              <w:left w:val="nil"/>
              <w:bottom w:val="single" w:sz="4" w:space="0" w:color="auto"/>
              <w:right w:val="single" w:sz="4" w:space="0" w:color="auto"/>
            </w:tcBorders>
            <w:shd w:val="clear" w:color="auto" w:fill="auto"/>
            <w:noWrap/>
            <w:vAlign w:val="center"/>
            <w:hideMark/>
          </w:tcPr>
          <w:p w14:paraId="774ACAE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w:t>
            </w:r>
          </w:p>
        </w:tc>
        <w:tc>
          <w:tcPr>
            <w:tcW w:w="0" w:type="auto"/>
            <w:tcBorders>
              <w:top w:val="nil"/>
              <w:left w:val="nil"/>
              <w:bottom w:val="single" w:sz="4" w:space="0" w:color="auto"/>
              <w:right w:val="single" w:sz="4" w:space="0" w:color="auto"/>
            </w:tcBorders>
            <w:shd w:val="clear" w:color="auto" w:fill="auto"/>
            <w:noWrap/>
            <w:vAlign w:val="center"/>
            <w:hideMark/>
          </w:tcPr>
          <w:p w14:paraId="0B5777A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-7,2</w:t>
            </w:r>
          </w:p>
        </w:tc>
      </w:tr>
      <w:tr w:rsidR="00F04FA7" w:rsidRPr="006A3169" w14:paraId="4870A59B"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3B170790" w14:textId="63F12BAD"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74.</w:t>
            </w:r>
            <w:r w:rsidR="003602A1">
              <w:rPr>
                <w:rFonts w:eastAsia="Times New Roman" w:cs="Times New Roman"/>
                <w:sz w:val="18"/>
                <w:szCs w:val="18"/>
              </w:rPr>
              <w:t xml:space="preserve"> </w:t>
            </w:r>
            <w:r w:rsidRPr="006A3169">
              <w:rPr>
                <w:rFonts w:eastAsia="Times New Roman" w:cs="Times New Roman"/>
                <w:sz w:val="18"/>
                <w:szCs w:val="18"/>
              </w:rPr>
              <w:t xml:space="preserve">resora korekcija </w:t>
            </w:r>
          </w:p>
        </w:tc>
        <w:tc>
          <w:tcPr>
            <w:tcW w:w="664" w:type="dxa"/>
            <w:tcBorders>
              <w:top w:val="nil"/>
              <w:left w:val="nil"/>
              <w:bottom w:val="single" w:sz="4" w:space="0" w:color="auto"/>
              <w:right w:val="single" w:sz="4" w:space="0" w:color="auto"/>
            </w:tcBorders>
            <w:shd w:val="clear" w:color="auto" w:fill="auto"/>
            <w:noWrap/>
            <w:vAlign w:val="center"/>
            <w:hideMark/>
          </w:tcPr>
          <w:p w14:paraId="7D89FB6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12,7</w:t>
            </w:r>
          </w:p>
        </w:tc>
        <w:tc>
          <w:tcPr>
            <w:tcW w:w="0" w:type="auto"/>
            <w:tcBorders>
              <w:top w:val="nil"/>
              <w:left w:val="nil"/>
              <w:bottom w:val="single" w:sz="4" w:space="0" w:color="auto"/>
              <w:right w:val="single" w:sz="4" w:space="0" w:color="auto"/>
            </w:tcBorders>
            <w:shd w:val="clear" w:color="auto" w:fill="auto"/>
            <w:noWrap/>
            <w:vAlign w:val="center"/>
            <w:hideMark/>
          </w:tcPr>
          <w:p w14:paraId="317E5AF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-9,4</w:t>
            </w:r>
          </w:p>
        </w:tc>
        <w:tc>
          <w:tcPr>
            <w:tcW w:w="0" w:type="auto"/>
            <w:tcBorders>
              <w:top w:val="nil"/>
              <w:left w:val="nil"/>
              <w:bottom w:val="single" w:sz="4" w:space="0" w:color="auto"/>
              <w:right w:val="single" w:sz="4" w:space="0" w:color="auto"/>
            </w:tcBorders>
            <w:shd w:val="clear" w:color="auto" w:fill="auto"/>
            <w:noWrap/>
            <w:vAlign w:val="center"/>
            <w:hideMark/>
          </w:tcPr>
          <w:p w14:paraId="5774603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-5,2</w:t>
            </w:r>
          </w:p>
        </w:tc>
        <w:tc>
          <w:tcPr>
            <w:tcW w:w="0" w:type="auto"/>
            <w:tcBorders>
              <w:top w:val="nil"/>
              <w:left w:val="nil"/>
              <w:bottom w:val="single" w:sz="4" w:space="0" w:color="auto"/>
              <w:right w:val="single" w:sz="4" w:space="0" w:color="auto"/>
            </w:tcBorders>
            <w:shd w:val="clear" w:color="auto" w:fill="auto"/>
            <w:noWrap/>
            <w:vAlign w:val="center"/>
            <w:hideMark/>
          </w:tcPr>
          <w:p w14:paraId="269BF77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-70,5</w:t>
            </w:r>
          </w:p>
        </w:tc>
      </w:tr>
      <w:tr w:rsidR="00F04FA7" w:rsidRPr="006A3169" w14:paraId="1673C2F3"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248E194E"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Speciālā budžeta izdevumu pārskatīšana</w:t>
            </w:r>
          </w:p>
        </w:tc>
        <w:tc>
          <w:tcPr>
            <w:tcW w:w="664" w:type="dxa"/>
            <w:tcBorders>
              <w:top w:val="nil"/>
              <w:left w:val="nil"/>
              <w:bottom w:val="single" w:sz="4" w:space="0" w:color="auto"/>
              <w:right w:val="single" w:sz="4" w:space="0" w:color="auto"/>
            </w:tcBorders>
            <w:shd w:val="clear" w:color="auto" w:fill="auto"/>
            <w:noWrap/>
            <w:vAlign w:val="center"/>
            <w:hideMark/>
          </w:tcPr>
          <w:p w14:paraId="7A6D91A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-15,9</w:t>
            </w:r>
          </w:p>
        </w:tc>
        <w:tc>
          <w:tcPr>
            <w:tcW w:w="0" w:type="auto"/>
            <w:tcBorders>
              <w:top w:val="nil"/>
              <w:left w:val="nil"/>
              <w:bottom w:val="single" w:sz="4" w:space="0" w:color="auto"/>
              <w:right w:val="single" w:sz="4" w:space="0" w:color="auto"/>
            </w:tcBorders>
            <w:shd w:val="clear" w:color="auto" w:fill="auto"/>
            <w:noWrap/>
            <w:vAlign w:val="center"/>
            <w:hideMark/>
          </w:tcPr>
          <w:p w14:paraId="587AEA4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-0,1</w:t>
            </w:r>
          </w:p>
        </w:tc>
        <w:tc>
          <w:tcPr>
            <w:tcW w:w="0" w:type="auto"/>
            <w:tcBorders>
              <w:top w:val="nil"/>
              <w:left w:val="nil"/>
              <w:bottom w:val="single" w:sz="4" w:space="0" w:color="auto"/>
              <w:right w:val="single" w:sz="4" w:space="0" w:color="auto"/>
            </w:tcBorders>
            <w:shd w:val="clear" w:color="auto" w:fill="auto"/>
            <w:noWrap/>
            <w:vAlign w:val="center"/>
            <w:hideMark/>
          </w:tcPr>
          <w:p w14:paraId="7E7B4C0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5B20DAB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r>
      <w:tr w:rsidR="00F04FA7" w:rsidRPr="006A3169" w14:paraId="697E524B"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720AB2A6"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Kopbudžeta izdevumu pārskatīšana</w:t>
            </w:r>
          </w:p>
        </w:tc>
        <w:tc>
          <w:tcPr>
            <w:tcW w:w="664" w:type="dxa"/>
            <w:tcBorders>
              <w:top w:val="nil"/>
              <w:left w:val="nil"/>
              <w:bottom w:val="single" w:sz="4" w:space="0" w:color="auto"/>
              <w:right w:val="single" w:sz="4" w:space="0" w:color="auto"/>
            </w:tcBorders>
            <w:shd w:val="clear" w:color="auto" w:fill="auto"/>
            <w:noWrap/>
            <w:vAlign w:val="center"/>
            <w:hideMark/>
          </w:tcPr>
          <w:p w14:paraId="1F748A5C"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-35,4</w:t>
            </w:r>
          </w:p>
        </w:tc>
        <w:tc>
          <w:tcPr>
            <w:tcW w:w="0" w:type="auto"/>
            <w:tcBorders>
              <w:top w:val="nil"/>
              <w:left w:val="nil"/>
              <w:bottom w:val="single" w:sz="4" w:space="0" w:color="auto"/>
              <w:right w:val="single" w:sz="4" w:space="0" w:color="auto"/>
            </w:tcBorders>
            <w:shd w:val="clear" w:color="auto" w:fill="auto"/>
            <w:noWrap/>
            <w:vAlign w:val="center"/>
            <w:hideMark/>
          </w:tcPr>
          <w:p w14:paraId="54ECAF3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-43,9</w:t>
            </w:r>
          </w:p>
        </w:tc>
        <w:tc>
          <w:tcPr>
            <w:tcW w:w="0" w:type="auto"/>
            <w:tcBorders>
              <w:top w:val="nil"/>
              <w:left w:val="nil"/>
              <w:bottom w:val="single" w:sz="4" w:space="0" w:color="auto"/>
              <w:right w:val="single" w:sz="4" w:space="0" w:color="auto"/>
            </w:tcBorders>
            <w:shd w:val="clear" w:color="auto" w:fill="auto"/>
            <w:noWrap/>
            <w:vAlign w:val="center"/>
            <w:hideMark/>
          </w:tcPr>
          <w:p w14:paraId="170B530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-52,5</w:t>
            </w:r>
          </w:p>
        </w:tc>
        <w:tc>
          <w:tcPr>
            <w:tcW w:w="0" w:type="auto"/>
            <w:tcBorders>
              <w:top w:val="nil"/>
              <w:left w:val="nil"/>
              <w:bottom w:val="single" w:sz="4" w:space="0" w:color="auto"/>
              <w:right w:val="single" w:sz="4" w:space="0" w:color="auto"/>
            </w:tcBorders>
            <w:shd w:val="clear" w:color="auto" w:fill="auto"/>
            <w:noWrap/>
            <w:vAlign w:val="center"/>
            <w:hideMark/>
          </w:tcPr>
          <w:p w14:paraId="287D49A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-61,5</w:t>
            </w:r>
          </w:p>
        </w:tc>
      </w:tr>
      <w:tr w:rsidR="00F04FA7" w:rsidRPr="006A3169" w14:paraId="638E9A9E"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2E27F8EA" w14:textId="77777777"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Partiju finansējuma iesaldēšana</w:t>
            </w:r>
          </w:p>
        </w:tc>
        <w:tc>
          <w:tcPr>
            <w:tcW w:w="664" w:type="dxa"/>
            <w:tcBorders>
              <w:top w:val="nil"/>
              <w:left w:val="nil"/>
              <w:bottom w:val="single" w:sz="4" w:space="0" w:color="auto"/>
              <w:right w:val="single" w:sz="4" w:space="0" w:color="auto"/>
            </w:tcBorders>
            <w:shd w:val="clear" w:color="auto" w:fill="auto"/>
            <w:noWrap/>
            <w:vAlign w:val="center"/>
            <w:hideMark/>
          </w:tcPr>
          <w:p w14:paraId="4E84F18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-0,4</w:t>
            </w:r>
          </w:p>
        </w:tc>
        <w:tc>
          <w:tcPr>
            <w:tcW w:w="0" w:type="auto"/>
            <w:tcBorders>
              <w:top w:val="nil"/>
              <w:left w:val="nil"/>
              <w:bottom w:val="single" w:sz="4" w:space="0" w:color="auto"/>
              <w:right w:val="single" w:sz="4" w:space="0" w:color="auto"/>
            </w:tcBorders>
            <w:shd w:val="clear" w:color="auto" w:fill="auto"/>
            <w:noWrap/>
            <w:vAlign w:val="center"/>
            <w:hideMark/>
          </w:tcPr>
          <w:p w14:paraId="5D330E6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0ABB718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14:paraId="53FE730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0,0</w:t>
            </w:r>
          </w:p>
        </w:tc>
      </w:tr>
      <w:tr w:rsidR="00F04FA7" w:rsidRPr="006A3169" w14:paraId="4A00C0D4"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center"/>
            <w:hideMark/>
          </w:tcPr>
          <w:p w14:paraId="70CE9482" w14:textId="025DC27C" w:rsidR="00F04FA7" w:rsidRPr="006A3169" w:rsidRDefault="00F04FA7" w:rsidP="000B7682">
            <w:pPr>
              <w:spacing w:after="0"/>
              <w:ind w:firstLine="0"/>
              <w:rPr>
                <w:rFonts w:eastAsia="Times New Roman" w:cs="Times New Roman"/>
                <w:sz w:val="18"/>
                <w:szCs w:val="18"/>
              </w:rPr>
            </w:pPr>
            <w:r w:rsidRPr="006A3169">
              <w:rPr>
                <w:rFonts w:eastAsia="Times New Roman" w:cs="Times New Roman"/>
                <w:sz w:val="18"/>
                <w:szCs w:val="18"/>
              </w:rPr>
              <w:t xml:space="preserve">Iemaksas </w:t>
            </w:r>
            <w:r w:rsidR="00422E4A" w:rsidRPr="006A3169">
              <w:rPr>
                <w:rFonts w:eastAsia="Times New Roman" w:cs="Times New Roman"/>
                <w:sz w:val="18"/>
                <w:szCs w:val="18"/>
              </w:rPr>
              <w:t>ES</w:t>
            </w:r>
            <w:r w:rsidRPr="006A3169">
              <w:rPr>
                <w:rFonts w:eastAsia="Times New Roman" w:cs="Times New Roman"/>
                <w:sz w:val="18"/>
                <w:szCs w:val="18"/>
              </w:rPr>
              <w:t xml:space="preserve"> budžetā</w:t>
            </w:r>
          </w:p>
        </w:tc>
        <w:tc>
          <w:tcPr>
            <w:tcW w:w="664" w:type="dxa"/>
            <w:tcBorders>
              <w:top w:val="nil"/>
              <w:left w:val="nil"/>
              <w:bottom w:val="single" w:sz="4" w:space="0" w:color="auto"/>
              <w:right w:val="single" w:sz="4" w:space="0" w:color="auto"/>
            </w:tcBorders>
            <w:shd w:val="clear" w:color="auto" w:fill="auto"/>
            <w:noWrap/>
            <w:vAlign w:val="center"/>
            <w:hideMark/>
          </w:tcPr>
          <w:p w14:paraId="40243BC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c>
          <w:tcPr>
            <w:tcW w:w="0" w:type="auto"/>
            <w:tcBorders>
              <w:top w:val="nil"/>
              <w:left w:val="nil"/>
              <w:bottom w:val="single" w:sz="4" w:space="0" w:color="auto"/>
              <w:right w:val="single" w:sz="4" w:space="0" w:color="auto"/>
            </w:tcBorders>
            <w:shd w:val="clear" w:color="auto" w:fill="auto"/>
            <w:noWrap/>
            <w:vAlign w:val="center"/>
            <w:hideMark/>
          </w:tcPr>
          <w:p w14:paraId="4915571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c>
          <w:tcPr>
            <w:tcW w:w="0" w:type="auto"/>
            <w:tcBorders>
              <w:top w:val="nil"/>
              <w:left w:val="nil"/>
              <w:bottom w:val="single" w:sz="4" w:space="0" w:color="auto"/>
              <w:right w:val="single" w:sz="4" w:space="0" w:color="auto"/>
            </w:tcBorders>
            <w:shd w:val="clear" w:color="auto" w:fill="auto"/>
            <w:noWrap/>
            <w:vAlign w:val="center"/>
            <w:hideMark/>
          </w:tcPr>
          <w:p w14:paraId="52BC0B57"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c>
          <w:tcPr>
            <w:tcW w:w="0" w:type="auto"/>
            <w:tcBorders>
              <w:top w:val="nil"/>
              <w:left w:val="nil"/>
              <w:bottom w:val="single" w:sz="4" w:space="0" w:color="auto"/>
              <w:right w:val="single" w:sz="4" w:space="0" w:color="auto"/>
            </w:tcBorders>
            <w:shd w:val="clear" w:color="auto" w:fill="auto"/>
            <w:noWrap/>
            <w:vAlign w:val="center"/>
            <w:hideMark/>
          </w:tcPr>
          <w:p w14:paraId="130BE299"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-20,0</w:t>
            </w:r>
          </w:p>
        </w:tc>
      </w:tr>
      <w:tr w:rsidR="00F04FA7" w:rsidRPr="006A3169" w14:paraId="27A214D2"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BDD6EE" w:themeFill="accent1" w:themeFillTint="66"/>
            <w:vAlign w:val="center"/>
            <w:hideMark/>
          </w:tcPr>
          <w:p w14:paraId="19F2562A" w14:textId="364B9704"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 xml:space="preserve">Prioritārie </w:t>
            </w:r>
            <w:r w:rsidR="002B6EFC" w:rsidRPr="006A3169">
              <w:rPr>
                <w:rFonts w:eastAsia="Times New Roman" w:cs="Times New Roman"/>
                <w:b/>
                <w:bCs/>
                <w:sz w:val="18"/>
                <w:szCs w:val="18"/>
              </w:rPr>
              <w:t xml:space="preserve">un fiskāli neitrālie </w:t>
            </w:r>
            <w:r w:rsidRPr="006A3169">
              <w:rPr>
                <w:rFonts w:eastAsia="Times New Roman" w:cs="Times New Roman"/>
                <w:b/>
                <w:bCs/>
                <w:sz w:val="18"/>
                <w:szCs w:val="18"/>
              </w:rPr>
              <w:t>pasākumi kopā</w:t>
            </w:r>
          </w:p>
        </w:tc>
        <w:tc>
          <w:tcPr>
            <w:tcW w:w="664" w:type="dxa"/>
            <w:tcBorders>
              <w:top w:val="nil"/>
              <w:left w:val="nil"/>
              <w:bottom w:val="single" w:sz="4" w:space="0" w:color="auto"/>
              <w:right w:val="single" w:sz="4" w:space="0" w:color="auto"/>
            </w:tcBorders>
            <w:shd w:val="clear" w:color="auto" w:fill="auto"/>
            <w:noWrap/>
            <w:vAlign w:val="center"/>
            <w:hideMark/>
          </w:tcPr>
          <w:p w14:paraId="00E0583D"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211,1</w:t>
            </w:r>
          </w:p>
        </w:tc>
        <w:tc>
          <w:tcPr>
            <w:tcW w:w="0" w:type="auto"/>
            <w:tcBorders>
              <w:top w:val="nil"/>
              <w:left w:val="nil"/>
              <w:bottom w:val="single" w:sz="4" w:space="0" w:color="auto"/>
              <w:right w:val="single" w:sz="4" w:space="0" w:color="auto"/>
            </w:tcBorders>
            <w:shd w:val="clear" w:color="auto" w:fill="auto"/>
            <w:noWrap/>
            <w:vAlign w:val="center"/>
            <w:hideMark/>
          </w:tcPr>
          <w:p w14:paraId="39A5BA8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127,6</w:t>
            </w:r>
          </w:p>
        </w:tc>
        <w:tc>
          <w:tcPr>
            <w:tcW w:w="0" w:type="auto"/>
            <w:tcBorders>
              <w:top w:val="nil"/>
              <w:left w:val="nil"/>
              <w:bottom w:val="single" w:sz="4" w:space="0" w:color="auto"/>
              <w:right w:val="single" w:sz="4" w:space="0" w:color="auto"/>
            </w:tcBorders>
            <w:shd w:val="clear" w:color="auto" w:fill="auto"/>
            <w:noWrap/>
            <w:vAlign w:val="center"/>
            <w:hideMark/>
          </w:tcPr>
          <w:p w14:paraId="25F0D65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155,2</w:t>
            </w:r>
          </w:p>
        </w:tc>
        <w:tc>
          <w:tcPr>
            <w:tcW w:w="0" w:type="auto"/>
            <w:tcBorders>
              <w:top w:val="nil"/>
              <w:left w:val="nil"/>
              <w:bottom w:val="single" w:sz="4" w:space="0" w:color="auto"/>
              <w:right w:val="single" w:sz="4" w:space="0" w:color="auto"/>
            </w:tcBorders>
            <w:shd w:val="clear" w:color="auto" w:fill="auto"/>
            <w:noWrap/>
            <w:vAlign w:val="center"/>
            <w:hideMark/>
          </w:tcPr>
          <w:p w14:paraId="235C5127"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-6,0</w:t>
            </w:r>
          </w:p>
        </w:tc>
      </w:tr>
      <w:tr w:rsidR="00F04FA7" w:rsidRPr="006A3169" w14:paraId="3C191E51" w14:textId="77777777" w:rsidTr="000B7682">
        <w:trPr>
          <w:trHeight w:val="20"/>
        </w:trPr>
        <w:tc>
          <w:tcPr>
            <w:tcW w:w="0" w:type="auto"/>
            <w:gridSpan w:val="5"/>
            <w:tcBorders>
              <w:top w:val="single" w:sz="4" w:space="0" w:color="auto"/>
              <w:left w:val="single" w:sz="4" w:space="0" w:color="auto"/>
              <w:bottom w:val="single" w:sz="4" w:space="0" w:color="auto"/>
              <w:right w:val="single" w:sz="4" w:space="0" w:color="000000"/>
            </w:tcBorders>
            <w:shd w:val="clear" w:color="auto" w:fill="FFF2CC" w:themeFill="accent4" w:themeFillTint="33"/>
            <w:noWrap/>
            <w:vAlign w:val="center"/>
            <w:hideMark/>
          </w:tcPr>
          <w:p w14:paraId="100572FD" w14:textId="77777777" w:rsidR="00F04FA7" w:rsidRPr="006A3169" w:rsidRDefault="00F04FA7" w:rsidP="000B7682">
            <w:pPr>
              <w:spacing w:after="0"/>
              <w:ind w:firstLine="0"/>
              <w:jc w:val="left"/>
              <w:rPr>
                <w:rFonts w:eastAsia="Times New Roman" w:cs="Times New Roman"/>
                <w:b/>
                <w:bCs/>
                <w:sz w:val="18"/>
                <w:szCs w:val="18"/>
              </w:rPr>
            </w:pPr>
            <w:r w:rsidRPr="006A3169">
              <w:rPr>
                <w:rFonts w:eastAsia="Times New Roman" w:cs="Times New Roman"/>
                <w:b/>
                <w:bCs/>
                <w:sz w:val="18"/>
                <w:szCs w:val="18"/>
              </w:rPr>
              <w:t>Nodokļu politikas pārskatīšana</w:t>
            </w:r>
          </w:p>
        </w:tc>
      </w:tr>
      <w:tr w:rsidR="00F04FA7" w:rsidRPr="006A3169" w14:paraId="3981E02E"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2AACCB11"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Minimālā darba alga paaugstināšana</w:t>
            </w:r>
          </w:p>
        </w:tc>
        <w:tc>
          <w:tcPr>
            <w:tcW w:w="664" w:type="dxa"/>
            <w:tcBorders>
              <w:top w:val="nil"/>
              <w:left w:val="nil"/>
              <w:bottom w:val="single" w:sz="4" w:space="0" w:color="auto"/>
              <w:right w:val="single" w:sz="4" w:space="0" w:color="auto"/>
            </w:tcBorders>
            <w:shd w:val="clear" w:color="auto" w:fill="auto"/>
            <w:noWrap/>
            <w:vAlign w:val="bottom"/>
            <w:hideMark/>
          </w:tcPr>
          <w:p w14:paraId="41F7032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1,3</w:t>
            </w:r>
          </w:p>
        </w:tc>
        <w:tc>
          <w:tcPr>
            <w:tcW w:w="0" w:type="auto"/>
            <w:tcBorders>
              <w:top w:val="nil"/>
              <w:left w:val="nil"/>
              <w:bottom w:val="single" w:sz="4" w:space="0" w:color="auto"/>
              <w:right w:val="single" w:sz="4" w:space="0" w:color="auto"/>
            </w:tcBorders>
            <w:shd w:val="clear" w:color="auto" w:fill="auto"/>
            <w:noWrap/>
            <w:vAlign w:val="bottom"/>
            <w:hideMark/>
          </w:tcPr>
          <w:p w14:paraId="3C409695"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4DD9A7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5,9</w:t>
            </w:r>
          </w:p>
        </w:tc>
        <w:tc>
          <w:tcPr>
            <w:tcW w:w="0" w:type="auto"/>
            <w:tcBorders>
              <w:top w:val="nil"/>
              <w:left w:val="nil"/>
              <w:bottom w:val="single" w:sz="4" w:space="0" w:color="auto"/>
              <w:right w:val="single" w:sz="4" w:space="0" w:color="auto"/>
            </w:tcBorders>
            <w:shd w:val="clear" w:color="auto" w:fill="auto"/>
            <w:noWrap/>
            <w:vAlign w:val="bottom"/>
            <w:hideMark/>
          </w:tcPr>
          <w:p w14:paraId="147A790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8,5</w:t>
            </w:r>
          </w:p>
        </w:tc>
      </w:tr>
      <w:tr w:rsidR="00F04FA7" w:rsidRPr="006A3169" w14:paraId="22DB1EB4"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468207FF"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Strādājošo vecāku pabalsts</w:t>
            </w:r>
          </w:p>
        </w:tc>
        <w:tc>
          <w:tcPr>
            <w:tcW w:w="664" w:type="dxa"/>
            <w:tcBorders>
              <w:top w:val="nil"/>
              <w:left w:val="nil"/>
              <w:bottom w:val="single" w:sz="4" w:space="0" w:color="auto"/>
              <w:right w:val="single" w:sz="4" w:space="0" w:color="auto"/>
            </w:tcBorders>
            <w:shd w:val="clear" w:color="auto" w:fill="auto"/>
            <w:noWrap/>
            <w:vAlign w:val="bottom"/>
            <w:hideMark/>
          </w:tcPr>
          <w:p w14:paraId="05799FD3"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7,7</w:t>
            </w:r>
          </w:p>
        </w:tc>
        <w:tc>
          <w:tcPr>
            <w:tcW w:w="0" w:type="auto"/>
            <w:tcBorders>
              <w:top w:val="nil"/>
              <w:left w:val="nil"/>
              <w:bottom w:val="single" w:sz="4" w:space="0" w:color="auto"/>
              <w:right w:val="single" w:sz="4" w:space="0" w:color="auto"/>
            </w:tcBorders>
            <w:shd w:val="clear" w:color="auto" w:fill="auto"/>
            <w:noWrap/>
            <w:vAlign w:val="bottom"/>
            <w:hideMark/>
          </w:tcPr>
          <w:p w14:paraId="25F5217E"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4812AF5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0FDCC0BF"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r>
      <w:tr w:rsidR="00F04FA7" w:rsidRPr="006A3169" w14:paraId="722B083B"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BDD6EE" w:themeFill="accent1" w:themeFillTint="66"/>
            <w:vAlign w:val="center"/>
            <w:hideMark/>
          </w:tcPr>
          <w:p w14:paraId="4B35A586"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Nodokļu politikas pārskatīšana kopā</w:t>
            </w:r>
          </w:p>
        </w:tc>
        <w:tc>
          <w:tcPr>
            <w:tcW w:w="664" w:type="dxa"/>
            <w:tcBorders>
              <w:top w:val="nil"/>
              <w:left w:val="nil"/>
              <w:bottom w:val="single" w:sz="4" w:space="0" w:color="auto"/>
              <w:right w:val="single" w:sz="4" w:space="0" w:color="auto"/>
            </w:tcBorders>
            <w:shd w:val="clear" w:color="auto" w:fill="auto"/>
            <w:noWrap/>
            <w:vAlign w:val="bottom"/>
            <w:hideMark/>
          </w:tcPr>
          <w:p w14:paraId="641BE01E"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9,0</w:t>
            </w:r>
          </w:p>
        </w:tc>
        <w:tc>
          <w:tcPr>
            <w:tcW w:w="0" w:type="auto"/>
            <w:tcBorders>
              <w:top w:val="nil"/>
              <w:left w:val="nil"/>
              <w:bottom w:val="single" w:sz="4" w:space="0" w:color="auto"/>
              <w:right w:val="single" w:sz="4" w:space="0" w:color="auto"/>
            </w:tcBorders>
            <w:shd w:val="clear" w:color="auto" w:fill="auto"/>
            <w:noWrap/>
            <w:vAlign w:val="bottom"/>
            <w:hideMark/>
          </w:tcPr>
          <w:p w14:paraId="1C71C1F5"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532A8C6D"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5,9</w:t>
            </w:r>
          </w:p>
        </w:tc>
        <w:tc>
          <w:tcPr>
            <w:tcW w:w="0" w:type="auto"/>
            <w:tcBorders>
              <w:top w:val="nil"/>
              <w:left w:val="nil"/>
              <w:bottom w:val="single" w:sz="4" w:space="0" w:color="auto"/>
              <w:right w:val="single" w:sz="4" w:space="0" w:color="auto"/>
            </w:tcBorders>
            <w:shd w:val="clear" w:color="auto" w:fill="auto"/>
            <w:noWrap/>
            <w:vAlign w:val="bottom"/>
            <w:hideMark/>
          </w:tcPr>
          <w:p w14:paraId="225A02D2"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8,5</w:t>
            </w:r>
          </w:p>
        </w:tc>
      </w:tr>
      <w:tr w:rsidR="00F04FA7" w:rsidRPr="006A3169" w14:paraId="0CE6ED9F" w14:textId="77777777" w:rsidTr="000B7682">
        <w:trPr>
          <w:trHeight w:val="20"/>
        </w:trPr>
        <w:tc>
          <w:tcPr>
            <w:tcW w:w="0" w:type="auto"/>
            <w:gridSpan w:val="5"/>
            <w:tcBorders>
              <w:top w:val="single" w:sz="4" w:space="0" w:color="auto"/>
              <w:left w:val="single" w:sz="4" w:space="0" w:color="auto"/>
              <w:bottom w:val="single" w:sz="4" w:space="0" w:color="auto"/>
              <w:right w:val="single" w:sz="4" w:space="0" w:color="000000"/>
            </w:tcBorders>
            <w:shd w:val="clear" w:color="auto" w:fill="FFF2CC" w:themeFill="accent4" w:themeFillTint="33"/>
            <w:noWrap/>
            <w:vAlign w:val="center"/>
            <w:hideMark/>
          </w:tcPr>
          <w:p w14:paraId="77E7A662" w14:textId="77777777" w:rsidR="00F04FA7" w:rsidRPr="006A3169" w:rsidRDefault="00F04FA7" w:rsidP="000B7682">
            <w:pPr>
              <w:spacing w:after="0"/>
              <w:ind w:firstLine="0"/>
              <w:jc w:val="left"/>
              <w:rPr>
                <w:rFonts w:eastAsia="Times New Roman" w:cs="Times New Roman"/>
                <w:b/>
                <w:bCs/>
                <w:sz w:val="18"/>
                <w:szCs w:val="18"/>
              </w:rPr>
            </w:pPr>
            <w:r w:rsidRPr="006A3169">
              <w:rPr>
                <w:rFonts w:eastAsia="Times New Roman" w:cs="Times New Roman"/>
                <w:b/>
                <w:bCs/>
                <w:sz w:val="18"/>
                <w:szCs w:val="18"/>
              </w:rPr>
              <w:t>Izdevumu pārskatīšana</w:t>
            </w:r>
          </w:p>
        </w:tc>
      </w:tr>
      <w:tr w:rsidR="00F04FA7" w:rsidRPr="006A3169" w14:paraId="0F8352FC"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1236B585"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Valsts atbalsts lauksaimniecībai un lauku attīstībai (finansēts no AS "Latvijas meži" dividendēm)</w:t>
            </w:r>
          </w:p>
        </w:tc>
        <w:tc>
          <w:tcPr>
            <w:tcW w:w="664" w:type="dxa"/>
            <w:tcBorders>
              <w:top w:val="nil"/>
              <w:left w:val="nil"/>
              <w:bottom w:val="single" w:sz="4" w:space="0" w:color="auto"/>
              <w:right w:val="single" w:sz="4" w:space="0" w:color="auto"/>
            </w:tcBorders>
            <w:shd w:val="clear" w:color="auto" w:fill="auto"/>
            <w:noWrap/>
            <w:vAlign w:val="bottom"/>
            <w:hideMark/>
          </w:tcPr>
          <w:p w14:paraId="57DE711A"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46,3</w:t>
            </w:r>
          </w:p>
        </w:tc>
        <w:tc>
          <w:tcPr>
            <w:tcW w:w="0" w:type="auto"/>
            <w:tcBorders>
              <w:top w:val="nil"/>
              <w:left w:val="nil"/>
              <w:bottom w:val="single" w:sz="4" w:space="0" w:color="auto"/>
              <w:right w:val="single" w:sz="4" w:space="0" w:color="auto"/>
            </w:tcBorders>
            <w:shd w:val="clear" w:color="auto" w:fill="auto"/>
            <w:noWrap/>
            <w:vAlign w:val="bottom"/>
            <w:hideMark/>
          </w:tcPr>
          <w:p w14:paraId="0BA5DEB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755DFE60"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31F4984B"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 </w:t>
            </w:r>
          </w:p>
        </w:tc>
      </w:tr>
      <w:tr w:rsidR="00F04FA7" w:rsidRPr="006A3169" w14:paraId="7E8CA992"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3C1349F1"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FM un VID resora izdevumi (finansēti no ieņēmumiem no ēnu apkarošanas)</w:t>
            </w:r>
          </w:p>
        </w:tc>
        <w:tc>
          <w:tcPr>
            <w:tcW w:w="664" w:type="dxa"/>
            <w:tcBorders>
              <w:top w:val="nil"/>
              <w:left w:val="nil"/>
              <w:bottom w:val="single" w:sz="4" w:space="0" w:color="auto"/>
              <w:right w:val="single" w:sz="4" w:space="0" w:color="auto"/>
            </w:tcBorders>
            <w:shd w:val="clear" w:color="auto" w:fill="auto"/>
            <w:noWrap/>
            <w:vAlign w:val="center"/>
            <w:hideMark/>
          </w:tcPr>
          <w:p w14:paraId="4B086576"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6,5</w:t>
            </w:r>
          </w:p>
        </w:tc>
        <w:tc>
          <w:tcPr>
            <w:tcW w:w="0" w:type="auto"/>
            <w:tcBorders>
              <w:top w:val="nil"/>
              <w:left w:val="nil"/>
              <w:bottom w:val="single" w:sz="4" w:space="0" w:color="auto"/>
              <w:right w:val="single" w:sz="4" w:space="0" w:color="auto"/>
            </w:tcBorders>
            <w:shd w:val="clear" w:color="auto" w:fill="auto"/>
            <w:noWrap/>
            <w:vAlign w:val="center"/>
            <w:hideMark/>
          </w:tcPr>
          <w:p w14:paraId="1C29419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16,2</w:t>
            </w:r>
          </w:p>
        </w:tc>
        <w:tc>
          <w:tcPr>
            <w:tcW w:w="0" w:type="auto"/>
            <w:tcBorders>
              <w:top w:val="nil"/>
              <w:left w:val="nil"/>
              <w:bottom w:val="single" w:sz="4" w:space="0" w:color="auto"/>
              <w:right w:val="single" w:sz="4" w:space="0" w:color="auto"/>
            </w:tcBorders>
            <w:shd w:val="clear" w:color="auto" w:fill="auto"/>
            <w:noWrap/>
            <w:vAlign w:val="center"/>
            <w:hideMark/>
          </w:tcPr>
          <w:p w14:paraId="75C578D8"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17,9</w:t>
            </w:r>
          </w:p>
        </w:tc>
        <w:tc>
          <w:tcPr>
            <w:tcW w:w="0" w:type="auto"/>
            <w:tcBorders>
              <w:top w:val="nil"/>
              <w:left w:val="nil"/>
              <w:bottom w:val="single" w:sz="4" w:space="0" w:color="auto"/>
              <w:right w:val="single" w:sz="4" w:space="0" w:color="auto"/>
            </w:tcBorders>
            <w:shd w:val="clear" w:color="auto" w:fill="auto"/>
            <w:noWrap/>
            <w:vAlign w:val="center"/>
            <w:hideMark/>
          </w:tcPr>
          <w:p w14:paraId="33B9EB82"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17,9</w:t>
            </w:r>
          </w:p>
        </w:tc>
      </w:tr>
      <w:tr w:rsidR="00F04FA7" w:rsidRPr="006A3169" w14:paraId="222EC144"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auto"/>
            <w:noWrap/>
            <w:vAlign w:val="bottom"/>
            <w:hideMark/>
          </w:tcPr>
          <w:p w14:paraId="755253F3" w14:textId="77777777" w:rsidR="00F04FA7" w:rsidRPr="006A3169" w:rsidRDefault="00F04FA7" w:rsidP="000B7682">
            <w:pPr>
              <w:spacing w:after="0"/>
              <w:ind w:firstLine="0"/>
              <w:jc w:val="left"/>
              <w:rPr>
                <w:rFonts w:eastAsia="Times New Roman" w:cs="Times New Roman"/>
                <w:sz w:val="18"/>
                <w:szCs w:val="18"/>
              </w:rPr>
            </w:pPr>
            <w:r w:rsidRPr="006A3169">
              <w:rPr>
                <w:rFonts w:eastAsia="Times New Roman" w:cs="Times New Roman"/>
                <w:sz w:val="18"/>
                <w:szCs w:val="18"/>
              </w:rPr>
              <w:t>Citi izdevumi (finansēti no nodevām)</w:t>
            </w:r>
          </w:p>
        </w:tc>
        <w:tc>
          <w:tcPr>
            <w:tcW w:w="664" w:type="dxa"/>
            <w:tcBorders>
              <w:top w:val="nil"/>
              <w:left w:val="nil"/>
              <w:bottom w:val="single" w:sz="4" w:space="0" w:color="auto"/>
              <w:right w:val="single" w:sz="4" w:space="0" w:color="auto"/>
            </w:tcBorders>
            <w:shd w:val="clear" w:color="auto" w:fill="auto"/>
            <w:noWrap/>
            <w:vAlign w:val="bottom"/>
            <w:hideMark/>
          </w:tcPr>
          <w:p w14:paraId="726B92A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8,5</w:t>
            </w:r>
          </w:p>
        </w:tc>
        <w:tc>
          <w:tcPr>
            <w:tcW w:w="0" w:type="auto"/>
            <w:tcBorders>
              <w:top w:val="nil"/>
              <w:left w:val="nil"/>
              <w:bottom w:val="single" w:sz="4" w:space="0" w:color="auto"/>
              <w:right w:val="single" w:sz="4" w:space="0" w:color="auto"/>
            </w:tcBorders>
            <w:shd w:val="clear" w:color="auto" w:fill="auto"/>
            <w:noWrap/>
            <w:vAlign w:val="bottom"/>
            <w:hideMark/>
          </w:tcPr>
          <w:p w14:paraId="23E6EB5D"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8,8</w:t>
            </w:r>
          </w:p>
        </w:tc>
        <w:tc>
          <w:tcPr>
            <w:tcW w:w="0" w:type="auto"/>
            <w:tcBorders>
              <w:top w:val="nil"/>
              <w:left w:val="nil"/>
              <w:bottom w:val="single" w:sz="4" w:space="0" w:color="auto"/>
              <w:right w:val="single" w:sz="4" w:space="0" w:color="auto"/>
            </w:tcBorders>
            <w:shd w:val="clear" w:color="auto" w:fill="auto"/>
            <w:noWrap/>
            <w:vAlign w:val="bottom"/>
            <w:hideMark/>
          </w:tcPr>
          <w:p w14:paraId="6CE013A4"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8,8</w:t>
            </w:r>
          </w:p>
        </w:tc>
        <w:tc>
          <w:tcPr>
            <w:tcW w:w="0" w:type="auto"/>
            <w:tcBorders>
              <w:top w:val="nil"/>
              <w:left w:val="nil"/>
              <w:bottom w:val="single" w:sz="4" w:space="0" w:color="auto"/>
              <w:right w:val="single" w:sz="4" w:space="0" w:color="auto"/>
            </w:tcBorders>
            <w:shd w:val="clear" w:color="auto" w:fill="auto"/>
            <w:noWrap/>
            <w:vAlign w:val="bottom"/>
            <w:hideMark/>
          </w:tcPr>
          <w:p w14:paraId="6B5E7801" w14:textId="77777777" w:rsidR="00F04FA7" w:rsidRPr="006A3169" w:rsidRDefault="00F04FA7" w:rsidP="000B7682">
            <w:pPr>
              <w:spacing w:after="0"/>
              <w:ind w:firstLine="0"/>
              <w:jc w:val="center"/>
              <w:rPr>
                <w:rFonts w:eastAsia="Times New Roman" w:cs="Times New Roman"/>
                <w:sz w:val="18"/>
                <w:szCs w:val="18"/>
              </w:rPr>
            </w:pPr>
            <w:r w:rsidRPr="006A3169">
              <w:rPr>
                <w:rFonts w:eastAsia="Times New Roman" w:cs="Times New Roman"/>
                <w:sz w:val="18"/>
                <w:szCs w:val="18"/>
              </w:rPr>
              <w:t>8,8</w:t>
            </w:r>
          </w:p>
        </w:tc>
      </w:tr>
      <w:tr w:rsidR="00F04FA7" w:rsidRPr="006A3169" w14:paraId="28785D5B" w14:textId="77777777" w:rsidTr="003602A1">
        <w:trPr>
          <w:trHeight w:val="20"/>
        </w:trPr>
        <w:tc>
          <w:tcPr>
            <w:tcW w:w="6354" w:type="dxa"/>
            <w:tcBorders>
              <w:top w:val="nil"/>
              <w:left w:val="single" w:sz="4" w:space="0" w:color="auto"/>
              <w:bottom w:val="single" w:sz="4" w:space="0" w:color="auto"/>
              <w:right w:val="single" w:sz="4" w:space="0" w:color="auto"/>
            </w:tcBorders>
            <w:shd w:val="clear" w:color="auto" w:fill="BDD6EE" w:themeFill="accent1" w:themeFillTint="66"/>
            <w:vAlign w:val="center"/>
            <w:hideMark/>
          </w:tcPr>
          <w:p w14:paraId="76B90DC4"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Izdevumu pārskatīšana kopā</w:t>
            </w:r>
          </w:p>
        </w:tc>
        <w:tc>
          <w:tcPr>
            <w:tcW w:w="664" w:type="dxa"/>
            <w:tcBorders>
              <w:top w:val="nil"/>
              <w:left w:val="nil"/>
              <w:bottom w:val="single" w:sz="4" w:space="0" w:color="auto"/>
              <w:right w:val="single" w:sz="4" w:space="0" w:color="auto"/>
            </w:tcBorders>
            <w:shd w:val="clear" w:color="auto" w:fill="auto"/>
            <w:noWrap/>
            <w:vAlign w:val="bottom"/>
            <w:hideMark/>
          </w:tcPr>
          <w:p w14:paraId="3451FDA8"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61,3</w:t>
            </w:r>
          </w:p>
        </w:tc>
        <w:tc>
          <w:tcPr>
            <w:tcW w:w="0" w:type="auto"/>
            <w:tcBorders>
              <w:top w:val="nil"/>
              <w:left w:val="nil"/>
              <w:bottom w:val="single" w:sz="4" w:space="0" w:color="auto"/>
              <w:right w:val="single" w:sz="4" w:space="0" w:color="auto"/>
            </w:tcBorders>
            <w:shd w:val="clear" w:color="auto" w:fill="auto"/>
            <w:noWrap/>
            <w:vAlign w:val="bottom"/>
            <w:hideMark/>
          </w:tcPr>
          <w:p w14:paraId="487CEDC6"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25,0</w:t>
            </w:r>
          </w:p>
        </w:tc>
        <w:tc>
          <w:tcPr>
            <w:tcW w:w="0" w:type="auto"/>
            <w:tcBorders>
              <w:top w:val="nil"/>
              <w:left w:val="nil"/>
              <w:bottom w:val="single" w:sz="4" w:space="0" w:color="auto"/>
              <w:right w:val="single" w:sz="4" w:space="0" w:color="auto"/>
            </w:tcBorders>
            <w:shd w:val="clear" w:color="auto" w:fill="auto"/>
            <w:noWrap/>
            <w:vAlign w:val="bottom"/>
            <w:hideMark/>
          </w:tcPr>
          <w:p w14:paraId="7BBA934D"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26,7</w:t>
            </w:r>
          </w:p>
        </w:tc>
        <w:tc>
          <w:tcPr>
            <w:tcW w:w="0" w:type="auto"/>
            <w:tcBorders>
              <w:top w:val="nil"/>
              <w:left w:val="nil"/>
              <w:bottom w:val="single" w:sz="4" w:space="0" w:color="auto"/>
              <w:right w:val="single" w:sz="4" w:space="0" w:color="auto"/>
            </w:tcBorders>
            <w:shd w:val="clear" w:color="auto" w:fill="auto"/>
            <w:noWrap/>
            <w:vAlign w:val="bottom"/>
            <w:hideMark/>
          </w:tcPr>
          <w:p w14:paraId="3FB1F107"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26,7</w:t>
            </w:r>
          </w:p>
        </w:tc>
      </w:tr>
      <w:tr w:rsidR="00F04FA7" w:rsidRPr="006A3169" w14:paraId="2D6B3F68" w14:textId="77777777" w:rsidTr="003602A1">
        <w:trPr>
          <w:trHeight w:val="20"/>
        </w:trPr>
        <w:tc>
          <w:tcPr>
            <w:tcW w:w="6354" w:type="dxa"/>
            <w:tcBorders>
              <w:top w:val="nil"/>
              <w:left w:val="single" w:sz="4" w:space="0" w:color="auto"/>
              <w:bottom w:val="nil"/>
              <w:right w:val="single" w:sz="4" w:space="0" w:color="auto"/>
            </w:tcBorders>
            <w:shd w:val="clear" w:color="auto" w:fill="FFF2CC" w:themeFill="accent4" w:themeFillTint="33"/>
            <w:noWrap/>
            <w:vAlign w:val="bottom"/>
            <w:hideMark/>
          </w:tcPr>
          <w:p w14:paraId="2CA22E4C" w14:textId="77777777" w:rsidR="00F04FA7" w:rsidRPr="006A3169" w:rsidRDefault="00F04FA7" w:rsidP="000B7682">
            <w:pPr>
              <w:spacing w:after="0"/>
              <w:ind w:firstLine="0"/>
              <w:jc w:val="left"/>
              <w:rPr>
                <w:rFonts w:eastAsia="Times New Roman" w:cs="Times New Roman"/>
                <w:b/>
                <w:bCs/>
                <w:sz w:val="18"/>
                <w:szCs w:val="18"/>
              </w:rPr>
            </w:pPr>
            <w:r w:rsidRPr="006A3169">
              <w:rPr>
                <w:rFonts w:eastAsia="Times New Roman" w:cs="Times New Roman"/>
                <w:b/>
                <w:bCs/>
                <w:sz w:val="18"/>
                <w:szCs w:val="18"/>
              </w:rPr>
              <w:t>Citi pasākumi</w:t>
            </w:r>
          </w:p>
        </w:tc>
        <w:tc>
          <w:tcPr>
            <w:tcW w:w="664" w:type="dxa"/>
            <w:tcBorders>
              <w:top w:val="nil"/>
              <w:left w:val="nil"/>
              <w:bottom w:val="nil"/>
              <w:right w:val="single" w:sz="4" w:space="0" w:color="auto"/>
            </w:tcBorders>
            <w:shd w:val="clear" w:color="auto" w:fill="auto"/>
            <w:noWrap/>
            <w:vAlign w:val="bottom"/>
            <w:hideMark/>
          </w:tcPr>
          <w:p w14:paraId="64D6E2F6" w14:textId="26D64EC4" w:rsidR="00F04FA7" w:rsidRPr="006A3169" w:rsidRDefault="006D4A79"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9</w:t>
            </w:r>
            <w:r w:rsidR="00F04FA7" w:rsidRPr="006A3169">
              <w:rPr>
                <w:rFonts w:eastAsia="Times New Roman" w:cs="Times New Roman"/>
                <w:b/>
                <w:bCs/>
                <w:sz w:val="18"/>
                <w:szCs w:val="18"/>
              </w:rPr>
              <w:t>,7</w:t>
            </w:r>
          </w:p>
        </w:tc>
        <w:tc>
          <w:tcPr>
            <w:tcW w:w="0" w:type="auto"/>
            <w:tcBorders>
              <w:top w:val="nil"/>
              <w:left w:val="nil"/>
              <w:bottom w:val="nil"/>
              <w:right w:val="single" w:sz="4" w:space="0" w:color="auto"/>
            </w:tcBorders>
            <w:shd w:val="clear" w:color="auto" w:fill="auto"/>
            <w:noWrap/>
            <w:vAlign w:val="bottom"/>
            <w:hideMark/>
          </w:tcPr>
          <w:p w14:paraId="22CDF0E7"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10,7</w:t>
            </w:r>
          </w:p>
        </w:tc>
        <w:tc>
          <w:tcPr>
            <w:tcW w:w="0" w:type="auto"/>
            <w:tcBorders>
              <w:top w:val="nil"/>
              <w:left w:val="nil"/>
              <w:bottom w:val="nil"/>
              <w:right w:val="single" w:sz="4" w:space="0" w:color="auto"/>
            </w:tcBorders>
            <w:shd w:val="clear" w:color="auto" w:fill="auto"/>
            <w:noWrap/>
            <w:vAlign w:val="bottom"/>
            <w:hideMark/>
          </w:tcPr>
          <w:p w14:paraId="519F9938"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6,0</w:t>
            </w:r>
          </w:p>
        </w:tc>
        <w:tc>
          <w:tcPr>
            <w:tcW w:w="0" w:type="auto"/>
            <w:tcBorders>
              <w:top w:val="nil"/>
              <w:left w:val="nil"/>
              <w:bottom w:val="nil"/>
              <w:right w:val="single" w:sz="4" w:space="0" w:color="auto"/>
            </w:tcBorders>
            <w:shd w:val="clear" w:color="auto" w:fill="auto"/>
            <w:noWrap/>
            <w:vAlign w:val="bottom"/>
            <w:hideMark/>
          </w:tcPr>
          <w:p w14:paraId="72C5E83C"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4,8</w:t>
            </w:r>
          </w:p>
        </w:tc>
      </w:tr>
      <w:tr w:rsidR="00F04FA7" w:rsidRPr="006A3169" w14:paraId="1B711390" w14:textId="77777777" w:rsidTr="003602A1">
        <w:trPr>
          <w:trHeight w:val="20"/>
        </w:trPr>
        <w:tc>
          <w:tcPr>
            <w:tcW w:w="6354" w:type="dxa"/>
            <w:tcBorders>
              <w:top w:val="single" w:sz="8" w:space="0" w:color="auto"/>
              <w:left w:val="single" w:sz="8" w:space="0" w:color="auto"/>
              <w:bottom w:val="single" w:sz="8" w:space="0" w:color="auto"/>
              <w:right w:val="single" w:sz="4" w:space="0" w:color="auto"/>
            </w:tcBorders>
            <w:shd w:val="clear" w:color="auto" w:fill="BDD6EE" w:themeFill="accent1" w:themeFillTint="66"/>
            <w:noWrap/>
            <w:vAlign w:val="bottom"/>
            <w:hideMark/>
          </w:tcPr>
          <w:p w14:paraId="066C4B22" w14:textId="77777777" w:rsidR="00F04FA7" w:rsidRPr="006A3169" w:rsidRDefault="00F04FA7" w:rsidP="000B7682">
            <w:pPr>
              <w:spacing w:after="0"/>
              <w:ind w:firstLine="0"/>
              <w:jc w:val="right"/>
              <w:rPr>
                <w:rFonts w:eastAsia="Times New Roman" w:cs="Times New Roman"/>
                <w:b/>
                <w:bCs/>
                <w:sz w:val="18"/>
                <w:szCs w:val="18"/>
              </w:rPr>
            </w:pPr>
            <w:r w:rsidRPr="006A3169">
              <w:rPr>
                <w:rFonts w:eastAsia="Times New Roman" w:cs="Times New Roman"/>
                <w:b/>
                <w:bCs/>
                <w:sz w:val="18"/>
                <w:szCs w:val="18"/>
              </w:rPr>
              <w:t>Izdevumu pasākumi kopā</w:t>
            </w:r>
          </w:p>
        </w:tc>
        <w:tc>
          <w:tcPr>
            <w:tcW w:w="664" w:type="dxa"/>
            <w:tcBorders>
              <w:top w:val="single" w:sz="8" w:space="0" w:color="auto"/>
              <w:left w:val="nil"/>
              <w:bottom w:val="single" w:sz="8" w:space="0" w:color="auto"/>
              <w:right w:val="single" w:sz="4" w:space="0" w:color="auto"/>
            </w:tcBorders>
            <w:shd w:val="clear" w:color="auto" w:fill="auto"/>
            <w:noWrap/>
            <w:vAlign w:val="bottom"/>
            <w:hideMark/>
          </w:tcPr>
          <w:p w14:paraId="038AFC5F"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286,1</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060071A7"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166,8</w:t>
            </w:r>
          </w:p>
        </w:tc>
        <w:tc>
          <w:tcPr>
            <w:tcW w:w="0" w:type="auto"/>
            <w:tcBorders>
              <w:top w:val="single" w:sz="8" w:space="0" w:color="auto"/>
              <w:left w:val="nil"/>
              <w:bottom w:val="single" w:sz="8" w:space="0" w:color="auto"/>
              <w:right w:val="single" w:sz="4" w:space="0" w:color="auto"/>
            </w:tcBorders>
            <w:shd w:val="clear" w:color="auto" w:fill="auto"/>
            <w:noWrap/>
            <w:vAlign w:val="bottom"/>
            <w:hideMark/>
          </w:tcPr>
          <w:p w14:paraId="5A14BC6D"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193,7</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688D9A9B" w14:textId="77777777" w:rsidR="00F04FA7" w:rsidRPr="006A3169" w:rsidRDefault="00F04FA7" w:rsidP="000B7682">
            <w:pPr>
              <w:spacing w:after="0"/>
              <w:ind w:firstLine="0"/>
              <w:jc w:val="center"/>
              <w:rPr>
                <w:rFonts w:eastAsia="Times New Roman" w:cs="Times New Roman"/>
                <w:b/>
                <w:bCs/>
                <w:sz w:val="18"/>
                <w:szCs w:val="18"/>
              </w:rPr>
            </w:pPr>
            <w:r w:rsidRPr="006A3169">
              <w:rPr>
                <w:rFonts w:eastAsia="Times New Roman" w:cs="Times New Roman"/>
                <w:b/>
                <w:bCs/>
                <w:sz w:val="18"/>
                <w:szCs w:val="18"/>
              </w:rPr>
              <w:t>34,0</w:t>
            </w:r>
          </w:p>
        </w:tc>
      </w:tr>
    </w:tbl>
    <w:p w14:paraId="715991FD" w14:textId="77777777" w:rsidR="00583BD0" w:rsidRPr="00FD1578" w:rsidRDefault="00583BD0" w:rsidP="008349F0">
      <w:pPr>
        <w:widowControl w:val="0"/>
        <w:spacing w:after="0"/>
        <w:ind w:firstLine="0"/>
        <w:rPr>
          <w:rFonts w:eastAsia="Times New Roman" w:cs="Times New Roman"/>
          <w:b/>
          <w:color w:val="000000"/>
          <w:sz w:val="28"/>
          <w:highlight w:val="lightGray"/>
        </w:rPr>
      </w:pPr>
    </w:p>
    <w:p w14:paraId="039FD400" w14:textId="6CAD7DD5" w:rsidR="00CB7E29" w:rsidRPr="00F62287" w:rsidRDefault="00CB7E29" w:rsidP="008349F0">
      <w:pPr>
        <w:widowControl w:val="0"/>
        <w:spacing w:after="240"/>
        <w:jc w:val="center"/>
        <w:rPr>
          <w:rFonts w:eastAsia="Times New Roman" w:cs="Times New Roman"/>
          <w:b/>
          <w:color w:val="000000"/>
          <w:sz w:val="28"/>
        </w:rPr>
      </w:pPr>
      <w:proofErr w:type="spellStart"/>
      <w:r w:rsidRPr="00F62287">
        <w:rPr>
          <w:rFonts w:eastAsia="Times New Roman" w:cs="Times New Roman"/>
          <w:b/>
          <w:color w:val="000000"/>
          <w:sz w:val="28"/>
        </w:rPr>
        <w:t>Diskrecionāro</w:t>
      </w:r>
      <w:proofErr w:type="spellEnd"/>
      <w:r w:rsidRPr="00F62287">
        <w:rPr>
          <w:rFonts w:eastAsia="Times New Roman" w:cs="Times New Roman"/>
          <w:b/>
          <w:color w:val="000000"/>
          <w:sz w:val="28"/>
        </w:rPr>
        <w:t xml:space="preserve"> politikas lēmumu ietekme uz publisko finanšu ilgtermiņa stabilitāti</w:t>
      </w:r>
    </w:p>
    <w:p w14:paraId="2594C7BD" w14:textId="77777777" w:rsidR="00CB7E29" w:rsidRPr="00F62287" w:rsidRDefault="00CB7E29" w:rsidP="008349F0">
      <w:pPr>
        <w:widowControl w:val="0"/>
        <w:rPr>
          <w:rFonts w:ascii="Calibri" w:eastAsia="Calibri" w:hAnsi="Calibri" w:cs="Calibri"/>
          <w:sz w:val="22"/>
        </w:rPr>
      </w:pPr>
      <w:r w:rsidRPr="00F62287">
        <w:rPr>
          <w:rFonts w:eastAsia="Times New Roman" w:cs="Times New Roman"/>
        </w:rPr>
        <w:t xml:space="preserve">Saskaņā ar FDL fiskālās politikas īstenošanā tiek ievērots ilgtspējīgas fiskālās politikas princips – fiskālās politikas mērķis ir nodrošināt, lai vispārējās valdības parāda apjoms neuzliek nesamērīgu slogu ekonomikai, bet veicina tās attīstību ilgtermiņā. Savukārt, saskaņā ar Direktīvas 2011/85/ES </w:t>
      </w:r>
      <w:r w:rsidRPr="00F62287">
        <w:rPr>
          <w:rFonts w:eastAsia="Times New Roman" w:cs="Times New Roman"/>
          <w:color w:val="000000"/>
        </w:rPr>
        <w:t xml:space="preserve">9. panta otrā punkta d) apakšpunktu, dalībvalstīm ir jāveic izvērtējums par to, kā paredzētie politikas lēmumi, ņemot vērā to tiešu ilgtermiņa ietekmi uz vispārējās valdības finansēm, varētu iespaidot publisko finanšu ilgtermiņa stabilitāti. </w:t>
      </w:r>
    </w:p>
    <w:p w14:paraId="57BF58ED" w14:textId="21E5F683" w:rsidR="00CB7E29" w:rsidRPr="00F62287" w:rsidRDefault="00CB7E29" w:rsidP="008349F0">
      <w:pPr>
        <w:widowControl w:val="0"/>
        <w:rPr>
          <w:rFonts w:eastAsia="Times New Roman" w:cs="Times New Roman"/>
          <w:color w:val="000000"/>
        </w:rPr>
      </w:pPr>
      <w:r w:rsidRPr="00F62287">
        <w:rPr>
          <w:rFonts w:eastAsia="Times New Roman" w:cs="Times New Roman"/>
          <w:color w:val="000000"/>
        </w:rPr>
        <w:t>Līdz ar to</w:t>
      </w:r>
      <w:r w:rsidR="005735FB" w:rsidRPr="00F62287">
        <w:rPr>
          <w:rFonts w:eastAsia="Times New Roman" w:cs="Times New Roman"/>
          <w:color w:val="000000"/>
        </w:rPr>
        <w:t xml:space="preserve"> </w:t>
      </w:r>
      <w:r w:rsidRPr="00F62287">
        <w:rPr>
          <w:rFonts w:eastAsia="Times New Roman" w:cs="Times New Roman"/>
          <w:color w:val="000000"/>
        </w:rPr>
        <w:t xml:space="preserve">šajā sadaļā tiek veikts ilgtspējas novērtējums </w:t>
      </w:r>
      <w:r w:rsidR="007C7CDE" w:rsidRPr="00F62287">
        <w:rPr>
          <w:rFonts w:eastAsia="Times New Roman" w:cs="Times New Roman"/>
          <w:color w:val="000000"/>
        </w:rPr>
        <w:t>MK</w:t>
      </w:r>
      <w:r w:rsidRPr="00F62287">
        <w:rPr>
          <w:rFonts w:eastAsia="Times New Roman" w:cs="Times New Roman"/>
          <w:color w:val="000000"/>
        </w:rPr>
        <w:t xml:space="preserve"> pieņemtajiem lēmumiem, analizējot vai jauno politikas pasākumu tiešā ietekme nerada riskus publisko finanšu ilgtermiņa stabilitātei. </w:t>
      </w:r>
    </w:p>
    <w:p w14:paraId="62C36FEF" w14:textId="0E2EC294" w:rsidR="00CB7E29" w:rsidRPr="00F62287" w:rsidRDefault="00CB7E29" w:rsidP="008349F0">
      <w:pPr>
        <w:widowControl w:val="0"/>
        <w:rPr>
          <w:rFonts w:eastAsia="Times New Roman" w:cs="Times New Roman"/>
          <w:color w:val="000000"/>
        </w:rPr>
      </w:pPr>
      <w:r w:rsidRPr="00F62287">
        <w:rPr>
          <w:rFonts w:eastAsia="Times New Roman" w:cs="Times New Roman"/>
          <w:color w:val="000000"/>
        </w:rPr>
        <w:t xml:space="preserve">Analizēti tiek tikai tādi </w:t>
      </w:r>
      <w:r w:rsidR="007C7CDE" w:rsidRPr="00F62287">
        <w:rPr>
          <w:rFonts w:eastAsia="Times New Roman" w:cs="Times New Roman"/>
          <w:color w:val="000000"/>
        </w:rPr>
        <w:t>MK</w:t>
      </w:r>
      <w:r w:rsidRPr="00F62287">
        <w:rPr>
          <w:rFonts w:eastAsia="Times New Roman" w:cs="Times New Roman"/>
          <w:color w:val="000000"/>
        </w:rPr>
        <w:t xml:space="preserve"> pieņemtie politikas pasākumi, kam ir tieša negatīva ietekme uz vispārējās valdības budžeta bilanci, proti, ieņēmumus samazinoši pasākumi un izdevumus </w:t>
      </w:r>
      <w:r w:rsidRPr="00F62287">
        <w:rPr>
          <w:rFonts w:eastAsia="Times New Roman" w:cs="Times New Roman"/>
          <w:color w:val="000000"/>
        </w:rPr>
        <w:lastRenderedPageBreak/>
        <w:t xml:space="preserve">palielinoši pasākumi. Tāpat tiek pieņemts, ka ilgtermiņa ietekme ir tikai tādiem pasākumiem, kam ir bāzes efekts uz turpmākajiem gadiem. Ja politikas pasākums ir ar bāzes efektu, kam fiskālās ietekmes apmērs nominālā izteiksmē ir laikā nemainīgs, politikas pasākums nerada draudus ilgtermiņa publisko finanšu stabilitātei, jo pie augoša reālā iekšzemes kopprodukta un cenu līmeņa pieauguma, politikas pasākuma tiešā fiskālā ietekme procentos pret </w:t>
      </w:r>
      <w:r w:rsidR="007C7CDE" w:rsidRPr="00F62287">
        <w:rPr>
          <w:rFonts w:eastAsia="Times New Roman" w:cs="Times New Roman"/>
          <w:color w:val="000000"/>
        </w:rPr>
        <w:t>IKP</w:t>
      </w:r>
      <w:r w:rsidRPr="00F62287">
        <w:rPr>
          <w:rFonts w:eastAsia="Times New Roman" w:cs="Times New Roman"/>
          <w:color w:val="000000"/>
        </w:rPr>
        <w:t xml:space="preserve"> laikā samazinās. Attiecīgi kritērijs tam, vai jaunā politikas prioritāte rada riskus publisko finanšu ilgtspējai, ir pieņemtā politikas pasākuma fiskālās ietekmes pret </w:t>
      </w:r>
      <w:r w:rsidR="007C7CDE" w:rsidRPr="00F62287">
        <w:rPr>
          <w:rFonts w:eastAsia="Times New Roman" w:cs="Times New Roman"/>
          <w:color w:val="000000"/>
        </w:rPr>
        <w:t>IKP</w:t>
      </w:r>
      <w:r w:rsidRPr="00F62287">
        <w:rPr>
          <w:rFonts w:eastAsia="Times New Roman" w:cs="Times New Roman"/>
          <w:color w:val="000000"/>
        </w:rPr>
        <w:t xml:space="preserve"> dinamika.</w:t>
      </w:r>
    </w:p>
    <w:p w14:paraId="4A977E92" w14:textId="0C515198" w:rsidR="0004655C" w:rsidRPr="00F62287" w:rsidRDefault="00CB7E29" w:rsidP="008349F0">
      <w:pPr>
        <w:widowControl w:val="0"/>
        <w:rPr>
          <w:rFonts w:eastAsia="Times New Roman" w:cs="Times New Roman"/>
          <w:b/>
          <w:szCs w:val="28"/>
        </w:rPr>
      </w:pPr>
      <w:r w:rsidRPr="00F62287">
        <w:rPr>
          <w:rFonts w:eastAsia="Times New Roman" w:cs="Times New Roman"/>
          <w:color w:val="000000"/>
        </w:rPr>
        <w:t xml:space="preserve">Izvērtējot šī vidēja termiņa budžeta ietvara izstrādes laikā pieņemtos </w:t>
      </w:r>
      <w:r w:rsidR="007C7CDE" w:rsidRPr="00F62287">
        <w:rPr>
          <w:rFonts w:eastAsia="Times New Roman" w:cs="Times New Roman"/>
          <w:color w:val="000000"/>
        </w:rPr>
        <w:t>MK</w:t>
      </w:r>
      <w:r w:rsidRPr="00F62287">
        <w:rPr>
          <w:rFonts w:eastAsia="Times New Roman" w:cs="Times New Roman"/>
          <w:color w:val="000000"/>
        </w:rPr>
        <w:t xml:space="preserve"> lēmumus, tika secināts, ka nav pieņemti tādi pasākumi, kuri rada risku publisko finanšu ilgtspējai, jo </w:t>
      </w:r>
      <w:r w:rsidR="007C7CDE" w:rsidRPr="00F62287">
        <w:rPr>
          <w:rFonts w:eastAsia="Times New Roman" w:cs="Times New Roman"/>
          <w:color w:val="000000"/>
        </w:rPr>
        <w:t>MK</w:t>
      </w:r>
      <w:r w:rsidRPr="00F62287">
        <w:rPr>
          <w:rFonts w:eastAsia="Times New Roman" w:cs="Times New Roman"/>
          <w:color w:val="000000"/>
        </w:rPr>
        <w:t xml:space="preserve"> pieņēma lēmumu </w:t>
      </w:r>
      <w:r w:rsidR="0051507C">
        <w:rPr>
          <w:rFonts w:eastAsia="Times New Roman" w:cs="Times New Roman"/>
          <w:color w:val="000000"/>
        </w:rPr>
        <w:t>par pasākumiem ievērojot noteiktos fiskālos mērķus un pasākumu</w:t>
      </w:r>
      <w:r w:rsidRPr="00F62287">
        <w:rPr>
          <w:rFonts w:eastAsia="Times New Roman" w:cs="Times New Roman"/>
          <w:color w:val="000000"/>
        </w:rPr>
        <w:t xml:space="preserve"> apmērs nominālā izteiksmē laikā ir nemainīgs.</w:t>
      </w:r>
      <w:r w:rsidRPr="00F62287">
        <w:rPr>
          <w:rFonts w:eastAsia="Times New Roman" w:cs="Times New Roman"/>
          <w:b/>
          <w:szCs w:val="28"/>
        </w:rPr>
        <w:t xml:space="preserve"> </w:t>
      </w:r>
    </w:p>
    <w:p w14:paraId="433BEDE3" w14:textId="0CA3157B" w:rsidR="00DD0C61" w:rsidRPr="001D7920" w:rsidRDefault="00DD0C61" w:rsidP="008349F0">
      <w:pPr>
        <w:pStyle w:val="Heading2"/>
        <w:rPr>
          <w:rFonts w:eastAsia="Times New Roman"/>
        </w:rPr>
      </w:pPr>
      <w:bookmarkStart w:id="73" w:name="_Toc179356094"/>
      <w:r w:rsidRPr="001D7920">
        <w:rPr>
          <w:rFonts w:eastAsia="Times New Roman"/>
        </w:rPr>
        <w:t>2.4. Pašvaldību finanšu izlīdzināšana</w:t>
      </w:r>
      <w:bookmarkEnd w:id="73"/>
    </w:p>
    <w:p w14:paraId="4ACDB7D7" w14:textId="3788DAF4" w:rsidR="001D7920" w:rsidRPr="001D7920" w:rsidRDefault="001D7920" w:rsidP="008349F0">
      <w:pPr>
        <w:widowControl w:val="0"/>
        <w:autoSpaceDE w:val="0"/>
        <w:autoSpaceDN w:val="0"/>
        <w:spacing w:before="236" w:after="0"/>
        <w:rPr>
          <w:rFonts w:eastAsia="Times New Roman" w:cs="Times New Roman"/>
          <w:i/>
          <w:szCs w:val="24"/>
          <w:lang w:bidi="lv-LV"/>
        </w:rPr>
      </w:pPr>
      <w:r w:rsidRPr="001D7920">
        <w:rPr>
          <w:rFonts w:eastAsia="Times New Roman" w:cs="Times New Roman"/>
          <w:szCs w:val="24"/>
          <w:lang w:bidi="lv-LV"/>
        </w:rPr>
        <w:t>Valsts budžetā 2025.</w:t>
      </w:r>
      <w:r>
        <w:rPr>
          <w:rFonts w:eastAsia="Times New Roman" w:cs="Times New Roman"/>
          <w:szCs w:val="24"/>
          <w:lang w:bidi="lv-LV"/>
        </w:rPr>
        <w:t xml:space="preserve"> </w:t>
      </w:r>
      <w:r w:rsidRPr="001D7920">
        <w:rPr>
          <w:rFonts w:eastAsia="Times New Roman" w:cs="Times New Roman"/>
          <w:szCs w:val="24"/>
          <w:lang w:bidi="lv-LV"/>
        </w:rPr>
        <w:t xml:space="preserve">gadam ir plānots finansējums pašvaldībām 106,53 milj. </w:t>
      </w:r>
      <w:proofErr w:type="spellStart"/>
      <w:r w:rsidRPr="001D7920">
        <w:rPr>
          <w:rFonts w:eastAsia="Times New Roman" w:cs="Times New Roman"/>
          <w:i/>
          <w:szCs w:val="24"/>
          <w:lang w:bidi="lv-LV"/>
        </w:rPr>
        <w:t>euro</w:t>
      </w:r>
      <w:proofErr w:type="spellEnd"/>
      <w:r w:rsidRPr="001D7920">
        <w:rPr>
          <w:rFonts w:eastAsia="Times New Roman" w:cs="Times New Roman"/>
          <w:i/>
          <w:szCs w:val="24"/>
          <w:lang w:bidi="lv-LV"/>
        </w:rPr>
        <w:t xml:space="preserve"> </w:t>
      </w:r>
      <w:r w:rsidRPr="001D7920">
        <w:rPr>
          <w:rFonts w:eastAsia="Times New Roman" w:cs="Times New Roman"/>
          <w:szCs w:val="24"/>
          <w:lang w:bidi="lv-LV"/>
        </w:rPr>
        <w:t>apmērā, kas paredzēts Pašvaldību finanšu izlīdzināšanas likuma normu izpildei, t.sk.:</w:t>
      </w:r>
    </w:p>
    <w:p w14:paraId="51129E07" w14:textId="77777777" w:rsidR="001D7920" w:rsidRPr="001D7920" w:rsidRDefault="001D7920" w:rsidP="00F87D38">
      <w:pPr>
        <w:widowControl w:val="0"/>
        <w:numPr>
          <w:ilvl w:val="0"/>
          <w:numId w:val="20"/>
        </w:numPr>
        <w:tabs>
          <w:tab w:val="left" w:pos="1096"/>
        </w:tabs>
        <w:autoSpaceDE w:val="0"/>
        <w:autoSpaceDN w:val="0"/>
        <w:spacing w:before="120" w:after="0"/>
        <w:ind w:left="1071" w:hanging="357"/>
        <w:rPr>
          <w:rFonts w:eastAsia="Times New Roman" w:cs="Times New Roman"/>
          <w:szCs w:val="20"/>
          <w:lang w:eastAsia="en-US"/>
        </w:rPr>
      </w:pPr>
      <w:r w:rsidRPr="001D7920">
        <w:rPr>
          <w:rFonts w:eastAsia="Times New Roman" w:cs="Times New Roman"/>
          <w:szCs w:val="20"/>
          <w:lang w:eastAsia="en-US"/>
        </w:rPr>
        <w:t xml:space="preserve">dotācija pašvaldību finanšu izlīdzināšanas fondam 50,63 milj. </w:t>
      </w:r>
      <w:proofErr w:type="spellStart"/>
      <w:r w:rsidRPr="001D7920">
        <w:rPr>
          <w:rFonts w:eastAsia="Times New Roman" w:cs="Times New Roman"/>
          <w:i/>
          <w:szCs w:val="20"/>
          <w:lang w:eastAsia="en-US"/>
        </w:rPr>
        <w:t>euro</w:t>
      </w:r>
      <w:proofErr w:type="spellEnd"/>
      <w:r w:rsidRPr="001D7920">
        <w:rPr>
          <w:rFonts w:eastAsia="Times New Roman" w:cs="Times New Roman"/>
          <w:szCs w:val="20"/>
          <w:lang w:eastAsia="en-US"/>
        </w:rPr>
        <w:t xml:space="preserve"> apmērā;</w:t>
      </w:r>
    </w:p>
    <w:p w14:paraId="52455419" w14:textId="77777777" w:rsidR="001D7920" w:rsidRPr="001D7920" w:rsidRDefault="001D7920" w:rsidP="00F87D38">
      <w:pPr>
        <w:widowControl w:val="0"/>
        <w:numPr>
          <w:ilvl w:val="0"/>
          <w:numId w:val="20"/>
        </w:numPr>
        <w:tabs>
          <w:tab w:val="left" w:pos="1096"/>
        </w:tabs>
        <w:autoSpaceDE w:val="0"/>
        <w:autoSpaceDN w:val="0"/>
        <w:spacing w:after="0"/>
        <w:ind w:hanging="357"/>
        <w:rPr>
          <w:rFonts w:eastAsia="Times New Roman" w:cs="Times New Roman"/>
          <w:szCs w:val="20"/>
          <w:lang w:eastAsia="en-US"/>
        </w:rPr>
      </w:pPr>
      <w:r w:rsidRPr="001D7920">
        <w:rPr>
          <w:rFonts w:eastAsia="Times New Roman" w:cs="Times New Roman"/>
          <w:szCs w:val="20"/>
          <w:lang w:eastAsia="en-US"/>
        </w:rPr>
        <w:t xml:space="preserve">budžeta dotācija 52,80 milj. </w:t>
      </w:r>
      <w:proofErr w:type="spellStart"/>
      <w:r w:rsidRPr="001D7920">
        <w:rPr>
          <w:rFonts w:eastAsia="Times New Roman" w:cs="Times New Roman"/>
          <w:i/>
          <w:iCs/>
          <w:szCs w:val="20"/>
          <w:lang w:eastAsia="en-US"/>
        </w:rPr>
        <w:t>euro</w:t>
      </w:r>
      <w:proofErr w:type="spellEnd"/>
      <w:r w:rsidRPr="001D7920">
        <w:rPr>
          <w:rFonts w:eastAsia="Times New Roman" w:cs="Times New Roman"/>
          <w:szCs w:val="20"/>
          <w:lang w:eastAsia="en-US"/>
        </w:rPr>
        <w:t xml:space="preserve"> apmērā, kura integrēta pašvaldību finanšu izlīdzināšanas sistēmā pēc iedzīvotāju ienākuma nodokļa sadales principiem;</w:t>
      </w:r>
    </w:p>
    <w:p w14:paraId="48B82FF4" w14:textId="77777777" w:rsidR="001D7920" w:rsidRPr="001D7920" w:rsidRDefault="001D7920" w:rsidP="00F87D38">
      <w:pPr>
        <w:widowControl w:val="0"/>
        <w:numPr>
          <w:ilvl w:val="0"/>
          <w:numId w:val="20"/>
        </w:numPr>
        <w:autoSpaceDE w:val="0"/>
        <w:autoSpaceDN w:val="0"/>
        <w:spacing w:after="0"/>
        <w:ind w:hanging="357"/>
        <w:contextualSpacing/>
        <w:rPr>
          <w:rFonts w:eastAsia="Times New Roman" w:cs="Times New Roman"/>
          <w:szCs w:val="20"/>
          <w:lang w:eastAsia="en-US"/>
        </w:rPr>
      </w:pPr>
      <w:r w:rsidRPr="001D7920">
        <w:rPr>
          <w:rFonts w:eastAsia="Times New Roman" w:cs="Times New Roman"/>
          <w:szCs w:val="20"/>
          <w:lang w:eastAsia="en-US"/>
        </w:rPr>
        <w:t>dotācija pašvaldībām 0,60</w:t>
      </w:r>
      <w:r w:rsidRPr="001D7920">
        <w:rPr>
          <w:rFonts w:eastAsia="Times New Roman" w:cs="Times New Roman"/>
          <w:spacing w:val="-1"/>
          <w:szCs w:val="20"/>
          <w:lang w:eastAsia="en-US"/>
        </w:rPr>
        <w:t xml:space="preserve"> </w:t>
      </w:r>
      <w:r w:rsidRPr="001D7920">
        <w:rPr>
          <w:rFonts w:eastAsia="Times New Roman" w:cs="Times New Roman"/>
          <w:szCs w:val="20"/>
          <w:lang w:eastAsia="en-US"/>
        </w:rPr>
        <w:t xml:space="preserve">milj. </w:t>
      </w:r>
      <w:proofErr w:type="spellStart"/>
      <w:r w:rsidRPr="001D7920">
        <w:rPr>
          <w:rFonts w:eastAsia="Times New Roman" w:cs="Times New Roman"/>
          <w:i/>
          <w:szCs w:val="20"/>
          <w:lang w:eastAsia="en-US"/>
        </w:rPr>
        <w:t>euro</w:t>
      </w:r>
      <w:proofErr w:type="spellEnd"/>
      <w:r w:rsidRPr="001D7920">
        <w:rPr>
          <w:rFonts w:eastAsia="Times New Roman" w:cs="Times New Roman"/>
          <w:i/>
          <w:szCs w:val="20"/>
          <w:lang w:eastAsia="en-US"/>
        </w:rPr>
        <w:t xml:space="preserve"> </w:t>
      </w:r>
      <w:r w:rsidRPr="001D7920">
        <w:rPr>
          <w:rFonts w:eastAsia="Times New Roman" w:cs="Times New Roman"/>
          <w:szCs w:val="20"/>
          <w:lang w:eastAsia="en-US"/>
        </w:rPr>
        <w:t>apmērā par iemītniekiem veco ļaužu pansionātos un centros, kuri tajos ievietoti līdz 1998. gada 1. janvārim;</w:t>
      </w:r>
    </w:p>
    <w:p w14:paraId="5D147A8E" w14:textId="77777777" w:rsidR="001D7920" w:rsidRPr="001D7920" w:rsidRDefault="001D7920" w:rsidP="00F87D38">
      <w:pPr>
        <w:widowControl w:val="0"/>
        <w:numPr>
          <w:ilvl w:val="0"/>
          <w:numId w:val="20"/>
        </w:numPr>
        <w:autoSpaceDE w:val="0"/>
        <w:autoSpaceDN w:val="0"/>
        <w:spacing w:after="0"/>
        <w:ind w:hanging="357"/>
        <w:contextualSpacing/>
        <w:rPr>
          <w:rFonts w:eastAsia="Times New Roman" w:cs="Times New Roman"/>
          <w:szCs w:val="20"/>
          <w:lang w:eastAsia="en-US"/>
        </w:rPr>
      </w:pPr>
      <w:r w:rsidRPr="001D7920">
        <w:rPr>
          <w:rFonts w:eastAsia="Times New Roman" w:cs="Times New Roman"/>
          <w:szCs w:val="20"/>
          <w:lang w:eastAsia="en-US"/>
        </w:rPr>
        <w:t xml:space="preserve">dotācija 2,5 milj. </w:t>
      </w:r>
      <w:proofErr w:type="spellStart"/>
      <w:r w:rsidRPr="001D7920">
        <w:rPr>
          <w:rFonts w:eastAsia="Times New Roman" w:cs="Times New Roman"/>
          <w:i/>
          <w:iCs/>
          <w:szCs w:val="20"/>
          <w:lang w:eastAsia="en-US"/>
        </w:rPr>
        <w:t>euro</w:t>
      </w:r>
      <w:proofErr w:type="spellEnd"/>
      <w:r w:rsidRPr="001D7920">
        <w:rPr>
          <w:rFonts w:eastAsia="Times New Roman" w:cs="Times New Roman"/>
          <w:szCs w:val="20"/>
          <w:lang w:eastAsia="en-US"/>
        </w:rPr>
        <w:t xml:space="preserve"> apmērā ES ārējās robežas pašvaldībām drošības stiprināšanai.</w:t>
      </w:r>
    </w:p>
    <w:p w14:paraId="75AE8E65" w14:textId="77777777" w:rsidR="001D7920" w:rsidRPr="001D7920" w:rsidRDefault="001D7920" w:rsidP="008349F0">
      <w:pPr>
        <w:widowControl w:val="0"/>
        <w:autoSpaceDE w:val="0"/>
        <w:autoSpaceDN w:val="0"/>
        <w:spacing w:before="120" w:after="0"/>
        <w:rPr>
          <w:rFonts w:eastAsia="Times New Roman" w:cs="Times New Roman"/>
          <w:szCs w:val="24"/>
          <w:lang w:bidi="lv-LV"/>
        </w:rPr>
      </w:pPr>
      <w:r w:rsidRPr="001D7920">
        <w:rPr>
          <w:rFonts w:eastAsia="Times New Roman" w:cs="Times New Roman"/>
          <w:szCs w:val="24"/>
          <w:lang w:bidi="lv-LV"/>
        </w:rPr>
        <w:t>Pašvaldību finanšu izlīdzināšanas aprēķins tiek veikts atbilstoši Pašvaldību finanšu izlīdzināšanas likumam, kas nodrošina līdzvērtīgas iespējas pašvaldību autonomo funkciju realizācijai, kā arī, pārdomāti pārdalot līdzekļus, veicina pašvaldību ieinteresētību savas administratīvās teritorijas attīstībā. Visi pašvaldību finanšu izlīdzināšanas aprēķinā izmantojamie rādītāji ir publiski pieejami, attiecīgi ikviena pašvaldība var aprēķināt potenciālos pašvaldību finanšu izlīdzināšanas rezultātus, tādējādi prognozējot savus</w:t>
      </w:r>
      <w:r w:rsidRPr="001D7920">
        <w:rPr>
          <w:rFonts w:eastAsia="Times New Roman" w:cs="Times New Roman"/>
          <w:spacing w:val="1"/>
          <w:szCs w:val="24"/>
          <w:lang w:bidi="lv-LV"/>
        </w:rPr>
        <w:t xml:space="preserve"> </w:t>
      </w:r>
      <w:r w:rsidRPr="001D7920">
        <w:rPr>
          <w:rFonts w:eastAsia="Times New Roman" w:cs="Times New Roman"/>
          <w:szCs w:val="24"/>
          <w:lang w:bidi="lv-LV"/>
        </w:rPr>
        <w:t>ieņēmumus.</w:t>
      </w:r>
    </w:p>
    <w:p w14:paraId="4499BFB6" w14:textId="77777777" w:rsidR="001D7920" w:rsidRPr="001D7920" w:rsidRDefault="001D7920" w:rsidP="008349F0">
      <w:pPr>
        <w:widowControl w:val="0"/>
        <w:autoSpaceDE w:val="0"/>
        <w:autoSpaceDN w:val="0"/>
        <w:spacing w:before="120" w:after="0"/>
        <w:ind w:left="102"/>
        <w:rPr>
          <w:rFonts w:eastAsia="Times New Roman" w:cs="Times New Roman"/>
          <w:szCs w:val="24"/>
          <w:lang w:bidi="lv-LV"/>
        </w:rPr>
      </w:pPr>
      <w:r w:rsidRPr="001D7920">
        <w:rPr>
          <w:rFonts w:eastAsia="Times New Roman" w:cs="Times New Roman"/>
          <w:szCs w:val="24"/>
          <w:lang w:bidi="lv-LV"/>
        </w:rPr>
        <w:t>2025. gada pašvaldību finanšu izlīdzināšanas fonda ieņēmumi tiek plānoti 246,16 milj</w:t>
      </w:r>
      <w:r w:rsidRPr="001D7920">
        <w:rPr>
          <w:rFonts w:eastAsia="Times New Roman" w:cs="Times New Roman"/>
          <w:i/>
          <w:szCs w:val="24"/>
          <w:lang w:bidi="lv-LV"/>
        </w:rPr>
        <w:t>.</w:t>
      </w:r>
      <w:r w:rsidRPr="001D7920">
        <w:rPr>
          <w:rFonts w:eastAsia="Times New Roman" w:cs="Times New Roman"/>
          <w:szCs w:val="24"/>
          <w:lang w:bidi="lv-LV"/>
        </w:rPr>
        <w:t> </w:t>
      </w:r>
      <w:proofErr w:type="spellStart"/>
      <w:r w:rsidRPr="001D7920">
        <w:rPr>
          <w:rFonts w:eastAsia="Times New Roman" w:cs="Times New Roman"/>
          <w:i/>
          <w:szCs w:val="24"/>
          <w:lang w:bidi="lv-LV"/>
        </w:rPr>
        <w:t>euro</w:t>
      </w:r>
      <w:proofErr w:type="spellEnd"/>
      <w:r w:rsidRPr="001D7920">
        <w:rPr>
          <w:rFonts w:eastAsia="Times New Roman" w:cs="Times New Roman"/>
          <w:szCs w:val="24"/>
          <w:lang w:bidi="lv-LV"/>
        </w:rPr>
        <w:t xml:space="preserve">. Tos veido valsts budžeta dotācija 50,63 milj. </w:t>
      </w:r>
      <w:proofErr w:type="spellStart"/>
      <w:r w:rsidRPr="001D7920">
        <w:rPr>
          <w:rFonts w:eastAsia="Times New Roman" w:cs="Times New Roman"/>
          <w:i/>
          <w:szCs w:val="24"/>
          <w:lang w:bidi="lv-LV"/>
        </w:rPr>
        <w:t>euro</w:t>
      </w:r>
      <w:proofErr w:type="spellEnd"/>
      <w:r w:rsidRPr="001D7920">
        <w:rPr>
          <w:rFonts w:eastAsia="Times New Roman" w:cs="Times New Roman"/>
          <w:i/>
          <w:szCs w:val="24"/>
          <w:lang w:bidi="lv-LV"/>
        </w:rPr>
        <w:t xml:space="preserve"> </w:t>
      </w:r>
      <w:r w:rsidRPr="001D7920">
        <w:rPr>
          <w:rFonts w:eastAsia="Times New Roman" w:cs="Times New Roman"/>
          <w:szCs w:val="24"/>
          <w:lang w:bidi="lv-LV"/>
        </w:rPr>
        <w:t xml:space="preserve">un pašvaldību iemaksas – 195,53 milj. </w:t>
      </w:r>
      <w:proofErr w:type="spellStart"/>
      <w:r w:rsidRPr="001D7920">
        <w:rPr>
          <w:rFonts w:eastAsia="Times New Roman" w:cs="Times New Roman"/>
          <w:i/>
          <w:szCs w:val="24"/>
          <w:lang w:bidi="lv-LV"/>
        </w:rPr>
        <w:t>euro</w:t>
      </w:r>
      <w:proofErr w:type="spellEnd"/>
      <w:r w:rsidRPr="001D7920">
        <w:rPr>
          <w:rFonts w:eastAsia="Times New Roman" w:cs="Times New Roman"/>
          <w:szCs w:val="24"/>
          <w:lang w:bidi="lv-LV"/>
        </w:rPr>
        <w:t xml:space="preserve">. </w:t>
      </w:r>
    </w:p>
    <w:p w14:paraId="595C8F3E" w14:textId="77777777" w:rsidR="001D7920" w:rsidRPr="001D7920" w:rsidRDefault="001D7920" w:rsidP="008349F0">
      <w:pPr>
        <w:widowControl w:val="0"/>
        <w:autoSpaceDE w:val="0"/>
        <w:autoSpaceDN w:val="0"/>
        <w:spacing w:before="120" w:after="0"/>
        <w:ind w:left="102"/>
        <w:rPr>
          <w:rFonts w:eastAsia="Times New Roman" w:cs="Times New Roman"/>
          <w:szCs w:val="24"/>
          <w:lang w:bidi="lv-LV"/>
        </w:rPr>
      </w:pPr>
      <w:r w:rsidRPr="001D7920">
        <w:rPr>
          <w:rFonts w:eastAsia="Times New Roman" w:cs="Times New Roman"/>
          <w:szCs w:val="24"/>
          <w:lang w:bidi="lv-LV"/>
        </w:rPr>
        <w:t xml:space="preserve">Atbilstoši aprēķinam ir paredzēts, ka iemaksas pašvaldību finanšu izlīdzināšanas fondā veiks 9 pašvaldības, bet dotāciju saņems 34 pašvaldības. Lielākie iemaksu veicēji pašvaldību finanšu izlīdzināšanas fondā, rēķinot procentuāli no pašvaldību vērtētajiem ieņēmumiem, ir Mārupes novads – 23,03%, Ādažu novads – 16,44%, Ropažu novads – 15,18%. Rīgas </w:t>
      </w:r>
      <w:proofErr w:type="spellStart"/>
      <w:r w:rsidRPr="001D7920">
        <w:rPr>
          <w:rFonts w:eastAsia="Times New Roman" w:cs="Times New Roman"/>
          <w:szCs w:val="24"/>
          <w:lang w:bidi="lv-LV"/>
        </w:rPr>
        <w:t>valstspilsētas</w:t>
      </w:r>
      <w:proofErr w:type="spellEnd"/>
      <w:r w:rsidRPr="001D7920">
        <w:rPr>
          <w:rFonts w:eastAsia="Times New Roman" w:cs="Times New Roman"/>
          <w:szCs w:val="24"/>
          <w:lang w:bidi="lv-LV"/>
        </w:rPr>
        <w:t xml:space="preserve"> iemaksas</w:t>
      </w:r>
      <w:r w:rsidRPr="001D7920">
        <w:rPr>
          <w:rFonts w:eastAsia="Times New Roman" w:cs="Times New Roman"/>
          <w:spacing w:val="-6"/>
          <w:szCs w:val="24"/>
          <w:lang w:bidi="lv-LV"/>
        </w:rPr>
        <w:t xml:space="preserve"> </w:t>
      </w:r>
      <w:r w:rsidRPr="001D7920">
        <w:rPr>
          <w:rFonts w:eastAsia="Times New Roman" w:cs="Times New Roman"/>
          <w:szCs w:val="24"/>
          <w:lang w:bidi="lv-LV"/>
        </w:rPr>
        <w:t>būs</w:t>
      </w:r>
      <w:r w:rsidRPr="001D7920">
        <w:rPr>
          <w:rFonts w:eastAsia="Times New Roman" w:cs="Times New Roman"/>
          <w:spacing w:val="-6"/>
          <w:szCs w:val="24"/>
          <w:lang w:bidi="lv-LV"/>
        </w:rPr>
        <w:t xml:space="preserve"> </w:t>
      </w:r>
      <w:r w:rsidRPr="001D7920">
        <w:rPr>
          <w:rFonts w:eastAsia="Times New Roman" w:cs="Times New Roman"/>
          <w:szCs w:val="24"/>
          <w:lang w:bidi="lv-LV"/>
        </w:rPr>
        <w:t>lielākās</w:t>
      </w:r>
      <w:r w:rsidRPr="001D7920">
        <w:rPr>
          <w:rFonts w:eastAsia="Times New Roman" w:cs="Times New Roman"/>
          <w:spacing w:val="-6"/>
          <w:szCs w:val="24"/>
          <w:lang w:bidi="lv-LV"/>
        </w:rPr>
        <w:t xml:space="preserve"> </w:t>
      </w:r>
      <w:r w:rsidRPr="001D7920">
        <w:rPr>
          <w:rFonts w:eastAsia="Times New Roman" w:cs="Times New Roman"/>
          <w:szCs w:val="24"/>
          <w:lang w:bidi="lv-LV"/>
        </w:rPr>
        <w:t>pēc</w:t>
      </w:r>
      <w:r w:rsidRPr="001D7920">
        <w:rPr>
          <w:rFonts w:eastAsia="Times New Roman" w:cs="Times New Roman"/>
          <w:spacing w:val="-6"/>
          <w:szCs w:val="24"/>
          <w:lang w:bidi="lv-LV"/>
        </w:rPr>
        <w:t xml:space="preserve"> </w:t>
      </w:r>
      <w:r w:rsidRPr="001D7920">
        <w:rPr>
          <w:rFonts w:eastAsia="Times New Roman" w:cs="Times New Roman"/>
          <w:szCs w:val="24"/>
          <w:lang w:bidi="lv-LV"/>
        </w:rPr>
        <w:t>kopējo</w:t>
      </w:r>
      <w:r w:rsidRPr="001D7920">
        <w:rPr>
          <w:rFonts w:eastAsia="Times New Roman" w:cs="Times New Roman"/>
          <w:spacing w:val="-6"/>
          <w:szCs w:val="24"/>
          <w:lang w:bidi="lv-LV"/>
        </w:rPr>
        <w:t xml:space="preserve"> </w:t>
      </w:r>
      <w:r w:rsidRPr="001D7920">
        <w:rPr>
          <w:rFonts w:eastAsia="Times New Roman" w:cs="Times New Roman"/>
          <w:szCs w:val="24"/>
          <w:lang w:bidi="lv-LV"/>
        </w:rPr>
        <w:t>iemaksu</w:t>
      </w:r>
      <w:r w:rsidRPr="001D7920">
        <w:rPr>
          <w:rFonts w:eastAsia="Times New Roman" w:cs="Times New Roman"/>
          <w:spacing w:val="-6"/>
          <w:szCs w:val="24"/>
          <w:lang w:bidi="lv-LV"/>
        </w:rPr>
        <w:t xml:space="preserve"> </w:t>
      </w:r>
      <w:r w:rsidRPr="001D7920">
        <w:rPr>
          <w:rFonts w:eastAsia="Times New Roman" w:cs="Times New Roman"/>
          <w:szCs w:val="24"/>
          <w:lang w:bidi="lv-LV"/>
        </w:rPr>
        <w:t xml:space="preserve">apjoma – 138,64 milj. </w:t>
      </w:r>
      <w:proofErr w:type="spellStart"/>
      <w:r w:rsidRPr="001D7920">
        <w:rPr>
          <w:rFonts w:eastAsia="Times New Roman" w:cs="Times New Roman"/>
          <w:i/>
          <w:szCs w:val="24"/>
          <w:lang w:bidi="lv-LV"/>
        </w:rPr>
        <w:t>euro</w:t>
      </w:r>
      <w:proofErr w:type="spellEnd"/>
      <w:r w:rsidRPr="001D7920">
        <w:rPr>
          <w:rFonts w:eastAsia="Times New Roman" w:cs="Times New Roman"/>
          <w:szCs w:val="24"/>
          <w:lang w:bidi="lv-LV"/>
        </w:rPr>
        <w:t xml:space="preserve">, kas procentuāli no Rīgas </w:t>
      </w:r>
      <w:proofErr w:type="spellStart"/>
      <w:r w:rsidRPr="001D7920">
        <w:rPr>
          <w:rFonts w:eastAsia="Times New Roman" w:cs="Times New Roman"/>
          <w:szCs w:val="24"/>
          <w:lang w:bidi="lv-LV"/>
        </w:rPr>
        <w:t>valstspilsētas</w:t>
      </w:r>
      <w:proofErr w:type="spellEnd"/>
      <w:r w:rsidRPr="001D7920">
        <w:rPr>
          <w:rFonts w:eastAsia="Times New Roman" w:cs="Times New Roman"/>
          <w:szCs w:val="24"/>
          <w:lang w:bidi="lv-LV"/>
        </w:rPr>
        <w:t xml:space="preserve"> pašvaldības vērtētajiem ieņēmumiem ir</w:t>
      </w:r>
      <w:r w:rsidRPr="001D7920">
        <w:rPr>
          <w:rFonts w:eastAsia="Times New Roman" w:cs="Times New Roman"/>
          <w:spacing w:val="1"/>
          <w:szCs w:val="24"/>
          <w:lang w:bidi="lv-LV"/>
        </w:rPr>
        <w:t xml:space="preserve"> </w:t>
      </w:r>
      <w:r w:rsidRPr="001D7920">
        <w:rPr>
          <w:rFonts w:eastAsia="Times New Roman" w:cs="Times New Roman"/>
          <w:szCs w:val="24"/>
          <w:lang w:bidi="lv-LV"/>
        </w:rPr>
        <w:t>14,00%.</w:t>
      </w:r>
    </w:p>
    <w:p w14:paraId="4EF02D77" w14:textId="77777777" w:rsidR="001D7920" w:rsidRPr="001D7920" w:rsidRDefault="001D7920" w:rsidP="008349F0">
      <w:pPr>
        <w:widowControl w:val="0"/>
        <w:autoSpaceDE w:val="0"/>
        <w:autoSpaceDN w:val="0"/>
        <w:spacing w:before="120" w:after="0"/>
        <w:ind w:left="102"/>
        <w:rPr>
          <w:rFonts w:eastAsia="Times New Roman" w:cs="Times New Roman"/>
          <w:szCs w:val="24"/>
          <w:lang w:bidi="lv-LV"/>
        </w:rPr>
      </w:pPr>
      <w:r w:rsidRPr="001D7920">
        <w:rPr>
          <w:rFonts w:eastAsia="Times New Roman" w:cs="Times New Roman"/>
          <w:szCs w:val="24"/>
          <w:lang w:bidi="lv-LV"/>
        </w:rPr>
        <w:t xml:space="preserve">Valsts budžeta dotācija 2,5 milj. </w:t>
      </w:r>
      <w:proofErr w:type="spellStart"/>
      <w:r w:rsidRPr="001D7920">
        <w:rPr>
          <w:rFonts w:eastAsia="Times New Roman" w:cs="Times New Roman"/>
          <w:i/>
          <w:iCs/>
          <w:szCs w:val="24"/>
          <w:lang w:bidi="lv-LV"/>
        </w:rPr>
        <w:t>euro</w:t>
      </w:r>
      <w:proofErr w:type="spellEnd"/>
      <w:r w:rsidRPr="001D7920">
        <w:rPr>
          <w:rFonts w:eastAsia="Times New Roman" w:cs="Times New Roman"/>
          <w:szCs w:val="24"/>
          <w:lang w:bidi="lv-LV"/>
        </w:rPr>
        <w:t xml:space="preserve"> apmērā tiek piešķirta ES ārējās robežas piecām pašvaldībām drošības stiprināšanai. Finansējums tiek sadalīts proporcionāli katras pašvaldības ārējās robežas kilometru garumam, tai skaitā:</w:t>
      </w:r>
    </w:p>
    <w:p w14:paraId="6F0D164E" w14:textId="33F7E430" w:rsidR="001D7920" w:rsidRPr="00C8255D" w:rsidRDefault="001D7920" w:rsidP="00F87D38">
      <w:pPr>
        <w:pStyle w:val="ListParagraph"/>
        <w:numPr>
          <w:ilvl w:val="2"/>
          <w:numId w:val="14"/>
        </w:numPr>
        <w:spacing w:after="0"/>
        <w:jc w:val="left"/>
        <w:rPr>
          <w:rFonts w:eastAsiaTheme="minorHAnsi" w:cs="Times New Roman"/>
          <w:szCs w:val="24"/>
          <w:lang w:eastAsia="en-US"/>
        </w:rPr>
      </w:pPr>
      <w:r w:rsidRPr="00C8255D">
        <w:rPr>
          <w:rFonts w:eastAsiaTheme="minorHAnsi" w:cs="Times New Roman"/>
          <w:szCs w:val="24"/>
          <w:lang w:eastAsia="en-US"/>
        </w:rPr>
        <w:t xml:space="preserve">Augšdaugavas novadam – 220 537 </w:t>
      </w:r>
      <w:proofErr w:type="spellStart"/>
      <w:r w:rsidRPr="00C8255D">
        <w:rPr>
          <w:rFonts w:eastAsiaTheme="minorHAnsi" w:cs="Times New Roman"/>
          <w:i/>
          <w:iCs/>
          <w:szCs w:val="24"/>
          <w:lang w:eastAsia="en-US"/>
        </w:rPr>
        <w:t>euro</w:t>
      </w:r>
      <w:proofErr w:type="spellEnd"/>
      <w:r w:rsidRPr="00C8255D">
        <w:rPr>
          <w:rFonts w:eastAsiaTheme="minorHAnsi" w:cs="Times New Roman"/>
          <w:szCs w:val="24"/>
          <w:lang w:eastAsia="en-US"/>
        </w:rPr>
        <w:t>;</w:t>
      </w:r>
    </w:p>
    <w:p w14:paraId="641D93A3" w14:textId="0A129D95" w:rsidR="001D7920" w:rsidRPr="00C8255D" w:rsidRDefault="001D7920" w:rsidP="00F87D38">
      <w:pPr>
        <w:pStyle w:val="ListParagraph"/>
        <w:numPr>
          <w:ilvl w:val="2"/>
          <w:numId w:val="14"/>
        </w:numPr>
        <w:spacing w:after="0"/>
        <w:jc w:val="left"/>
        <w:rPr>
          <w:rFonts w:eastAsiaTheme="minorHAnsi" w:cs="Times New Roman"/>
          <w:szCs w:val="24"/>
          <w:lang w:eastAsia="en-US"/>
        </w:rPr>
      </w:pPr>
      <w:r w:rsidRPr="00C8255D">
        <w:rPr>
          <w:rFonts w:eastAsiaTheme="minorHAnsi" w:cs="Times New Roman"/>
          <w:szCs w:val="24"/>
          <w:lang w:eastAsia="en-US"/>
        </w:rPr>
        <w:t xml:space="preserve">Alūksnes novadam – 319 137 </w:t>
      </w:r>
      <w:proofErr w:type="spellStart"/>
      <w:r w:rsidRPr="00C8255D">
        <w:rPr>
          <w:rFonts w:eastAsiaTheme="minorHAnsi" w:cs="Times New Roman"/>
          <w:i/>
          <w:iCs/>
          <w:szCs w:val="24"/>
          <w:lang w:eastAsia="en-US"/>
        </w:rPr>
        <w:t>euro</w:t>
      </w:r>
      <w:proofErr w:type="spellEnd"/>
      <w:r w:rsidRPr="00C8255D">
        <w:rPr>
          <w:rFonts w:eastAsiaTheme="minorHAnsi" w:cs="Times New Roman"/>
          <w:szCs w:val="24"/>
          <w:lang w:eastAsia="en-US"/>
        </w:rPr>
        <w:t>;</w:t>
      </w:r>
    </w:p>
    <w:p w14:paraId="5DB5C43B" w14:textId="7F4EE6AB" w:rsidR="001D7920" w:rsidRPr="00C8255D" w:rsidRDefault="001D7920" w:rsidP="00F87D38">
      <w:pPr>
        <w:pStyle w:val="ListParagraph"/>
        <w:numPr>
          <w:ilvl w:val="2"/>
          <w:numId w:val="14"/>
        </w:numPr>
        <w:spacing w:after="0"/>
        <w:jc w:val="left"/>
        <w:rPr>
          <w:rFonts w:eastAsiaTheme="minorHAnsi" w:cs="Times New Roman"/>
          <w:szCs w:val="24"/>
          <w:lang w:eastAsia="en-US"/>
        </w:rPr>
      </w:pPr>
      <w:r w:rsidRPr="00C8255D">
        <w:rPr>
          <w:rFonts w:eastAsiaTheme="minorHAnsi" w:cs="Times New Roman"/>
          <w:szCs w:val="24"/>
          <w:lang w:eastAsia="en-US"/>
        </w:rPr>
        <w:t xml:space="preserve">Balvu novadam – 484 247 </w:t>
      </w:r>
      <w:proofErr w:type="spellStart"/>
      <w:r w:rsidRPr="00C8255D">
        <w:rPr>
          <w:rFonts w:eastAsiaTheme="minorHAnsi" w:cs="Times New Roman"/>
          <w:i/>
          <w:iCs/>
          <w:szCs w:val="24"/>
          <w:lang w:eastAsia="en-US"/>
        </w:rPr>
        <w:t>euro</w:t>
      </w:r>
      <w:proofErr w:type="spellEnd"/>
      <w:r w:rsidRPr="00C8255D">
        <w:rPr>
          <w:rFonts w:eastAsiaTheme="minorHAnsi" w:cs="Times New Roman"/>
          <w:szCs w:val="24"/>
          <w:lang w:eastAsia="en-US"/>
        </w:rPr>
        <w:t>;</w:t>
      </w:r>
    </w:p>
    <w:p w14:paraId="3CE8AA3F" w14:textId="77777777" w:rsidR="00C8255D" w:rsidRDefault="001D7920" w:rsidP="00F87D38">
      <w:pPr>
        <w:pStyle w:val="ListParagraph"/>
        <w:numPr>
          <w:ilvl w:val="2"/>
          <w:numId w:val="14"/>
        </w:numPr>
        <w:spacing w:after="0"/>
        <w:jc w:val="left"/>
        <w:rPr>
          <w:rFonts w:eastAsiaTheme="minorHAnsi" w:cs="Times New Roman"/>
          <w:szCs w:val="24"/>
          <w:lang w:eastAsia="en-US"/>
        </w:rPr>
      </w:pPr>
      <w:r w:rsidRPr="00C8255D">
        <w:rPr>
          <w:rFonts w:eastAsiaTheme="minorHAnsi" w:cs="Times New Roman"/>
          <w:szCs w:val="24"/>
          <w:lang w:eastAsia="en-US"/>
        </w:rPr>
        <w:t xml:space="preserve">Krāslavas novadam – 653 442 </w:t>
      </w:r>
      <w:proofErr w:type="spellStart"/>
      <w:r w:rsidRPr="00C8255D">
        <w:rPr>
          <w:rFonts w:eastAsiaTheme="minorHAnsi" w:cs="Times New Roman"/>
          <w:i/>
          <w:iCs/>
          <w:szCs w:val="24"/>
          <w:lang w:eastAsia="en-US"/>
        </w:rPr>
        <w:t>euro</w:t>
      </w:r>
      <w:proofErr w:type="spellEnd"/>
      <w:r w:rsidRPr="00C8255D">
        <w:rPr>
          <w:rFonts w:eastAsiaTheme="minorHAnsi" w:cs="Times New Roman"/>
          <w:szCs w:val="24"/>
          <w:lang w:eastAsia="en-US"/>
        </w:rPr>
        <w:t>;</w:t>
      </w:r>
    </w:p>
    <w:p w14:paraId="2ED6FB81" w14:textId="0F229632" w:rsidR="001D7920" w:rsidRPr="00C8255D" w:rsidRDefault="001D7920" w:rsidP="00F87D38">
      <w:pPr>
        <w:pStyle w:val="ListParagraph"/>
        <w:numPr>
          <w:ilvl w:val="2"/>
          <w:numId w:val="14"/>
        </w:numPr>
        <w:spacing w:after="0"/>
        <w:jc w:val="left"/>
        <w:rPr>
          <w:rFonts w:eastAsiaTheme="minorHAnsi" w:cs="Times New Roman"/>
          <w:szCs w:val="24"/>
          <w:lang w:eastAsia="en-US"/>
        </w:rPr>
      </w:pPr>
      <w:r w:rsidRPr="00C8255D">
        <w:rPr>
          <w:rFonts w:eastAsiaTheme="minorHAnsi" w:cs="Times New Roman"/>
          <w:szCs w:val="24"/>
          <w:lang w:eastAsia="en-US"/>
        </w:rPr>
        <w:t xml:space="preserve">Ludzas novadam – 822 637 </w:t>
      </w:r>
      <w:proofErr w:type="spellStart"/>
      <w:r w:rsidRPr="00C8255D">
        <w:rPr>
          <w:rFonts w:eastAsiaTheme="minorHAnsi" w:cs="Times New Roman"/>
          <w:i/>
          <w:iCs/>
          <w:szCs w:val="24"/>
          <w:lang w:eastAsia="en-US"/>
        </w:rPr>
        <w:t>euro</w:t>
      </w:r>
      <w:proofErr w:type="spellEnd"/>
      <w:r w:rsidRPr="00C8255D">
        <w:rPr>
          <w:rFonts w:eastAsiaTheme="minorHAnsi" w:cs="Times New Roman"/>
          <w:szCs w:val="24"/>
          <w:lang w:eastAsia="en-US"/>
        </w:rPr>
        <w:t>.</w:t>
      </w:r>
    </w:p>
    <w:p w14:paraId="1975EC9D" w14:textId="6D21F5A7" w:rsidR="003F3F04" w:rsidRPr="00187E6E" w:rsidRDefault="00DD0C61" w:rsidP="008349F0">
      <w:pPr>
        <w:pStyle w:val="Heading2"/>
        <w:rPr>
          <w:rFonts w:eastAsia="Times New Roman"/>
        </w:rPr>
      </w:pPr>
      <w:bookmarkStart w:id="74" w:name="_Toc179356095"/>
      <w:r w:rsidRPr="00B67DFC">
        <w:rPr>
          <w:rFonts w:eastAsia="Times New Roman"/>
        </w:rPr>
        <w:lastRenderedPageBreak/>
        <w:t xml:space="preserve">2.5. Informācija par ministriju padotībā esošām no valsts budžeta daļēji finansētām atvasinātām publiskām </w:t>
      </w:r>
      <w:r w:rsidRPr="00187E6E">
        <w:rPr>
          <w:rFonts w:eastAsia="Times New Roman"/>
        </w:rPr>
        <w:t>personām un budžeta nefinansētām iestādēm</w:t>
      </w:r>
      <w:bookmarkEnd w:id="74"/>
    </w:p>
    <w:p w14:paraId="419EF2E6" w14:textId="7AB5246C" w:rsidR="004664E1" w:rsidRPr="00B67DFC" w:rsidRDefault="004664E1" w:rsidP="008349F0">
      <w:pPr>
        <w:rPr>
          <w:rFonts w:eastAsia="Times New Roman" w:cs="Times New Roman"/>
          <w:szCs w:val="20"/>
          <w:lang w:eastAsia="en-US"/>
        </w:rPr>
      </w:pPr>
      <w:r w:rsidRPr="00187E6E">
        <w:rPr>
          <w:rFonts w:eastAsia="Times New Roman" w:cs="Times New Roman"/>
          <w:szCs w:val="20"/>
          <w:lang w:eastAsia="en-US"/>
        </w:rPr>
        <w:t>Tabulā Nr. 2.</w:t>
      </w:r>
      <w:r w:rsidR="00187E6E" w:rsidRPr="00187E6E">
        <w:rPr>
          <w:rFonts w:eastAsia="Times New Roman" w:cs="Times New Roman"/>
          <w:szCs w:val="20"/>
          <w:lang w:eastAsia="en-US"/>
        </w:rPr>
        <w:t>26</w:t>
      </w:r>
      <w:r w:rsidRPr="00187E6E">
        <w:rPr>
          <w:rFonts w:eastAsia="Times New Roman" w:cs="Times New Roman"/>
          <w:szCs w:val="20"/>
          <w:lang w:eastAsia="en-US"/>
        </w:rPr>
        <w:t>. apkopota ministriju iesniegtā informācija par to</w:t>
      </w:r>
      <w:r w:rsidRPr="00187E6E">
        <w:rPr>
          <w:rFonts w:eastAsia="Times New Roman" w:cs="Times New Roman"/>
          <w:szCs w:val="24"/>
          <w:lang w:eastAsia="en-US"/>
        </w:rPr>
        <w:t xml:space="preserve"> padotībā esošām no valsts budžeta daļēji finansētām atvasinātām publiskām personām 202</w:t>
      </w:r>
      <w:r w:rsidR="00B67DFC" w:rsidRPr="00187E6E">
        <w:rPr>
          <w:rFonts w:eastAsia="Times New Roman" w:cs="Times New Roman"/>
          <w:szCs w:val="24"/>
          <w:lang w:eastAsia="en-US"/>
        </w:rPr>
        <w:t>5</w:t>
      </w:r>
      <w:r w:rsidRPr="00187E6E">
        <w:rPr>
          <w:rFonts w:eastAsia="Times New Roman" w:cs="Times New Roman"/>
          <w:szCs w:val="24"/>
          <w:lang w:eastAsia="en-US"/>
        </w:rPr>
        <w:t>. gadā un tabulā Nr. 2.</w:t>
      </w:r>
      <w:r w:rsidR="00187E6E" w:rsidRPr="00187E6E">
        <w:rPr>
          <w:rFonts w:eastAsia="Times New Roman" w:cs="Times New Roman"/>
          <w:szCs w:val="24"/>
          <w:lang w:eastAsia="en-US"/>
        </w:rPr>
        <w:t>27</w:t>
      </w:r>
      <w:r w:rsidRPr="00187E6E">
        <w:rPr>
          <w:rFonts w:eastAsia="Times New Roman" w:cs="Times New Roman"/>
          <w:szCs w:val="24"/>
          <w:lang w:eastAsia="en-US"/>
        </w:rPr>
        <w:t>. apkopota</w:t>
      </w:r>
      <w:r w:rsidRPr="00B67DFC">
        <w:rPr>
          <w:rFonts w:eastAsia="Times New Roman" w:cs="Times New Roman"/>
          <w:szCs w:val="24"/>
          <w:lang w:eastAsia="en-US"/>
        </w:rPr>
        <w:t xml:space="preserve"> ministriju iesniegtā informācija par padotībā esošām budžeta nefinansētām iestādēm 2024. gadā.</w:t>
      </w:r>
      <w:r w:rsidR="005735FB">
        <w:rPr>
          <w:rFonts w:eastAsia="Times New Roman" w:cs="Times New Roman"/>
          <w:szCs w:val="24"/>
          <w:lang w:eastAsia="en-US"/>
        </w:rPr>
        <w:t xml:space="preserve"> </w:t>
      </w:r>
      <w:r w:rsidRPr="00B67DFC">
        <w:rPr>
          <w:rFonts w:eastAsia="Times New Roman" w:cs="Times New Roman"/>
          <w:szCs w:val="20"/>
          <w:lang w:eastAsia="en-US"/>
        </w:rPr>
        <w:t xml:space="preserve"> </w:t>
      </w:r>
    </w:p>
    <w:p w14:paraId="09D93E18" w14:textId="23FA5EFB" w:rsidR="004664E1" w:rsidRPr="00B67DFC" w:rsidRDefault="004664E1" w:rsidP="008349F0">
      <w:pPr>
        <w:ind w:firstLine="0"/>
        <w:jc w:val="right"/>
        <w:rPr>
          <w:rFonts w:eastAsia="Times New Roman" w:cs="Times New Roman"/>
          <w:b/>
          <w:bCs/>
          <w:i/>
          <w:szCs w:val="24"/>
        </w:rPr>
      </w:pPr>
      <w:r w:rsidRPr="00187E6E">
        <w:rPr>
          <w:rFonts w:eastAsia="Times New Roman" w:cs="Times New Roman"/>
          <w:b/>
          <w:bCs/>
          <w:i/>
          <w:szCs w:val="24"/>
        </w:rPr>
        <w:t>2.</w:t>
      </w:r>
      <w:r w:rsidR="00187E6E" w:rsidRPr="00187E6E">
        <w:rPr>
          <w:rFonts w:eastAsia="Times New Roman" w:cs="Times New Roman"/>
          <w:b/>
          <w:bCs/>
          <w:i/>
          <w:szCs w:val="24"/>
        </w:rPr>
        <w:t>26</w:t>
      </w:r>
      <w:r w:rsidRPr="00187E6E">
        <w:rPr>
          <w:rFonts w:eastAsia="Times New Roman" w:cs="Times New Roman"/>
          <w:b/>
          <w:bCs/>
          <w:i/>
          <w:szCs w:val="24"/>
        </w:rPr>
        <w:t>. tabula</w:t>
      </w:r>
      <w:r w:rsidRPr="00B67DFC">
        <w:rPr>
          <w:rFonts w:eastAsia="Times New Roman" w:cs="Times New Roman"/>
          <w:b/>
          <w:bCs/>
          <w:i/>
          <w:szCs w:val="24"/>
        </w:rPr>
        <w:t>. 202</w:t>
      </w:r>
      <w:r w:rsidR="00B67DFC" w:rsidRPr="00B67DFC">
        <w:rPr>
          <w:rFonts w:eastAsia="Times New Roman" w:cs="Times New Roman"/>
          <w:b/>
          <w:bCs/>
          <w:i/>
          <w:szCs w:val="24"/>
        </w:rPr>
        <w:t>5</w:t>
      </w:r>
      <w:r w:rsidRPr="00B67DFC">
        <w:rPr>
          <w:rFonts w:eastAsia="Times New Roman" w:cs="Times New Roman"/>
          <w:b/>
          <w:bCs/>
          <w:i/>
          <w:szCs w:val="24"/>
        </w:rPr>
        <w:t>. gadā ministriju padotībā esošās valsts budžeta daļēji finansētās atvasinātās publiskās personas</w:t>
      </w:r>
    </w:p>
    <w:tbl>
      <w:tblPr>
        <w:tblStyle w:val="TableGrid6"/>
        <w:tblW w:w="0" w:type="auto"/>
        <w:tblLook w:val="04A0" w:firstRow="1" w:lastRow="0" w:firstColumn="1" w:lastColumn="0" w:noHBand="0" w:noVBand="1"/>
      </w:tblPr>
      <w:tblGrid>
        <w:gridCol w:w="846"/>
        <w:gridCol w:w="8215"/>
      </w:tblGrid>
      <w:tr w:rsidR="00B67DFC" w:rsidRPr="00B67DFC" w14:paraId="72ECACEE" w14:textId="77777777" w:rsidTr="00070CA0">
        <w:trPr>
          <w:trHeight w:val="490"/>
          <w:tblHeader/>
        </w:trPr>
        <w:tc>
          <w:tcPr>
            <w:tcW w:w="846" w:type="dxa"/>
            <w:shd w:val="clear" w:color="auto" w:fill="BDD6EE"/>
            <w:vAlign w:val="center"/>
            <w:hideMark/>
          </w:tcPr>
          <w:p w14:paraId="64416416" w14:textId="77777777" w:rsidR="00B67DFC" w:rsidRPr="00B67DFC" w:rsidRDefault="00B67DFC" w:rsidP="008349F0">
            <w:pPr>
              <w:spacing w:after="0"/>
              <w:ind w:firstLine="0"/>
              <w:jc w:val="center"/>
              <w:rPr>
                <w:bCs/>
                <w:sz w:val="20"/>
              </w:rPr>
            </w:pPr>
            <w:proofErr w:type="spellStart"/>
            <w:r w:rsidRPr="00B67DFC">
              <w:rPr>
                <w:bCs/>
                <w:sz w:val="20"/>
              </w:rPr>
              <w:t>Nr.p.k</w:t>
            </w:r>
            <w:proofErr w:type="spellEnd"/>
            <w:r w:rsidRPr="00B67DFC">
              <w:rPr>
                <w:bCs/>
                <w:sz w:val="20"/>
              </w:rPr>
              <w:t>.</w:t>
            </w:r>
          </w:p>
        </w:tc>
        <w:tc>
          <w:tcPr>
            <w:tcW w:w="8215" w:type="dxa"/>
            <w:shd w:val="clear" w:color="auto" w:fill="BDD6EE"/>
            <w:vAlign w:val="center"/>
            <w:hideMark/>
          </w:tcPr>
          <w:p w14:paraId="3BA98F56" w14:textId="77777777" w:rsidR="00B67DFC" w:rsidRPr="00B67DFC" w:rsidRDefault="00B67DFC" w:rsidP="008349F0">
            <w:pPr>
              <w:spacing w:after="0"/>
              <w:ind w:firstLine="0"/>
              <w:jc w:val="left"/>
              <w:rPr>
                <w:bCs/>
                <w:sz w:val="20"/>
              </w:rPr>
            </w:pPr>
            <w:r w:rsidRPr="00B67DFC">
              <w:rPr>
                <w:bCs/>
                <w:sz w:val="20"/>
              </w:rPr>
              <w:t>Valsts budžeta daļēji finansētas atvasinātas publiskas personas nosaukums</w:t>
            </w:r>
          </w:p>
        </w:tc>
      </w:tr>
      <w:tr w:rsidR="00B67DFC" w:rsidRPr="00B67DFC" w14:paraId="00C7EEF5" w14:textId="77777777" w:rsidTr="00070CA0">
        <w:trPr>
          <w:trHeight w:val="415"/>
        </w:trPr>
        <w:tc>
          <w:tcPr>
            <w:tcW w:w="9061" w:type="dxa"/>
            <w:gridSpan w:val="2"/>
            <w:shd w:val="clear" w:color="auto" w:fill="DEEAF6"/>
            <w:vAlign w:val="center"/>
            <w:hideMark/>
          </w:tcPr>
          <w:p w14:paraId="7CB32CBB" w14:textId="77777777" w:rsidR="00B67DFC" w:rsidRPr="00B67DFC" w:rsidRDefault="00B67DFC" w:rsidP="008349F0">
            <w:pPr>
              <w:spacing w:after="0"/>
              <w:ind w:firstLine="0"/>
              <w:jc w:val="center"/>
              <w:rPr>
                <w:b/>
                <w:bCs/>
                <w:sz w:val="20"/>
              </w:rPr>
            </w:pPr>
            <w:r w:rsidRPr="00B67DFC">
              <w:rPr>
                <w:b/>
                <w:bCs/>
                <w:sz w:val="20"/>
              </w:rPr>
              <w:t>Izglītības un zinātnes ministrija</w:t>
            </w:r>
          </w:p>
        </w:tc>
      </w:tr>
      <w:tr w:rsidR="00B67DFC" w:rsidRPr="00B67DFC" w14:paraId="248FDFC5" w14:textId="77777777" w:rsidTr="00070CA0">
        <w:trPr>
          <w:trHeight w:val="505"/>
        </w:trPr>
        <w:tc>
          <w:tcPr>
            <w:tcW w:w="846" w:type="dxa"/>
            <w:vAlign w:val="center"/>
            <w:hideMark/>
          </w:tcPr>
          <w:p w14:paraId="1126EB92" w14:textId="77777777" w:rsidR="00B67DFC" w:rsidRPr="00B67DFC" w:rsidRDefault="00B67DFC" w:rsidP="008349F0">
            <w:pPr>
              <w:spacing w:after="0"/>
              <w:ind w:firstLine="0"/>
              <w:jc w:val="center"/>
              <w:rPr>
                <w:bCs/>
                <w:sz w:val="20"/>
              </w:rPr>
            </w:pPr>
            <w:r w:rsidRPr="00B67DFC">
              <w:rPr>
                <w:bCs/>
                <w:sz w:val="20"/>
              </w:rPr>
              <w:t>1.</w:t>
            </w:r>
          </w:p>
        </w:tc>
        <w:tc>
          <w:tcPr>
            <w:tcW w:w="8215" w:type="dxa"/>
            <w:vAlign w:val="center"/>
            <w:hideMark/>
          </w:tcPr>
          <w:p w14:paraId="1D280D38" w14:textId="77777777" w:rsidR="00B67DFC" w:rsidRPr="00B67DFC" w:rsidRDefault="00B67DFC" w:rsidP="008349F0">
            <w:pPr>
              <w:spacing w:after="0"/>
              <w:ind w:firstLine="0"/>
              <w:jc w:val="left"/>
              <w:rPr>
                <w:bCs/>
                <w:sz w:val="20"/>
              </w:rPr>
            </w:pPr>
            <w:r w:rsidRPr="00B67DFC">
              <w:rPr>
                <w:bCs/>
                <w:sz w:val="20"/>
              </w:rPr>
              <w:t>Augstākās izglītības padome</w:t>
            </w:r>
          </w:p>
        </w:tc>
      </w:tr>
      <w:tr w:rsidR="00B67DFC" w:rsidRPr="00B67DFC" w14:paraId="2F2EE031" w14:textId="77777777" w:rsidTr="00070CA0">
        <w:trPr>
          <w:trHeight w:val="541"/>
        </w:trPr>
        <w:tc>
          <w:tcPr>
            <w:tcW w:w="846" w:type="dxa"/>
            <w:vAlign w:val="center"/>
            <w:hideMark/>
          </w:tcPr>
          <w:p w14:paraId="3E885029" w14:textId="77777777" w:rsidR="00B67DFC" w:rsidRPr="00B67DFC" w:rsidRDefault="00B67DFC" w:rsidP="008349F0">
            <w:pPr>
              <w:spacing w:after="0"/>
              <w:ind w:firstLine="0"/>
              <w:jc w:val="center"/>
              <w:rPr>
                <w:bCs/>
                <w:sz w:val="20"/>
              </w:rPr>
            </w:pPr>
            <w:r w:rsidRPr="00B67DFC">
              <w:rPr>
                <w:bCs/>
                <w:sz w:val="20"/>
              </w:rPr>
              <w:t>2.</w:t>
            </w:r>
          </w:p>
        </w:tc>
        <w:tc>
          <w:tcPr>
            <w:tcW w:w="8215" w:type="dxa"/>
            <w:vAlign w:val="center"/>
            <w:hideMark/>
          </w:tcPr>
          <w:p w14:paraId="0E7810F3" w14:textId="77777777" w:rsidR="00B67DFC" w:rsidRPr="00B67DFC" w:rsidRDefault="00B67DFC" w:rsidP="008349F0">
            <w:pPr>
              <w:spacing w:after="0"/>
              <w:ind w:firstLine="0"/>
              <w:jc w:val="left"/>
              <w:rPr>
                <w:bCs/>
                <w:sz w:val="20"/>
              </w:rPr>
            </w:pPr>
            <w:r w:rsidRPr="00B67DFC">
              <w:rPr>
                <w:bCs/>
                <w:sz w:val="20"/>
              </w:rPr>
              <w:t>Banku augstskola</w:t>
            </w:r>
          </w:p>
        </w:tc>
      </w:tr>
      <w:tr w:rsidR="00B67DFC" w:rsidRPr="00B67DFC" w14:paraId="18F4F3AC" w14:textId="77777777" w:rsidTr="00070CA0">
        <w:trPr>
          <w:trHeight w:val="576"/>
        </w:trPr>
        <w:tc>
          <w:tcPr>
            <w:tcW w:w="846" w:type="dxa"/>
            <w:vAlign w:val="center"/>
            <w:hideMark/>
          </w:tcPr>
          <w:p w14:paraId="345B8E32" w14:textId="77777777" w:rsidR="00B67DFC" w:rsidRPr="00B67DFC" w:rsidRDefault="00B67DFC" w:rsidP="008349F0">
            <w:pPr>
              <w:spacing w:after="0"/>
              <w:ind w:firstLine="0"/>
              <w:jc w:val="center"/>
              <w:rPr>
                <w:bCs/>
                <w:sz w:val="20"/>
              </w:rPr>
            </w:pPr>
            <w:r w:rsidRPr="00B67DFC">
              <w:rPr>
                <w:bCs/>
                <w:sz w:val="20"/>
              </w:rPr>
              <w:t>3.</w:t>
            </w:r>
          </w:p>
        </w:tc>
        <w:tc>
          <w:tcPr>
            <w:tcW w:w="8215" w:type="dxa"/>
            <w:vAlign w:val="center"/>
            <w:hideMark/>
          </w:tcPr>
          <w:p w14:paraId="376AD833" w14:textId="77777777" w:rsidR="00B67DFC" w:rsidRPr="00B67DFC" w:rsidRDefault="00B67DFC" w:rsidP="008349F0">
            <w:pPr>
              <w:spacing w:after="0"/>
              <w:ind w:firstLine="0"/>
              <w:jc w:val="left"/>
              <w:rPr>
                <w:bCs/>
                <w:sz w:val="20"/>
              </w:rPr>
            </w:pPr>
            <w:r w:rsidRPr="00B67DFC">
              <w:rPr>
                <w:bCs/>
                <w:sz w:val="20"/>
              </w:rPr>
              <w:t>Daugavpils Universitāte</w:t>
            </w:r>
          </w:p>
        </w:tc>
      </w:tr>
      <w:tr w:rsidR="00B67DFC" w:rsidRPr="00B67DFC" w14:paraId="342E3423" w14:textId="77777777" w:rsidTr="00070CA0">
        <w:trPr>
          <w:trHeight w:val="544"/>
        </w:trPr>
        <w:tc>
          <w:tcPr>
            <w:tcW w:w="846" w:type="dxa"/>
            <w:vAlign w:val="center"/>
            <w:hideMark/>
          </w:tcPr>
          <w:p w14:paraId="0834CA7B" w14:textId="77777777" w:rsidR="00B67DFC" w:rsidRPr="00B67DFC" w:rsidRDefault="00B67DFC" w:rsidP="008349F0">
            <w:pPr>
              <w:spacing w:after="0"/>
              <w:ind w:firstLine="0"/>
              <w:jc w:val="center"/>
              <w:rPr>
                <w:bCs/>
                <w:sz w:val="20"/>
              </w:rPr>
            </w:pPr>
            <w:r w:rsidRPr="00B67DFC">
              <w:rPr>
                <w:bCs/>
                <w:sz w:val="20"/>
              </w:rPr>
              <w:t>4.</w:t>
            </w:r>
          </w:p>
        </w:tc>
        <w:tc>
          <w:tcPr>
            <w:tcW w:w="8215" w:type="dxa"/>
            <w:vAlign w:val="center"/>
            <w:hideMark/>
          </w:tcPr>
          <w:p w14:paraId="6C487E9D" w14:textId="77777777" w:rsidR="00B67DFC" w:rsidRPr="00B67DFC" w:rsidRDefault="00B67DFC" w:rsidP="008349F0">
            <w:pPr>
              <w:spacing w:after="0"/>
              <w:ind w:firstLine="0"/>
              <w:jc w:val="left"/>
              <w:rPr>
                <w:bCs/>
                <w:sz w:val="20"/>
              </w:rPr>
            </w:pPr>
            <w:r w:rsidRPr="00B67DFC">
              <w:rPr>
                <w:bCs/>
                <w:sz w:val="20"/>
              </w:rPr>
              <w:t>Latvijas Universitāte</w:t>
            </w:r>
          </w:p>
        </w:tc>
      </w:tr>
      <w:tr w:rsidR="00B67DFC" w:rsidRPr="00B67DFC" w14:paraId="3BD67204" w14:textId="77777777" w:rsidTr="00070CA0">
        <w:trPr>
          <w:trHeight w:val="549"/>
        </w:trPr>
        <w:tc>
          <w:tcPr>
            <w:tcW w:w="846" w:type="dxa"/>
            <w:vAlign w:val="center"/>
            <w:hideMark/>
          </w:tcPr>
          <w:p w14:paraId="6B92FA27" w14:textId="77777777" w:rsidR="00B67DFC" w:rsidRPr="00B67DFC" w:rsidRDefault="00B67DFC" w:rsidP="008349F0">
            <w:pPr>
              <w:spacing w:after="0"/>
              <w:ind w:firstLine="0"/>
              <w:jc w:val="center"/>
              <w:rPr>
                <w:bCs/>
                <w:sz w:val="20"/>
              </w:rPr>
            </w:pPr>
            <w:r w:rsidRPr="00B67DFC">
              <w:rPr>
                <w:bCs/>
                <w:sz w:val="20"/>
              </w:rPr>
              <w:t>5.</w:t>
            </w:r>
          </w:p>
        </w:tc>
        <w:tc>
          <w:tcPr>
            <w:tcW w:w="8215" w:type="dxa"/>
            <w:vAlign w:val="center"/>
            <w:hideMark/>
          </w:tcPr>
          <w:p w14:paraId="0093A967" w14:textId="77777777" w:rsidR="00B67DFC" w:rsidRPr="00B67DFC" w:rsidRDefault="00B67DFC" w:rsidP="008349F0">
            <w:pPr>
              <w:spacing w:after="0"/>
              <w:ind w:firstLine="0"/>
              <w:jc w:val="left"/>
              <w:rPr>
                <w:bCs/>
                <w:sz w:val="20"/>
              </w:rPr>
            </w:pPr>
            <w:r w:rsidRPr="00B67DFC">
              <w:rPr>
                <w:bCs/>
                <w:sz w:val="20"/>
              </w:rPr>
              <w:t>Rēzeknes Tehnoloģiju akadēmija</w:t>
            </w:r>
          </w:p>
        </w:tc>
      </w:tr>
      <w:tr w:rsidR="00B67DFC" w:rsidRPr="00B67DFC" w14:paraId="17F41C15" w14:textId="77777777" w:rsidTr="00070CA0">
        <w:trPr>
          <w:trHeight w:val="570"/>
        </w:trPr>
        <w:tc>
          <w:tcPr>
            <w:tcW w:w="846" w:type="dxa"/>
            <w:vAlign w:val="center"/>
            <w:hideMark/>
          </w:tcPr>
          <w:p w14:paraId="2CE0D3A1" w14:textId="77777777" w:rsidR="00B67DFC" w:rsidRPr="00B67DFC" w:rsidRDefault="00B67DFC" w:rsidP="008349F0">
            <w:pPr>
              <w:spacing w:after="0"/>
              <w:ind w:firstLine="0"/>
              <w:jc w:val="center"/>
              <w:rPr>
                <w:bCs/>
                <w:sz w:val="20"/>
              </w:rPr>
            </w:pPr>
            <w:r w:rsidRPr="00B67DFC">
              <w:rPr>
                <w:bCs/>
                <w:sz w:val="20"/>
              </w:rPr>
              <w:t>6.</w:t>
            </w:r>
          </w:p>
        </w:tc>
        <w:tc>
          <w:tcPr>
            <w:tcW w:w="8215" w:type="dxa"/>
            <w:vAlign w:val="center"/>
            <w:hideMark/>
          </w:tcPr>
          <w:p w14:paraId="48239411" w14:textId="77777777" w:rsidR="00B67DFC" w:rsidRPr="00B67DFC" w:rsidRDefault="00B67DFC" w:rsidP="008349F0">
            <w:pPr>
              <w:spacing w:after="0"/>
              <w:ind w:firstLine="0"/>
              <w:jc w:val="left"/>
              <w:rPr>
                <w:bCs/>
                <w:sz w:val="20"/>
              </w:rPr>
            </w:pPr>
            <w:r w:rsidRPr="00B67DFC">
              <w:rPr>
                <w:bCs/>
                <w:sz w:val="20"/>
              </w:rPr>
              <w:t>Rīgas Tehniskā universitāte</w:t>
            </w:r>
          </w:p>
        </w:tc>
      </w:tr>
      <w:tr w:rsidR="00B67DFC" w:rsidRPr="00B67DFC" w14:paraId="7A9EE7F6" w14:textId="77777777" w:rsidTr="00070CA0">
        <w:trPr>
          <w:trHeight w:val="564"/>
        </w:trPr>
        <w:tc>
          <w:tcPr>
            <w:tcW w:w="846" w:type="dxa"/>
            <w:vAlign w:val="center"/>
            <w:hideMark/>
          </w:tcPr>
          <w:p w14:paraId="0AE6052F" w14:textId="77777777" w:rsidR="00B67DFC" w:rsidRPr="00B67DFC" w:rsidRDefault="00B67DFC" w:rsidP="008349F0">
            <w:pPr>
              <w:spacing w:after="0"/>
              <w:ind w:firstLine="0"/>
              <w:jc w:val="center"/>
              <w:rPr>
                <w:bCs/>
                <w:sz w:val="20"/>
              </w:rPr>
            </w:pPr>
            <w:r w:rsidRPr="00B67DFC">
              <w:rPr>
                <w:bCs/>
                <w:sz w:val="20"/>
              </w:rPr>
              <w:t>7.</w:t>
            </w:r>
          </w:p>
        </w:tc>
        <w:tc>
          <w:tcPr>
            <w:tcW w:w="8215" w:type="dxa"/>
            <w:vAlign w:val="center"/>
            <w:hideMark/>
          </w:tcPr>
          <w:p w14:paraId="35618E5A" w14:textId="77777777" w:rsidR="00B67DFC" w:rsidRPr="00B67DFC" w:rsidRDefault="00B67DFC" w:rsidP="008349F0">
            <w:pPr>
              <w:spacing w:after="0"/>
              <w:ind w:firstLine="0"/>
              <w:jc w:val="left"/>
              <w:rPr>
                <w:bCs/>
                <w:sz w:val="20"/>
              </w:rPr>
            </w:pPr>
            <w:r w:rsidRPr="00B67DFC">
              <w:rPr>
                <w:bCs/>
                <w:sz w:val="20"/>
              </w:rPr>
              <w:t>Ventspils Augstskola</w:t>
            </w:r>
          </w:p>
        </w:tc>
      </w:tr>
      <w:tr w:rsidR="00B67DFC" w:rsidRPr="00B67DFC" w14:paraId="7BD1A5C6" w14:textId="77777777" w:rsidTr="00070CA0">
        <w:trPr>
          <w:trHeight w:val="545"/>
        </w:trPr>
        <w:tc>
          <w:tcPr>
            <w:tcW w:w="846" w:type="dxa"/>
            <w:vAlign w:val="center"/>
            <w:hideMark/>
          </w:tcPr>
          <w:p w14:paraId="3D35BD55" w14:textId="77777777" w:rsidR="00B67DFC" w:rsidRPr="00B67DFC" w:rsidRDefault="00B67DFC" w:rsidP="008349F0">
            <w:pPr>
              <w:spacing w:after="0"/>
              <w:ind w:firstLine="0"/>
              <w:jc w:val="center"/>
              <w:rPr>
                <w:bCs/>
                <w:sz w:val="20"/>
              </w:rPr>
            </w:pPr>
            <w:r w:rsidRPr="00B67DFC">
              <w:rPr>
                <w:bCs/>
                <w:sz w:val="20"/>
              </w:rPr>
              <w:t>8.</w:t>
            </w:r>
          </w:p>
        </w:tc>
        <w:tc>
          <w:tcPr>
            <w:tcW w:w="8215" w:type="dxa"/>
            <w:vAlign w:val="center"/>
            <w:hideMark/>
          </w:tcPr>
          <w:p w14:paraId="51AD2E2F" w14:textId="77777777" w:rsidR="00B67DFC" w:rsidRPr="00B67DFC" w:rsidRDefault="00B67DFC" w:rsidP="008349F0">
            <w:pPr>
              <w:spacing w:after="0"/>
              <w:ind w:firstLine="0"/>
              <w:jc w:val="left"/>
              <w:rPr>
                <w:bCs/>
                <w:sz w:val="20"/>
              </w:rPr>
            </w:pPr>
            <w:r w:rsidRPr="00B67DFC">
              <w:rPr>
                <w:bCs/>
                <w:sz w:val="20"/>
              </w:rPr>
              <w:t>Vidzemes Augstskola</w:t>
            </w:r>
          </w:p>
        </w:tc>
      </w:tr>
      <w:tr w:rsidR="00B67DFC" w:rsidRPr="00B67DFC" w14:paraId="07665F72" w14:textId="77777777" w:rsidTr="00070CA0">
        <w:trPr>
          <w:trHeight w:val="481"/>
        </w:trPr>
        <w:tc>
          <w:tcPr>
            <w:tcW w:w="846" w:type="dxa"/>
            <w:vAlign w:val="center"/>
            <w:hideMark/>
          </w:tcPr>
          <w:p w14:paraId="34D1A1EE" w14:textId="77777777" w:rsidR="00B67DFC" w:rsidRPr="00B67DFC" w:rsidRDefault="00B67DFC" w:rsidP="008349F0">
            <w:pPr>
              <w:spacing w:after="0"/>
              <w:ind w:firstLine="0"/>
              <w:jc w:val="center"/>
              <w:rPr>
                <w:bCs/>
                <w:sz w:val="20"/>
              </w:rPr>
            </w:pPr>
            <w:r w:rsidRPr="00B67DFC">
              <w:rPr>
                <w:bCs/>
                <w:sz w:val="20"/>
              </w:rPr>
              <w:t>9.</w:t>
            </w:r>
          </w:p>
        </w:tc>
        <w:tc>
          <w:tcPr>
            <w:tcW w:w="8215" w:type="dxa"/>
            <w:vAlign w:val="center"/>
            <w:hideMark/>
          </w:tcPr>
          <w:p w14:paraId="693DEAD2" w14:textId="77777777" w:rsidR="00B67DFC" w:rsidRPr="00B67DFC" w:rsidRDefault="00B67DFC" w:rsidP="008349F0">
            <w:pPr>
              <w:spacing w:after="0"/>
              <w:ind w:firstLine="0"/>
              <w:jc w:val="left"/>
              <w:rPr>
                <w:bCs/>
                <w:sz w:val="20"/>
              </w:rPr>
            </w:pPr>
            <w:r w:rsidRPr="00B67DFC">
              <w:rPr>
                <w:bCs/>
                <w:sz w:val="20"/>
              </w:rPr>
              <w:t>Latvijas Zinātņu akadēmija</w:t>
            </w:r>
          </w:p>
        </w:tc>
      </w:tr>
      <w:tr w:rsidR="00B67DFC" w:rsidRPr="00B67DFC" w14:paraId="421CF6DD" w14:textId="77777777" w:rsidTr="00070CA0">
        <w:trPr>
          <w:trHeight w:val="559"/>
        </w:trPr>
        <w:tc>
          <w:tcPr>
            <w:tcW w:w="846" w:type="dxa"/>
            <w:vAlign w:val="center"/>
            <w:hideMark/>
          </w:tcPr>
          <w:p w14:paraId="7D685421" w14:textId="77777777" w:rsidR="00B67DFC" w:rsidRPr="00B67DFC" w:rsidRDefault="00B67DFC" w:rsidP="008349F0">
            <w:pPr>
              <w:spacing w:after="0"/>
              <w:ind w:firstLine="0"/>
              <w:jc w:val="center"/>
              <w:rPr>
                <w:bCs/>
                <w:sz w:val="20"/>
              </w:rPr>
            </w:pPr>
            <w:r w:rsidRPr="00B67DFC">
              <w:rPr>
                <w:bCs/>
                <w:sz w:val="20"/>
              </w:rPr>
              <w:t>10.</w:t>
            </w:r>
          </w:p>
        </w:tc>
        <w:tc>
          <w:tcPr>
            <w:tcW w:w="8215" w:type="dxa"/>
            <w:vAlign w:val="center"/>
            <w:hideMark/>
          </w:tcPr>
          <w:p w14:paraId="26706D47" w14:textId="77777777" w:rsidR="00B67DFC" w:rsidRPr="00B67DFC" w:rsidRDefault="00B67DFC" w:rsidP="008349F0">
            <w:pPr>
              <w:spacing w:after="0"/>
              <w:ind w:firstLine="0"/>
              <w:jc w:val="left"/>
              <w:rPr>
                <w:bCs/>
                <w:sz w:val="20"/>
              </w:rPr>
            </w:pPr>
            <w:r w:rsidRPr="00B67DFC">
              <w:rPr>
                <w:bCs/>
                <w:sz w:val="20"/>
              </w:rPr>
              <w:t>Latvijas Organiskās sintēzes institūts</w:t>
            </w:r>
          </w:p>
        </w:tc>
      </w:tr>
      <w:tr w:rsidR="00B67DFC" w:rsidRPr="00B67DFC" w14:paraId="238E66DE" w14:textId="77777777" w:rsidTr="00070CA0">
        <w:trPr>
          <w:trHeight w:val="502"/>
        </w:trPr>
        <w:tc>
          <w:tcPr>
            <w:tcW w:w="846" w:type="dxa"/>
            <w:vAlign w:val="center"/>
            <w:hideMark/>
          </w:tcPr>
          <w:p w14:paraId="6C374D5B" w14:textId="77777777" w:rsidR="00B67DFC" w:rsidRPr="00B67DFC" w:rsidRDefault="00B67DFC" w:rsidP="008349F0">
            <w:pPr>
              <w:spacing w:after="0"/>
              <w:ind w:firstLine="0"/>
              <w:jc w:val="center"/>
              <w:rPr>
                <w:bCs/>
                <w:sz w:val="20"/>
              </w:rPr>
            </w:pPr>
            <w:r w:rsidRPr="00B67DFC">
              <w:rPr>
                <w:bCs/>
                <w:sz w:val="20"/>
              </w:rPr>
              <w:t>11.</w:t>
            </w:r>
          </w:p>
        </w:tc>
        <w:tc>
          <w:tcPr>
            <w:tcW w:w="8215" w:type="dxa"/>
            <w:vAlign w:val="center"/>
            <w:hideMark/>
          </w:tcPr>
          <w:p w14:paraId="209F8A6E" w14:textId="77777777" w:rsidR="00B67DFC" w:rsidRPr="00B67DFC" w:rsidRDefault="00B67DFC" w:rsidP="008349F0">
            <w:pPr>
              <w:spacing w:after="0"/>
              <w:ind w:firstLine="0"/>
              <w:jc w:val="left"/>
              <w:rPr>
                <w:bCs/>
                <w:sz w:val="20"/>
              </w:rPr>
            </w:pPr>
            <w:r w:rsidRPr="00B67DFC">
              <w:rPr>
                <w:bCs/>
                <w:sz w:val="20"/>
              </w:rPr>
              <w:t>Latvijas Valsts koksnes ķīmijas institūts</w:t>
            </w:r>
          </w:p>
        </w:tc>
      </w:tr>
      <w:tr w:rsidR="00B67DFC" w:rsidRPr="00B67DFC" w14:paraId="4625ECC7" w14:textId="77777777" w:rsidTr="00070CA0">
        <w:trPr>
          <w:trHeight w:val="552"/>
        </w:trPr>
        <w:tc>
          <w:tcPr>
            <w:tcW w:w="846" w:type="dxa"/>
            <w:vAlign w:val="center"/>
            <w:hideMark/>
          </w:tcPr>
          <w:p w14:paraId="290D2260" w14:textId="77777777" w:rsidR="00B67DFC" w:rsidRPr="00B67DFC" w:rsidRDefault="00B67DFC" w:rsidP="008349F0">
            <w:pPr>
              <w:spacing w:after="0"/>
              <w:ind w:firstLine="0"/>
              <w:jc w:val="center"/>
              <w:rPr>
                <w:bCs/>
                <w:sz w:val="20"/>
              </w:rPr>
            </w:pPr>
            <w:r w:rsidRPr="00B67DFC">
              <w:rPr>
                <w:bCs/>
                <w:sz w:val="20"/>
              </w:rPr>
              <w:t>12.</w:t>
            </w:r>
          </w:p>
        </w:tc>
        <w:tc>
          <w:tcPr>
            <w:tcW w:w="8215" w:type="dxa"/>
            <w:vAlign w:val="center"/>
            <w:hideMark/>
          </w:tcPr>
          <w:p w14:paraId="77EC7A8A" w14:textId="77777777" w:rsidR="00B67DFC" w:rsidRPr="00B67DFC" w:rsidRDefault="00B67DFC" w:rsidP="008349F0">
            <w:pPr>
              <w:spacing w:after="0"/>
              <w:ind w:firstLine="0"/>
              <w:jc w:val="left"/>
              <w:rPr>
                <w:bCs/>
                <w:sz w:val="20"/>
              </w:rPr>
            </w:pPr>
            <w:r w:rsidRPr="00B67DFC">
              <w:rPr>
                <w:bCs/>
                <w:sz w:val="20"/>
              </w:rPr>
              <w:t>Fizikālās enerģētikas institūts</w:t>
            </w:r>
          </w:p>
        </w:tc>
      </w:tr>
      <w:tr w:rsidR="00B67DFC" w:rsidRPr="00B67DFC" w14:paraId="33CF7C24" w14:textId="77777777" w:rsidTr="00070CA0">
        <w:trPr>
          <w:trHeight w:val="545"/>
        </w:trPr>
        <w:tc>
          <w:tcPr>
            <w:tcW w:w="846" w:type="dxa"/>
            <w:vAlign w:val="center"/>
            <w:hideMark/>
          </w:tcPr>
          <w:p w14:paraId="37F976D2" w14:textId="77777777" w:rsidR="00B67DFC" w:rsidRPr="00B67DFC" w:rsidRDefault="00B67DFC" w:rsidP="008349F0">
            <w:pPr>
              <w:spacing w:after="0"/>
              <w:ind w:firstLine="0"/>
              <w:jc w:val="center"/>
              <w:rPr>
                <w:bCs/>
                <w:sz w:val="20"/>
              </w:rPr>
            </w:pPr>
            <w:r w:rsidRPr="00B67DFC">
              <w:rPr>
                <w:bCs/>
                <w:sz w:val="20"/>
              </w:rPr>
              <w:t>13.</w:t>
            </w:r>
          </w:p>
        </w:tc>
        <w:tc>
          <w:tcPr>
            <w:tcW w:w="8215" w:type="dxa"/>
            <w:vAlign w:val="center"/>
            <w:hideMark/>
          </w:tcPr>
          <w:p w14:paraId="785018AC" w14:textId="77777777" w:rsidR="00B67DFC" w:rsidRPr="00B67DFC" w:rsidRDefault="00B67DFC" w:rsidP="008349F0">
            <w:pPr>
              <w:spacing w:after="0"/>
              <w:ind w:firstLine="0"/>
              <w:jc w:val="left"/>
              <w:rPr>
                <w:bCs/>
                <w:sz w:val="20"/>
              </w:rPr>
            </w:pPr>
            <w:r w:rsidRPr="00B67DFC">
              <w:rPr>
                <w:bCs/>
                <w:sz w:val="20"/>
              </w:rPr>
              <w:t xml:space="preserve">Latvijas </w:t>
            </w:r>
            <w:proofErr w:type="spellStart"/>
            <w:r w:rsidRPr="00B67DFC">
              <w:rPr>
                <w:bCs/>
                <w:sz w:val="20"/>
              </w:rPr>
              <w:t>Biomedicīnas</w:t>
            </w:r>
            <w:proofErr w:type="spellEnd"/>
            <w:r w:rsidRPr="00B67DFC">
              <w:rPr>
                <w:bCs/>
                <w:sz w:val="20"/>
              </w:rPr>
              <w:t xml:space="preserve"> pētījumu un studiju centrs</w:t>
            </w:r>
          </w:p>
        </w:tc>
      </w:tr>
      <w:tr w:rsidR="00B67DFC" w:rsidRPr="00B67DFC" w14:paraId="1D67F809" w14:textId="77777777" w:rsidTr="00070CA0">
        <w:trPr>
          <w:trHeight w:val="567"/>
        </w:trPr>
        <w:tc>
          <w:tcPr>
            <w:tcW w:w="846" w:type="dxa"/>
            <w:tcBorders>
              <w:bottom w:val="single" w:sz="4" w:space="0" w:color="auto"/>
            </w:tcBorders>
            <w:vAlign w:val="center"/>
            <w:hideMark/>
          </w:tcPr>
          <w:p w14:paraId="39DA3C15" w14:textId="77777777" w:rsidR="00B67DFC" w:rsidRPr="00B67DFC" w:rsidRDefault="00B67DFC" w:rsidP="008349F0">
            <w:pPr>
              <w:spacing w:after="0"/>
              <w:ind w:firstLine="0"/>
              <w:jc w:val="center"/>
              <w:rPr>
                <w:bCs/>
                <w:sz w:val="20"/>
              </w:rPr>
            </w:pPr>
            <w:r w:rsidRPr="00B67DFC">
              <w:rPr>
                <w:bCs/>
                <w:sz w:val="20"/>
              </w:rPr>
              <w:t>14.</w:t>
            </w:r>
          </w:p>
        </w:tc>
        <w:tc>
          <w:tcPr>
            <w:tcW w:w="8215" w:type="dxa"/>
            <w:tcBorders>
              <w:bottom w:val="single" w:sz="4" w:space="0" w:color="auto"/>
            </w:tcBorders>
            <w:vAlign w:val="center"/>
            <w:hideMark/>
          </w:tcPr>
          <w:p w14:paraId="043FC4A7" w14:textId="77777777" w:rsidR="00B67DFC" w:rsidRPr="00B67DFC" w:rsidRDefault="00B67DFC" w:rsidP="008349F0">
            <w:pPr>
              <w:spacing w:after="0"/>
              <w:ind w:firstLine="0"/>
              <w:jc w:val="left"/>
              <w:rPr>
                <w:bCs/>
                <w:sz w:val="20"/>
              </w:rPr>
            </w:pPr>
            <w:r w:rsidRPr="00B67DFC">
              <w:rPr>
                <w:bCs/>
                <w:sz w:val="20"/>
              </w:rPr>
              <w:t>Elektronikas un datorzinātņu institūts</w:t>
            </w:r>
          </w:p>
        </w:tc>
      </w:tr>
      <w:tr w:rsidR="00B67DFC" w:rsidRPr="00B67DFC" w14:paraId="531A2516" w14:textId="77777777" w:rsidTr="00070CA0">
        <w:trPr>
          <w:trHeight w:val="413"/>
        </w:trPr>
        <w:tc>
          <w:tcPr>
            <w:tcW w:w="846" w:type="dxa"/>
            <w:tcBorders>
              <w:top w:val="single" w:sz="4" w:space="0" w:color="auto"/>
              <w:left w:val="single" w:sz="4" w:space="0" w:color="auto"/>
              <w:bottom w:val="single" w:sz="4" w:space="0" w:color="auto"/>
              <w:right w:val="nil"/>
            </w:tcBorders>
            <w:shd w:val="clear" w:color="auto" w:fill="DEEAF6"/>
            <w:hideMark/>
          </w:tcPr>
          <w:p w14:paraId="38A3420B" w14:textId="77777777" w:rsidR="00B67DFC" w:rsidRPr="00B67DFC" w:rsidRDefault="00B67DFC" w:rsidP="008349F0">
            <w:pPr>
              <w:spacing w:after="0"/>
              <w:ind w:firstLine="0"/>
              <w:jc w:val="center"/>
              <w:rPr>
                <w:bCs/>
                <w:sz w:val="20"/>
              </w:rPr>
            </w:pPr>
          </w:p>
        </w:tc>
        <w:tc>
          <w:tcPr>
            <w:tcW w:w="8215" w:type="dxa"/>
            <w:tcBorders>
              <w:top w:val="single" w:sz="4" w:space="0" w:color="auto"/>
              <w:left w:val="nil"/>
              <w:bottom w:val="single" w:sz="4" w:space="0" w:color="auto"/>
              <w:right w:val="single" w:sz="4" w:space="0" w:color="auto"/>
            </w:tcBorders>
            <w:shd w:val="clear" w:color="auto" w:fill="DEEAF6"/>
            <w:vAlign w:val="center"/>
            <w:hideMark/>
          </w:tcPr>
          <w:p w14:paraId="6A29727D" w14:textId="77777777" w:rsidR="00B67DFC" w:rsidRPr="00B67DFC" w:rsidRDefault="00B67DFC" w:rsidP="008349F0">
            <w:pPr>
              <w:spacing w:after="0"/>
              <w:ind w:firstLine="2299"/>
              <w:jc w:val="left"/>
              <w:rPr>
                <w:b/>
                <w:bCs/>
                <w:sz w:val="20"/>
              </w:rPr>
            </w:pPr>
            <w:r w:rsidRPr="00B67DFC">
              <w:rPr>
                <w:b/>
                <w:bCs/>
                <w:sz w:val="20"/>
              </w:rPr>
              <w:t>Zemkopības ministrija</w:t>
            </w:r>
          </w:p>
        </w:tc>
      </w:tr>
      <w:tr w:rsidR="00B67DFC" w:rsidRPr="00B67DFC" w14:paraId="28636E40" w14:textId="77777777" w:rsidTr="00070CA0">
        <w:trPr>
          <w:trHeight w:val="560"/>
        </w:trPr>
        <w:tc>
          <w:tcPr>
            <w:tcW w:w="846" w:type="dxa"/>
            <w:tcBorders>
              <w:top w:val="single" w:sz="4" w:space="0" w:color="auto"/>
            </w:tcBorders>
            <w:vAlign w:val="center"/>
            <w:hideMark/>
          </w:tcPr>
          <w:p w14:paraId="2D0DAA9D" w14:textId="77777777" w:rsidR="00B67DFC" w:rsidRPr="00B67DFC" w:rsidRDefault="00B67DFC" w:rsidP="008349F0">
            <w:pPr>
              <w:spacing w:after="0"/>
              <w:ind w:firstLine="0"/>
              <w:jc w:val="center"/>
              <w:rPr>
                <w:bCs/>
                <w:sz w:val="20"/>
              </w:rPr>
            </w:pPr>
            <w:r w:rsidRPr="00B67DFC">
              <w:rPr>
                <w:bCs/>
                <w:sz w:val="20"/>
              </w:rPr>
              <w:t>15.</w:t>
            </w:r>
          </w:p>
        </w:tc>
        <w:tc>
          <w:tcPr>
            <w:tcW w:w="8215" w:type="dxa"/>
            <w:tcBorders>
              <w:top w:val="single" w:sz="4" w:space="0" w:color="auto"/>
            </w:tcBorders>
            <w:vAlign w:val="center"/>
            <w:hideMark/>
          </w:tcPr>
          <w:p w14:paraId="005718EA" w14:textId="77777777" w:rsidR="00B67DFC" w:rsidRPr="00B67DFC" w:rsidRDefault="00B67DFC" w:rsidP="008349F0">
            <w:pPr>
              <w:spacing w:after="0"/>
              <w:ind w:firstLine="0"/>
              <w:jc w:val="left"/>
              <w:rPr>
                <w:bCs/>
                <w:sz w:val="20"/>
              </w:rPr>
            </w:pPr>
            <w:r w:rsidRPr="00B67DFC">
              <w:rPr>
                <w:bCs/>
                <w:sz w:val="20"/>
              </w:rPr>
              <w:t xml:space="preserve">LBTU </w:t>
            </w:r>
            <w:proofErr w:type="spellStart"/>
            <w:r w:rsidRPr="00B67DFC">
              <w:rPr>
                <w:bCs/>
                <w:sz w:val="20"/>
              </w:rPr>
              <w:t>Agroresursu</w:t>
            </w:r>
            <w:proofErr w:type="spellEnd"/>
            <w:r w:rsidRPr="00B67DFC">
              <w:rPr>
                <w:bCs/>
                <w:sz w:val="20"/>
              </w:rPr>
              <w:t xml:space="preserve"> un ekonomikas institūts</w:t>
            </w:r>
          </w:p>
        </w:tc>
      </w:tr>
      <w:tr w:rsidR="00B67DFC" w:rsidRPr="00B67DFC" w14:paraId="5317EAAA" w14:textId="77777777" w:rsidTr="00070CA0">
        <w:trPr>
          <w:trHeight w:val="330"/>
        </w:trPr>
        <w:tc>
          <w:tcPr>
            <w:tcW w:w="846" w:type="dxa"/>
            <w:vAlign w:val="center"/>
            <w:hideMark/>
          </w:tcPr>
          <w:p w14:paraId="09894B4C" w14:textId="77777777" w:rsidR="00B67DFC" w:rsidRPr="00B67DFC" w:rsidRDefault="00B67DFC" w:rsidP="008349F0">
            <w:pPr>
              <w:spacing w:after="0"/>
              <w:ind w:firstLine="0"/>
              <w:jc w:val="center"/>
              <w:rPr>
                <w:bCs/>
                <w:sz w:val="20"/>
              </w:rPr>
            </w:pPr>
            <w:r w:rsidRPr="00B67DFC">
              <w:rPr>
                <w:bCs/>
                <w:sz w:val="20"/>
              </w:rPr>
              <w:t>16.</w:t>
            </w:r>
          </w:p>
        </w:tc>
        <w:tc>
          <w:tcPr>
            <w:tcW w:w="8215" w:type="dxa"/>
            <w:vAlign w:val="center"/>
            <w:hideMark/>
          </w:tcPr>
          <w:p w14:paraId="731A4D64" w14:textId="77777777" w:rsidR="00B67DFC" w:rsidRPr="00B67DFC" w:rsidRDefault="00B67DFC" w:rsidP="008349F0">
            <w:pPr>
              <w:spacing w:after="0"/>
              <w:ind w:firstLine="0"/>
              <w:jc w:val="left"/>
              <w:rPr>
                <w:bCs/>
                <w:sz w:val="20"/>
              </w:rPr>
            </w:pPr>
            <w:r w:rsidRPr="00B67DFC">
              <w:rPr>
                <w:bCs/>
                <w:sz w:val="20"/>
              </w:rPr>
              <w:t>Valsts zinātniskais institūts “Pārtikas drošības, dzīvnieku veselības un vides zinātniskais institūts BIOR””</w:t>
            </w:r>
          </w:p>
        </w:tc>
      </w:tr>
      <w:tr w:rsidR="00B67DFC" w:rsidRPr="00B67DFC" w14:paraId="6AE2ADA2" w14:textId="77777777" w:rsidTr="00070CA0">
        <w:trPr>
          <w:trHeight w:val="549"/>
        </w:trPr>
        <w:tc>
          <w:tcPr>
            <w:tcW w:w="846" w:type="dxa"/>
            <w:vAlign w:val="center"/>
            <w:hideMark/>
          </w:tcPr>
          <w:p w14:paraId="579266FB" w14:textId="77777777" w:rsidR="00B67DFC" w:rsidRPr="00B67DFC" w:rsidRDefault="00B67DFC" w:rsidP="008349F0">
            <w:pPr>
              <w:spacing w:after="0"/>
              <w:ind w:firstLine="0"/>
              <w:jc w:val="center"/>
              <w:rPr>
                <w:bCs/>
                <w:sz w:val="20"/>
              </w:rPr>
            </w:pPr>
            <w:r w:rsidRPr="00B67DFC">
              <w:rPr>
                <w:bCs/>
                <w:sz w:val="20"/>
              </w:rPr>
              <w:t>17.</w:t>
            </w:r>
          </w:p>
        </w:tc>
        <w:tc>
          <w:tcPr>
            <w:tcW w:w="8215" w:type="dxa"/>
            <w:vAlign w:val="center"/>
            <w:hideMark/>
          </w:tcPr>
          <w:p w14:paraId="26858241" w14:textId="77777777" w:rsidR="00B67DFC" w:rsidRPr="00B67DFC" w:rsidRDefault="00B67DFC" w:rsidP="008349F0">
            <w:pPr>
              <w:spacing w:after="0"/>
              <w:ind w:firstLine="0"/>
              <w:jc w:val="left"/>
              <w:rPr>
                <w:bCs/>
                <w:sz w:val="20"/>
              </w:rPr>
            </w:pPr>
            <w:r w:rsidRPr="00B67DFC">
              <w:rPr>
                <w:bCs/>
                <w:sz w:val="20"/>
              </w:rPr>
              <w:t>LBTU Dārzkopības institūts</w:t>
            </w:r>
          </w:p>
        </w:tc>
      </w:tr>
      <w:tr w:rsidR="00B67DFC" w:rsidRPr="00B67DFC" w14:paraId="0A5C31F2" w14:textId="77777777" w:rsidTr="00070CA0">
        <w:trPr>
          <w:trHeight w:val="570"/>
        </w:trPr>
        <w:tc>
          <w:tcPr>
            <w:tcW w:w="846" w:type="dxa"/>
            <w:vAlign w:val="center"/>
            <w:hideMark/>
          </w:tcPr>
          <w:p w14:paraId="152C1EA2" w14:textId="77777777" w:rsidR="00B67DFC" w:rsidRPr="00B67DFC" w:rsidRDefault="00B67DFC" w:rsidP="008349F0">
            <w:pPr>
              <w:spacing w:after="0"/>
              <w:ind w:firstLine="0"/>
              <w:jc w:val="center"/>
              <w:rPr>
                <w:bCs/>
                <w:sz w:val="20"/>
              </w:rPr>
            </w:pPr>
            <w:r w:rsidRPr="00B67DFC">
              <w:rPr>
                <w:bCs/>
                <w:sz w:val="20"/>
              </w:rPr>
              <w:lastRenderedPageBreak/>
              <w:t>18.</w:t>
            </w:r>
          </w:p>
        </w:tc>
        <w:tc>
          <w:tcPr>
            <w:tcW w:w="8215" w:type="dxa"/>
            <w:vAlign w:val="center"/>
            <w:hideMark/>
          </w:tcPr>
          <w:p w14:paraId="589FED37" w14:textId="77777777" w:rsidR="00B67DFC" w:rsidRPr="00B67DFC" w:rsidRDefault="00B67DFC" w:rsidP="008349F0">
            <w:pPr>
              <w:spacing w:after="0"/>
              <w:ind w:firstLine="0"/>
              <w:jc w:val="left"/>
              <w:rPr>
                <w:bCs/>
                <w:sz w:val="20"/>
              </w:rPr>
            </w:pPr>
            <w:r w:rsidRPr="00B67DFC">
              <w:rPr>
                <w:bCs/>
                <w:sz w:val="20"/>
              </w:rPr>
              <w:t xml:space="preserve">Latvijas </w:t>
            </w:r>
            <w:proofErr w:type="spellStart"/>
            <w:r w:rsidRPr="00B67DFC">
              <w:rPr>
                <w:bCs/>
                <w:sz w:val="20"/>
              </w:rPr>
              <w:t>Biozinātņu</w:t>
            </w:r>
            <w:proofErr w:type="spellEnd"/>
            <w:r w:rsidRPr="00B67DFC">
              <w:rPr>
                <w:bCs/>
                <w:sz w:val="20"/>
              </w:rPr>
              <w:t xml:space="preserve"> un tehnoloģiju universitāte</w:t>
            </w:r>
          </w:p>
        </w:tc>
      </w:tr>
      <w:tr w:rsidR="00B67DFC" w:rsidRPr="00B67DFC" w14:paraId="56ACF2BE" w14:textId="77777777" w:rsidTr="00070CA0">
        <w:trPr>
          <w:trHeight w:val="551"/>
        </w:trPr>
        <w:tc>
          <w:tcPr>
            <w:tcW w:w="846" w:type="dxa"/>
            <w:vAlign w:val="center"/>
            <w:hideMark/>
          </w:tcPr>
          <w:p w14:paraId="0DF4D806" w14:textId="77777777" w:rsidR="00B67DFC" w:rsidRPr="00B67DFC" w:rsidRDefault="00B67DFC" w:rsidP="008349F0">
            <w:pPr>
              <w:spacing w:after="0"/>
              <w:ind w:firstLine="0"/>
              <w:jc w:val="center"/>
              <w:rPr>
                <w:bCs/>
                <w:sz w:val="20"/>
              </w:rPr>
            </w:pPr>
            <w:r w:rsidRPr="00B67DFC">
              <w:rPr>
                <w:bCs/>
                <w:sz w:val="20"/>
              </w:rPr>
              <w:t>19.</w:t>
            </w:r>
          </w:p>
        </w:tc>
        <w:tc>
          <w:tcPr>
            <w:tcW w:w="8215" w:type="dxa"/>
            <w:vAlign w:val="center"/>
            <w:hideMark/>
          </w:tcPr>
          <w:p w14:paraId="0510201F" w14:textId="77777777" w:rsidR="00B67DFC" w:rsidRPr="00B67DFC" w:rsidRDefault="00B67DFC" w:rsidP="008349F0">
            <w:pPr>
              <w:spacing w:after="0"/>
              <w:ind w:firstLine="0"/>
              <w:jc w:val="left"/>
              <w:rPr>
                <w:bCs/>
                <w:sz w:val="20"/>
              </w:rPr>
            </w:pPr>
            <w:r w:rsidRPr="00B67DFC">
              <w:rPr>
                <w:bCs/>
                <w:sz w:val="20"/>
              </w:rPr>
              <w:t>Latvijas Valsts mežzinātnes institūts “Silava”</w:t>
            </w:r>
          </w:p>
        </w:tc>
      </w:tr>
      <w:tr w:rsidR="00B67DFC" w:rsidRPr="00B67DFC" w14:paraId="01CFAF13" w14:textId="77777777" w:rsidTr="00070CA0">
        <w:trPr>
          <w:trHeight w:val="700"/>
        </w:trPr>
        <w:tc>
          <w:tcPr>
            <w:tcW w:w="846" w:type="dxa"/>
            <w:vAlign w:val="center"/>
            <w:hideMark/>
          </w:tcPr>
          <w:p w14:paraId="43E946AE" w14:textId="77777777" w:rsidR="00B67DFC" w:rsidRPr="00B67DFC" w:rsidRDefault="00B67DFC" w:rsidP="008349F0">
            <w:pPr>
              <w:spacing w:after="0"/>
              <w:ind w:firstLine="0"/>
              <w:jc w:val="center"/>
              <w:rPr>
                <w:bCs/>
                <w:sz w:val="20"/>
              </w:rPr>
            </w:pPr>
            <w:r w:rsidRPr="00B67DFC">
              <w:rPr>
                <w:bCs/>
                <w:sz w:val="20"/>
              </w:rPr>
              <w:t>20.</w:t>
            </w:r>
          </w:p>
        </w:tc>
        <w:tc>
          <w:tcPr>
            <w:tcW w:w="8215" w:type="dxa"/>
            <w:vAlign w:val="center"/>
            <w:hideMark/>
          </w:tcPr>
          <w:p w14:paraId="67494B03" w14:textId="77777777" w:rsidR="00B67DFC" w:rsidRPr="00B67DFC" w:rsidRDefault="00B67DFC" w:rsidP="008349F0">
            <w:pPr>
              <w:spacing w:after="0"/>
              <w:ind w:firstLine="0"/>
              <w:jc w:val="left"/>
              <w:rPr>
                <w:bCs/>
                <w:sz w:val="20"/>
              </w:rPr>
            </w:pPr>
            <w:r w:rsidRPr="00B67DFC">
              <w:rPr>
                <w:bCs/>
                <w:sz w:val="20"/>
              </w:rPr>
              <w:t>LVMI Silava un LBTU Valsts zinātniskās izpētes mežu apsaimniekošanas aģentūra "Meža pētīšanas stacija"</w:t>
            </w:r>
          </w:p>
        </w:tc>
      </w:tr>
      <w:tr w:rsidR="00B67DFC" w:rsidRPr="00B67DFC" w14:paraId="0FAA1F78" w14:textId="77777777" w:rsidTr="00070CA0">
        <w:trPr>
          <w:trHeight w:val="427"/>
        </w:trPr>
        <w:tc>
          <w:tcPr>
            <w:tcW w:w="9061" w:type="dxa"/>
            <w:gridSpan w:val="2"/>
            <w:shd w:val="clear" w:color="auto" w:fill="DEEAF6"/>
            <w:vAlign w:val="center"/>
            <w:hideMark/>
          </w:tcPr>
          <w:p w14:paraId="177C1E7B" w14:textId="77777777" w:rsidR="00B67DFC" w:rsidRPr="00B67DFC" w:rsidRDefault="00B67DFC" w:rsidP="008349F0">
            <w:pPr>
              <w:spacing w:after="0"/>
              <w:ind w:firstLine="0"/>
              <w:jc w:val="center"/>
              <w:rPr>
                <w:b/>
                <w:bCs/>
                <w:color w:val="FF0000"/>
                <w:sz w:val="20"/>
              </w:rPr>
            </w:pPr>
            <w:r w:rsidRPr="00B67DFC">
              <w:rPr>
                <w:b/>
                <w:bCs/>
                <w:sz w:val="20"/>
              </w:rPr>
              <w:t>Vides aizsardzības un reģionālās attīstības ministrija</w:t>
            </w:r>
          </w:p>
        </w:tc>
      </w:tr>
      <w:tr w:rsidR="00B67DFC" w:rsidRPr="00B67DFC" w14:paraId="60D0D7E5" w14:textId="77777777" w:rsidTr="00070CA0">
        <w:trPr>
          <w:trHeight w:val="633"/>
        </w:trPr>
        <w:tc>
          <w:tcPr>
            <w:tcW w:w="846" w:type="dxa"/>
            <w:vAlign w:val="center"/>
            <w:hideMark/>
          </w:tcPr>
          <w:p w14:paraId="0C85ED5A" w14:textId="77777777" w:rsidR="00B67DFC" w:rsidRPr="00B67DFC" w:rsidRDefault="00B67DFC" w:rsidP="008349F0">
            <w:pPr>
              <w:spacing w:after="0"/>
              <w:ind w:firstLine="0"/>
              <w:jc w:val="center"/>
              <w:rPr>
                <w:bCs/>
                <w:sz w:val="20"/>
              </w:rPr>
            </w:pPr>
            <w:r w:rsidRPr="00B67DFC">
              <w:rPr>
                <w:bCs/>
                <w:sz w:val="20"/>
              </w:rPr>
              <w:t>21.</w:t>
            </w:r>
          </w:p>
        </w:tc>
        <w:tc>
          <w:tcPr>
            <w:tcW w:w="8215" w:type="dxa"/>
            <w:vAlign w:val="center"/>
            <w:hideMark/>
          </w:tcPr>
          <w:p w14:paraId="08EF565D" w14:textId="77777777" w:rsidR="00B67DFC" w:rsidRPr="00B67DFC" w:rsidRDefault="00B67DFC" w:rsidP="008349F0">
            <w:pPr>
              <w:spacing w:after="0"/>
              <w:ind w:firstLine="0"/>
              <w:jc w:val="left"/>
              <w:rPr>
                <w:bCs/>
                <w:sz w:val="20"/>
              </w:rPr>
            </w:pPr>
            <w:r w:rsidRPr="00B67DFC">
              <w:rPr>
                <w:bCs/>
                <w:sz w:val="20"/>
              </w:rPr>
              <w:t>Zemgales plānošanas reģions</w:t>
            </w:r>
          </w:p>
        </w:tc>
      </w:tr>
      <w:tr w:rsidR="00B67DFC" w:rsidRPr="00B67DFC" w14:paraId="1C33D091" w14:textId="77777777" w:rsidTr="00070CA0">
        <w:trPr>
          <w:trHeight w:val="555"/>
        </w:trPr>
        <w:tc>
          <w:tcPr>
            <w:tcW w:w="846" w:type="dxa"/>
            <w:vAlign w:val="center"/>
            <w:hideMark/>
          </w:tcPr>
          <w:p w14:paraId="46F7492D" w14:textId="77777777" w:rsidR="00B67DFC" w:rsidRPr="00B67DFC" w:rsidRDefault="00B67DFC" w:rsidP="008349F0">
            <w:pPr>
              <w:spacing w:after="0"/>
              <w:ind w:firstLine="0"/>
              <w:jc w:val="center"/>
              <w:rPr>
                <w:bCs/>
                <w:sz w:val="20"/>
              </w:rPr>
            </w:pPr>
            <w:r w:rsidRPr="00B67DFC">
              <w:rPr>
                <w:bCs/>
                <w:sz w:val="20"/>
              </w:rPr>
              <w:t>22.</w:t>
            </w:r>
          </w:p>
        </w:tc>
        <w:tc>
          <w:tcPr>
            <w:tcW w:w="8215" w:type="dxa"/>
            <w:vAlign w:val="center"/>
            <w:hideMark/>
          </w:tcPr>
          <w:p w14:paraId="17BF2D26" w14:textId="77777777" w:rsidR="00B67DFC" w:rsidRPr="00B67DFC" w:rsidRDefault="00B67DFC" w:rsidP="008349F0">
            <w:pPr>
              <w:spacing w:after="0"/>
              <w:ind w:firstLine="0"/>
              <w:jc w:val="left"/>
              <w:rPr>
                <w:bCs/>
                <w:sz w:val="20"/>
              </w:rPr>
            </w:pPr>
            <w:r w:rsidRPr="00B67DFC">
              <w:rPr>
                <w:bCs/>
                <w:sz w:val="20"/>
              </w:rPr>
              <w:t>Vidzemes plānošanas reģions</w:t>
            </w:r>
          </w:p>
        </w:tc>
      </w:tr>
      <w:tr w:rsidR="00B67DFC" w:rsidRPr="00B67DFC" w14:paraId="29ECA47C" w14:textId="77777777" w:rsidTr="00070CA0">
        <w:trPr>
          <w:trHeight w:val="513"/>
        </w:trPr>
        <w:tc>
          <w:tcPr>
            <w:tcW w:w="846" w:type="dxa"/>
            <w:vAlign w:val="center"/>
            <w:hideMark/>
          </w:tcPr>
          <w:p w14:paraId="0AD50247" w14:textId="77777777" w:rsidR="00B67DFC" w:rsidRPr="00B67DFC" w:rsidRDefault="00B67DFC" w:rsidP="008349F0">
            <w:pPr>
              <w:spacing w:after="0"/>
              <w:ind w:firstLine="0"/>
              <w:jc w:val="center"/>
              <w:rPr>
                <w:bCs/>
                <w:sz w:val="20"/>
              </w:rPr>
            </w:pPr>
            <w:r w:rsidRPr="00B67DFC">
              <w:rPr>
                <w:bCs/>
                <w:sz w:val="20"/>
              </w:rPr>
              <w:t>23.</w:t>
            </w:r>
          </w:p>
        </w:tc>
        <w:tc>
          <w:tcPr>
            <w:tcW w:w="8215" w:type="dxa"/>
            <w:vAlign w:val="center"/>
            <w:hideMark/>
          </w:tcPr>
          <w:p w14:paraId="28C508BB" w14:textId="77777777" w:rsidR="00B67DFC" w:rsidRPr="00B67DFC" w:rsidRDefault="00B67DFC" w:rsidP="008349F0">
            <w:pPr>
              <w:spacing w:after="0"/>
              <w:ind w:firstLine="0"/>
              <w:jc w:val="left"/>
              <w:rPr>
                <w:bCs/>
                <w:sz w:val="20"/>
              </w:rPr>
            </w:pPr>
            <w:r w:rsidRPr="00B67DFC">
              <w:rPr>
                <w:bCs/>
                <w:sz w:val="20"/>
              </w:rPr>
              <w:t>Kurzemes plānošanas reģions</w:t>
            </w:r>
          </w:p>
        </w:tc>
      </w:tr>
      <w:tr w:rsidR="00B67DFC" w:rsidRPr="00B67DFC" w14:paraId="02AA431E" w14:textId="77777777" w:rsidTr="00070CA0">
        <w:trPr>
          <w:trHeight w:val="559"/>
        </w:trPr>
        <w:tc>
          <w:tcPr>
            <w:tcW w:w="846" w:type="dxa"/>
            <w:vAlign w:val="center"/>
            <w:hideMark/>
          </w:tcPr>
          <w:p w14:paraId="766EE583" w14:textId="77777777" w:rsidR="00B67DFC" w:rsidRPr="00B67DFC" w:rsidRDefault="00B67DFC" w:rsidP="008349F0">
            <w:pPr>
              <w:spacing w:after="0"/>
              <w:ind w:firstLine="0"/>
              <w:jc w:val="center"/>
              <w:rPr>
                <w:bCs/>
                <w:sz w:val="20"/>
              </w:rPr>
            </w:pPr>
            <w:r w:rsidRPr="00B67DFC">
              <w:rPr>
                <w:bCs/>
                <w:sz w:val="20"/>
              </w:rPr>
              <w:t>24.</w:t>
            </w:r>
          </w:p>
        </w:tc>
        <w:tc>
          <w:tcPr>
            <w:tcW w:w="8215" w:type="dxa"/>
            <w:vAlign w:val="center"/>
            <w:hideMark/>
          </w:tcPr>
          <w:p w14:paraId="1767C2D6" w14:textId="77777777" w:rsidR="00B67DFC" w:rsidRPr="00B67DFC" w:rsidRDefault="00B67DFC" w:rsidP="008349F0">
            <w:pPr>
              <w:spacing w:after="0"/>
              <w:ind w:firstLine="0"/>
              <w:jc w:val="left"/>
              <w:rPr>
                <w:bCs/>
                <w:sz w:val="20"/>
              </w:rPr>
            </w:pPr>
            <w:r w:rsidRPr="00B67DFC">
              <w:rPr>
                <w:bCs/>
                <w:sz w:val="20"/>
              </w:rPr>
              <w:t>Rīgas plānošanas reģions</w:t>
            </w:r>
          </w:p>
        </w:tc>
      </w:tr>
      <w:tr w:rsidR="00B67DFC" w:rsidRPr="00B67DFC" w14:paraId="4B8C993E" w14:textId="77777777" w:rsidTr="00070CA0">
        <w:trPr>
          <w:trHeight w:val="553"/>
        </w:trPr>
        <w:tc>
          <w:tcPr>
            <w:tcW w:w="846" w:type="dxa"/>
            <w:vAlign w:val="center"/>
            <w:hideMark/>
          </w:tcPr>
          <w:p w14:paraId="58DD924A" w14:textId="77777777" w:rsidR="00B67DFC" w:rsidRPr="00B67DFC" w:rsidRDefault="00B67DFC" w:rsidP="008349F0">
            <w:pPr>
              <w:spacing w:after="0"/>
              <w:ind w:firstLine="0"/>
              <w:jc w:val="center"/>
              <w:rPr>
                <w:bCs/>
                <w:sz w:val="20"/>
              </w:rPr>
            </w:pPr>
            <w:r w:rsidRPr="00B67DFC">
              <w:rPr>
                <w:bCs/>
                <w:sz w:val="20"/>
              </w:rPr>
              <w:t>25.</w:t>
            </w:r>
          </w:p>
        </w:tc>
        <w:tc>
          <w:tcPr>
            <w:tcW w:w="8215" w:type="dxa"/>
            <w:vAlign w:val="center"/>
            <w:hideMark/>
          </w:tcPr>
          <w:p w14:paraId="47420A29" w14:textId="77777777" w:rsidR="00B67DFC" w:rsidRPr="00B67DFC" w:rsidRDefault="00B67DFC" w:rsidP="008349F0">
            <w:pPr>
              <w:spacing w:after="0"/>
              <w:ind w:firstLine="0"/>
              <w:jc w:val="left"/>
              <w:rPr>
                <w:bCs/>
                <w:sz w:val="20"/>
              </w:rPr>
            </w:pPr>
            <w:r w:rsidRPr="00B67DFC">
              <w:rPr>
                <w:bCs/>
                <w:sz w:val="20"/>
              </w:rPr>
              <w:t>Latgales plānošanas reģions</w:t>
            </w:r>
          </w:p>
        </w:tc>
      </w:tr>
      <w:tr w:rsidR="00B67DFC" w:rsidRPr="00B67DFC" w14:paraId="2EA3EB12" w14:textId="77777777" w:rsidTr="00070CA0">
        <w:trPr>
          <w:trHeight w:val="559"/>
        </w:trPr>
        <w:tc>
          <w:tcPr>
            <w:tcW w:w="846" w:type="dxa"/>
            <w:vAlign w:val="center"/>
            <w:hideMark/>
          </w:tcPr>
          <w:p w14:paraId="6BDFAAE6" w14:textId="77777777" w:rsidR="00B67DFC" w:rsidRPr="00B67DFC" w:rsidRDefault="00B67DFC" w:rsidP="008349F0">
            <w:pPr>
              <w:spacing w:after="0"/>
              <w:ind w:firstLine="0"/>
              <w:jc w:val="center"/>
              <w:rPr>
                <w:bCs/>
                <w:sz w:val="20"/>
              </w:rPr>
            </w:pPr>
            <w:r w:rsidRPr="00B67DFC">
              <w:rPr>
                <w:bCs/>
                <w:sz w:val="20"/>
              </w:rPr>
              <w:t>26.</w:t>
            </w:r>
          </w:p>
        </w:tc>
        <w:tc>
          <w:tcPr>
            <w:tcW w:w="8215" w:type="dxa"/>
            <w:vAlign w:val="center"/>
            <w:hideMark/>
          </w:tcPr>
          <w:p w14:paraId="7EAC2F6A" w14:textId="77777777" w:rsidR="00B67DFC" w:rsidRPr="00B67DFC" w:rsidRDefault="00B67DFC" w:rsidP="008349F0">
            <w:pPr>
              <w:spacing w:after="0"/>
              <w:ind w:firstLine="0"/>
              <w:jc w:val="left"/>
              <w:rPr>
                <w:bCs/>
                <w:sz w:val="20"/>
              </w:rPr>
            </w:pPr>
            <w:r w:rsidRPr="00B67DFC">
              <w:rPr>
                <w:bCs/>
                <w:sz w:val="20"/>
              </w:rPr>
              <w:t>Nacionālais botāniskais dārzs</w:t>
            </w:r>
          </w:p>
        </w:tc>
      </w:tr>
      <w:tr w:rsidR="00B67DFC" w:rsidRPr="00B67DFC" w14:paraId="36B5FA2B" w14:textId="77777777" w:rsidTr="00070CA0">
        <w:trPr>
          <w:trHeight w:val="413"/>
        </w:trPr>
        <w:tc>
          <w:tcPr>
            <w:tcW w:w="9061" w:type="dxa"/>
            <w:gridSpan w:val="2"/>
            <w:shd w:val="clear" w:color="auto" w:fill="DEEAF6"/>
            <w:vAlign w:val="center"/>
            <w:hideMark/>
          </w:tcPr>
          <w:p w14:paraId="617DEB3A" w14:textId="77777777" w:rsidR="00B67DFC" w:rsidRPr="00B67DFC" w:rsidRDefault="00B67DFC" w:rsidP="008349F0">
            <w:pPr>
              <w:spacing w:after="0"/>
              <w:ind w:firstLine="0"/>
              <w:jc w:val="center"/>
              <w:rPr>
                <w:b/>
                <w:bCs/>
                <w:sz w:val="20"/>
              </w:rPr>
            </w:pPr>
            <w:r w:rsidRPr="00B67DFC">
              <w:rPr>
                <w:b/>
                <w:bCs/>
                <w:sz w:val="20"/>
              </w:rPr>
              <w:t>Kultūras ministrija</w:t>
            </w:r>
          </w:p>
        </w:tc>
      </w:tr>
      <w:tr w:rsidR="00B67DFC" w:rsidRPr="00B67DFC" w14:paraId="0933D14E" w14:textId="77777777" w:rsidTr="00070CA0">
        <w:trPr>
          <w:trHeight w:val="619"/>
        </w:trPr>
        <w:tc>
          <w:tcPr>
            <w:tcW w:w="846" w:type="dxa"/>
            <w:vAlign w:val="center"/>
            <w:hideMark/>
          </w:tcPr>
          <w:p w14:paraId="7E4B2540" w14:textId="77777777" w:rsidR="00B67DFC" w:rsidRPr="00B67DFC" w:rsidRDefault="00B67DFC" w:rsidP="008349F0">
            <w:pPr>
              <w:spacing w:after="0"/>
              <w:ind w:firstLine="0"/>
              <w:jc w:val="center"/>
              <w:rPr>
                <w:bCs/>
                <w:sz w:val="20"/>
              </w:rPr>
            </w:pPr>
            <w:r w:rsidRPr="00B67DFC">
              <w:rPr>
                <w:bCs/>
                <w:sz w:val="20"/>
              </w:rPr>
              <w:t>27.</w:t>
            </w:r>
          </w:p>
        </w:tc>
        <w:tc>
          <w:tcPr>
            <w:tcW w:w="8215" w:type="dxa"/>
            <w:vAlign w:val="center"/>
            <w:hideMark/>
          </w:tcPr>
          <w:p w14:paraId="23E0FC17" w14:textId="77777777" w:rsidR="00B67DFC" w:rsidRPr="00B67DFC" w:rsidRDefault="00B67DFC" w:rsidP="008349F0">
            <w:pPr>
              <w:spacing w:after="0"/>
              <w:ind w:firstLine="0"/>
              <w:jc w:val="left"/>
              <w:rPr>
                <w:bCs/>
                <w:sz w:val="20"/>
              </w:rPr>
            </w:pPr>
            <w:r w:rsidRPr="00B67DFC">
              <w:rPr>
                <w:bCs/>
                <w:sz w:val="20"/>
              </w:rPr>
              <w:t>Latvijas Mākslas akadēmija</w:t>
            </w:r>
          </w:p>
        </w:tc>
      </w:tr>
      <w:tr w:rsidR="00B67DFC" w:rsidRPr="00B67DFC" w14:paraId="5EE0B1EC" w14:textId="77777777" w:rsidTr="00070CA0">
        <w:trPr>
          <w:trHeight w:val="644"/>
        </w:trPr>
        <w:tc>
          <w:tcPr>
            <w:tcW w:w="846" w:type="dxa"/>
            <w:vAlign w:val="center"/>
            <w:hideMark/>
          </w:tcPr>
          <w:p w14:paraId="23F153BC" w14:textId="77777777" w:rsidR="00B67DFC" w:rsidRPr="00B67DFC" w:rsidRDefault="00B67DFC" w:rsidP="008349F0">
            <w:pPr>
              <w:spacing w:after="0"/>
              <w:ind w:firstLine="0"/>
              <w:jc w:val="center"/>
              <w:rPr>
                <w:bCs/>
                <w:sz w:val="20"/>
              </w:rPr>
            </w:pPr>
            <w:r w:rsidRPr="00B67DFC">
              <w:rPr>
                <w:bCs/>
                <w:sz w:val="20"/>
              </w:rPr>
              <w:t>28.</w:t>
            </w:r>
          </w:p>
        </w:tc>
        <w:tc>
          <w:tcPr>
            <w:tcW w:w="8215" w:type="dxa"/>
            <w:vAlign w:val="center"/>
            <w:hideMark/>
          </w:tcPr>
          <w:p w14:paraId="7C262830" w14:textId="77777777" w:rsidR="00B67DFC" w:rsidRPr="00B67DFC" w:rsidRDefault="00B67DFC" w:rsidP="008349F0">
            <w:pPr>
              <w:spacing w:after="0"/>
              <w:ind w:firstLine="0"/>
              <w:jc w:val="left"/>
              <w:rPr>
                <w:bCs/>
                <w:sz w:val="20"/>
              </w:rPr>
            </w:pPr>
            <w:proofErr w:type="spellStart"/>
            <w:r w:rsidRPr="00B67DFC">
              <w:rPr>
                <w:bCs/>
                <w:sz w:val="20"/>
              </w:rPr>
              <w:t>J.Vītola</w:t>
            </w:r>
            <w:proofErr w:type="spellEnd"/>
            <w:r w:rsidRPr="00B67DFC">
              <w:rPr>
                <w:bCs/>
                <w:sz w:val="20"/>
              </w:rPr>
              <w:t xml:space="preserve"> Latvijas Mūzikas akadēmija</w:t>
            </w:r>
          </w:p>
        </w:tc>
      </w:tr>
      <w:tr w:rsidR="00B67DFC" w:rsidRPr="00B67DFC" w14:paraId="2010B712" w14:textId="77777777" w:rsidTr="00070CA0">
        <w:trPr>
          <w:trHeight w:val="683"/>
        </w:trPr>
        <w:tc>
          <w:tcPr>
            <w:tcW w:w="846" w:type="dxa"/>
            <w:vAlign w:val="center"/>
            <w:hideMark/>
          </w:tcPr>
          <w:p w14:paraId="6D168791" w14:textId="77777777" w:rsidR="00B67DFC" w:rsidRPr="00B67DFC" w:rsidRDefault="00B67DFC" w:rsidP="008349F0">
            <w:pPr>
              <w:spacing w:after="0"/>
              <w:ind w:firstLine="0"/>
              <w:jc w:val="center"/>
              <w:rPr>
                <w:bCs/>
                <w:sz w:val="20"/>
              </w:rPr>
            </w:pPr>
            <w:r w:rsidRPr="00B67DFC">
              <w:rPr>
                <w:bCs/>
                <w:sz w:val="20"/>
              </w:rPr>
              <w:t>29.</w:t>
            </w:r>
          </w:p>
        </w:tc>
        <w:tc>
          <w:tcPr>
            <w:tcW w:w="8215" w:type="dxa"/>
            <w:vAlign w:val="center"/>
            <w:hideMark/>
          </w:tcPr>
          <w:p w14:paraId="145BC7E7" w14:textId="77777777" w:rsidR="00B67DFC" w:rsidRPr="00B67DFC" w:rsidRDefault="00B67DFC" w:rsidP="008349F0">
            <w:pPr>
              <w:spacing w:after="0"/>
              <w:ind w:firstLine="0"/>
              <w:jc w:val="left"/>
              <w:rPr>
                <w:bCs/>
                <w:sz w:val="20"/>
              </w:rPr>
            </w:pPr>
            <w:r w:rsidRPr="00B67DFC">
              <w:rPr>
                <w:bCs/>
                <w:sz w:val="20"/>
              </w:rPr>
              <w:t>Latvijas Kultūras akadēmija</w:t>
            </w:r>
          </w:p>
        </w:tc>
      </w:tr>
      <w:tr w:rsidR="00B67DFC" w:rsidRPr="00B67DFC" w14:paraId="2A0DB9C2" w14:textId="77777777" w:rsidTr="00070CA0">
        <w:trPr>
          <w:trHeight w:val="632"/>
        </w:trPr>
        <w:tc>
          <w:tcPr>
            <w:tcW w:w="846" w:type="dxa"/>
            <w:vAlign w:val="center"/>
            <w:hideMark/>
          </w:tcPr>
          <w:p w14:paraId="3C4BF253" w14:textId="77777777" w:rsidR="00B67DFC" w:rsidRPr="00B67DFC" w:rsidRDefault="00B67DFC" w:rsidP="008349F0">
            <w:pPr>
              <w:spacing w:after="0"/>
              <w:ind w:firstLine="0"/>
              <w:jc w:val="center"/>
              <w:rPr>
                <w:bCs/>
                <w:sz w:val="20"/>
              </w:rPr>
            </w:pPr>
            <w:r w:rsidRPr="00B67DFC">
              <w:rPr>
                <w:bCs/>
                <w:sz w:val="20"/>
              </w:rPr>
              <w:t>30.</w:t>
            </w:r>
          </w:p>
        </w:tc>
        <w:tc>
          <w:tcPr>
            <w:tcW w:w="8215" w:type="dxa"/>
            <w:vAlign w:val="center"/>
            <w:hideMark/>
          </w:tcPr>
          <w:p w14:paraId="489C2A40" w14:textId="77777777" w:rsidR="00B67DFC" w:rsidRPr="00B67DFC" w:rsidRDefault="00B67DFC" w:rsidP="008349F0">
            <w:pPr>
              <w:spacing w:after="0"/>
              <w:ind w:firstLine="0"/>
              <w:jc w:val="left"/>
              <w:rPr>
                <w:bCs/>
                <w:sz w:val="20"/>
              </w:rPr>
            </w:pPr>
            <w:r w:rsidRPr="00B67DFC">
              <w:rPr>
                <w:bCs/>
                <w:sz w:val="20"/>
              </w:rPr>
              <w:t>UNESCO Latvijas Nacionālā komisija</w:t>
            </w:r>
          </w:p>
        </w:tc>
      </w:tr>
      <w:tr w:rsidR="00B67DFC" w:rsidRPr="00B67DFC" w14:paraId="5F71F533" w14:textId="77777777" w:rsidTr="00070CA0">
        <w:trPr>
          <w:trHeight w:val="475"/>
        </w:trPr>
        <w:tc>
          <w:tcPr>
            <w:tcW w:w="9061" w:type="dxa"/>
            <w:gridSpan w:val="2"/>
            <w:shd w:val="clear" w:color="auto" w:fill="DEEAF6"/>
            <w:vAlign w:val="center"/>
            <w:hideMark/>
          </w:tcPr>
          <w:p w14:paraId="6B9C1F84" w14:textId="77777777" w:rsidR="00B67DFC" w:rsidRPr="00B67DFC" w:rsidRDefault="00B67DFC" w:rsidP="008349F0">
            <w:pPr>
              <w:spacing w:after="0"/>
              <w:ind w:firstLine="0"/>
              <w:jc w:val="center"/>
              <w:rPr>
                <w:b/>
                <w:bCs/>
                <w:sz w:val="20"/>
              </w:rPr>
            </w:pPr>
            <w:r w:rsidRPr="00B67DFC">
              <w:rPr>
                <w:b/>
                <w:bCs/>
                <w:sz w:val="20"/>
              </w:rPr>
              <w:t>Veselības ministrija</w:t>
            </w:r>
          </w:p>
        </w:tc>
      </w:tr>
      <w:tr w:rsidR="00B67DFC" w:rsidRPr="00B67DFC" w14:paraId="744BBBC0" w14:textId="77777777" w:rsidTr="00070CA0">
        <w:trPr>
          <w:trHeight w:val="470"/>
        </w:trPr>
        <w:tc>
          <w:tcPr>
            <w:tcW w:w="846" w:type="dxa"/>
            <w:vAlign w:val="center"/>
            <w:hideMark/>
          </w:tcPr>
          <w:p w14:paraId="31D8953F" w14:textId="77777777" w:rsidR="00B67DFC" w:rsidRPr="00B67DFC" w:rsidRDefault="00B67DFC" w:rsidP="008349F0">
            <w:pPr>
              <w:spacing w:after="0"/>
              <w:ind w:firstLine="0"/>
              <w:jc w:val="center"/>
              <w:rPr>
                <w:bCs/>
                <w:sz w:val="20"/>
              </w:rPr>
            </w:pPr>
            <w:r w:rsidRPr="00B67DFC">
              <w:rPr>
                <w:bCs/>
                <w:sz w:val="20"/>
              </w:rPr>
              <w:t>31.</w:t>
            </w:r>
          </w:p>
        </w:tc>
        <w:tc>
          <w:tcPr>
            <w:tcW w:w="8215" w:type="dxa"/>
            <w:vAlign w:val="center"/>
            <w:hideMark/>
          </w:tcPr>
          <w:p w14:paraId="5CE2650E" w14:textId="77777777" w:rsidR="00B67DFC" w:rsidRPr="00B67DFC" w:rsidRDefault="00B67DFC" w:rsidP="008349F0">
            <w:pPr>
              <w:spacing w:after="0"/>
              <w:ind w:firstLine="0"/>
              <w:jc w:val="left"/>
              <w:rPr>
                <w:bCs/>
                <w:sz w:val="20"/>
              </w:rPr>
            </w:pPr>
            <w:r w:rsidRPr="00B67DFC">
              <w:rPr>
                <w:bCs/>
                <w:sz w:val="20"/>
              </w:rPr>
              <w:t>Rīgas Stradiņa universitāte</w:t>
            </w:r>
          </w:p>
        </w:tc>
      </w:tr>
    </w:tbl>
    <w:p w14:paraId="0254AF05" w14:textId="77777777" w:rsidR="004664E1" w:rsidRPr="00FD1578" w:rsidRDefault="004664E1" w:rsidP="008349F0">
      <w:pPr>
        <w:spacing w:before="120"/>
        <w:ind w:firstLine="0"/>
        <w:jc w:val="right"/>
        <w:rPr>
          <w:rFonts w:eastAsia="Times New Roman" w:cs="Times New Roman"/>
          <w:b/>
          <w:bCs/>
          <w:i/>
          <w:szCs w:val="24"/>
          <w:highlight w:val="lightGray"/>
        </w:rPr>
      </w:pPr>
    </w:p>
    <w:p w14:paraId="05CAF224" w14:textId="52554488" w:rsidR="004664E1" w:rsidRPr="00B67DFC" w:rsidRDefault="004664E1" w:rsidP="008349F0">
      <w:pPr>
        <w:spacing w:before="120"/>
        <w:ind w:firstLine="0"/>
        <w:jc w:val="right"/>
        <w:rPr>
          <w:rFonts w:eastAsia="Times New Roman" w:cs="Times New Roman"/>
          <w:b/>
          <w:bCs/>
          <w:i/>
          <w:szCs w:val="24"/>
        </w:rPr>
      </w:pPr>
      <w:r w:rsidRPr="00187E6E">
        <w:rPr>
          <w:rFonts w:eastAsia="Times New Roman" w:cs="Times New Roman"/>
          <w:b/>
          <w:bCs/>
          <w:i/>
          <w:szCs w:val="24"/>
        </w:rPr>
        <w:t>2.</w:t>
      </w:r>
      <w:r w:rsidR="00187E6E" w:rsidRPr="00187E6E">
        <w:rPr>
          <w:rFonts w:eastAsia="Times New Roman" w:cs="Times New Roman"/>
          <w:b/>
          <w:bCs/>
          <w:i/>
          <w:szCs w:val="24"/>
        </w:rPr>
        <w:t>27</w:t>
      </w:r>
      <w:r w:rsidRPr="00187E6E">
        <w:rPr>
          <w:rFonts w:eastAsia="Times New Roman" w:cs="Times New Roman"/>
          <w:b/>
          <w:bCs/>
          <w:i/>
          <w:szCs w:val="24"/>
        </w:rPr>
        <w:t>. tabula</w:t>
      </w:r>
      <w:r w:rsidRPr="00B67DFC">
        <w:rPr>
          <w:rFonts w:eastAsia="Times New Roman" w:cs="Times New Roman"/>
          <w:b/>
          <w:bCs/>
          <w:i/>
          <w:szCs w:val="24"/>
        </w:rPr>
        <w:t>. 202</w:t>
      </w:r>
      <w:r w:rsidR="00B67DFC">
        <w:rPr>
          <w:rFonts w:eastAsia="Times New Roman" w:cs="Times New Roman"/>
          <w:b/>
          <w:bCs/>
          <w:i/>
          <w:szCs w:val="24"/>
        </w:rPr>
        <w:t>5</w:t>
      </w:r>
      <w:r w:rsidRPr="00B67DFC">
        <w:rPr>
          <w:rFonts w:eastAsia="Times New Roman" w:cs="Times New Roman"/>
          <w:b/>
          <w:bCs/>
          <w:i/>
          <w:szCs w:val="24"/>
        </w:rPr>
        <w:t>. gadā ministriju padotībā esošās budžeta nefinansētās iestādes</w:t>
      </w: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3"/>
        <w:gridCol w:w="8224"/>
      </w:tblGrid>
      <w:tr w:rsidR="00B67DFC" w:rsidRPr="00B67DFC" w14:paraId="3389EAFA" w14:textId="77777777" w:rsidTr="00070CA0">
        <w:tc>
          <w:tcPr>
            <w:tcW w:w="465" w:type="pct"/>
            <w:shd w:val="clear" w:color="auto" w:fill="BDD6EE"/>
            <w:tcMar>
              <w:top w:w="105" w:type="dxa"/>
              <w:left w:w="105" w:type="dxa"/>
              <w:bottom w:w="105" w:type="dxa"/>
              <w:right w:w="105" w:type="dxa"/>
            </w:tcMar>
            <w:vAlign w:val="center"/>
            <w:hideMark/>
          </w:tcPr>
          <w:p w14:paraId="3A652A9C" w14:textId="77777777" w:rsidR="00B67DFC" w:rsidRPr="00B67DFC" w:rsidRDefault="00B67DFC" w:rsidP="008349F0">
            <w:pPr>
              <w:spacing w:after="0"/>
              <w:ind w:firstLine="0"/>
              <w:rPr>
                <w:rFonts w:eastAsia="Times New Roman" w:cs="Times New Roman"/>
                <w:sz w:val="22"/>
                <w:lang w:val="ru-RU"/>
              </w:rPr>
            </w:pPr>
            <w:proofErr w:type="spellStart"/>
            <w:r w:rsidRPr="00B67DFC">
              <w:rPr>
                <w:rFonts w:eastAsia="Times New Roman" w:cs="Times New Roman"/>
                <w:sz w:val="22"/>
                <w:lang w:val="ru-RU"/>
              </w:rPr>
              <w:t>Nr.p.k</w:t>
            </w:r>
            <w:proofErr w:type="spellEnd"/>
            <w:r w:rsidRPr="00B67DFC">
              <w:rPr>
                <w:rFonts w:eastAsia="Times New Roman" w:cs="Times New Roman"/>
                <w:sz w:val="22"/>
                <w:lang w:val="ru-RU"/>
              </w:rPr>
              <w:t>.</w:t>
            </w:r>
          </w:p>
        </w:tc>
        <w:tc>
          <w:tcPr>
            <w:tcW w:w="4535" w:type="pct"/>
            <w:shd w:val="clear" w:color="auto" w:fill="BDD6EE"/>
            <w:tcMar>
              <w:top w:w="105" w:type="dxa"/>
              <w:left w:w="105" w:type="dxa"/>
              <w:bottom w:w="105" w:type="dxa"/>
              <w:right w:w="105" w:type="dxa"/>
            </w:tcMar>
            <w:hideMark/>
          </w:tcPr>
          <w:p w14:paraId="5620632F" w14:textId="77777777" w:rsidR="00B67DFC" w:rsidRPr="00B67DFC" w:rsidRDefault="00B67DFC" w:rsidP="008349F0">
            <w:pPr>
              <w:spacing w:after="0"/>
              <w:ind w:firstLine="0"/>
              <w:jc w:val="center"/>
              <w:rPr>
                <w:rFonts w:eastAsia="Times New Roman" w:cs="Times New Roman"/>
                <w:sz w:val="20"/>
                <w:szCs w:val="20"/>
                <w:lang w:val="ru-RU"/>
              </w:rPr>
            </w:pPr>
            <w:proofErr w:type="spellStart"/>
            <w:r w:rsidRPr="00B67DFC">
              <w:rPr>
                <w:rFonts w:eastAsia="Times New Roman" w:cs="Times New Roman"/>
                <w:sz w:val="20"/>
                <w:szCs w:val="20"/>
                <w:lang w:val="ru-RU"/>
              </w:rPr>
              <w:t>Budžeta</w:t>
            </w:r>
            <w:proofErr w:type="spellEnd"/>
            <w:r w:rsidRPr="00B67DFC">
              <w:rPr>
                <w:rFonts w:eastAsia="Times New Roman" w:cs="Times New Roman"/>
                <w:sz w:val="20"/>
                <w:szCs w:val="20"/>
                <w:lang w:val="ru-RU"/>
              </w:rPr>
              <w:t xml:space="preserve"> </w:t>
            </w:r>
            <w:proofErr w:type="spellStart"/>
            <w:r w:rsidRPr="00B67DFC">
              <w:rPr>
                <w:rFonts w:eastAsia="Times New Roman" w:cs="Times New Roman"/>
                <w:sz w:val="20"/>
                <w:szCs w:val="20"/>
                <w:lang w:val="ru-RU"/>
              </w:rPr>
              <w:t>nefinansētās</w:t>
            </w:r>
            <w:proofErr w:type="spellEnd"/>
            <w:r w:rsidRPr="00B67DFC">
              <w:rPr>
                <w:rFonts w:eastAsia="Times New Roman" w:cs="Times New Roman"/>
                <w:sz w:val="20"/>
                <w:szCs w:val="20"/>
                <w:lang w:val="ru-RU"/>
              </w:rPr>
              <w:t xml:space="preserve"> </w:t>
            </w:r>
            <w:proofErr w:type="spellStart"/>
            <w:r w:rsidRPr="00B67DFC">
              <w:rPr>
                <w:rFonts w:eastAsia="Times New Roman" w:cs="Times New Roman"/>
                <w:sz w:val="20"/>
                <w:szCs w:val="20"/>
                <w:lang w:val="ru-RU"/>
              </w:rPr>
              <w:t>iestādes</w:t>
            </w:r>
            <w:proofErr w:type="spellEnd"/>
            <w:r w:rsidRPr="00B67DFC">
              <w:rPr>
                <w:rFonts w:eastAsia="Times New Roman" w:cs="Times New Roman"/>
                <w:sz w:val="20"/>
                <w:szCs w:val="20"/>
                <w:lang w:val="ru-RU"/>
              </w:rPr>
              <w:t xml:space="preserve"> </w:t>
            </w:r>
            <w:proofErr w:type="spellStart"/>
            <w:r w:rsidRPr="00B67DFC">
              <w:rPr>
                <w:rFonts w:eastAsia="Times New Roman" w:cs="Times New Roman"/>
                <w:sz w:val="20"/>
                <w:szCs w:val="20"/>
                <w:lang w:val="ru-RU"/>
              </w:rPr>
              <w:t>nosaukums</w:t>
            </w:r>
            <w:proofErr w:type="spellEnd"/>
          </w:p>
        </w:tc>
      </w:tr>
      <w:tr w:rsidR="00B67DFC" w:rsidRPr="00B67DFC" w14:paraId="4F4D1DA0" w14:textId="77777777" w:rsidTr="00070CA0">
        <w:tc>
          <w:tcPr>
            <w:tcW w:w="5000" w:type="pct"/>
            <w:gridSpan w:val="2"/>
            <w:shd w:val="clear" w:color="auto" w:fill="DEEAF6"/>
            <w:tcMar>
              <w:top w:w="105" w:type="dxa"/>
              <w:left w:w="105" w:type="dxa"/>
              <w:bottom w:w="105" w:type="dxa"/>
              <w:right w:w="105" w:type="dxa"/>
            </w:tcMar>
          </w:tcPr>
          <w:p w14:paraId="4D0837AF" w14:textId="77777777" w:rsidR="00B67DFC" w:rsidRPr="00B67DFC" w:rsidRDefault="00B67DFC" w:rsidP="008349F0">
            <w:pPr>
              <w:spacing w:after="0"/>
              <w:ind w:firstLine="0"/>
              <w:jc w:val="center"/>
              <w:rPr>
                <w:rFonts w:eastAsia="Times New Roman" w:cs="Times New Roman"/>
                <w:b/>
                <w:sz w:val="20"/>
                <w:szCs w:val="20"/>
                <w:lang w:eastAsia="en-US"/>
              </w:rPr>
            </w:pPr>
            <w:r w:rsidRPr="00B67DFC">
              <w:rPr>
                <w:rFonts w:eastAsia="Times New Roman" w:cs="Times New Roman"/>
                <w:b/>
                <w:sz w:val="20"/>
                <w:szCs w:val="20"/>
                <w:lang w:eastAsia="en-US"/>
              </w:rPr>
              <w:t>Satiksmes ministrija</w:t>
            </w:r>
          </w:p>
        </w:tc>
      </w:tr>
      <w:tr w:rsidR="00B67DFC" w:rsidRPr="00B67DFC" w14:paraId="0CD2ECD6" w14:textId="77777777" w:rsidTr="00070CA0">
        <w:tc>
          <w:tcPr>
            <w:tcW w:w="465" w:type="pct"/>
            <w:tcMar>
              <w:top w:w="105" w:type="dxa"/>
              <w:left w:w="105" w:type="dxa"/>
              <w:bottom w:w="105" w:type="dxa"/>
              <w:right w:w="105" w:type="dxa"/>
            </w:tcMar>
            <w:hideMark/>
          </w:tcPr>
          <w:p w14:paraId="5C764FED" w14:textId="77777777" w:rsidR="00B67DFC" w:rsidRPr="00B67DFC" w:rsidRDefault="00B67DFC" w:rsidP="008349F0">
            <w:pPr>
              <w:spacing w:after="0"/>
              <w:ind w:firstLine="0"/>
              <w:jc w:val="center"/>
              <w:rPr>
                <w:rFonts w:eastAsia="Times New Roman" w:cs="Times New Roman"/>
                <w:sz w:val="22"/>
                <w:lang w:val="ru-RU"/>
              </w:rPr>
            </w:pPr>
            <w:r w:rsidRPr="00B67DFC">
              <w:rPr>
                <w:rFonts w:eastAsia="Times New Roman" w:cs="Times New Roman"/>
                <w:sz w:val="22"/>
                <w:lang w:val="ru-RU"/>
              </w:rPr>
              <w:t>1.</w:t>
            </w:r>
          </w:p>
        </w:tc>
        <w:tc>
          <w:tcPr>
            <w:tcW w:w="4535" w:type="pct"/>
            <w:shd w:val="clear" w:color="auto" w:fill="auto"/>
            <w:tcMar>
              <w:top w:w="105" w:type="dxa"/>
              <w:left w:w="105" w:type="dxa"/>
              <w:bottom w:w="105" w:type="dxa"/>
              <w:right w:w="105" w:type="dxa"/>
            </w:tcMar>
            <w:vAlign w:val="center"/>
            <w:hideMark/>
          </w:tcPr>
          <w:p w14:paraId="41E517E8" w14:textId="77777777" w:rsidR="00B67DFC" w:rsidRPr="00B67DFC" w:rsidRDefault="00B67DFC" w:rsidP="008349F0">
            <w:pPr>
              <w:spacing w:after="0"/>
              <w:ind w:firstLine="0"/>
              <w:jc w:val="left"/>
              <w:rPr>
                <w:rFonts w:eastAsia="Times New Roman" w:cs="Times New Roman"/>
                <w:sz w:val="20"/>
                <w:szCs w:val="20"/>
              </w:rPr>
            </w:pPr>
            <w:r w:rsidRPr="00B67DFC">
              <w:rPr>
                <w:rFonts w:eastAsia="Times New Roman" w:cs="Times New Roman"/>
                <w:sz w:val="20"/>
                <w:szCs w:val="20"/>
                <w:lang w:eastAsia="en-US"/>
              </w:rPr>
              <w:t>Valsts dzelzceļa tehniskā inspekcija</w:t>
            </w:r>
          </w:p>
        </w:tc>
      </w:tr>
      <w:tr w:rsidR="00B67DFC" w:rsidRPr="00B67DFC" w14:paraId="1495EFF4" w14:textId="77777777" w:rsidTr="00070CA0">
        <w:tc>
          <w:tcPr>
            <w:tcW w:w="465" w:type="pct"/>
            <w:tcMar>
              <w:top w:w="105" w:type="dxa"/>
              <w:left w:w="105" w:type="dxa"/>
              <w:bottom w:w="105" w:type="dxa"/>
              <w:right w:w="105" w:type="dxa"/>
            </w:tcMar>
            <w:hideMark/>
          </w:tcPr>
          <w:p w14:paraId="12D48125" w14:textId="77777777" w:rsidR="00B67DFC" w:rsidRPr="00B67DFC" w:rsidRDefault="00B67DFC" w:rsidP="008349F0">
            <w:pPr>
              <w:spacing w:after="0"/>
              <w:ind w:firstLine="0"/>
              <w:jc w:val="center"/>
              <w:rPr>
                <w:rFonts w:eastAsia="Times New Roman" w:cs="Times New Roman"/>
                <w:sz w:val="22"/>
                <w:lang w:val="ru-RU"/>
              </w:rPr>
            </w:pPr>
            <w:r w:rsidRPr="00B67DFC">
              <w:rPr>
                <w:rFonts w:eastAsia="Times New Roman" w:cs="Times New Roman"/>
                <w:sz w:val="22"/>
                <w:lang w:val="ru-RU"/>
              </w:rPr>
              <w:t>2.</w:t>
            </w:r>
          </w:p>
        </w:tc>
        <w:tc>
          <w:tcPr>
            <w:tcW w:w="4535" w:type="pct"/>
            <w:shd w:val="clear" w:color="auto" w:fill="auto"/>
            <w:tcMar>
              <w:top w:w="105" w:type="dxa"/>
              <w:left w:w="105" w:type="dxa"/>
              <w:bottom w:w="105" w:type="dxa"/>
              <w:right w:w="105" w:type="dxa"/>
            </w:tcMar>
            <w:vAlign w:val="center"/>
            <w:hideMark/>
          </w:tcPr>
          <w:p w14:paraId="7D6B3324" w14:textId="77777777" w:rsidR="00B67DFC" w:rsidRPr="00B67DFC" w:rsidRDefault="00B67DFC" w:rsidP="008349F0">
            <w:pPr>
              <w:spacing w:after="0"/>
              <w:ind w:firstLine="0"/>
              <w:jc w:val="left"/>
              <w:rPr>
                <w:rFonts w:eastAsia="Times New Roman" w:cs="Times New Roman"/>
                <w:sz w:val="20"/>
                <w:szCs w:val="20"/>
                <w:lang w:eastAsia="en-US"/>
              </w:rPr>
            </w:pPr>
            <w:r w:rsidRPr="00B67DFC">
              <w:rPr>
                <w:rFonts w:eastAsia="Times New Roman" w:cs="Times New Roman"/>
                <w:sz w:val="20"/>
                <w:szCs w:val="20"/>
                <w:lang w:eastAsia="en-US"/>
              </w:rPr>
              <w:t>Valsts dzelzceļa administrācija</w:t>
            </w:r>
          </w:p>
        </w:tc>
      </w:tr>
      <w:tr w:rsidR="00B67DFC" w:rsidRPr="00B67DFC" w14:paraId="1EA672F2" w14:textId="77777777" w:rsidTr="00070CA0">
        <w:tc>
          <w:tcPr>
            <w:tcW w:w="465" w:type="pct"/>
            <w:tcMar>
              <w:top w:w="105" w:type="dxa"/>
              <w:left w:w="105" w:type="dxa"/>
              <w:bottom w:w="105" w:type="dxa"/>
              <w:right w:w="105" w:type="dxa"/>
            </w:tcMar>
            <w:hideMark/>
          </w:tcPr>
          <w:p w14:paraId="5723317D" w14:textId="77777777" w:rsidR="00B67DFC" w:rsidRPr="00B67DFC" w:rsidRDefault="00B67DFC" w:rsidP="008349F0">
            <w:pPr>
              <w:spacing w:after="0"/>
              <w:ind w:firstLine="0"/>
              <w:jc w:val="center"/>
              <w:rPr>
                <w:rFonts w:eastAsia="Times New Roman" w:cs="Times New Roman"/>
                <w:sz w:val="22"/>
                <w:lang w:val="ru-RU"/>
              </w:rPr>
            </w:pPr>
            <w:r w:rsidRPr="00B67DFC">
              <w:rPr>
                <w:rFonts w:eastAsia="Times New Roman" w:cs="Times New Roman"/>
                <w:sz w:val="22"/>
                <w:lang w:val="ru-RU"/>
              </w:rPr>
              <w:t>3.</w:t>
            </w:r>
          </w:p>
        </w:tc>
        <w:tc>
          <w:tcPr>
            <w:tcW w:w="4535" w:type="pct"/>
            <w:shd w:val="clear" w:color="auto" w:fill="auto"/>
            <w:tcMar>
              <w:top w:w="105" w:type="dxa"/>
              <w:left w:w="105" w:type="dxa"/>
              <w:bottom w:w="105" w:type="dxa"/>
              <w:right w:w="105" w:type="dxa"/>
            </w:tcMar>
            <w:vAlign w:val="center"/>
            <w:hideMark/>
          </w:tcPr>
          <w:p w14:paraId="7C2E7E0B" w14:textId="77777777" w:rsidR="00B67DFC" w:rsidRPr="00B67DFC" w:rsidRDefault="00B67DFC" w:rsidP="008349F0">
            <w:pPr>
              <w:spacing w:after="0"/>
              <w:ind w:firstLine="0"/>
              <w:jc w:val="left"/>
              <w:rPr>
                <w:rFonts w:eastAsia="Times New Roman" w:cs="Times New Roman"/>
                <w:sz w:val="20"/>
                <w:szCs w:val="20"/>
                <w:lang w:eastAsia="en-US"/>
              </w:rPr>
            </w:pPr>
            <w:r w:rsidRPr="00B67DFC">
              <w:rPr>
                <w:rFonts w:eastAsia="Times New Roman" w:cs="Times New Roman"/>
                <w:sz w:val="20"/>
                <w:szCs w:val="20"/>
                <w:lang w:eastAsia="en-US"/>
              </w:rPr>
              <w:t>Transporta nelaimes gadījumu un incidentu izmeklēšanas birojs</w:t>
            </w:r>
          </w:p>
        </w:tc>
      </w:tr>
      <w:tr w:rsidR="00B67DFC" w:rsidRPr="00B67DFC" w14:paraId="1D18CCBD" w14:textId="77777777" w:rsidTr="00070CA0">
        <w:tc>
          <w:tcPr>
            <w:tcW w:w="465" w:type="pct"/>
            <w:tcMar>
              <w:top w:w="105" w:type="dxa"/>
              <w:left w:w="105" w:type="dxa"/>
              <w:bottom w:w="105" w:type="dxa"/>
              <w:right w:w="105" w:type="dxa"/>
            </w:tcMar>
            <w:hideMark/>
          </w:tcPr>
          <w:p w14:paraId="729466A2" w14:textId="77777777" w:rsidR="00B67DFC" w:rsidRPr="00B67DFC" w:rsidRDefault="00B67DFC" w:rsidP="008349F0">
            <w:pPr>
              <w:spacing w:after="0"/>
              <w:ind w:firstLine="0"/>
              <w:jc w:val="center"/>
              <w:rPr>
                <w:rFonts w:eastAsia="Times New Roman" w:cs="Times New Roman"/>
                <w:sz w:val="22"/>
              </w:rPr>
            </w:pPr>
            <w:r w:rsidRPr="00B67DFC">
              <w:rPr>
                <w:rFonts w:eastAsia="Times New Roman" w:cs="Times New Roman"/>
                <w:sz w:val="22"/>
              </w:rPr>
              <w:t>4.</w:t>
            </w:r>
          </w:p>
        </w:tc>
        <w:tc>
          <w:tcPr>
            <w:tcW w:w="4535" w:type="pct"/>
            <w:shd w:val="clear" w:color="auto" w:fill="auto"/>
            <w:tcMar>
              <w:top w:w="105" w:type="dxa"/>
              <w:left w:w="105" w:type="dxa"/>
              <w:bottom w:w="105" w:type="dxa"/>
              <w:right w:w="105" w:type="dxa"/>
            </w:tcMar>
            <w:vAlign w:val="center"/>
            <w:hideMark/>
          </w:tcPr>
          <w:p w14:paraId="423241F3" w14:textId="77777777" w:rsidR="00B67DFC" w:rsidRPr="00B67DFC" w:rsidRDefault="00B67DFC" w:rsidP="008349F0">
            <w:pPr>
              <w:spacing w:after="0"/>
              <w:ind w:firstLine="0"/>
              <w:jc w:val="left"/>
              <w:rPr>
                <w:rFonts w:eastAsia="Times New Roman" w:cs="Times New Roman"/>
                <w:sz w:val="20"/>
                <w:szCs w:val="20"/>
                <w:lang w:eastAsia="en-US"/>
              </w:rPr>
            </w:pPr>
            <w:r w:rsidRPr="00B67DFC">
              <w:rPr>
                <w:rFonts w:eastAsia="Times New Roman" w:cs="Times New Roman"/>
                <w:sz w:val="20"/>
                <w:szCs w:val="20"/>
                <w:lang w:eastAsia="en-US"/>
              </w:rPr>
              <w:t>Valsts aģentūra “Civilās aviācijas aģentūra”</w:t>
            </w:r>
          </w:p>
        </w:tc>
      </w:tr>
      <w:tr w:rsidR="00B67DFC" w:rsidRPr="00B67DFC" w14:paraId="6D21F12A" w14:textId="77777777" w:rsidTr="00070CA0">
        <w:tblPrEx>
          <w:jc w:val="center"/>
          <w:tblInd w:w="0" w:type="dxa"/>
        </w:tblPrEx>
        <w:trPr>
          <w:trHeight w:val="180"/>
          <w:jc w:val="center"/>
        </w:trPr>
        <w:tc>
          <w:tcPr>
            <w:tcW w:w="5000" w:type="pct"/>
            <w:gridSpan w:val="2"/>
            <w:shd w:val="clear" w:color="auto" w:fill="DEEAF6"/>
            <w:tcMar>
              <w:top w:w="105" w:type="dxa"/>
              <w:left w:w="105" w:type="dxa"/>
              <w:bottom w:w="105" w:type="dxa"/>
              <w:right w:w="105" w:type="dxa"/>
            </w:tcMar>
          </w:tcPr>
          <w:p w14:paraId="5B7330BF" w14:textId="77777777" w:rsidR="00B67DFC" w:rsidRPr="00B67DFC" w:rsidRDefault="00B67DFC" w:rsidP="008349F0">
            <w:pPr>
              <w:spacing w:after="0"/>
              <w:ind w:firstLine="0"/>
              <w:jc w:val="center"/>
              <w:rPr>
                <w:rFonts w:eastAsia="Times New Roman" w:cs="Times New Roman"/>
                <w:b/>
                <w:sz w:val="20"/>
                <w:szCs w:val="20"/>
              </w:rPr>
            </w:pPr>
            <w:r w:rsidRPr="00B67DFC">
              <w:rPr>
                <w:rFonts w:eastAsia="Times New Roman" w:cs="Times New Roman"/>
                <w:b/>
                <w:sz w:val="20"/>
                <w:szCs w:val="20"/>
              </w:rPr>
              <w:lastRenderedPageBreak/>
              <w:t>Tieslietu ministrija</w:t>
            </w:r>
          </w:p>
        </w:tc>
      </w:tr>
      <w:tr w:rsidR="00B67DFC" w:rsidRPr="00B67DFC" w14:paraId="46734F3A" w14:textId="77777777" w:rsidTr="00070CA0">
        <w:tblPrEx>
          <w:jc w:val="center"/>
          <w:tblInd w:w="0" w:type="dxa"/>
        </w:tblPrEx>
        <w:trPr>
          <w:trHeight w:val="57"/>
          <w:jc w:val="center"/>
        </w:trPr>
        <w:tc>
          <w:tcPr>
            <w:tcW w:w="465" w:type="pct"/>
            <w:tcMar>
              <w:top w:w="105" w:type="dxa"/>
              <w:left w:w="105" w:type="dxa"/>
              <w:bottom w:w="105" w:type="dxa"/>
              <w:right w:w="105" w:type="dxa"/>
            </w:tcMar>
          </w:tcPr>
          <w:p w14:paraId="4A2DDA09" w14:textId="77777777" w:rsidR="00B67DFC" w:rsidRPr="00B67DFC" w:rsidRDefault="00B67DFC" w:rsidP="008349F0">
            <w:pPr>
              <w:spacing w:after="0"/>
              <w:ind w:firstLine="0"/>
              <w:jc w:val="center"/>
              <w:rPr>
                <w:rFonts w:eastAsia="Times New Roman" w:cs="Times New Roman"/>
                <w:sz w:val="22"/>
              </w:rPr>
            </w:pPr>
            <w:r w:rsidRPr="00B67DFC">
              <w:rPr>
                <w:rFonts w:eastAsia="Times New Roman" w:cs="Times New Roman"/>
                <w:sz w:val="22"/>
              </w:rPr>
              <w:t>5.</w:t>
            </w:r>
          </w:p>
        </w:tc>
        <w:tc>
          <w:tcPr>
            <w:tcW w:w="4535" w:type="pct"/>
          </w:tcPr>
          <w:p w14:paraId="5C1255D2" w14:textId="5E1F5617" w:rsidR="00B67DFC" w:rsidRPr="00B67DFC" w:rsidRDefault="005735FB" w:rsidP="008349F0">
            <w:pPr>
              <w:spacing w:after="0"/>
              <w:ind w:firstLine="0"/>
              <w:jc w:val="left"/>
              <w:rPr>
                <w:rFonts w:eastAsia="Times New Roman" w:cs="Times New Roman"/>
                <w:b/>
                <w:sz w:val="20"/>
                <w:szCs w:val="20"/>
              </w:rPr>
            </w:pPr>
            <w:r>
              <w:rPr>
                <w:rFonts w:eastAsia="Times New Roman" w:cs="Times New Roman"/>
                <w:sz w:val="20"/>
                <w:szCs w:val="20"/>
              </w:rPr>
              <w:t xml:space="preserve"> </w:t>
            </w:r>
            <w:r w:rsidR="00B67DFC" w:rsidRPr="00B67DFC">
              <w:rPr>
                <w:rFonts w:eastAsia="Times New Roman" w:cs="Times New Roman"/>
                <w:sz w:val="20"/>
                <w:szCs w:val="20"/>
              </w:rPr>
              <w:t>Latvijas Republikas Patentu valde</w:t>
            </w:r>
          </w:p>
        </w:tc>
      </w:tr>
      <w:tr w:rsidR="00B67DFC" w:rsidRPr="00B67DFC" w14:paraId="06CB2BC9" w14:textId="77777777" w:rsidTr="00070CA0">
        <w:tblPrEx>
          <w:jc w:val="center"/>
          <w:tblInd w:w="0" w:type="dxa"/>
        </w:tblPrEx>
        <w:trPr>
          <w:trHeight w:val="57"/>
          <w:jc w:val="center"/>
        </w:trPr>
        <w:tc>
          <w:tcPr>
            <w:tcW w:w="5000" w:type="pct"/>
            <w:gridSpan w:val="2"/>
            <w:shd w:val="clear" w:color="auto" w:fill="DEEAF6"/>
            <w:tcMar>
              <w:top w:w="105" w:type="dxa"/>
              <w:left w:w="105" w:type="dxa"/>
              <w:bottom w:w="105" w:type="dxa"/>
              <w:right w:w="105" w:type="dxa"/>
            </w:tcMar>
          </w:tcPr>
          <w:p w14:paraId="50B33A2A" w14:textId="77777777" w:rsidR="00B67DFC" w:rsidRPr="00B67DFC" w:rsidRDefault="00B67DFC" w:rsidP="008349F0">
            <w:pPr>
              <w:spacing w:after="0"/>
              <w:ind w:firstLine="0"/>
              <w:jc w:val="center"/>
              <w:rPr>
                <w:rFonts w:eastAsia="Times New Roman" w:cs="Times New Roman"/>
                <w:sz w:val="20"/>
                <w:szCs w:val="20"/>
              </w:rPr>
            </w:pPr>
            <w:r w:rsidRPr="00B67DFC">
              <w:rPr>
                <w:rFonts w:eastAsia="Times New Roman" w:cs="Times New Roman"/>
                <w:b/>
                <w:sz w:val="20"/>
                <w:szCs w:val="20"/>
              </w:rPr>
              <w:t>Veselības ministrija</w:t>
            </w:r>
          </w:p>
        </w:tc>
      </w:tr>
      <w:tr w:rsidR="00B67DFC" w:rsidRPr="00B67DFC" w14:paraId="5EC88878" w14:textId="77777777" w:rsidTr="00070CA0">
        <w:tblPrEx>
          <w:jc w:val="center"/>
          <w:tblInd w:w="0" w:type="dxa"/>
        </w:tblPrEx>
        <w:trPr>
          <w:trHeight w:val="57"/>
          <w:jc w:val="center"/>
        </w:trPr>
        <w:tc>
          <w:tcPr>
            <w:tcW w:w="465" w:type="pct"/>
            <w:tcMar>
              <w:top w:w="105" w:type="dxa"/>
              <w:left w:w="105" w:type="dxa"/>
              <w:bottom w:w="105" w:type="dxa"/>
              <w:right w:w="105" w:type="dxa"/>
            </w:tcMar>
          </w:tcPr>
          <w:p w14:paraId="3B5B7F48" w14:textId="77777777" w:rsidR="00B67DFC" w:rsidRPr="00B67DFC" w:rsidRDefault="00B67DFC" w:rsidP="008349F0">
            <w:pPr>
              <w:spacing w:after="0"/>
              <w:ind w:firstLine="0"/>
              <w:jc w:val="center"/>
              <w:rPr>
                <w:rFonts w:eastAsia="Times New Roman" w:cs="Times New Roman"/>
                <w:sz w:val="22"/>
              </w:rPr>
            </w:pPr>
            <w:r w:rsidRPr="00B67DFC">
              <w:rPr>
                <w:rFonts w:eastAsia="Times New Roman" w:cs="Times New Roman"/>
                <w:sz w:val="22"/>
              </w:rPr>
              <w:t>6.</w:t>
            </w:r>
          </w:p>
        </w:tc>
        <w:tc>
          <w:tcPr>
            <w:tcW w:w="4535" w:type="pct"/>
            <w:tcMar>
              <w:top w:w="105" w:type="dxa"/>
              <w:left w:w="105" w:type="dxa"/>
              <w:bottom w:w="105" w:type="dxa"/>
              <w:right w:w="105" w:type="dxa"/>
            </w:tcMar>
            <w:vAlign w:val="center"/>
          </w:tcPr>
          <w:p w14:paraId="402ECF03" w14:textId="77777777" w:rsidR="00B67DFC" w:rsidRPr="00B67DFC" w:rsidRDefault="00B67DFC" w:rsidP="008349F0">
            <w:pPr>
              <w:spacing w:after="0"/>
              <w:ind w:firstLine="0"/>
              <w:rPr>
                <w:rFonts w:eastAsia="Times New Roman" w:cs="Times New Roman"/>
                <w:sz w:val="20"/>
                <w:szCs w:val="20"/>
              </w:rPr>
            </w:pPr>
            <w:r w:rsidRPr="00B67DFC">
              <w:rPr>
                <w:rFonts w:eastAsia="Times New Roman" w:cs="Times New Roman"/>
                <w:sz w:val="20"/>
                <w:szCs w:val="20"/>
              </w:rPr>
              <w:t>Zāļu valsts aģentūra</w:t>
            </w:r>
          </w:p>
        </w:tc>
      </w:tr>
    </w:tbl>
    <w:p w14:paraId="79BFCC95" w14:textId="55471CC4" w:rsidR="00421A3B" w:rsidRPr="00FD1578" w:rsidRDefault="00421A3B" w:rsidP="008349F0">
      <w:pPr>
        <w:widowControl w:val="0"/>
        <w:ind w:firstLine="0"/>
        <w:rPr>
          <w:rFonts w:eastAsia="Times New Roman" w:cs="Times New Roman"/>
          <w:b/>
          <w:szCs w:val="28"/>
          <w:highlight w:val="lightGray"/>
        </w:rPr>
      </w:pPr>
    </w:p>
    <w:p w14:paraId="4264FB00" w14:textId="13AF0BBC" w:rsidR="00FD5F28" w:rsidRPr="00953171" w:rsidRDefault="003164D4" w:rsidP="00E276EB">
      <w:pPr>
        <w:pStyle w:val="Heading1"/>
      </w:pPr>
      <w:bookmarkStart w:id="75" w:name="_Toc179356096"/>
      <w:r w:rsidRPr="00953171">
        <w:t xml:space="preserve">3. </w:t>
      </w:r>
      <w:r w:rsidR="006C567F" w:rsidRPr="00953171">
        <w:t>Ieņēmumu, nodokļu atvieglojumu (atlaižu) un nodokļu parādu summas analīze</w:t>
      </w:r>
      <w:bookmarkEnd w:id="75"/>
    </w:p>
    <w:p w14:paraId="1512FDDD" w14:textId="546080CC" w:rsidR="003F3FCD" w:rsidRPr="00953171" w:rsidRDefault="000548A5" w:rsidP="008349F0">
      <w:pPr>
        <w:pStyle w:val="Heading2"/>
        <w:spacing w:before="240" w:after="240"/>
        <w:rPr>
          <w:rFonts w:eastAsia="Times New Roman"/>
        </w:rPr>
      </w:pPr>
      <w:bookmarkStart w:id="76" w:name="_Toc179356097"/>
      <w:r w:rsidRPr="00953171">
        <w:rPr>
          <w:rFonts w:eastAsia="Times New Roman"/>
        </w:rPr>
        <w:t>3.1. Nodokļu politikas aktualitātes</w:t>
      </w:r>
      <w:bookmarkEnd w:id="76"/>
    </w:p>
    <w:p w14:paraId="65DAFD81" w14:textId="39CFC5EC" w:rsidR="00953171" w:rsidRPr="00251B61" w:rsidRDefault="00953171" w:rsidP="008349F0">
      <w:pPr>
        <w:spacing w:before="240"/>
        <w:rPr>
          <w:rFonts w:eastAsiaTheme="minorHAnsi" w:cs="Times New Roman"/>
        </w:rPr>
      </w:pPr>
      <w:r w:rsidRPr="00251B61">
        <w:rPr>
          <w:rFonts w:cs="Times New Roman"/>
        </w:rPr>
        <w:t xml:space="preserve">Turpmāko gadu nodokļu politikas izmaiņas nosaka šogad </w:t>
      </w:r>
      <w:r>
        <w:rPr>
          <w:rFonts w:cs="Times New Roman"/>
        </w:rPr>
        <w:t>MK</w:t>
      </w:r>
      <w:r w:rsidRPr="00251B61">
        <w:rPr>
          <w:rFonts w:cs="Times New Roman"/>
        </w:rPr>
        <w:t xml:space="preserve"> izskatītie informatīvie ziņojumi – 2024. gada 20. augusta informatīvais ziņojums </w:t>
      </w:r>
      <w:r w:rsidR="00835750">
        <w:rPr>
          <w:rFonts w:cs="Times New Roman"/>
        </w:rPr>
        <w:t>“</w:t>
      </w:r>
      <w:r w:rsidRPr="00251B61">
        <w:rPr>
          <w:rFonts w:cs="Times New Roman"/>
        </w:rPr>
        <w:t>Par valsts pamatbudžeta un valsts speciālā budžeta bāzi un izdevumu pārskatīšanas rezultātiem 2025., 2026., 2027. un 2028. gadam</w:t>
      </w:r>
      <w:r w:rsidR="00835750">
        <w:rPr>
          <w:rFonts w:cs="Times New Roman"/>
        </w:rPr>
        <w:t>”</w:t>
      </w:r>
      <w:r w:rsidRPr="00251B61">
        <w:rPr>
          <w:rFonts w:cs="Times New Roman"/>
        </w:rPr>
        <w:t xml:space="preserve">, 2024. gada 19. septembra informatīvais ziņojums </w:t>
      </w:r>
      <w:r w:rsidR="00835750">
        <w:rPr>
          <w:rFonts w:cs="Times New Roman"/>
        </w:rPr>
        <w:t>“</w:t>
      </w:r>
      <w:r w:rsidRPr="00251B61">
        <w:rPr>
          <w:rFonts w:cs="Times New Roman"/>
        </w:rPr>
        <w:t>Par valsts budžeta ieņēmumu un nodokļu politikas pārskatīšanu 2025.–2027. gadā</w:t>
      </w:r>
      <w:r w:rsidR="00835750">
        <w:rPr>
          <w:rFonts w:cs="Times New Roman"/>
        </w:rPr>
        <w:t>”</w:t>
      </w:r>
      <w:r w:rsidRPr="00251B61">
        <w:rPr>
          <w:rFonts w:cs="Times New Roman"/>
        </w:rPr>
        <w:t xml:space="preserve"> un 2024. gada 19. septembra informatīvais ziņojums </w:t>
      </w:r>
      <w:r w:rsidR="00835750">
        <w:rPr>
          <w:rFonts w:cs="Times New Roman"/>
        </w:rPr>
        <w:t>“</w:t>
      </w:r>
      <w:r w:rsidRPr="00251B61">
        <w:rPr>
          <w:rFonts w:cs="Times New Roman"/>
        </w:rPr>
        <w:t>Par valsts budžeta likumprojektā iekļaujamiem prioritārajiem pasākumiem 2025., 2026., 2027. un 2028. gadam</w:t>
      </w:r>
      <w:r w:rsidR="00835750">
        <w:rPr>
          <w:rFonts w:cs="Times New Roman"/>
        </w:rPr>
        <w:t>”</w:t>
      </w:r>
      <w:r w:rsidRPr="00251B61">
        <w:rPr>
          <w:rFonts w:cs="Times New Roman"/>
        </w:rPr>
        <w:t xml:space="preserve">. Būtiskākās nodokļu politikas izmaiņas ir ietvertas informatīvajā ziņojumā </w:t>
      </w:r>
      <w:r w:rsidR="00835750">
        <w:rPr>
          <w:rFonts w:cs="Times New Roman"/>
        </w:rPr>
        <w:t>“</w:t>
      </w:r>
      <w:r w:rsidRPr="00251B61">
        <w:rPr>
          <w:rFonts w:cs="Times New Roman"/>
        </w:rPr>
        <w:t>Par valsts budžeta ieņēmumu un nodokļu politikas pārskatīšanu 2025.–2027. gadā</w:t>
      </w:r>
      <w:r w:rsidR="00835750">
        <w:rPr>
          <w:rFonts w:cs="Times New Roman"/>
        </w:rPr>
        <w:t>”</w:t>
      </w:r>
      <w:r w:rsidRPr="00251B61">
        <w:rPr>
          <w:rFonts w:cs="Times New Roman"/>
        </w:rPr>
        <w:t xml:space="preserve">, kas tika izstrādāts </w:t>
      </w:r>
      <w:r w:rsidRPr="00251B61">
        <w:rPr>
          <w:rFonts w:eastAsiaTheme="minorHAnsi" w:cs="Times New Roman"/>
        </w:rPr>
        <w:t>kopā ar valdības sociālajiem un sadarbības partneriem</w:t>
      </w:r>
      <w:r w:rsidRPr="00251B61">
        <w:rPr>
          <w:rFonts w:cs="Times New Roman"/>
        </w:rPr>
        <w:t>.</w:t>
      </w:r>
      <w:r w:rsidRPr="00251B61">
        <w:rPr>
          <w:rFonts w:eastAsiaTheme="minorHAnsi" w:cs="Times New Roman"/>
        </w:rPr>
        <w:t xml:space="preserve"> </w:t>
      </w:r>
    </w:p>
    <w:p w14:paraId="1D3C22F2" w14:textId="2F9C58FD" w:rsidR="00953171" w:rsidRPr="00251B61" w:rsidRDefault="00953171" w:rsidP="008349F0">
      <w:pPr>
        <w:rPr>
          <w:rFonts w:eastAsiaTheme="minorHAnsi" w:cs="Times New Roman"/>
        </w:rPr>
      </w:pPr>
      <w:r w:rsidRPr="00251B61">
        <w:rPr>
          <w:rFonts w:eastAsiaTheme="minorHAnsi" w:cs="Times New Roman"/>
        </w:rPr>
        <w:t>Plānots, ka ar 2025.</w:t>
      </w:r>
      <w:r>
        <w:rPr>
          <w:rFonts w:eastAsiaTheme="minorHAnsi" w:cs="Times New Roman"/>
        </w:rPr>
        <w:t xml:space="preserve"> </w:t>
      </w:r>
      <w:r w:rsidRPr="00251B61">
        <w:rPr>
          <w:rFonts w:eastAsiaTheme="minorHAnsi" w:cs="Times New Roman"/>
        </w:rPr>
        <w:t>gadu spēkā stāsies nodokļu izmaiņas, no kurām būtiskākās ir darbaspēka nodokļos - IIN neapliekamā minimuma, likmju un ienākumu sliekšņu izmaiņas, dažādu atvieglojumu paplašināšana, kā arī sadalījuma proporcijas maiņu starp valsts un pašvaldību budžetiem. Kā kompensējošie pasākumi plānota solidaritātes iemaksa bankām, akcīzes nodokļa pakāpeniska paaugstināšana vairākām produktu kategorijām, TEN likmju indeksēšana visiem transportlīdzekļiem u.c. izmaiņas. Bez tam, tiek saglabāta PVN likme 12% apmērā Pievienotās vērtības nodokļa likuma pielikumā minētajiem svaigiem augļiem, ogām un dārzeņiem. Detalizētāk izmaiņas atspoguļotas 3.1. tabulā.</w:t>
      </w:r>
    </w:p>
    <w:p w14:paraId="271552AA" w14:textId="77777777" w:rsidR="00953171" w:rsidRPr="00251B61" w:rsidRDefault="00953171" w:rsidP="008349F0">
      <w:pPr>
        <w:keepNext/>
        <w:keepLines/>
        <w:spacing w:before="240" w:after="0"/>
        <w:ind w:firstLine="0"/>
        <w:jc w:val="right"/>
        <w:rPr>
          <w:rFonts w:eastAsia="Calibri" w:cs="Times New Roman"/>
          <w:b/>
          <w:i/>
          <w:szCs w:val="24"/>
        </w:rPr>
      </w:pPr>
      <w:r w:rsidRPr="00251B61">
        <w:rPr>
          <w:rFonts w:eastAsia="Calibri" w:cs="Times New Roman"/>
          <w:b/>
          <w:i/>
          <w:szCs w:val="24"/>
        </w:rPr>
        <w:t xml:space="preserve">3.1. tabula. Pasākumi, kas ietekmē nodokļu un valsts pamatbudžeta </w:t>
      </w:r>
      <w:proofErr w:type="spellStart"/>
      <w:r w:rsidRPr="00251B61">
        <w:rPr>
          <w:rFonts w:eastAsia="Calibri" w:cs="Times New Roman"/>
          <w:b/>
          <w:i/>
          <w:szCs w:val="24"/>
        </w:rPr>
        <w:t>nenodokļu</w:t>
      </w:r>
      <w:proofErr w:type="spellEnd"/>
      <w:r w:rsidRPr="00251B61">
        <w:rPr>
          <w:rFonts w:eastAsia="Calibri" w:cs="Times New Roman"/>
          <w:b/>
          <w:i/>
          <w:szCs w:val="24"/>
        </w:rPr>
        <w:t xml:space="preserve"> ieņēmumus no 2025. gada, milj. </w:t>
      </w:r>
      <w:proofErr w:type="spellStart"/>
      <w:r w:rsidRPr="00251B61">
        <w:rPr>
          <w:rFonts w:eastAsia="Calibri" w:cs="Times New Roman"/>
          <w:b/>
          <w:i/>
          <w:szCs w:val="24"/>
        </w:rPr>
        <w:t>euro</w:t>
      </w:r>
      <w:proofErr w:type="spellEnd"/>
      <w:r w:rsidRPr="00251B61">
        <w:rPr>
          <w:rFonts w:eastAsia="Calibri" w:cs="Times New Roman"/>
          <w:b/>
          <w:i/>
          <w:szCs w:val="24"/>
        </w:rPr>
        <w:t xml:space="preserve"> (pēc naudas plūsmas)</w:t>
      </w:r>
    </w:p>
    <w:tbl>
      <w:tblPr>
        <w:tblW w:w="5008" w:type="pct"/>
        <w:tblInd w:w="-5" w:type="dxa"/>
        <w:tblLayout w:type="fixed"/>
        <w:tblLook w:val="04A0" w:firstRow="1" w:lastRow="0" w:firstColumn="1" w:lastColumn="0" w:noHBand="0" w:noVBand="1"/>
      </w:tblPr>
      <w:tblGrid>
        <w:gridCol w:w="3399"/>
        <w:gridCol w:w="1561"/>
        <w:gridCol w:w="1419"/>
        <w:gridCol w:w="1427"/>
        <w:gridCol w:w="1269"/>
      </w:tblGrid>
      <w:tr w:rsidR="00953171" w:rsidRPr="00251B61" w14:paraId="7AF69E0A" w14:textId="77777777" w:rsidTr="008D3722">
        <w:trPr>
          <w:trHeight w:hRule="exact" w:val="227"/>
          <w:tblHeader/>
        </w:trPr>
        <w:tc>
          <w:tcPr>
            <w:tcW w:w="1873"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81118CC" w14:textId="77777777" w:rsidR="00953171" w:rsidRPr="00251B61" w:rsidRDefault="00953171" w:rsidP="008349F0">
            <w:pPr>
              <w:keepNext/>
              <w:keepLines/>
              <w:spacing w:after="0"/>
              <w:ind w:firstLine="0"/>
              <w:jc w:val="center"/>
              <w:rPr>
                <w:rFonts w:eastAsia="Times New Roman" w:cs="Times New Roman"/>
                <w:b/>
                <w:bCs/>
                <w:sz w:val="18"/>
                <w:szCs w:val="18"/>
              </w:rPr>
            </w:pPr>
            <w:r w:rsidRPr="00251B61">
              <w:rPr>
                <w:rFonts w:eastAsia="Times New Roman" w:cs="Times New Roman"/>
                <w:b/>
                <w:bCs/>
                <w:sz w:val="18"/>
                <w:szCs w:val="18"/>
              </w:rPr>
              <w:t>Pasākums</w:t>
            </w:r>
          </w:p>
        </w:tc>
        <w:tc>
          <w:tcPr>
            <w:tcW w:w="86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2F15088" w14:textId="77777777" w:rsidR="00953171" w:rsidRPr="00251B61" w:rsidRDefault="00953171" w:rsidP="008349F0">
            <w:pPr>
              <w:keepNext/>
              <w:keepLines/>
              <w:spacing w:after="0"/>
              <w:ind w:firstLine="0"/>
              <w:jc w:val="center"/>
              <w:rPr>
                <w:rFonts w:eastAsia="Times New Roman" w:cs="Times New Roman"/>
                <w:b/>
                <w:bCs/>
                <w:sz w:val="18"/>
                <w:szCs w:val="18"/>
              </w:rPr>
            </w:pPr>
            <w:r w:rsidRPr="00251B61">
              <w:rPr>
                <w:rFonts w:eastAsia="Times New Roman" w:cs="Times New Roman"/>
                <w:b/>
                <w:bCs/>
                <w:sz w:val="18"/>
                <w:szCs w:val="18"/>
              </w:rPr>
              <w:t>Ieņēmumu veids</w:t>
            </w:r>
          </w:p>
        </w:tc>
        <w:tc>
          <w:tcPr>
            <w:tcW w:w="782"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EAB4627" w14:textId="77777777" w:rsidR="00953171" w:rsidRPr="00251B61" w:rsidRDefault="00953171" w:rsidP="008349F0">
            <w:pPr>
              <w:keepNext/>
              <w:keepLines/>
              <w:spacing w:after="0"/>
              <w:ind w:firstLine="0"/>
              <w:jc w:val="center"/>
              <w:rPr>
                <w:rFonts w:eastAsia="Times New Roman" w:cs="Times New Roman"/>
                <w:b/>
                <w:bCs/>
                <w:sz w:val="18"/>
                <w:szCs w:val="18"/>
              </w:rPr>
            </w:pPr>
            <w:r w:rsidRPr="00251B61">
              <w:rPr>
                <w:rFonts w:eastAsia="Times New Roman" w:cs="Times New Roman"/>
                <w:b/>
                <w:bCs/>
                <w:sz w:val="18"/>
                <w:szCs w:val="18"/>
              </w:rPr>
              <w:t>2025</w:t>
            </w:r>
          </w:p>
        </w:tc>
        <w:tc>
          <w:tcPr>
            <w:tcW w:w="786"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BAF0A5A" w14:textId="77777777" w:rsidR="00953171" w:rsidRPr="00251B61" w:rsidRDefault="00953171" w:rsidP="008349F0">
            <w:pPr>
              <w:keepNext/>
              <w:keepLines/>
              <w:spacing w:after="0"/>
              <w:ind w:firstLine="0"/>
              <w:jc w:val="center"/>
              <w:rPr>
                <w:rFonts w:eastAsia="Times New Roman" w:cs="Times New Roman"/>
                <w:b/>
                <w:bCs/>
                <w:sz w:val="18"/>
                <w:szCs w:val="18"/>
              </w:rPr>
            </w:pPr>
            <w:r w:rsidRPr="00251B61">
              <w:rPr>
                <w:rFonts w:eastAsia="Times New Roman" w:cs="Times New Roman"/>
                <w:b/>
                <w:bCs/>
                <w:sz w:val="18"/>
                <w:szCs w:val="18"/>
              </w:rPr>
              <w:t>2026</w:t>
            </w:r>
          </w:p>
        </w:tc>
        <w:tc>
          <w:tcPr>
            <w:tcW w:w="699"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52D03C7" w14:textId="77777777" w:rsidR="00953171" w:rsidRPr="00251B61" w:rsidRDefault="00953171" w:rsidP="008349F0">
            <w:pPr>
              <w:keepNext/>
              <w:keepLines/>
              <w:spacing w:after="0"/>
              <w:ind w:firstLine="0"/>
              <w:jc w:val="center"/>
              <w:rPr>
                <w:rFonts w:eastAsia="Times New Roman" w:cs="Times New Roman"/>
                <w:b/>
                <w:bCs/>
                <w:sz w:val="18"/>
                <w:szCs w:val="18"/>
              </w:rPr>
            </w:pPr>
            <w:r w:rsidRPr="00251B61">
              <w:rPr>
                <w:rFonts w:eastAsia="Times New Roman" w:cs="Times New Roman"/>
                <w:b/>
                <w:bCs/>
                <w:sz w:val="18"/>
                <w:szCs w:val="18"/>
              </w:rPr>
              <w:t>2027</w:t>
            </w:r>
          </w:p>
        </w:tc>
      </w:tr>
      <w:tr w:rsidR="00953171" w:rsidRPr="00251B61" w14:paraId="15DB1CC5" w14:textId="77777777" w:rsidTr="008E1E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54"/>
        </w:trPr>
        <w:tc>
          <w:tcPr>
            <w:tcW w:w="5000" w:type="pct"/>
            <w:gridSpan w:val="5"/>
            <w:shd w:val="clear" w:color="auto" w:fill="BDD6EE" w:themeFill="accent1" w:themeFillTint="66"/>
            <w:vAlign w:val="center"/>
          </w:tcPr>
          <w:p w14:paraId="6219E10A" w14:textId="0E205A7E" w:rsidR="00953171" w:rsidRPr="00251B61" w:rsidRDefault="00953171" w:rsidP="008349F0">
            <w:pPr>
              <w:keepLines/>
              <w:spacing w:after="0"/>
              <w:ind w:firstLine="0"/>
              <w:contextualSpacing/>
              <w:jc w:val="left"/>
              <w:rPr>
                <w:rFonts w:eastAsia="Times New Roman" w:cs="Times New Roman"/>
                <w:sz w:val="18"/>
                <w:szCs w:val="18"/>
              </w:rPr>
            </w:pPr>
            <w:r w:rsidRPr="00251B61">
              <w:rPr>
                <w:rFonts w:eastAsia="Times New Roman" w:cs="Times New Roman"/>
                <w:sz w:val="18"/>
                <w:szCs w:val="18"/>
              </w:rPr>
              <w:t xml:space="preserve">Informatīvajā ziņojumā </w:t>
            </w:r>
            <w:r w:rsidR="00835750">
              <w:rPr>
                <w:rFonts w:eastAsia="Times New Roman" w:cs="Times New Roman"/>
                <w:sz w:val="18"/>
                <w:szCs w:val="18"/>
              </w:rPr>
              <w:t>“</w:t>
            </w:r>
            <w:r w:rsidRPr="00251B61">
              <w:rPr>
                <w:rFonts w:eastAsia="Times New Roman" w:cs="Times New Roman"/>
                <w:sz w:val="18"/>
                <w:szCs w:val="18"/>
              </w:rPr>
              <w:t>Par valsts pamatbudžeta un valsts speciālā budžeta bāzi un izdevumu pārskatīšanas rezultātiem 2025., 2026., 2027. un 2028. gadam</w:t>
            </w:r>
            <w:r w:rsidR="00835750">
              <w:rPr>
                <w:rFonts w:eastAsia="Times New Roman" w:cs="Times New Roman"/>
                <w:sz w:val="18"/>
                <w:szCs w:val="18"/>
              </w:rPr>
              <w:t>”</w:t>
            </w:r>
            <w:r w:rsidRPr="00251B61">
              <w:rPr>
                <w:rFonts w:eastAsia="Times New Roman" w:cs="Times New Roman"/>
                <w:sz w:val="18"/>
                <w:szCs w:val="18"/>
              </w:rPr>
              <w:t xml:space="preserve"> ietvertie pasākumi</w:t>
            </w:r>
          </w:p>
        </w:tc>
      </w:tr>
      <w:tr w:rsidR="00953171" w:rsidRPr="00251B61" w14:paraId="4C269709" w14:textId="77777777" w:rsidTr="008D3722">
        <w:trPr>
          <w:trHeight w:val="160"/>
        </w:trPr>
        <w:tc>
          <w:tcPr>
            <w:tcW w:w="18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EB66C5" w14:textId="77777777" w:rsidR="00953171" w:rsidRPr="00251B61" w:rsidRDefault="00953171" w:rsidP="008349F0">
            <w:pPr>
              <w:spacing w:after="0"/>
              <w:ind w:firstLine="0"/>
              <w:jc w:val="left"/>
              <w:rPr>
                <w:rFonts w:cs="Times New Roman"/>
                <w:color w:val="000000"/>
                <w:sz w:val="18"/>
                <w:szCs w:val="18"/>
              </w:rPr>
            </w:pPr>
            <w:r w:rsidRPr="00251B61">
              <w:rPr>
                <w:rFonts w:cs="Times New Roman"/>
                <w:color w:val="000000"/>
                <w:sz w:val="18"/>
                <w:szCs w:val="18"/>
              </w:rPr>
              <w:t>Ieņēmumu palielināšana no VID darbības - ēnu ekonomikas ierobežošanas plāns un nodokļu administrēšanas uzlabošanas pasākums</w:t>
            </w:r>
          </w:p>
        </w:tc>
        <w:tc>
          <w:tcPr>
            <w:tcW w:w="860" w:type="pct"/>
            <w:tcBorders>
              <w:top w:val="single" w:sz="4" w:space="0" w:color="auto"/>
              <w:left w:val="nil"/>
              <w:bottom w:val="single" w:sz="4" w:space="0" w:color="auto"/>
              <w:right w:val="single" w:sz="4" w:space="0" w:color="auto"/>
            </w:tcBorders>
            <w:shd w:val="clear" w:color="auto" w:fill="auto"/>
            <w:vAlign w:val="center"/>
            <w:hideMark/>
          </w:tcPr>
          <w:p w14:paraId="0ED245B2" w14:textId="77777777" w:rsidR="00953171" w:rsidRPr="00251B61" w:rsidRDefault="00953171" w:rsidP="008349F0">
            <w:pPr>
              <w:ind w:firstLine="0"/>
              <w:rPr>
                <w:rFonts w:cs="Times New Roman"/>
                <w:color w:val="000000"/>
                <w:sz w:val="18"/>
                <w:szCs w:val="18"/>
              </w:rPr>
            </w:pPr>
            <w:r w:rsidRPr="00251B61">
              <w:rPr>
                <w:rFonts w:cs="Times New Roman"/>
                <w:color w:val="000000"/>
                <w:sz w:val="18"/>
                <w:szCs w:val="18"/>
              </w:rPr>
              <w:t>Kopā, t.sk.:</w:t>
            </w:r>
          </w:p>
        </w:tc>
        <w:tc>
          <w:tcPr>
            <w:tcW w:w="782" w:type="pct"/>
            <w:tcBorders>
              <w:top w:val="single" w:sz="4" w:space="0" w:color="auto"/>
              <w:left w:val="nil"/>
              <w:bottom w:val="single" w:sz="4" w:space="0" w:color="auto"/>
              <w:right w:val="single" w:sz="4" w:space="0" w:color="auto"/>
            </w:tcBorders>
            <w:shd w:val="clear" w:color="auto" w:fill="auto"/>
            <w:hideMark/>
          </w:tcPr>
          <w:p w14:paraId="33C884FF" w14:textId="77777777" w:rsidR="00953171" w:rsidRPr="00251B61" w:rsidRDefault="00953171" w:rsidP="008349F0">
            <w:pPr>
              <w:jc w:val="center"/>
              <w:rPr>
                <w:rFonts w:cs="Times New Roman"/>
                <w:color w:val="000000"/>
                <w:sz w:val="18"/>
                <w:szCs w:val="18"/>
              </w:rPr>
            </w:pPr>
            <w:r w:rsidRPr="00251B61">
              <w:rPr>
                <w:rFonts w:cs="Times New Roman"/>
                <w:sz w:val="18"/>
                <w:szCs w:val="18"/>
              </w:rPr>
              <w:t>6,5</w:t>
            </w:r>
          </w:p>
        </w:tc>
        <w:tc>
          <w:tcPr>
            <w:tcW w:w="786" w:type="pct"/>
            <w:tcBorders>
              <w:top w:val="single" w:sz="4" w:space="0" w:color="auto"/>
              <w:left w:val="nil"/>
              <w:bottom w:val="single" w:sz="4" w:space="0" w:color="auto"/>
              <w:right w:val="single" w:sz="4" w:space="0" w:color="auto"/>
            </w:tcBorders>
            <w:shd w:val="clear" w:color="auto" w:fill="auto"/>
            <w:hideMark/>
          </w:tcPr>
          <w:p w14:paraId="2EA3017B" w14:textId="77777777" w:rsidR="00953171" w:rsidRPr="00251B61" w:rsidRDefault="00953171" w:rsidP="008349F0">
            <w:pPr>
              <w:ind w:left="263" w:firstLine="431"/>
              <w:jc w:val="center"/>
              <w:rPr>
                <w:rFonts w:cs="Times New Roman"/>
                <w:color w:val="000000"/>
                <w:sz w:val="18"/>
                <w:szCs w:val="18"/>
              </w:rPr>
            </w:pPr>
            <w:r w:rsidRPr="00251B61">
              <w:rPr>
                <w:rFonts w:cs="Times New Roman"/>
                <w:sz w:val="18"/>
                <w:szCs w:val="18"/>
              </w:rPr>
              <w:t>16,2</w:t>
            </w:r>
          </w:p>
        </w:tc>
        <w:tc>
          <w:tcPr>
            <w:tcW w:w="699" w:type="pct"/>
            <w:tcBorders>
              <w:top w:val="single" w:sz="4" w:space="0" w:color="auto"/>
              <w:left w:val="nil"/>
              <w:bottom w:val="single" w:sz="4" w:space="0" w:color="auto"/>
              <w:right w:val="single" w:sz="4" w:space="0" w:color="auto"/>
            </w:tcBorders>
            <w:shd w:val="clear" w:color="auto" w:fill="auto"/>
            <w:hideMark/>
          </w:tcPr>
          <w:p w14:paraId="3E7C932A" w14:textId="77777777" w:rsidR="00953171" w:rsidRPr="00251B61" w:rsidRDefault="00953171" w:rsidP="008349F0">
            <w:pPr>
              <w:ind w:firstLine="599"/>
              <w:jc w:val="center"/>
              <w:rPr>
                <w:rFonts w:cs="Times New Roman"/>
                <w:i/>
                <w:iCs/>
                <w:color w:val="000000"/>
                <w:sz w:val="18"/>
                <w:szCs w:val="18"/>
              </w:rPr>
            </w:pPr>
            <w:r w:rsidRPr="00251B61">
              <w:rPr>
                <w:rFonts w:cs="Times New Roman"/>
                <w:sz w:val="18"/>
                <w:szCs w:val="18"/>
              </w:rPr>
              <w:t>17,9</w:t>
            </w:r>
          </w:p>
        </w:tc>
      </w:tr>
      <w:tr w:rsidR="00953171" w:rsidRPr="00251B61" w14:paraId="45D33747" w14:textId="77777777" w:rsidTr="008D3722">
        <w:trPr>
          <w:trHeight w:val="300"/>
        </w:trPr>
        <w:tc>
          <w:tcPr>
            <w:tcW w:w="1873" w:type="pct"/>
            <w:vMerge/>
            <w:tcBorders>
              <w:top w:val="single" w:sz="4" w:space="0" w:color="auto"/>
              <w:left w:val="single" w:sz="4" w:space="0" w:color="auto"/>
              <w:bottom w:val="single" w:sz="4" w:space="0" w:color="auto"/>
              <w:right w:val="single" w:sz="4" w:space="0" w:color="auto"/>
            </w:tcBorders>
            <w:vAlign w:val="center"/>
            <w:hideMark/>
          </w:tcPr>
          <w:p w14:paraId="7F7D19DE"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7D566589"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PVN</w:t>
            </w:r>
          </w:p>
        </w:tc>
        <w:tc>
          <w:tcPr>
            <w:tcW w:w="782" w:type="pct"/>
            <w:tcBorders>
              <w:top w:val="nil"/>
              <w:left w:val="nil"/>
              <w:bottom w:val="single" w:sz="4" w:space="0" w:color="auto"/>
              <w:right w:val="single" w:sz="4" w:space="0" w:color="auto"/>
            </w:tcBorders>
            <w:shd w:val="clear" w:color="auto" w:fill="auto"/>
            <w:hideMark/>
          </w:tcPr>
          <w:p w14:paraId="76823DC4"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3,0</w:t>
            </w:r>
          </w:p>
        </w:tc>
        <w:tc>
          <w:tcPr>
            <w:tcW w:w="786" w:type="pct"/>
            <w:tcBorders>
              <w:top w:val="nil"/>
              <w:left w:val="nil"/>
              <w:bottom w:val="single" w:sz="4" w:space="0" w:color="auto"/>
              <w:right w:val="single" w:sz="4" w:space="0" w:color="auto"/>
            </w:tcBorders>
            <w:shd w:val="clear" w:color="auto" w:fill="auto"/>
            <w:hideMark/>
          </w:tcPr>
          <w:p w14:paraId="7D8871EC"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8,4</w:t>
            </w:r>
          </w:p>
        </w:tc>
        <w:tc>
          <w:tcPr>
            <w:tcW w:w="699" w:type="pct"/>
            <w:tcBorders>
              <w:top w:val="nil"/>
              <w:left w:val="nil"/>
              <w:bottom w:val="single" w:sz="4" w:space="0" w:color="auto"/>
              <w:right w:val="single" w:sz="4" w:space="0" w:color="auto"/>
            </w:tcBorders>
            <w:shd w:val="clear" w:color="auto" w:fill="auto"/>
            <w:hideMark/>
          </w:tcPr>
          <w:p w14:paraId="76877653"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8,2</w:t>
            </w:r>
          </w:p>
        </w:tc>
      </w:tr>
      <w:tr w:rsidR="00953171" w:rsidRPr="00251B61" w14:paraId="19D5B278" w14:textId="77777777" w:rsidTr="008D3722">
        <w:trPr>
          <w:trHeight w:val="300"/>
        </w:trPr>
        <w:tc>
          <w:tcPr>
            <w:tcW w:w="1873" w:type="pct"/>
            <w:vMerge/>
            <w:tcBorders>
              <w:top w:val="single" w:sz="4" w:space="0" w:color="auto"/>
              <w:left w:val="single" w:sz="4" w:space="0" w:color="auto"/>
              <w:bottom w:val="single" w:sz="4" w:space="0" w:color="auto"/>
              <w:right w:val="single" w:sz="4" w:space="0" w:color="auto"/>
            </w:tcBorders>
            <w:vAlign w:val="center"/>
            <w:hideMark/>
          </w:tcPr>
          <w:p w14:paraId="52FC72A3"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39C6BADF" w14:textId="77777777" w:rsidR="00953171" w:rsidRPr="00251B61" w:rsidRDefault="00953171" w:rsidP="008349F0">
            <w:pPr>
              <w:ind w:firstLine="0"/>
              <w:jc w:val="left"/>
              <w:rPr>
                <w:rFonts w:cs="Times New Roman"/>
                <w:i/>
                <w:iCs/>
                <w:color w:val="000000"/>
                <w:sz w:val="18"/>
                <w:szCs w:val="18"/>
                <w:vertAlign w:val="superscript"/>
              </w:rPr>
            </w:pPr>
            <w:r w:rsidRPr="00251B61">
              <w:rPr>
                <w:rFonts w:cs="Times New Roman"/>
                <w:i/>
                <w:iCs/>
                <w:color w:val="000000"/>
                <w:sz w:val="18"/>
                <w:szCs w:val="18"/>
              </w:rPr>
              <w:t>VSAOI</w:t>
            </w:r>
            <w:r w:rsidRPr="00251B61">
              <w:rPr>
                <w:rFonts w:cs="Times New Roman"/>
                <w:i/>
                <w:iCs/>
                <w:color w:val="000000"/>
                <w:sz w:val="18"/>
                <w:szCs w:val="18"/>
                <w:vertAlign w:val="superscript"/>
              </w:rPr>
              <w:t>1</w:t>
            </w:r>
          </w:p>
        </w:tc>
        <w:tc>
          <w:tcPr>
            <w:tcW w:w="782" w:type="pct"/>
            <w:tcBorders>
              <w:top w:val="nil"/>
              <w:left w:val="nil"/>
              <w:bottom w:val="single" w:sz="4" w:space="0" w:color="auto"/>
              <w:right w:val="single" w:sz="4" w:space="0" w:color="auto"/>
            </w:tcBorders>
            <w:shd w:val="clear" w:color="auto" w:fill="auto"/>
            <w:hideMark/>
          </w:tcPr>
          <w:p w14:paraId="17FBC6D2"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1,2</w:t>
            </w:r>
          </w:p>
        </w:tc>
        <w:tc>
          <w:tcPr>
            <w:tcW w:w="786" w:type="pct"/>
            <w:tcBorders>
              <w:top w:val="nil"/>
              <w:left w:val="nil"/>
              <w:bottom w:val="single" w:sz="4" w:space="0" w:color="auto"/>
              <w:right w:val="single" w:sz="4" w:space="0" w:color="auto"/>
            </w:tcBorders>
            <w:shd w:val="clear" w:color="auto" w:fill="auto"/>
            <w:hideMark/>
          </w:tcPr>
          <w:p w14:paraId="3107168B"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1,2</w:t>
            </w:r>
          </w:p>
        </w:tc>
        <w:tc>
          <w:tcPr>
            <w:tcW w:w="699" w:type="pct"/>
            <w:tcBorders>
              <w:top w:val="nil"/>
              <w:left w:val="nil"/>
              <w:bottom w:val="single" w:sz="4" w:space="0" w:color="auto"/>
              <w:right w:val="single" w:sz="4" w:space="0" w:color="auto"/>
            </w:tcBorders>
            <w:shd w:val="clear" w:color="auto" w:fill="auto"/>
            <w:hideMark/>
          </w:tcPr>
          <w:p w14:paraId="77F8AB6F"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1,2</w:t>
            </w:r>
          </w:p>
        </w:tc>
      </w:tr>
      <w:tr w:rsidR="00953171" w:rsidRPr="00251B61" w14:paraId="6B954532" w14:textId="77777777" w:rsidTr="008D3722">
        <w:trPr>
          <w:trHeight w:val="300"/>
        </w:trPr>
        <w:tc>
          <w:tcPr>
            <w:tcW w:w="1873" w:type="pct"/>
            <w:vMerge/>
            <w:tcBorders>
              <w:top w:val="single" w:sz="4" w:space="0" w:color="auto"/>
              <w:left w:val="single" w:sz="4" w:space="0" w:color="auto"/>
              <w:bottom w:val="single" w:sz="4" w:space="0" w:color="auto"/>
              <w:right w:val="single" w:sz="4" w:space="0" w:color="auto"/>
            </w:tcBorders>
            <w:vAlign w:val="center"/>
            <w:hideMark/>
          </w:tcPr>
          <w:p w14:paraId="362C63DC"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5FFFC696"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IIN</w:t>
            </w:r>
          </w:p>
        </w:tc>
        <w:tc>
          <w:tcPr>
            <w:tcW w:w="782" w:type="pct"/>
            <w:tcBorders>
              <w:top w:val="nil"/>
              <w:left w:val="nil"/>
              <w:bottom w:val="single" w:sz="4" w:space="0" w:color="auto"/>
              <w:right w:val="single" w:sz="4" w:space="0" w:color="auto"/>
            </w:tcBorders>
            <w:shd w:val="clear" w:color="auto" w:fill="auto"/>
            <w:hideMark/>
          </w:tcPr>
          <w:p w14:paraId="72725642"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1,3</w:t>
            </w:r>
          </w:p>
        </w:tc>
        <w:tc>
          <w:tcPr>
            <w:tcW w:w="786" w:type="pct"/>
            <w:tcBorders>
              <w:top w:val="nil"/>
              <w:left w:val="nil"/>
              <w:bottom w:val="single" w:sz="4" w:space="0" w:color="auto"/>
              <w:right w:val="single" w:sz="4" w:space="0" w:color="auto"/>
            </w:tcBorders>
            <w:shd w:val="clear" w:color="auto" w:fill="auto"/>
            <w:hideMark/>
          </w:tcPr>
          <w:p w14:paraId="27642627"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5,6</w:t>
            </w:r>
          </w:p>
        </w:tc>
        <w:tc>
          <w:tcPr>
            <w:tcW w:w="699" w:type="pct"/>
            <w:tcBorders>
              <w:top w:val="nil"/>
              <w:left w:val="nil"/>
              <w:bottom w:val="single" w:sz="4" w:space="0" w:color="auto"/>
              <w:right w:val="single" w:sz="4" w:space="0" w:color="auto"/>
            </w:tcBorders>
            <w:shd w:val="clear" w:color="auto" w:fill="auto"/>
            <w:hideMark/>
          </w:tcPr>
          <w:p w14:paraId="48186987"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7,3</w:t>
            </w:r>
          </w:p>
        </w:tc>
      </w:tr>
      <w:tr w:rsidR="00953171" w:rsidRPr="00251B61" w14:paraId="36B57E02" w14:textId="77777777" w:rsidTr="008D3722">
        <w:trPr>
          <w:trHeight w:val="315"/>
        </w:trPr>
        <w:tc>
          <w:tcPr>
            <w:tcW w:w="1873" w:type="pct"/>
            <w:vMerge/>
            <w:tcBorders>
              <w:top w:val="single" w:sz="4" w:space="0" w:color="auto"/>
              <w:left w:val="single" w:sz="4" w:space="0" w:color="auto"/>
              <w:bottom w:val="single" w:sz="4" w:space="0" w:color="auto"/>
              <w:right w:val="single" w:sz="4" w:space="0" w:color="auto"/>
            </w:tcBorders>
            <w:vAlign w:val="center"/>
            <w:hideMark/>
          </w:tcPr>
          <w:p w14:paraId="588C713E"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1EE14EE3"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Akcīzes nodoklis</w:t>
            </w:r>
          </w:p>
        </w:tc>
        <w:tc>
          <w:tcPr>
            <w:tcW w:w="782" w:type="pct"/>
            <w:tcBorders>
              <w:top w:val="nil"/>
              <w:left w:val="nil"/>
              <w:bottom w:val="single" w:sz="4" w:space="0" w:color="auto"/>
              <w:right w:val="single" w:sz="4" w:space="0" w:color="auto"/>
            </w:tcBorders>
            <w:shd w:val="clear" w:color="auto" w:fill="auto"/>
            <w:hideMark/>
          </w:tcPr>
          <w:p w14:paraId="449C1B81"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1,0</w:t>
            </w:r>
          </w:p>
        </w:tc>
        <w:tc>
          <w:tcPr>
            <w:tcW w:w="786" w:type="pct"/>
            <w:tcBorders>
              <w:top w:val="nil"/>
              <w:left w:val="nil"/>
              <w:bottom w:val="single" w:sz="4" w:space="0" w:color="auto"/>
              <w:right w:val="single" w:sz="4" w:space="0" w:color="auto"/>
            </w:tcBorders>
            <w:shd w:val="clear" w:color="auto" w:fill="auto"/>
            <w:hideMark/>
          </w:tcPr>
          <w:p w14:paraId="33D7F0D1"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1,0</w:t>
            </w:r>
          </w:p>
        </w:tc>
        <w:tc>
          <w:tcPr>
            <w:tcW w:w="699" w:type="pct"/>
            <w:tcBorders>
              <w:top w:val="nil"/>
              <w:left w:val="nil"/>
              <w:bottom w:val="single" w:sz="4" w:space="0" w:color="auto"/>
              <w:right w:val="single" w:sz="4" w:space="0" w:color="auto"/>
            </w:tcBorders>
            <w:shd w:val="clear" w:color="auto" w:fill="auto"/>
            <w:hideMark/>
          </w:tcPr>
          <w:p w14:paraId="7E3E4A4E"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1,2</w:t>
            </w:r>
          </w:p>
        </w:tc>
      </w:tr>
      <w:tr w:rsidR="00953171" w:rsidRPr="00251B61" w14:paraId="3081104F" w14:textId="77777777" w:rsidTr="008D3722">
        <w:trPr>
          <w:trHeight w:val="300"/>
        </w:trPr>
        <w:tc>
          <w:tcPr>
            <w:tcW w:w="187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AFED50" w14:textId="77777777" w:rsidR="00953171" w:rsidRPr="00251B61" w:rsidRDefault="00953171" w:rsidP="008349F0">
            <w:pPr>
              <w:spacing w:after="0"/>
              <w:ind w:firstLine="0"/>
              <w:jc w:val="left"/>
              <w:rPr>
                <w:rFonts w:eastAsia="Times New Roman" w:cs="Times New Roman"/>
                <w:color w:val="000000"/>
                <w:sz w:val="18"/>
                <w:szCs w:val="18"/>
              </w:rPr>
            </w:pPr>
            <w:r w:rsidRPr="00251B61">
              <w:rPr>
                <w:rFonts w:eastAsia="Times New Roman" w:cs="Times New Roman"/>
                <w:color w:val="000000"/>
                <w:sz w:val="18"/>
                <w:szCs w:val="18"/>
              </w:rPr>
              <w:t>Atgriezeniskais efekts no atlīdzības politikas izmaiņām (IeM pabalsts/piemaksa)</w:t>
            </w:r>
          </w:p>
        </w:tc>
        <w:tc>
          <w:tcPr>
            <w:tcW w:w="860" w:type="pct"/>
            <w:tcBorders>
              <w:top w:val="single" w:sz="4" w:space="0" w:color="auto"/>
              <w:left w:val="nil"/>
              <w:bottom w:val="single" w:sz="4" w:space="0" w:color="auto"/>
              <w:right w:val="single" w:sz="4" w:space="0" w:color="auto"/>
            </w:tcBorders>
            <w:shd w:val="clear" w:color="auto" w:fill="auto"/>
            <w:vAlign w:val="center"/>
            <w:hideMark/>
          </w:tcPr>
          <w:p w14:paraId="5730070E" w14:textId="77777777" w:rsidR="00953171" w:rsidRPr="00251B61" w:rsidRDefault="00953171" w:rsidP="008349F0">
            <w:pPr>
              <w:spacing w:after="0"/>
              <w:ind w:firstLine="0"/>
              <w:jc w:val="left"/>
              <w:rPr>
                <w:rFonts w:eastAsia="Times New Roman" w:cs="Times New Roman"/>
                <w:color w:val="000000"/>
                <w:sz w:val="18"/>
                <w:szCs w:val="18"/>
              </w:rPr>
            </w:pPr>
            <w:r w:rsidRPr="00251B61">
              <w:rPr>
                <w:rFonts w:eastAsia="Times New Roman" w:cs="Times New Roman"/>
                <w:color w:val="000000"/>
                <w:sz w:val="18"/>
                <w:szCs w:val="18"/>
              </w:rPr>
              <w:t>Kopā, t.sk.:</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688B7AA0" w14:textId="77777777" w:rsidR="00953171" w:rsidRPr="00251B61" w:rsidRDefault="00953171" w:rsidP="008349F0">
            <w:pPr>
              <w:spacing w:after="0"/>
              <w:ind w:firstLine="0"/>
              <w:jc w:val="right"/>
              <w:rPr>
                <w:rFonts w:eastAsia="Times New Roman" w:cs="Times New Roman"/>
                <w:color w:val="000000"/>
                <w:sz w:val="18"/>
                <w:szCs w:val="18"/>
              </w:rPr>
            </w:pPr>
            <w:r w:rsidRPr="00251B61">
              <w:rPr>
                <w:rFonts w:eastAsia="Times New Roman" w:cs="Times New Roman"/>
                <w:color w:val="000000"/>
                <w:sz w:val="18"/>
                <w:szCs w:val="18"/>
              </w:rPr>
              <w:t>22,7</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49EC4476" w14:textId="77777777" w:rsidR="00953171" w:rsidRPr="00251B61" w:rsidRDefault="00953171" w:rsidP="008349F0">
            <w:pPr>
              <w:spacing w:after="0"/>
              <w:ind w:firstLine="0"/>
              <w:jc w:val="right"/>
              <w:rPr>
                <w:rFonts w:eastAsia="Times New Roman" w:cs="Times New Roman"/>
                <w:color w:val="000000"/>
                <w:sz w:val="18"/>
                <w:szCs w:val="18"/>
              </w:rPr>
            </w:pPr>
            <w:r w:rsidRPr="00251B61">
              <w:rPr>
                <w:rFonts w:eastAsia="Times New Roman" w:cs="Times New Roman"/>
                <w:color w:val="000000"/>
                <w:sz w:val="18"/>
                <w:szCs w:val="18"/>
              </w:rPr>
              <w:t>22,7</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080B31C5" w14:textId="77777777" w:rsidR="00953171" w:rsidRPr="00251B61" w:rsidRDefault="00953171" w:rsidP="008349F0">
            <w:pPr>
              <w:spacing w:after="0"/>
              <w:ind w:firstLine="0"/>
              <w:jc w:val="right"/>
              <w:rPr>
                <w:rFonts w:eastAsia="Times New Roman" w:cs="Times New Roman"/>
                <w:i/>
                <w:iCs/>
                <w:color w:val="000000"/>
                <w:sz w:val="18"/>
                <w:szCs w:val="18"/>
              </w:rPr>
            </w:pPr>
            <w:r w:rsidRPr="00251B61">
              <w:rPr>
                <w:rFonts w:eastAsia="Times New Roman" w:cs="Times New Roman"/>
                <w:i/>
                <w:iCs/>
                <w:color w:val="000000"/>
                <w:sz w:val="18"/>
                <w:szCs w:val="18"/>
              </w:rPr>
              <w:t>22,7</w:t>
            </w:r>
          </w:p>
        </w:tc>
      </w:tr>
      <w:tr w:rsidR="00953171" w:rsidRPr="00251B61" w14:paraId="0327648F" w14:textId="77777777" w:rsidTr="008D3722">
        <w:trPr>
          <w:trHeight w:val="300"/>
        </w:trPr>
        <w:tc>
          <w:tcPr>
            <w:tcW w:w="1873" w:type="pct"/>
            <w:vMerge/>
            <w:tcBorders>
              <w:top w:val="single" w:sz="4" w:space="0" w:color="auto"/>
              <w:left w:val="single" w:sz="4" w:space="0" w:color="auto"/>
              <w:bottom w:val="single" w:sz="4" w:space="0" w:color="000000"/>
              <w:right w:val="single" w:sz="4" w:space="0" w:color="auto"/>
            </w:tcBorders>
            <w:vAlign w:val="center"/>
            <w:hideMark/>
          </w:tcPr>
          <w:p w14:paraId="625B73F3" w14:textId="77777777" w:rsidR="00953171" w:rsidRPr="00251B61" w:rsidRDefault="00953171" w:rsidP="008349F0">
            <w:pPr>
              <w:spacing w:after="0"/>
              <w:ind w:firstLine="0"/>
              <w:jc w:val="left"/>
              <w:rPr>
                <w:rFonts w:eastAsia="Times New Roman" w:cs="Times New Roman"/>
                <w:color w:val="000000"/>
                <w:sz w:val="20"/>
                <w:szCs w:val="20"/>
              </w:rPr>
            </w:pPr>
          </w:p>
        </w:tc>
        <w:tc>
          <w:tcPr>
            <w:tcW w:w="860" w:type="pct"/>
            <w:tcBorders>
              <w:top w:val="nil"/>
              <w:left w:val="nil"/>
              <w:bottom w:val="single" w:sz="4" w:space="0" w:color="auto"/>
              <w:right w:val="single" w:sz="4" w:space="0" w:color="auto"/>
            </w:tcBorders>
            <w:shd w:val="clear" w:color="auto" w:fill="auto"/>
            <w:vAlign w:val="center"/>
            <w:hideMark/>
          </w:tcPr>
          <w:p w14:paraId="697C1587" w14:textId="77777777" w:rsidR="00953171" w:rsidRPr="00251B61" w:rsidRDefault="00953171" w:rsidP="008349F0">
            <w:pPr>
              <w:spacing w:after="0"/>
              <w:ind w:firstLine="0"/>
              <w:jc w:val="left"/>
              <w:rPr>
                <w:rFonts w:eastAsia="Times New Roman" w:cs="Times New Roman"/>
                <w:i/>
                <w:iCs/>
                <w:color w:val="000000"/>
                <w:sz w:val="18"/>
                <w:szCs w:val="18"/>
              </w:rPr>
            </w:pPr>
            <w:r w:rsidRPr="00251B61">
              <w:rPr>
                <w:rFonts w:eastAsia="Times New Roman" w:cs="Times New Roman"/>
                <w:i/>
                <w:iCs/>
                <w:color w:val="000000"/>
                <w:sz w:val="18"/>
                <w:szCs w:val="18"/>
              </w:rPr>
              <w:t>VSAOI</w:t>
            </w:r>
          </w:p>
        </w:tc>
        <w:tc>
          <w:tcPr>
            <w:tcW w:w="782" w:type="pct"/>
            <w:tcBorders>
              <w:top w:val="nil"/>
              <w:left w:val="nil"/>
              <w:bottom w:val="single" w:sz="4" w:space="0" w:color="auto"/>
              <w:right w:val="single" w:sz="4" w:space="0" w:color="auto"/>
            </w:tcBorders>
            <w:shd w:val="clear" w:color="auto" w:fill="auto"/>
            <w:vAlign w:val="center"/>
            <w:hideMark/>
          </w:tcPr>
          <w:p w14:paraId="5852DD98" w14:textId="77777777" w:rsidR="00953171" w:rsidRPr="00251B61" w:rsidRDefault="00953171" w:rsidP="008349F0">
            <w:pPr>
              <w:spacing w:after="0"/>
              <w:ind w:firstLine="0"/>
              <w:jc w:val="right"/>
              <w:rPr>
                <w:rFonts w:eastAsia="Times New Roman" w:cs="Times New Roman"/>
                <w:i/>
                <w:iCs/>
                <w:color w:val="000000"/>
                <w:sz w:val="18"/>
                <w:szCs w:val="18"/>
              </w:rPr>
            </w:pPr>
            <w:r w:rsidRPr="00251B61">
              <w:rPr>
                <w:rFonts w:eastAsia="Times New Roman" w:cs="Times New Roman"/>
                <w:i/>
                <w:iCs/>
                <w:color w:val="000000"/>
                <w:sz w:val="18"/>
                <w:szCs w:val="18"/>
              </w:rPr>
              <w:t>12,4</w:t>
            </w:r>
          </w:p>
        </w:tc>
        <w:tc>
          <w:tcPr>
            <w:tcW w:w="786" w:type="pct"/>
            <w:tcBorders>
              <w:top w:val="nil"/>
              <w:left w:val="nil"/>
              <w:bottom w:val="single" w:sz="4" w:space="0" w:color="auto"/>
              <w:right w:val="single" w:sz="4" w:space="0" w:color="auto"/>
            </w:tcBorders>
            <w:shd w:val="clear" w:color="auto" w:fill="auto"/>
            <w:vAlign w:val="center"/>
            <w:hideMark/>
          </w:tcPr>
          <w:p w14:paraId="7E0BEC3A" w14:textId="77777777" w:rsidR="00953171" w:rsidRPr="00251B61" w:rsidRDefault="00953171" w:rsidP="008349F0">
            <w:pPr>
              <w:spacing w:after="0"/>
              <w:ind w:firstLine="0"/>
              <w:jc w:val="right"/>
              <w:rPr>
                <w:rFonts w:eastAsia="Times New Roman" w:cs="Times New Roman"/>
                <w:i/>
                <w:iCs/>
                <w:color w:val="000000"/>
                <w:sz w:val="18"/>
                <w:szCs w:val="18"/>
              </w:rPr>
            </w:pPr>
            <w:r w:rsidRPr="00251B61">
              <w:rPr>
                <w:rFonts w:eastAsia="Times New Roman" w:cs="Times New Roman"/>
                <w:i/>
                <w:iCs/>
                <w:color w:val="000000"/>
                <w:sz w:val="18"/>
                <w:szCs w:val="18"/>
              </w:rPr>
              <w:t>12,4</w:t>
            </w:r>
          </w:p>
        </w:tc>
        <w:tc>
          <w:tcPr>
            <w:tcW w:w="699" w:type="pct"/>
            <w:tcBorders>
              <w:top w:val="nil"/>
              <w:left w:val="nil"/>
              <w:bottom w:val="single" w:sz="4" w:space="0" w:color="auto"/>
              <w:right w:val="single" w:sz="4" w:space="0" w:color="auto"/>
            </w:tcBorders>
            <w:shd w:val="clear" w:color="auto" w:fill="auto"/>
            <w:vAlign w:val="center"/>
            <w:hideMark/>
          </w:tcPr>
          <w:p w14:paraId="2A726F5F" w14:textId="77777777" w:rsidR="00953171" w:rsidRPr="00251B61" w:rsidRDefault="00953171" w:rsidP="008349F0">
            <w:pPr>
              <w:spacing w:after="0"/>
              <w:ind w:firstLine="0"/>
              <w:jc w:val="right"/>
              <w:rPr>
                <w:rFonts w:eastAsia="Times New Roman" w:cs="Times New Roman"/>
                <w:i/>
                <w:iCs/>
                <w:color w:val="000000"/>
                <w:sz w:val="18"/>
                <w:szCs w:val="18"/>
              </w:rPr>
            </w:pPr>
            <w:r w:rsidRPr="00251B61">
              <w:rPr>
                <w:rFonts w:eastAsia="Times New Roman" w:cs="Times New Roman"/>
                <w:i/>
                <w:iCs/>
                <w:color w:val="000000"/>
                <w:sz w:val="18"/>
                <w:szCs w:val="18"/>
              </w:rPr>
              <w:t>12,4</w:t>
            </w:r>
          </w:p>
        </w:tc>
      </w:tr>
      <w:tr w:rsidR="00953171" w:rsidRPr="00251B61" w14:paraId="235B9667" w14:textId="77777777" w:rsidTr="008D3722">
        <w:trPr>
          <w:trHeight w:val="315"/>
        </w:trPr>
        <w:tc>
          <w:tcPr>
            <w:tcW w:w="1873" w:type="pct"/>
            <w:vMerge/>
            <w:tcBorders>
              <w:top w:val="single" w:sz="4" w:space="0" w:color="auto"/>
              <w:left w:val="single" w:sz="4" w:space="0" w:color="auto"/>
              <w:bottom w:val="single" w:sz="4" w:space="0" w:color="000000"/>
              <w:right w:val="single" w:sz="4" w:space="0" w:color="auto"/>
            </w:tcBorders>
            <w:vAlign w:val="center"/>
            <w:hideMark/>
          </w:tcPr>
          <w:p w14:paraId="19497BA6" w14:textId="77777777" w:rsidR="00953171" w:rsidRPr="00251B61" w:rsidRDefault="00953171" w:rsidP="008349F0">
            <w:pPr>
              <w:spacing w:after="0"/>
              <w:ind w:firstLine="0"/>
              <w:jc w:val="left"/>
              <w:rPr>
                <w:rFonts w:eastAsia="Times New Roman" w:cs="Times New Roman"/>
                <w:color w:val="000000"/>
                <w:sz w:val="20"/>
                <w:szCs w:val="20"/>
              </w:rPr>
            </w:pPr>
          </w:p>
        </w:tc>
        <w:tc>
          <w:tcPr>
            <w:tcW w:w="860" w:type="pct"/>
            <w:tcBorders>
              <w:top w:val="nil"/>
              <w:left w:val="nil"/>
              <w:bottom w:val="single" w:sz="4" w:space="0" w:color="auto"/>
              <w:right w:val="single" w:sz="4" w:space="0" w:color="auto"/>
            </w:tcBorders>
            <w:shd w:val="clear" w:color="auto" w:fill="auto"/>
            <w:vAlign w:val="center"/>
            <w:hideMark/>
          </w:tcPr>
          <w:p w14:paraId="33193D8A" w14:textId="77777777" w:rsidR="00953171" w:rsidRPr="00251B61" w:rsidRDefault="00953171" w:rsidP="008349F0">
            <w:pPr>
              <w:spacing w:after="0"/>
              <w:ind w:firstLine="0"/>
              <w:jc w:val="left"/>
              <w:rPr>
                <w:rFonts w:eastAsia="Times New Roman" w:cs="Times New Roman"/>
                <w:i/>
                <w:iCs/>
                <w:color w:val="000000"/>
                <w:sz w:val="18"/>
                <w:szCs w:val="18"/>
              </w:rPr>
            </w:pPr>
            <w:r w:rsidRPr="00251B61">
              <w:rPr>
                <w:rFonts w:eastAsia="Times New Roman" w:cs="Times New Roman"/>
                <w:i/>
                <w:iCs/>
                <w:color w:val="000000"/>
                <w:sz w:val="18"/>
                <w:szCs w:val="18"/>
              </w:rPr>
              <w:t>PVN</w:t>
            </w:r>
          </w:p>
        </w:tc>
        <w:tc>
          <w:tcPr>
            <w:tcW w:w="782" w:type="pct"/>
            <w:tcBorders>
              <w:top w:val="nil"/>
              <w:left w:val="nil"/>
              <w:bottom w:val="single" w:sz="4" w:space="0" w:color="auto"/>
              <w:right w:val="single" w:sz="4" w:space="0" w:color="auto"/>
            </w:tcBorders>
            <w:shd w:val="clear" w:color="auto" w:fill="auto"/>
            <w:vAlign w:val="center"/>
            <w:hideMark/>
          </w:tcPr>
          <w:p w14:paraId="6A5AA462" w14:textId="77777777" w:rsidR="00953171" w:rsidRPr="00251B61" w:rsidRDefault="00953171" w:rsidP="008349F0">
            <w:pPr>
              <w:spacing w:after="0"/>
              <w:ind w:firstLine="0"/>
              <w:jc w:val="right"/>
              <w:rPr>
                <w:rFonts w:eastAsia="Times New Roman" w:cs="Times New Roman"/>
                <w:i/>
                <w:iCs/>
                <w:color w:val="000000"/>
                <w:sz w:val="18"/>
                <w:szCs w:val="18"/>
              </w:rPr>
            </w:pPr>
            <w:r w:rsidRPr="00251B61">
              <w:rPr>
                <w:rFonts w:eastAsia="Times New Roman" w:cs="Times New Roman"/>
                <w:i/>
                <w:iCs/>
                <w:color w:val="000000"/>
                <w:sz w:val="18"/>
                <w:szCs w:val="18"/>
              </w:rPr>
              <w:t>10,3</w:t>
            </w:r>
          </w:p>
        </w:tc>
        <w:tc>
          <w:tcPr>
            <w:tcW w:w="786" w:type="pct"/>
            <w:tcBorders>
              <w:top w:val="nil"/>
              <w:left w:val="nil"/>
              <w:bottom w:val="single" w:sz="4" w:space="0" w:color="auto"/>
              <w:right w:val="single" w:sz="4" w:space="0" w:color="auto"/>
            </w:tcBorders>
            <w:shd w:val="clear" w:color="auto" w:fill="auto"/>
            <w:vAlign w:val="center"/>
            <w:hideMark/>
          </w:tcPr>
          <w:p w14:paraId="326127DB" w14:textId="77777777" w:rsidR="00953171" w:rsidRPr="00251B61" w:rsidRDefault="00953171" w:rsidP="008349F0">
            <w:pPr>
              <w:spacing w:after="0"/>
              <w:ind w:firstLine="0"/>
              <w:jc w:val="right"/>
              <w:rPr>
                <w:rFonts w:eastAsia="Times New Roman" w:cs="Times New Roman"/>
                <w:i/>
                <w:iCs/>
                <w:color w:val="000000"/>
                <w:sz w:val="18"/>
                <w:szCs w:val="18"/>
              </w:rPr>
            </w:pPr>
            <w:r w:rsidRPr="00251B61">
              <w:rPr>
                <w:rFonts w:eastAsia="Times New Roman" w:cs="Times New Roman"/>
                <w:i/>
                <w:iCs/>
                <w:color w:val="000000"/>
                <w:sz w:val="18"/>
                <w:szCs w:val="18"/>
              </w:rPr>
              <w:t>10,3</w:t>
            </w:r>
          </w:p>
        </w:tc>
        <w:tc>
          <w:tcPr>
            <w:tcW w:w="699" w:type="pct"/>
            <w:tcBorders>
              <w:top w:val="nil"/>
              <w:left w:val="nil"/>
              <w:bottom w:val="single" w:sz="4" w:space="0" w:color="auto"/>
              <w:right w:val="single" w:sz="4" w:space="0" w:color="auto"/>
            </w:tcBorders>
            <w:shd w:val="clear" w:color="auto" w:fill="auto"/>
            <w:vAlign w:val="center"/>
            <w:hideMark/>
          </w:tcPr>
          <w:p w14:paraId="5442D7BF" w14:textId="77777777" w:rsidR="00953171" w:rsidRPr="00251B61" w:rsidRDefault="00953171" w:rsidP="008349F0">
            <w:pPr>
              <w:spacing w:after="0"/>
              <w:ind w:firstLine="0"/>
              <w:jc w:val="right"/>
              <w:rPr>
                <w:rFonts w:eastAsia="Times New Roman" w:cs="Times New Roman"/>
                <w:i/>
                <w:iCs/>
                <w:color w:val="000000"/>
                <w:sz w:val="18"/>
                <w:szCs w:val="18"/>
              </w:rPr>
            </w:pPr>
            <w:r w:rsidRPr="00251B61">
              <w:rPr>
                <w:rFonts w:eastAsia="Times New Roman" w:cs="Times New Roman"/>
                <w:i/>
                <w:iCs/>
                <w:color w:val="000000"/>
                <w:sz w:val="18"/>
                <w:szCs w:val="18"/>
              </w:rPr>
              <w:t>10,3</w:t>
            </w:r>
          </w:p>
        </w:tc>
      </w:tr>
      <w:tr w:rsidR="00953171" w:rsidRPr="00251B61" w14:paraId="21F5D048" w14:textId="77777777" w:rsidTr="008D3722">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0BA5A2FF"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Ieņēmumu palielināšana no valsts nodevas par apvienošanās izvērtēšanu </w:t>
            </w:r>
          </w:p>
        </w:tc>
        <w:tc>
          <w:tcPr>
            <w:tcW w:w="860" w:type="pct"/>
            <w:tcBorders>
              <w:top w:val="nil"/>
              <w:left w:val="nil"/>
              <w:bottom w:val="single" w:sz="4" w:space="0" w:color="auto"/>
              <w:right w:val="single" w:sz="4" w:space="0" w:color="auto"/>
            </w:tcBorders>
            <w:shd w:val="clear" w:color="auto" w:fill="auto"/>
            <w:vAlign w:val="center"/>
            <w:hideMark/>
          </w:tcPr>
          <w:p w14:paraId="6C6ABF3D"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5637869D"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0,004</w:t>
            </w:r>
          </w:p>
        </w:tc>
        <w:tc>
          <w:tcPr>
            <w:tcW w:w="786" w:type="pct"/>
            <w:tcBorders>
              <w:top w:val="nil"/>
              <w:left w:val="nil"/>
              <w:bottom w:val="single" w:sz="4" w:space="0" w:color="auto"/>
              <w:right w:val="single" w:sz="4" w:space="0" w:color="auto"/>
            </w:tcBorders>
            <w:shd w:val="clear" w:color="auto" w:fill="auto"/>
            <w:vAlign w:val="center"/>
            <w:hideMark/>
          </w:tcPr>
          <w:p w14:paraId="2B340DD4" w14:textId="77777777" w:rsidR="00953171" w:rsidRPr="00251B61" w:rsidRDefault="00953171" w:rsidP="008349F0">
            <w:pPr>
              <w:ind w:firstLine="552"/>
              <w:jc w:val="center"/>
              <w:rPr>
                <w:rFonts w:cs="Times New Roman"/>
                <w:i/>
                <w:iCs/>
                <w:color w:val="000000"/>
                <w:sz w:val="18"/>
                <w:szCs w:val="18"/>
              </w:rPr>
            </w:pPr>
            <w:r w:rsidRPr="00251B61">
              <w:rPr>
                <w:rFonts w:cs="Times New Roman"/>
                <w:i/>
                <w:iCs/>
                <w:color w:val="000000"/>
                <w:sz w:val="18"/>
                <w:szCs w:val="18"/>
              </w:rPr>
              <w:t>0,004</w:t>
            </w:r>
          </w:p>
        </w:tc>
        <w:tc>
          <w:tcPr>
            <w:tcW w:w="699" w:type="pct"/>
            <w:tcBorders>
              <w:top w:val="nil"/>
              <w:left w:val="nil"/>
              <w:bottom w:val="single" w:sz="4" w:space="0" w:color="auto"/>
              <w:right w:val="single" w:sz="4" w:space="0" w:color="auto"/>
            </w:tcBorders>
            <w:shd w:val="clear" w:color="auto" w:fill="auto"/>
            <w:vAlign w:val="center"/>
            <w:hideMark/>
          </w:tcPr>
          <w:p w14:paraId="07033ADC" w14:textId="77777777" w:rsidR="00953171" w:rsidRPr="00251B61" w:rsidRDefault="00953171" w:rsidP="008349F0">
            <w:pPr>
              <w:ind w:firstLine="595"/>
              <w:jc w:val="center"/>
              <w:rPr>
                <w:rFonts w:cs="Times New Roman"/>
                <w:i/>
                <w:iCs/>
                <w:color w:val="000000"/>
                <w:sz w:val="18"/>
                <w:szCs w:val="18"/>
              </w:rPr>
            </w:pPr>
            <w:r w:rsidRPr="00251B61">
              <w:rPr>
                <w:rFonts w:cs="Times New Roman"/>
                <w:i/>
                <w:iCs/>
                <w:color w:val="000000"/>
                <w:sz w:val="18"/>
                <w:szCs w:val="18"/>
              </w:rPr>
              <w:t>0,004</w:t>
            </w:r>
          </w:p>
        </w:tc>
      </w:tr>
      <w:tr w:rsidR="00953171" w:rsidRPr="00251B61" w14:paraId="006CDE56" w14:textId="77777777" w:rsidTr="008D3722">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6E442322"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lastRenderedPageBreak/>
              <w:t>Akciju sabiedrības “Latvijas valsts meži” dividenžu maksājumu palielināšana 2025. gadā.</w:t>
            </w:r>
          </w:p>
        </w:tc>
        <w:tc>
          <w:tcPr>
            <w:tcW w:w="860" w:type="pct"/>
            <w:tcBorders>
              <w:top w:val="nil"/>
              <w:left w:val="nil"/>
              <w:bottom w:val="single" w:sz="4" w:space="0" w:color="auto"/>
              <w:right w:val="single" w:sz="4" w:space="0" w:color="auto"/>
            </w:tcBorders>
            <w:shd w:val="clear" w:color="auto" w:fill="auto"/>
            <w:vAlign w:val="center"/>
            <w:hideMark/>
          </w:tcPr>
          <w:p w14:paraId="4704CC68"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1E2291C4"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46,3</w:t>
            </w:r>
          </w:p>
        </w:tc>
        <w:tc>
          <w:tcPr>
            <w:tcW w:w="786" w:type="pct"/>
            <w:tcBorders>
              <w:top w:val="nil"/>
              <w:left w:val="nil"/>
              <w:bottom w:val="single" w:sz="4" w:space="0" w:color="auto"/>
              <w:right w:val="single" w:sz="4" w:space="0" w:color="auto"/>
            </w:tcBorders>
            <w:shd w:val="clear" w:color="auto" w:fill="auto"/>
            <w:vAlign w:val="center"/>
            <w:hideMark/>
          </w:tcPr>
          <w:p w14:paraId="2F3ED9D5"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0,0</w:t>
            </w:r>
          </w:p>
        </w:tc>
        <w:tc>
          <w:tcPr>
            <w:tcW w:w="699" w:type="pct"/>
            <w:tcBorders>
              <w:top w:val="nil"/>
              <w:left w:val="nil"/>
              <w:bottom w:val="single" w:sz="4" w:space="0" w:color="auto"/>
              <w:right w:val="single" w:sz="4" w:space="0" w:color="auto"/>
            </w:tcBorders>
            <w:shd w:val="clear" w:color="auto" w:fill="auto"/>
            <w:vAlign w:val="center"/>
            <w:hideMark/>
          </w:tcPr>
          <w:p w14:paraId="19377AC0" w14:textId="77777777" w:rsidR="00953171" w:rsidRPr="00251B61" w:rsidRDefault="00953171" w:rsidP="008349F0">
            <w:pPr>
              <w:jc w:val="center"/>
              <w:rPr>
                <w:rFonts w:cs="Times New Roman"/>
                <w:i/>
                <w:iCs/>
                <w:color w:val="000000"/>
                <w:sz w:val="18"/>
                <w:szCs w:val="18"/>
              </w:rPr>
            </w:pPr>
            <w:r w:rsidRPr="00251B61">
              <w:rPr>
                <w:rFonts w:cs="Times New Roman"/>
                <w:i/>
                <w:iCs/>
                <w:color w:val="000000"/>
                <w:sz w:val="18"/>
                <w:szCs w:val="18"/>
              </w:rPr>
              <w:t>0,0</w:t>
            </w:r>
          </w:p>
        </w:tc>
      </w:tr>
      <w:tr w:rsidR="00953171" w:rsidRPr="00251B61" w14:paraId="7E47A785" w14:textId="77777777" w:rsidTr="008D3722">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6B9A40C3"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Ieņēmumu palielināšana no azartspēļu organizēšanas licences </w:t>
            </w:r>
            <w:proofErr w:type="spellStart"/>
            <w:r w:rsidRPr="00251B61">
              <w:rPr>
                <w:rFonts w:cs="Times New Roman"/>
                <w:color w:val="000000"/>
                <w:sz w:val="18"/>
                <w:szCs w:val="18"/>
              </w:rPr>
              <w:t>pārreģistrācijas</w:t>
            </w:r>
            <w:proofErr w:type="spellEnd"/>
            <w:r w:rsidRPr="00251B61">
              <w:rPr>
                <w:rFonts w:cs="Times New Roman"/>
                <w:color w:val="000000"/>
                <w:sz w:val="18"/>
                <w:szCs w:val="18"/>
              </w:rPr>
              <w:t xml:space="preserve"> nodevas</w:t>
            </w:r>
          </w:p>
        </w:tc>
        <w:tc>
          <w:tcPr>
            <w:tcW w:w="860" w:type="pct"/>
            <w:tcBorders>
              <w:top w:val="nil"/>
              <w:left w:val="nil"/>
              <w:bottom w:val="single" w:sz="4" w:space="0" w:color="auto"/>
              <w:right w:val="single" w:sz="4" w:space="0" w:color="auto"/>
            </w:tcBorders>
            <w:shd w:val="clear" w:color="auto" w:fill="auto"/>
            <w:vAlign w:val="center"/>
            <w:hideMark/>
          </w:tcPr>
          <w:p w14:paraId="17B36989"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58E472FA"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0,2</w:t>
            </w:r>
          </w:p>
        </w:tc>
        <w:tc>
          <w:tcPr>
            <w:tcW w:w="786" w:type="pct"/>
            <w:tcBorders>
              <w:top w:val="nil"/>
              <w:left w:val="nil"/>
              <w:bottom w:val="single" w:sz="4" w:space="0" w:color="auto"/>
              <w:right w:val="single" w:sz="4" w:space="0" w:color="auto"/>
            </w:tcBorders>
            <w:shd w:val="clear" w:color="auto" w:fill="auto"/>
            <w:vAlign w:val="center"/>
            <w:hideMark/>
          </w:tcPr>
          <w:p w14:paraId="4F1BC23A" w14:textId="77777777" w:rsidR="00953171" w:rsidRPr="00251B61" w:rsidRDefault="00953171" w:rsidP="008349F0">
            <w:pPr>
              <w:jc w:val="center"/>
              <w:rPr>
                <w:rFonts w:cs="Times New Roman"/>
                <w:i/>
                <w:iCs/>
                <w:color w:val="000000"/>
                <w:sz w:val="18"/>
                <w:szCs w:val="18"/>
              </w:rPr>
            </w:pPr>
            <w:r w:rsidRPr="00251B61">
              <w:rPr>
                <w:rFonts w:cs="Times New Roman"/>
                <w:i/>
                <w:iCs/>
                <w:color w:val="000000"/>
                <w:sz w:val="18"/>
                <w:szCs w:val="18"/>
              </w:rPr>
              <w:t>0,2</w:t>
            </w:r>
          </w:p>
        </w:tc>
        <w:tc>
          <w:tcPr>
            <w:tcW w:w="699" w:type="pct"/>
            <w:tcBorders>
              <w:top w:val="nil"/>
              <w:left w:val="nil"/>
              <w:bottom w:val="single" w:sz="4" w:space="0" w:color="auto"/>
              <w:right w:val="single" w:sz="4" w:space="0" w:color="auto"/>
            </w:tcBorders>
            <w:shd w:val="clear" w:color="auto" w:fill="auto"/>
            <w:vAlign w:val="center"/>
            <w:hideMark/>
          </w:tcPr>
          <w:p w14:paraId="76F70A00" w14:textId="77777777" w:rsidR="00953171" w:rsidRPr="00251B61" w:rsidRDefault="00953171" w:rsidP="008349F0">
            <w:pPr>
              <w:jc w:val="center"/>
              <w:rPr>
                <w:rFonts w:cs="Times New Roman"/>
                <w:i/>
                <w:iCs/>
                <w:color w:val="000000"/>
                <w:sz w:val="18"/>
                <w:szCs w:val="18"/>
              </w:rPr>
            </w:pPr>
            <w:r w:rsidRPr="00251B61">
              <w:rPr>
                <w:rFonts w:cs="Times New Roman"/>
                <w:i/>
                <w:iCs/>
                <w:color w:val="000000"/>
                <w:sz w:val="18"/>
                <w:szCs w:val="18"/>
              </w:rPr>
              <w:t>0,2</w:t>
            </w:r>
          </w:p>
        </w:tc>
      </w:tr>
      <w:tr w:rsidR="00953171" w:rsidRPr="00251B61" w14:paraId="005B9B42" w14:textId="77777777" w:rsidTr="008D3722">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1DF28D88"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Ieņēmumu palielināšana no naudas sodiem, ko uzliek Valsts policija par pārkāpumiem ceļu satiksmē, kas fiksēti ar komersanta tehniskajiem līdzekļiem </w:t>
            </w:r>
          </w:p>
        </w:tc>
        <w:tc>
          <w:tcPr>
            <w:tcW w:w="860" w:type="pct"/>
            <w:tcBorders>
              <w:top w:val="nil"/>
              <w:left w:val="nil"/>
              <w:bottom w:val="single" w:sz="4" w:space="0" w:color="auto"/>
              <w:right w:val="single" w:sz="4" w:space="0" w:color="auto"/>
            </w:tcBorders>
            <w:shd w:val="clear" w:color="auto" w:fill="auto"/>
            <w:vAlign w:val="center"/>
            <w:hideMark/>
          </w:tcPr>
          <w:p w14:paraId="7D2C69C0"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2BE1F8AA"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1,6</w:t>
            </w:r>
          </w:p>
        </w:tc>
        <w:tc>
          <w:tcPr>
            <w:tcW w:w="786" w:type="pct"/>
            <w:tcBorders>
              <w:top w:val="nil"/>
              <w:left w:val="nil"/>
              <w:bottom w:val="single" w:sz="4" w:space="0" w:color="auto"/>
              <w:right w:val="single" w:sz="4" w:space="0" w:color="auto"/>
            </w:tcBorders>
            <w:shd w:val="clear" w:color="auto" w:fill="auto"/>
            <w:vAlign w:val="center"/>
            <w:hideMark/>
          </w:tcPr>
          <w:p w14:paraId="170D6CCC"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3,9</w:t>
            </w:r>
          </w:p>
        </w:tc>
        <w:tc>
          <w:tcPr>
            <w:tcW w:w="699" w:type="pct"/>
            <w:tcBorders>
              <w:top w:val="nil"/>
              <w:left w:val="nil"/>
              <w:bottom w:val="single" w:sz="4" w:space="0" w:color="auto"/>
              <w:right w:val="single" w:sz="4" w:space="0" w:color="auto"/>
            </w:tcBorders>
            <w:shd w:val="clear" w:color="auto" w:fill="auto"/>
            <w:vAlign w:val="center"/>
            <w:hideMark/>
          </w:tcPr>
          <w:p w14:paraId="79139C2E" w14:textId="77777777" w:rsidR="00953171" w:rsidRPr="00251B61" w:rsidRDefault="00953171" w:rsidP="008349F0">
            <w:pPr>
              <w:jc w:val="center"/>
              <w:rPr>
                <w:rFonts w:cs="Times New Roman"/>
                <w:i/>
                <w:iCs/>
                <w:color w:val="000000"/>
                <w:sz w:val="18"/>
                <w:szCs w:val="18"/>
              </w:rPr>
            </w:pPr>
            <w:r w:rsidRPr="00251B61">
              <w:rPr>
                <w:rFonts w:cs="Times New Roman"/>
                <w:i/>
                <w:iCs/>
                <w:color w:val="000000"/>
                <w:sz w:val="18"/>
                <w:szCs w:val="18"/>
              </w:rPr>
              <w:t>1,2</w:t>
            </w:r>
          </w:p>
        </w:tc>
      </w:tr>
      <w:tr w:rsidR="00953171" w:rsidRPr="00251B61" w14:paraId="76EC0DFD" w14:textId="77777777" w:rsidTr="008D3722">
        <w:trPr>
          <w:trHeight w:val="327"/>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555FE0E8"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Ieņēmumu palielināšana no nodevas par vīzas, uzturēšanās atļaujas vai ES pastāvīgā iedzīvotāja statusa LR pieprasīšanai nepieciešamo dokumentu izskatīšanu un ar to saistītajiem pakalpojumiem</w:t>
            </w:r>
          </w:p>
        </w:tc>
        <w:tc>
          <w:tcPr>
            <w:tcW w:w="860" w:type="pct"/>
            <w:tcBorders>
              <w:top w:val="nil"/>
              <w:left w:val="nil"/>
              <w:bottom w:val="single" w:sz="4" w:space="0" w:color="auto"/>
              <w:right w:val="single" w:sz="4" w:space="0" w:color="auto"/>
            </w:tcBorders>
            <w:shd w:val="clear" w:color="auto" w:fill="auto"/>
            <w:vAlign w:val="center"/>
            <w:hideMark/>
          </w:tcPr>
          <w:p w14:paraId="5A440B62"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7F75946D"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2,1</w:t>
            </w:r>
          </w:p>
        </w:tc>
        <w:tc>
          <w:tcPr>
            <w:tcW w:w="786" w:type="pct"/>
            <w:tcBorders>
              <w:top w:val="nil"/>
              <w:left w:val="nil"/>
              <w:bottom w:val="single" w:sz="4" w:space="0" w:color="auto"/>
              <w:right w:val="single" w:sz="4" w:space="0" w:color="auto"/>
            </w:tcBorders>
            <w:shd w:val="clear" w:color="auto" w:fill="auto"/>
            <w:vAlign w:val="center"/>
            <w:hideMark/>
          </w:tcPr>
          <w:p w14:paraId="5CCC1407"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2,1</w:t>
            </w:r>
          </w:p>
        </w:tc>
        <w:tc>
          <w:tcPr>
            <w:tcW w:w="699" w:type="pct"/>
            <w:tcBorders>
              <w:top w:val="nil"/>
              <w:left w:val="nil"/>
              <w:bottom w:val="single" w:sz="4" w:space="0" w:color="auto"/>
              <w:right w:val="single" w:sz="4" w:space="0" w:color="auto"/>
            </w:tcBorders>
            <w:shd w:val="clear" w:color="auto" w:fill="auto"/>
            <w:vAlign w:val="center"/>
            <w:hideMark/>
          </w:tcPr>
          <w:p w14:paraId="1C294941" w14:textId="77777777" w:rsidR="00953171" w:rsidRPr="00251B61" w:rsidRDefault="00953171" w:rsidP="008349F0">
            <w:pPr>
              <w:jc w:val="center"/>
              <w:rPr>
                <w:rFonts w:cs="Times New Roman"/>
                <w:i/>
                <w:iCs/>
                <w:color w:val="000000"/>
                <w:sz w:val="18"/>
                <w:szCs w:val="18"/>
              </w:rPr>
            </w:pPr>
            <w:r w:rsidRPr="00251B61">
              <w:rPr>
                <w:rFonts w:cs="Times New Roman"/>
                <w:i/>
                <w:iCs/>
                <w:color w:val="000000"/>
                <w:sz w:val="18"/>
                <w:szCs w:val="18"/>
              </w:rPr>
              <w:t>2,1</w:t>
            </w:r>
          </w:p>
        </w:tc>
      </w:tr>
      <w:tr w:rsidR="00953171" w:rsidRPr="00251B61" w14:paraId="13E35BA8" w14:textId="77777777" w:rsidTr="008D37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2733" w:type="pct"/>
            <w:gridSpan w:val="2"/>
            <w:shd w:val="clear" w:color="auto" w:fill="auto"/>
            <w:vAlign w:val="center"/>
          </w:tcPr>
          <w:p w14:paraId="58E198C5" w14:textId="77777777" w:rsidR="00953171" w:rsidRPr="00251B61" w:rsidRDefault="00953171" w:rsidP="008349F0">
            <w:pPr>
              <w:keepLines/>
              <w:spacing w:after="0"/>
              <w:ind w:firstLine="0"/>
              <w:contextualSpacing/>
              <w:jc w:val="left"/>
              <w:rPr>
                <w:rFonts w:eastAsia="Times New Roman" w:cs="Times New Roman"/>
                <w:sz w:val="18"/>
                <w:szCs w:val="18"/>
              </w:rPr>
            </w:pPr>
            <w:r w:rsidRPr="00251B61">
              <w:rPr>
                <w:rFonts w:eastAsia="Times New Roman" w:cs="Times New Roman"/>
                <w:b/>
                <w:bCs/>
                <w:sz w:val="18"/>
                <w:szCs w:val="18"/>
              </w:rPr>
              <w:t>Ziņojumā ietverto pasākumu ietekme, kopā</w:t>
            </w:r>
            <w:r w:rsidRPr="00251B61">
              <w:rPr>
                <w:rFonts w:eastAsia="Times New Roman" w:cs="Times New Roman"/>
                <w:b/>
                <w:bCs/>
                <w:sz w:val="18"/>
                <w:szCs w:val="18"/>
                <w:vertAlign w:val="superscript"/>
              </w:rPr>
              <w:t>1</w:t>
            </w:r>
          </w:p>
        </w:tc>
        <w:tc>
          <w:tcPr>
            <w:tcW w:w="782" w:type="pct"/>
            <w:shd w:val="clear" w:color="auto" w:fill="auto"/>
          </w:tcPr>
          <w:p w14:paraId="61AEB321" w14:textId="77777777" w:rsidR="00953171" w:rsidRPr="00251B61" w:rsidRDefault="00953171" w:rsidP="008349F0">
            <w:pPr>
              <w:spacing w:after="0"/>
              <w:contextualSpacing/>
              <w:jc w:val="right"/>
              <w:rPr>
                <w:rFonts w:eastAsia="Times New Roman" w:cs="Times New Roman"/>
                <w:b/>
                <w:bCs/>
                <w:sz w:val="18"/>
                <w:szCs w:val="18"/>
              </w:rPr>
            </w:pPr>
            <w:r w:rsidRPr="00251B61">
              <w:rPr>
                <w:rFonts w:cs="Times New Roman"/>
                <w:b/>
                <w:bCs/>
                <w:sz w:val="18"/>
                <w:szCs w:val="18"/>
              </w:rPr>
              <w:t>79,2</w:t>
            </w:r>
          </w:p>
        </w:tc>
        <w:tc>
          <w:tcPr>
            <w:tcW w:w="786" w:type="pct"/>
            <w:shd w:val="clear" w:color="auto" w:fill="auto"/>
          </w:tcPr>
          <w:p w14:paraId="061AD29B" w14:textId="77777777" w:rsidR="00953171" w:rsidRPr="00251B61" w:rsidRDefault="00953171" w:rsidP="008349F0">
            <w:pPr>
              <w:spacing w:after="0"/>
              <w:contextualSpacing/>
              <w:jc w:val="right"/>
              <w:rPr>
                <w:rFonts w:eastAsia="Times New Roman" w:cs="Times New Roman"/>
                <w:b/>
                <w:bCs/>
                <w:sz w:val="18"/>
                <w:szCs w:val="18"/>
              </w:rPr>
            </w:pPr>
            <w:r w:rsidRPr="00251B61">
              <w:rPr>
                <w:rFonts w:cs="Times New Roman"/>
                <w:b/>
                <w:bCs/>
                <w:sz w:val="18"/>
                <w:szCs w:val="18"/>
              </w:rPr>
              <w:t>45,0</w:t>
            </w:r>
          </w:p>
        </w:tc>
        <w:tc>
          <w:tcPr>
            <w:tcW w:w="699" w:type="pct"/>
            <w:shd w:val="clear" w:color="auto" w:fill="auto"/>
          </w:tcPr>
          <w:p w14:paraId="4E0E4113" w14:textId="77777777" w:rsidR="00953171" w:rsidRPr="00251B61" w:rsidRDefault="00953171" w:rsidP="008349F0">
            <w:pPr>
              <w:spacing w:after="0"/>
              <w:ind w:firstLine="599"/>
              <w:contextualSpacing/>
              <w:jc w:val="right"/>
              <w:rPr>
                <w:rFonts w:eastAsia="Times New Roman" w:cs="Times New Roman"/>
                <w:b/>
                <w:bCs/>
                <w:sz w:val="18"/>
                <w:szCs w:val="18"/>
              </w:rPr>
            </w:pPr>
            <w:r w:rsidRPr="00251B61">
              <w:rPr>
                <w:rFonts w:cs="Times New Roman"/>
                <w:b/>
                <w:bCs/>
                <w:sz w:val="18"/>
                <w:szCs w:val="18"/>
              </w:rPr>
              <w:t>44,0</w:t>
            </w:r>
          </w:p>
        </w:tc>
      </w:tr>
      <w:tr w:rsidR="00953171" w:rsidRPr="00251B61" w14:paraId="77AB33AA" w14:textId="77777777" w:rsidTr="008E1E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5000" w:type="pct"/>
            <w:gridSpan w:val="5"/>
            <w:shd w:val="clear" w:color="auto" w:fill="BDD6EE" w:themeFill="accent1" w:themeFillTint="66"/>
            <w:vAlign w:val="center"/>
          </w:tcPr>
          <w:p w14:paraId="14400923" w14:textId="77777777" w:rsidR="00953171" w:rsidRPr="00251B61" w:rsidRDefault="00953171" w:rsidP="008349F0">
            <w:pPr>
              <w:spacing w:after="0"/>
              <w:ind w:firstLine="0"/>
              <w:contextualSpacing/>
              <w:jc w:val="left"/>
              <w:rPr>
                <w:rFonts w:cs="Times New Roman"/>
                <w:b/>
                <w:bCs/>
                <w:sz w:val="18"/>
                <w:szCs w:val="18"/>
              </w:rPr>
            </w:pPr>
            <w:r w:rsidRPr="00251B61">
              <w:rPr>
                <w:rFonts w:eastAsia="Times New Roman" w:cs="Times New Roman"/>
                <w:sz w:val="18"/>
                <w:szCs w:val="18"/>
              </w:rPr>
              <w:t>Informatīvajā ziņojumā " Par valsts budžeta likumprojektā iekļaujamiem prioritārajiem pasākumiem 2025., 2026., 2027. un 2028. gadam " ietvertie pasākumi</w:t>
            </w:r>
          </w:p>
        </w:tc>
      </w:tr>
      <w:tr w:rsidR="00953171" w:rsidRPr="00251B61" w14:paraId="21F61C58" w14:textId="77777777" w:rsidTr="008D3722">
        <w:trPr>
          <w:trHeight w:val="300"/>
        </w:trPr>
        <w:tc>
          <w:tcPr>
            <w:tcW w:w="18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EA0A8C" w14:textId="77777777" w:rsidR="00953171" w:rsidRPr="00251B61" w:rsidRDefault="00953171" w:rsidP="008349F0">
            <w:pPr>
              <w:spacing w:after="0"/>
              <w:ind w:firstLine="0"/>
              <w:jc w:val="left"/>
              <w:rPr>
                <w:rFonts w:cs="Times New Roman"/>
                <w:color w:val="000000"/>
                <w:sz w:val="18"/>
                <w:szCs w:val="18"/>
              </w:rPr>
            </w:pPr>
            <w:r w:rsidRPr="007165FC">
              <w:rPr>
                <w:rFonts w:cs="Times New Roman"/>
                <w:color w:val="000000"/>
                <w:sz w:val="18"/>
                <w:szCs w:val="18"/>
              </w:rPr>
              <w:t>Solidaritātes iemaksa kredītiestādēm, kas tiek ieviesta kā terminēts pasākums (uz 3 gadiem)</w:t>
            </w:r>
          </w:p>
        </w:tc>
        <w:tc>
          <w:tcPr>
            <w:tcW w:w="860" w:type="pct"/>
            <w:tcBorders>
              <w:top w:val="single" w:sz="4" w:space="0" w:color="auto"/>
              <w:left w:val="nil"/>
              <w:bottom w:val="single" w:sz="4" w:space="0" w:color="auto"/>
              <w:right w:val="single" w:sz="4" w:space="0" w:color="auto"/>
            </w:tcBorders>
            <w:shd w:val="clear" w:color="auto" w:fill="auto"/>
            <w:vAlign w:val="center"/>
            <w:hideMark/>
          </w:tcPr>
          <w:p w14:paraId="16A39E90" w14:textId="77777777" w:rsidR="00953171" w:rsidRPr="00251B61" w:rsidRDefault="00953171" w:rsidP="008349F0">
            <w:pPr>
              <w:ind w:firstLine="0"/>
              <w:rPr>
                <w:rFonts w:cs="Times New Roman"/>
                <w:color w:val="000000"/>
                <w:sz w:val="18"/>
                <w:szCs w:val="18"/>
              </w:rPr>
            </w:pPr>
            <w:r w:rsidRPr="00251B61">
              <w:rPr>
                <w:rFonts w:cs="Times New Roman"/>
                <w:color w:val="000000"/>
                <w:sz w:val="18"/>
                <w:szCs w:val="18"/>
              </w:rPr>
              <w:t>Kopā, t.sk.:</w:t>
            </w:r>
          </w:p>
        </w:tc>
        <w:tc>
          <w:tcPr>
            <w:tcW w:w="782" w:type="pct"/>
            <w:tcBorders>
              <w:top w:val="single" w:sz="4" w:space="0" w:color="auto"/>
              <w:left w:val="nil"/>
              <w:bottom w:val="single" w:sz="4" w:space="0" w:color="auto"/>
              <w:right w:val="single" w:sz="4" w:space="0" w:color="auto"/>
            </w:tcBorders>
            <w:shd w:val="clear" w:color="auto" w:fill="auto"/>
            <w:hideMark/>
          </w:tcPr>
          <w:p w14:paraId="1E06BDFA" w14:textId="77777777" w:rsidR="00953171" w:rsidRPr="00251B61" w:rsidRDefault="00953171" w:rsidP="008349F0">
            <w:pPr>
              <w:jc w:val="center"/>
              <w:rPr>
                <w:rFonts w:cs="Times New Roman"/>
                <w:color w:val="000000"/>
                <w:sz w:val="18"/>
                <w:szCs w:val="18"/>
              </w:rPr>
            </w:pPr>
            <w:r w:rsidRPr="00251B61">
              <w:rPr>
                <w:rFonts w:cs="Times New Roman"/>
                <w:sz w:val="18"/>
                <w:szCs w:val="18"/>
              </w:rPr>
              <w:t>93,0</w:t>
            </w:r>
          </w:p>
        </w:tc>
        <w:tc>
          <w:tcPr>
            <w:tcW w:w="786" w:type="pct"/>
            <w:tcBorders>
              <w:top w:val="single" w:sz="4" w:space="0" w:color="auto"/>
              <w:left w:val="nil"/>
              <w:bottom w:val="single" w:sz="4" w:space="0" w:color="auto"/>
              <w:right w:val="single" w:sz="4" w:space="0" w:color="auto"/>
            </w:tcBorders>
            <w:shd w:val="clear" w:color="auto" w:fill="auto"/>
            <w:hideMark/>
          </w:tcPr>
          <w:p w14:paraId="03B2D420" w14:textId="77777777" w:rsidR="00953171" w:rsidRPr="00251B61" w:rsidRDefault="00953171" w:rsidP="008349F0">
            <w:pPr>
              <w:jc w:val="center"/>
              <w:rPr>
                <w:rFonts w:cs="Times New Roman"/>
                <w:color w:val="000000"/>
                <w:sz w:val="18"/>
                <w:szCs w:val="18"/>
              </w:rPr>
            </w:pPr>
            <w:r w:rsidRPr="00251B61">
              <w:rPr>
                <w:rFonts w:cs="Times New Roman"/>
                <w:sz w:val="18"/>
                <w:szCs w:val="18"/>
              </w:rPr>
              <w:t>87,7</w:t>
            </w:r>
          </w:p>
        </w:tc>
        <w:tc>
          <w:tcPr>
            <w:tcW w:w="699" w:type="pct"/>
            <w:tcBorders>
              <w:top w:val="single" w:sz="4" w:space="0" w:color="auto"/>
              <w:left w:val="nil"/>
              <w:bottom w:val="single" w:sz="4" w:space="0" w:color="auto"/>
              <w:right w:val="single" w:sz="4" w:space="0" w:color="auto"/>
            </w:tcBorders>
            <w:shd w:val="clear" w:color="auto" w:fill="auto"/>
            <w:hideMark/>
          </w:tcPr>
          <w:p w14:paraId="7E807ADB" w14:textId="77777777" w:rsidR="00953171" w:rsidRPr="00251B61" w:rsidRDefault="00953171" w:rsidP="008349F0">
            <w:pPr>
              <w:ind w:firstLine="681"/>
              <w:jc w:val="center"/>
              <w:rPr>
                <w:rFonts w:cs="Times New Roman"/>
                <w:color w:val="000000"/>
                <w:sz w:val="18"/>
                <w:szCs w:val="18"/>
              </w:rPr>
            </w:pPr>
            <w:r w:rsidRPr="00251B61">
              <w:rPr>
                <w:rFonts w:cs="Times New Roman"/>
                <w:sz w:val="18"/>
                <w:szCs w:val="18"/>
              </w:rPr>
              <w:t>85,4</w:t>
            </w:r>
          </w:p>
        </w:tc>
      </w:tr>
      <w:tr w:rsidR="00953171" w:rsidRPr="00251B61" w14:paraId="5FCC477A" w14:textId="77777777" w:rsidTr="008D3722">
        <w:trPr>
          <w:trHeight w:val="540"/>
        </w:trPr>
        <w:tc>
          <w:tcPr>
            <w:tcW w:w="1873" w:type="pct"/>
            <w:vMerge/>
            <w:tcBorders>
              <w:top w:val="single" w:sz="4" w:space="0" w:color="auto"/>
              <w:left w:val="single" w:sz="4" w:space="0" w:color="auto"/>
              <w:bottom w:val="single" w:sz="4" w:space="0" w:color="auto"/>
              <w:right w:val="single" w:sz="4" w:space="0" w:color="auto"/>
            </w:tcBorders>
            <w:vAlign w:val="center"/>
            <w:hideMark/>
          </w:tcPr>
          <w:p w14:paraId="79AA2E50"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10BFA4CF"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Solidaritātes iemaksa</w:t>
            </w:r>
          </w:p>
        </w:tc>
        <w:tc>
          <w:tcPr>
            <w:tcW w:w="782" w:type="pct"/>
            <w:tcBorders>
              <w:top w:val="nil"/>
              <w:left w:val="nil"/>
              <w:bottom w:val="single" w:sz="4" w:space="0" w:color="auto"/>
              <w:right w:val="single" w:sz="4" w:space="0" w:color="auto"/>
            </w:tcBorders>
            <w:shd w:val="clear" w:color="auto" w:fill="auto"/>
            <w:hideMark/>
          </w:tcPr>
          <w:p w14:paraId="2322427D"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93,0</w:t>
            </w:r>
          </w:p>
        </w:tc>
        <w:tc>
          <w:tcPr>
            <w:tcW w:w="786" w:type="pct"/>
            <w:tcBorders>
              <w:top w:val="nil"/>
              <w:left w:val="nil"/>
              <w:bottom w:val="single" w:sz="4" w:space="0" w:color="auto"/>
              <w:right w:val="single" w:sz="4" w:space="0" w:color="auto"/>
            </w:tcBorders>
            <w:shd w:val="clear" w:color="auto" w:fill="auto"/>
            <w:hideMark/>
          </w:tcPr>
          <w:p w14:paraId="745D6C1B" w14:textId="77777777" w:rsidR="00953171" w:rsidRPr="00251B61" w:rsidRDefault="00953171" w:rsidP="008349F0">
            <w:pPr>
              <w:ind w:firstLine="694"/>
              <w:jc w:val="center"/>
              <w:rPr>
                <w:rFonts w:cs="Times New Roman"/>
                <w:i/>
                <w:iCs/>
                <w:color w:val="000000"/>
                <w:sz w:val="18"/>
                <w:szCs w:val="18"/>
              </w:rPr>
            </w:pPr>
            <w:r w:rsidRPr="00251B61">
              <w:rPr>
                <w:rFonts w:cs="Times New Roman"/>
                <w:i/>
                <w:iCs/>
                <w:sz w:val="18"/>
                <w:szCs w:val="18"/>
              </w:rPr>
              <w:t>106,3</w:t>
            </w:r>
          </w:p>
        </w:tc>
        <w:tc>
          <w:tcPr>
            <w:tcW w:w="699" w:type="pct"/>
            <w:tcBorders>
              <w:top w:val="nil"/>
              <w:left w:val="nil"/>
              <w:bottom w:val="single" w:sz="4" w:space="0" w:color="auto"/>
              <w:right w:val="single" w:sz="4" w:space="0" w:color="auto"/>
            </w:tcBorders>
            <w:shd w:val="clear" w:color="auto" w:fill="auto"/>
            <w:hideMark/>
          </w:tcPr>
          <w:p w14:paraId="3F093893" w14:textId="77777777" w:rsidR="00953171" w:rsidRPr="00251B61" w:rsidRDefault="00953171" w:rsidP="008349F0">
            <w:pPr>
              <w:ind w:firstLine="595"/>
              <w:jc w:val="center"/>
              <w:rPr>
                <w:rFonts w:cs="Times New Roman"/>
                <w:i/>
                <w:iCs/>
                <w:color w:val="000000"/>
                <w:sz w:val="18"/>
                <w:szCs w:val="18"/>
              </w:rPr>
            </w:pPr>
            <w:r w:rsidRPr="00251B61">
              <w:rPr>
                <w:rFonts w:cs="Times New Roman"/>
                <w:i/>
                <w:iCs/>
                <w:sz w:val="18"/>
                <w:szCs w:val="18"/>
              </w:rPr>
              <w:t>106,7</w:t>
            </w:r>
          </w:p>
        </w:tc>
      </w:tr>
      <w:tr w:rsidR="00953171" w:rsidRPr="00251B61" w14:paraId="73E39CA6" w14:textId="77777777" w:rsidTr="008D3722">
        <w:trPr>
          <w:trHeight w:val="315"/>
        </w:trPr>
        <w:tc>
          <w:tcPr>
            <w:tcW w:w="1873" w:type="pct"/>
            <w:vMerge/>
            <w:tcBorders>
              <w:top w:val="single" w:sz="4" w:space="0" w:color="auto"/>
              <w:left w:val="single" w:sz="4" w:space="0" w:color="auto"/>
              <w:bottom w:val="single" w:sz="4" w:space="0" w:color="auto"/>
              <w:right w:val="single" w:sz="4" w:space="0" w:color="auto"/>
            </w:tcBorders>
            <w:vAlign w:val="center"/>
            <w:hideMark/>
          </w:tcPr>
          <w:p w14:paraId="3ADEF8A0"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16F4DBC8"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UIN</w:t>
            </w:r>
          </w:p>
        </w:tc>
        <w:tc>
          <w:tcPr>
            <w:tcW w:w="782" w:type="pct"/>
            <w:tcBorders>
              <w:top w:val="nil"/>
              <w:left w:val="nil"/>
              <w:bottom w:val="single" w:sz="4" w:space="0" w:color="auto"/>
              <w:right w:val="single" w:sz="4" w:space="0" w:color="auto"/>
            </w:tcBorders>
            <w:shd w:val="clear" w:color="auto" w:fill="auto"/>
            <w:hideMark/>
          </w:tcPr>
          <w:p w14:paraId="4AA05056"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 xml:space="preserve"> </w:t>
            </w:r>
          </w:p>
        </w:tc>
        <w:tc>
          <w:tcPr>
            <w:tcW w:w="786" w:type="pct"/>
            <w:tcBorders>
              <w:top w:val="nil"/>
              <w:left w:val="nil"/>
              <w:bottom w:val="single" w:sz="4" w:space="0" w:color="auto"/>
              <w:right w:val="single" w:sz="4" w:space="0" w:color="auto"/>
            </w:tcBorders>
            <w:shd w:val="clear" w:color="auto" w:fill="auto"/>
            <w:hideMark/>
          </w:tcPr>
          <w:p w14:paraId="0336D46E"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-18,6</w:t>
            </w:r>
          </w:p>
        </w:tc>
        <w:tc>
          <w:tcPr>
            <w:tcW w:w="699" w:type="pct"/>
            <w:tcBorders>
              <w:top w:val="nil"/>
              <w:left w:val="nil"/>
              <w:bottom w:val="single" w:sz="4" w:space="0" w:color="auto"/>
              <w:right w:val="single" w:sz="4" w:space="0" w:color="auto"/>
            </w:tcBorders>
            <w:shd w:val="clear" w:color="auto" w:fill="auto"/>
            <w:hideMark/>
          </w:tcPr>
          <w:p w14:paraId="698023A0" w14:textId="77777777" w:rsidR="00953171" w:rsidRPr="00251B61" w:rsidRDefault="00953171" w:rsidP="008349F0">
            <w:pPr>
              <w:ind w:firstLine="595"/>
              <w:jc w:val="center"/>
              <w:rPr>
                <w:rFonts w:cs="Times New Roman"/>
                <w:i/>
                <w:iCs/>
                <w:color w:val="000000"/>
                <w:sz w:val="18"/>
                <w:szCs w:val="18"/>
              </w:rPr>
            </w:pPr>
            <w:r w:rsidRPr="00251B61">
              <w:rPr>
                <w:rFonts w:cs="Times New Roman"/>
                <w:i/>
                <w:iCs/>
                <w:sz w:val="18"/>
                <w:szCs w:val="18"/>
              </w:rPr>
              <w:t>-21,3</w:t>
            </w:r>
          </w:p>
        </w:tc>
      </w:tr>
      <w:tr w:rsidR="00953171" w:rsidRPr="00251B61" w14:paraId="263E3C8F" w14:textId="77777777" w:rsidTr="008D3722">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7DFD6FE2"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Ieņēmumu palielināšana no dividenžu maksājumiem, AS “Latvijas Loto”</w:t>
            </w:r>
          </w:p>
        </w:tc>
        <w:tc>
          <w:tcPr>
            <w:tcW w:w="860" w:type="pct"/>
            <w:tcBorders>
              <w:top w:val="nil"/>
              <w:left w:val="nil"/>
              <w:bottom w:val="single" w:sz="4" w:space="0" w:color="auto"/>
              <w:right w:val="single" w:sz="4" w:space="0" w:color="auto"/>
            </w:tcBorders>
            <w:shd w:val="clear" w:color="auto" w:fill="auto"/>
            <w:vAlign w:val="center"/>
            <w:hideMark/>
          </w:tcPr>
          <w:p w14:paraId="7EBA1A5F" w14:textId="77777777" w:rsidR="00953171" w:rsidRPr="00251B61" w:rsidRDefault="00953171" w:rsidP="008349F0">
            <w:pPr>
              <w:ind w:firstLine="0"/>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hideMark/>
          </w:tcPr>
          <w:p w14:paraId="4492B6A8" w14:textId="77777777" w:rsidR="00953171" w:rsidRPr="00251B61" w:rsidRDefault="00953171" w:rsidP="008349F0">
            <w:pPr>
              <w:jc w:val="center"/>
              <w:rPr>
                <w:rFonts w:cs="Times New Roman"/>
                <w:color w:val="000000"/>
                <w:sz w:val="18"/>
                <w:szCs w:val="18"/>
              </w:rPr>
            </w:pPr>
            <w:r w:rsidRPr="00251B61">
              <w:rPr>
                <w:rFonts w:cs="Times New Roman"/>
                <w:sz w:val="18"/>
                <w:szCs w:val="18"/>
              </w:rPr>
              <w:t>2,3</w:t>
            </w:r>
          </w:p>
        </w:tc>
        <w:tc>
          <w:tcPr>
            <w:tcW w:w="786" w:type="pct"/>
            <w:tcBorders>
              <w:top w:val="nil"/>
              <w:left w:val="nil"/>
              <w:bottom w:val="single" w:sz="4" w:space="0" w:color="auto"/>
              <w:right w:val="single" w:sz="4" w:space="0" w:color="auto"/>
            </w:tcBorders>
            <w:shd w:val="clear" w:color="auto" w:fill="auto"/>
            <w:hideMark/>
          </w:tcPr>
          <w:p w14:paraId="4B762685" w14:textId="77777777" w:rsidR="00953171" w:rsidRPr="00251B61" w:rsidRDefault="00953171" w:rsidP="008349F0">
            <w:pPr>
              <w:jc w:val="center"/>
              <w:rPr>
                <w:rFonts w:cs="Times New Roman"/>
                <w:color w:val="000000"/>
                <w:sz w:val="18"/>
                <w:szCs w:val="18"/>
              </w:rPr>
            </w:pPr>
            <w:r w:rsidRPr="00251B61">
              <w:rPr>
                <w:rFonts w:cs="Times New Roman"/>
                <w:sz w:val="18"/>
                <w:szCs w:val="18"/>
              </w:rPr>
              <w:t>2,4</w:t>
            </w:r>
          </w:p>
        </w:tc>
        <w:tc>
          <w:tcPr>
            <w:tcW w:w="699" w:type="pct"/>
            <w:tcBorders>
              <w:top w:val="nil"/>
              <w:left w:val="nil"/>
              <w:bottom w:val="single" w:sz="4" w:space="0" w:color="auto"/>
              <w:right w:val="single" w:sz="4" w:space="0" w:color="auto"/>
            </w:tcBorders>
            <w:shd w:val="clear" w:color="auto" w:fill="auto"/>
            <w:hideMark/>
          </w:tcPr>
          <w:p w14:paraId="0EB08DD7" w14:textId="77777777" w:rsidR="00953171" w:rsidRPr="00251B61" w:rsidRDefault="00953171" w:rsidP="008349F0">
            <w:pPr>
              <w:jc w:val="center"/>
              <w:rPr>
                <w:rFonts w:cs="Times New Roman"/>
                <w:color w:val="000000"/>
                <w:sz w:val="18"/>
                <w:szCs w:val="18"/>
              </w:rPr>
            </w:pPr>
            <w:r w:rsidRPr="00251B61">
              <w:rPr>
                <w:rFonts w:cs="Times New Roman"/>
                <w:sz w:val="18"/>
                <w:szCs w:val="18"/>
              </w:rPr>
              <w:t>2,7</w:t>
            </w:r>
          </w:p>
        </w:tc>
      </w:tr>
      <w:tr w:rsidR="00953171" w:rsidRPr="00251B61" w14:paraId="7CF6DC5E" w14:textId="77777777" w:rsidTr="008D3722">
        <w:trPr>
          <w:trHeight w:val="300"/>
        </w:trPr>
        <w:tc>
          <w:tcPr>
            <w:tcW w:w="1873" w:type="pct"/>
            <w:vMerge/>
            <w:tcBorders>
              <w:top w:val="nil"/>
              <w:left w:val="single" w:sz="4" w:space="0" w:color="auto"/>
              <w:bottom w:val="single" w:sz="4" w:space="0" w:color="auto"/>
              <w:right w:val="single" w:sz="4" w:space="0" w:color="auto"/>
            </w:tcBorders>
            <w:vAlign w:val="center"/>
            <w:hideMark/>
          </w:tcPr>
          <w:p w14:paraId="3CA6106B"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49D0A3E0" w14:textId="77777777" w:rsidR="00953171" w:rsidRPr="00251B61" w:rsidRDefault="00953171" w:rsidP="008349F0">
            <w:pPr>
              <w:ind w:firstLine="0"/>
              <w:jc w:val="left"/>
              <w:rPr>
                <w:rFonts w:cs="Times New Roman"/>
                <w:i/>
                <w:iCs/>
                <w:color w:val="000000"/>
                <w:sz w:val="18"/>
                <w:szCs w:val="18"/>
              </w:rPr>
            </w:pPr>
            <w:proofErr w:type="spellStart"/>
            <w:r w:rsidRPr="00251B61">
              <w:rPr>
                <w:rFonts w:cs="Times New Roman"/>
                <w:i/>
                <w:iCs/>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hideMark/>
          </w:tcPr>
          <w:p w14:paraId="642B9B65"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1,8</w:t>
            </w:r>
          </w:p>
        </w:tc>
        <w:tc>
          <w:tcPr>
            <w:tcW w:w="786" w:type="pct"/>
            <w:tcBorders>
              <w:top w:val="nil"/>
              <w:left w:val="nil"/>
              <w:bottom w:val="single" w:sz="4" w:space="0" w:color="auto"/>
              <w:right w:val="single" w:sz="4" w:space="0" w:color="auto"/>
            </w:tcBorders>
            <w:shd w:val="clear" w:color="auto" w:fill="auto"/>
            <w:hideMark/>
          </w:tcPr>
          <w:p w14:paraId="77F5556B"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1,9</w:t>
            </w:r>
          </w:p>
        </w:tc>
        <w:tc>
          <w:tcPr>
            <w:tcW w:w="699" w:type="pct"/>
            <w:tcBorders>
              <w:top w:val="nil"/>
              <w:left w:val="nil"/>
              <w:bottom w:val="single" w:sz="4" w:space="0" w:color="auto"/>
              <w:right w:val="single" w:sz="4" w:space="0" w:color="auto"/>
            </w:tcBorders>
            <w:shd w:val="clear" w:color="auto" w:fill="auto"/>
            <w:hideMark/>
          </w:tcPr>
          <w:p w14:paraId="19DAE102"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2,1</w:t>
            </w:r>
          </w:p>
        </w:tc>
      </w:tr>
      <w:tr w:rsidR="00953171" w:rsidRPr="00251B61" w14:paraId="0130851A" w14:textId="77777777" w:rsidTr="008D3722">
        <w:trPr>
          <w:trHeight w:val="315"/>
        </w:trPr>
        <w:tc>
          <w:tcPr>
            <w:tcW w:w="1873" w:type="pct"/>
            <w:vMerge/>
            <w:tcBorders>
              <w:top w:val="nil"/>
              <w:left w:val="single" w:sz="4" w:space="0" w:color="auto"/>
              <w:bottom w:val="single" w:sz="4" w:space="0" w:color="auto"/>
              <w:right w:val="single" w:sz="4" w:space="0" w:color="auto"/>
            </w:tcBorders>
            <w:vAlign w:val="center"/>
            <w:hideMark/>
          </w:tcPr>
          <w:p w14:paraId="25710FC4"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7D76915D"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UIN</w:t>
            </w:r>
          </w:p>
        </w:tc>
        <w:tc>
          <w:tcPr>
            <w:tcW w:w="782" w:type="pct"/>
            <w:tcBorders>
              <w:top w:val="nil"/>
              <w:left w:val="nil"/>
              <w:bottom w:val="single" w:sz="4" w:space="0" w:color="auto"/>
              <w:right w:val="single" w:sz="4" w:space="0" w:color="auto"/>
            </w:tcBorders>
            <w:shd w:val="clear" w:color="auto" w:fill="auto"/>
            <w:hideMark/>
          </w:tcPr>
          <w:p w14:paraId="48B3A1B5"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0,5</w:t>
            </w:r>
          </w:p>
        </w:tc>
        <w:tc>
          <w:tcPr>
            <w:tcW w:w="786" w:type="pct"/>
            <w:tcBorders>
              <w:top w:val="nil"/>
              <w:left w:val="nil"/>
              <w:bottom w:val="single" w:sz="4" w:space="0" w:color="auto"/>
              <w:right w:val="single" w:sz="4" w:space="0" w:color="auto"/>
            </w:tcBorders>
            <w:shd w:val="clear" w:color="auto" w:fill="auto"/>
            <w:hideMark/>
          </w:tcPr>
          <w:p w14:paraId="2E4F7F96"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0,5</w:t>
            </w:r>
          </w:p>
        </w:tc>
        <w:tc>
          <w:tcPr>
            <w:tcW w:w="699" w:type="pct"/>
            <w:tcBorders>
              <w:top w:val="nil"/>
              <w:left w:val="nil"/>
              <w:bottom w:val="single" w:sz="4" w:space="0" w:color="auto"/>
              <w:right w:val="single" w:sz="4" w:space="0" w:color="auto"/>
            </w:tcBorders>
            <w:shd w:val="clear" w:color="auto" w:fill="auto"/>
            <w:hideMark/>
          </w:tcPr>
          <w:p w14:paraId="3ADE675F"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0,5</w:t>
            </w:r>
          </w:p>
        </w:tc>
      </w:tr>
      <w:tr w:rsidR="00953171" w:rsidRPr="00251B61" w14:paraId="211440C8" w14:textId="77777777" w:rsidTr="008D3722">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3D6EE4E7"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Paaugstināt dividendes valsts kapitālsabiedrībām uz 70%</w:t>
            </w:r>
          </w:p>
        </w:tc>
        <w:tc>
          <w:tcPr>
            <w:tcW w:w="860" w:type="pct"/>
            <w:tcBorders>
              <w:top w:val="nil"/>
              <w:left w:val="nil"/>
              <w:bottom w:val="single" w:sz="4" w:space="0" w:color="auto"/>
              <w:right w:val="single" w:sz="4" w:space="0" w:color="auto"/>
            </w:tcBorders>
            <w:shd w:val="clear" w:color="auto" w:fill="auto"/>
            <w:vAlign w:val="center"/>
            <w:hideMark/>
          </w:tcPr>
          <w:p w14:paraId="62503D12" w14:textId="77777777" w:rsidR="00953171" w:rsidRPr="00251B61" w:rsidRDefault="00953171" w:rsidP="008349F0">
            <w:pPr>
              <w:ind w:firstLine="0"/>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hideMark/>
          </w:tcPr>
          <w:p w14:paraId="3B43C7F6" w14:textId="77777777" w:rsidR="00953171" w:rsidRPr="00251B61" w:rsidRDefault="00953171" w:rsidP="008349F0">
            <w:pPr>
              <w:jc w:val="center"/>
              <w:rPr>
                <w:rFonts w:cs="Times New Roman"/>
                <w:color w:val="000000"/>
                <w:sz w:val="18"/>
                <w:szCs w:val="18"/>
              </w:rPr>
            </w:pPr>
            <w:r w:rsidRPr="00251B61">
              <w:rPr>
                <w:rFonts w:cs="Times New Roman"/>
                <w:sz w:val="18"/>
                <w:szCs w:val="18"/>
              </w:rPr>
              <w:t>1,2</w:t>
            </w:r>
          </w:p>
        </w:tc>
        <w:tc>
          <w:tcPr>
            <w:tcW w:w="786" w:type="pct"/>
            <w:tcBorders>
              <w:top w:val="nil"/>
              <w:left w:val="nil"/>
              <w:bottom w:val="single" w:sz="4" w:space="0" w:color="auto"/>
              <w:right w:val="single" w:sz="4" w:space="0" w:color="auto"/>
            </w:tcBorders>
            <w:shd w:val="clear" w:color="auto" w:fill="auto"/>
            <w:hideMark/>
          </w:tcPr>
          <w:p w14:paraId="325AFBD7" w14:textId="77777777" w:rsidR="00953171" w:rsidRPr="00251B61" w:rsidRDefault="00953171" w:rsidP="008349F0">
            <w:pPr>
              <w:jc w:val="center"/>
              <w:rPr>
                <w:rFonts w:cs="Times New Roman"/>
                <w:color w:val="000000"/>
                <w:sz w:val="18"/>
                <w:szCs w:val="18"/>
              </w:rPr>
            </w:pPr>
            <w:r w:rsidRPr="00251B61">
              <w:rPr>
                <w:rFonts w:cs="Times New Roman"/>
                <w:sz w:val="18"/>
                <w:szCs w:val="18"/>
              </w:rPr>
              <w:t>5,1</w:t>
            </w:r>
          </w:p>
        </w:tc>
        <w:tc>
          <w:tcPr>
            <w:tcW w:w="699" w:type="pct"/>
            <w:tcBorders>
              <w:top w:val="nil"/>
              <w:left w:val="nil"/>
              <w:bottom w:val="single" w:sz="4" w:space="0" w:color="auto"/>
              <w:right w:val="single" w:sz="4" w:space="0" w:color="auto"/>
            </w:tcBorders>
            <w:shd w:val="clear" w:color="auto" w:fill="auto"/>
            <w:hideMark/>
          </w:tcPr>
          <w:p w14:paraId="677C27EB" w14:textId="77777777" w:rsidR="00953171" w:rsidRPr="00251B61" w:rsidRDefault="00953171" w:rsidP="008349F0">
            <w:pPr>
              <w:jc w:val="center"/>
              <w:rPr>
                <w:rFonts w:cs="Times New Roman"/>
                <w:color w:val="000000"/>
                <w:sz w:val="18"/>
                <w:szCs w:val="18"/>
              </w:rPr>
            </w:pPr>
            <w:r w:rsidRPr="00251B61">
              <w:rPr>
                <w:rFonts w:cs="Times New Roman"/>
                <w:sz w:val="18"/>
                <w:szCs w:val="18"/>
              </w:rPr>
              <w:t>5,4</w:t>
            </w:r>
          </w:p>
        </w:tc>
      </w:tr>
      <w:tr w:rsidR="00953171" w:rsidRPr="00251B61" w14:paraId="7DE07A1B" w14:textId="77777777" w:rsidTr="008D3722">
        <w:trPr>
          <w:trHeight w:val="300"/>
        </w:trPr>
        <w:tc>
          <w:tcPr>
            <w:tcW w:w="1873" w:type="pct"/>
            <w:vMerge/>
            <w:tcBorders>
              <w:top w:val="nil"/>
              <w:left w:val="single" w:sz="4" w:space="0" w:color="auto"/>
              <w:bottom w:val="single" w:sz="4" w:space="0" w:color="auto"/>
              <w:right w:val="single" w:sz="4" w:space="0" w:color="auto"/>
            </w:tcBorders>
            <w:vAlign w:val="center"/>
            <w:hideMark/>
          </w:tcPr>
          <w:p w14:paraId="21060D67"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003CEC9B" w14:textId="77777777" w:rsidR="00953171" w:rsidRPr="00251B61" w:rsidRDefault="00953171" w:rsidP="008349F0">
            <w:pPr>
              <w:ind w:firstLine="0"/>
              <w:jc w:val="left"/>
              <w:rPr>
                <w:rFonts w:cs="Times New Roman"/>
                <w:i/>
                <w:iCs/>
                <w:color w:val="000000"/>
                <w:sz w:val="18"/>
                <w:szCs w:val="18"/>
              </w:rPr>
            </w:pPr>
            <w:proofErr w:type="spellStart"/>
            <w:r w:rsidRPr="00251B61">
              <w:rPr>
                <w:rFonts w:cs="Times New Roman"/>
                <w:i/>
                <w:iCs/>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hideMark/>
          </w:tcPr>
          <w:p w14:paraId="3C4DB506"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1,0</w:t>
            </w:r>
          </w:p>
        </w:tc>
        <w:tc>
          <w:tcPr>
            <w:tcW w:w="786" w:type="pct"/>
            <w:tcBorders>
              <w:top w:val="nil"/>
              <w:left w:val="nil"/>
              <w:bottom w:val="single" w:sz="4" w:space="0" w:color="auto"/>
              <w:right w:val="single" w:sz="4" w:space="0" w:color="auto"/>
            </w:tcBorders>
            <w:shd w:val="clear" w:color="auto" w:fill="auto"/>
            <w:hideMark/>
          </w:tcPr>
          <w:p w14:paraId="0C26824C"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4,1</w:t>
            </w:r>
          </w:p>
        </w:tc>
        <w:tc>
          <w:tcPr>
            <w:tcW w:w="699" w:type="pct"/>
            <w:tcBorders>
              <w:top w:val="nil"/>
              <w:left w:val="nil"/>
              <w:bottom w:val="single" w:sz="4" w:space="0" w:color="auto"/>
              <w:right w:val="single" w:sz="4" w:space="0" w:color="auto"/>
            </w:tcBorders>
            <w:shd w:val="clear" w:color="auto" w:fill="auto"/>
            <w:hideMark/>
          </w:tcPr>
          <w:p w14:paraId="3C615AAD"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4,3</w:t>
            </w:r>
          </w:p>
        </w:tc>
      </w:tr>
      <w:tr w:rsidR="00953171" w:rsidRPr="00251B61" w14:paraId="7568EBBC" w14:textId="77777777" w:rsidTr="008D3722">
        <w:trPr>
          <w:trHeight w:val="315"/>
        </w:trPr>
        <w:tc>
          <w:tcPr>
            <w:tcW w:w="1873" w:type="pct"/>
            <w:vMerge/>
            <w:tcBorders>
              <w:top w:val="nil"/>
              <w:left w:val="single" w:sz="4" w:space="0" w:color="auto"/>
              <w:bottom w:val="single" w:sz="4" w:space="0" w:color="auto"/>
              <w:right w:val="single" w:sz="4" w:space="0" w:color="auto"/>
            </w:tcBorders>
            <w:vAlign w:val="center"/>
            <w:hideMark/>
          </w:tcPr>
          <w:p w14:paraId="27B96727"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0EB71B10"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UIN</w:t>
            </w:r>
          </w:p>
        </w:tc>
        <w:tc>
          <w:tcPr>
            <w:tcW w:w="782" w:type="pct"/>
            <w:tcBorders>
              <w:top w:val="nil"/>
              <w:left w:val="nil"/>
              <w:bottom w:val="single" w:sz="4" w:space="0" w:color="auto"/>
              <w:right w:val="single" w:sz="4" w:space="0" w:color="auto"/>
            </w:tcBorders>
            <w:shd w:val="clear" w:color="auto" w:fill="auto"/>
            <w:hideMark/>
          </w:tcPr>
          <w:p w14:paraId="2195EAC3"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0,2</w:t>
            </w:r>
          </w:p>
        </w:tc>
        <w:tc>
          <w:tcPr>
            <w:tcW w:w="786" w:type="pct"/>
            <w:tcBorders>
              <w:top w:val="nil"/>
              <w:left w:val="nil"/>
              <w:bottom w:val="single" w:sz="4" w:space="0" w:color="auto"/>
              <w:right w:val="single" w:sz="4" w:space="0" w:color="auto"/>
            </w:tcBorders>
            <w:shd w:val="clear" w:color="auto" w:fill="auto"/>
            <w:hideMark/>
          </w:tcPr>
          <w:p w14:paraId="0F5C0C4A"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1,0</w:t>
            </w:r>
          </w:p>
        </w:tc>
        <w:tc>
          <w:tcPr>
            <w:tcW w:w="699" w:type="pct"/>
            <w:tcBorders>
              <w:top w:val="nil"/>
              <w:left w:val="nil"/>
              <w:bottom w:val="single" w:sz="4" w:space="0" w:color="auto"/>
              <w:right w:val="single" w:sz="4" w:space="0" w:color="auto"/>
            </w:tcBorders>
            <w:shd w:val="clear" w:color="auto" w:fill="auto"/>
            <w:hideMark/>
          </w:tcPr>
          <w:p w14:paraId="5950375E"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1,1</w:t>
            </w:r>
          </w:p>
        </w:tc>
      </w:tr>
      <w:tr w:rsidR="00953171" w:rsidRPr="00251B61" w14:paraId="62400C7F" w14:textId="77777777" w:rsidTr="008D3722">
        <w:trPr>
          <w:trHeight w:val="461"/>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55287C4A"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Ieņēmumu palielināšana no dividenžu maksājumiem, AS “Latvenergo”</w:t>
            </w:r>
          </w:p>
        </w:tc>
        <w:tc>
          <w:tcPr>
            <w:tcW w:w="860" w:type="pct"/>
            <w:tcBorders>
              <w:top w:val="nil"/>
              <w:left w:val="nil"/>
              <w:bottom w:val="single" w:sz="4" w:space="0" w:color="auto"/>
              <w:right w:val="single" w:sz="4" w:space="0" w:color="auto"/>
            </w:tcBorders>
            <w:shd w:val="clear" w:color="auto" w:fill="auto"/>
            <w:vAlign w:val="center"/>
            <w:hideMark/>
          </w:tcPr>
          <w:p w14:paraId="0D34F96E"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44519C92"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18,3</w:t>
            </w:r>
          </w:p>
        </w:tc>
        <w:tc>
          <w:tcPr>
            <w:tcW w:w="786" w:type="pct"/>
            <w:tcBorders>
              <w:top w:val="nil"/>
              <w:left w:val="nil"/>
              <w:bottom w:val="single" w:sz="4" w:space="0" w:color="auto"/>
              <w:right w:val="single" w:sz="4" w:space="0" w:color="auto"/>
            </w:tcBorders>
            <w:shd w:val="clear" w:color="auto" w:fill="auto"/>
            <w:vAlign w:val="center"/>
            <w:hideMark/>
          </w:tcPr>
          <w:p w14:paraId="09F05BF1"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1,7</w:t>
            </w:r>
          </w:p>
        </w:tc>
        <w:tc>
          <w:tcPr>
            <w:tcW w:w="699" w:type="pct"/>
            <w:tcBorders>
              <w:top w:val="nil"/>
              <w:left w:val="nil"/>
              <w:bottom w:val="single" w:sz="4" w:space="0" w:color="auto"/>
              <w:right w:val="single" w:sz="4" w:space="0" w:color="auto"/>
            </w:tcBorders>
            <w:shd w:val="clear" w:color="auto" w:fill="auto"/>
            <w:vAlign w:val="center"/>
            <w:hideMark/>
          </w:tcPr>
          <w:p w14:paraId="6503EA4A" w14:textId="77777777" w:rsidR="00953171" w:rsidRPr="00251B61" w:rsidRDefault="00953171" w:rsidP="008349F0">
            <w:pPr>
              <w:jc w:val="center"/>
              <w:rPr>
                <w:rFonts w:cs="Times New Roman"/>
                <w:i/>
                <w:iCs/>
                <w:color w:val="000000"/>
                <w:sz w:val="18"/>
                <w:szCs w:val="18"/>
              </w:rPr>
            </w:pPr>
            <w:r w:rsidRPr="00251B61">
              <w:rPr>
                <w:rFonts w:cs="Times New Roman"/>
                <w:i/>
                <w:iCs/>
                <w:color w:val="000000"/>
                <w:sz w:val="18"/>
                <w:szCs w:val="18"/>
              </w:rPr>
              <w:t>1,7</w:t>
            </w:r>
          </w:p>
        </w:tc>
      </w:tr>
      <w:tr w:rsidR="00953171" w:rsidRPr="00251B61" w14:paraId="23474173" w14:textId="77777777" w:rsidTr="008D3722">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4E2C4864"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Ieņēmumu palielināšana no autoceļu lietošanas nodevas</w:t>
            </w:r>
          </w:p>
        </w:tc>
        <w:tc>
          <w:tcPr>
            <w:tcW w:w="860" w:type="pct"/>
            <w:tcBorders>
              <w:top w:val="nil"/>
              <w:left w:val="nil"/>
              <w:bottom w:val="single" w:sz="4" w:space="0" w:color="auto"/>
              <w:right w:val="single" w:sz="4" w:space="0" w:color="auto"/>
            </w:tcBorders>
            <w:shd w:val="clear" w:color="auto" w:fill="auto"/>
            <w:vAlign w:val="center"/>
            <w:hideMark/>
          </w:tcPr>
          <w:p w14:paraId="13E1FF85"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601446F7"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25,8</w:t>
            </w:r>
          </w:p>
        </w:tc>
        <w:tc>
          <w:tcPr>
            <w:tcW w:w="786" w:type="pct"/>
            <w:tcBorders>
              <w:top w:val="nil"/>
              <w:left w:val="nil"/>
              <w:bottom w:val="single" w:sz="4" w:space="0" w:color="auto"/>
              <w:right w:val="single" w:sz="4" w:space="0" w:color="auto"/>
            </w:tcBorders>
            <w:shd w:val="clear" w:color="auto" w:fill="auto"/>
            <w:vAlign w:val="center"/>
            <w:hideMark/>
          </w:tcPr>
          <w:p w14:paraId="04F34DAC"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25,1</w:t>
            </w:r>
          </w:p>
        </w:tc>
        <w:tc>
          <w:tcPr>
            <w:tcW w:w="699" w:type="pct"/>
            <w:tcBorders>
              <w:top w:val="nil"/>
              <w:left w:val="nil"/>
              <w:bottom w:val="single" w:sz="4" w:space="0" w:color="auto"/>
              <w:right w:val="single" w:sz="4" w:space="0" w:color="auto"/>
            </w:tcBorders>
            <w:shd w:val="clear" w:color="auto" w:fill="auto"/>
            <w:vAlign w:val="center"/>
            <w:hideMark/>
          </w:tcPr>
          <w:p w14:paraId="04F76E18" w14:textId="77777777" w:rsidR="00953171" w:rsidRPr="00251B61" w:rsidRDefault="00953171" w:rsidP="008349F0">
            <w:pPr>
              <w:ind w:firstLine="599"/>
              <w:jc w:val="center"/>
              <w:rPr>
                <w:rFonts w:cs="Times New Roman"/>
                <w:color w:val="000000"/>
                <w:sz w:val="18"/>
                <w:szCs w:val="18"/>
              </w:rPr>
            </w:pPr>
            <w:r w:rsidRPr="00251B61">
              <w:rPr>
                <w:rFonts w:cs="Times New Roman"/>
                <w:color w:val="000000"/>
                <w:sz w:val="18"/>
                <w:szCs w:val="18"/>
              </w:rPr>
              <w:t>25,1</w:t>
            </w:r>
          </w:p>
        </w:tc>
      </w:tr>
      <w:tr w:rsidR="00953171" w:rsidRPr="00251B61" w14:paraId="740DAD86" w14:textId="77777777" w:rsidTr="008D3722">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7FA68B20"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Ieņēmumu palielināšana no nodevas par pasu izsniegšanu</w:t>
            </w:r>
          </w:p>
        </w:tc>
        <w:tc>
          <w:tcPr>
            <w:tcW w:w="860" w:type="pct"/>
            <w:tcBorders>
              <w:top w:val="nil"/>
              <w:left w:val="nil"/>
              <w:bottom w:val="single" w:sz="4" w:space="0" w:color="auto"/>
              <w:right w:val="single" w:sz="4" w:space="0" w:color="auto"/>
            </w:tcBorders>
            <w:shd w:val="clear" w:color="auto" w:fill="auto"/>
            <w:vAlign w:val="center"/>
            <w:hideMark/>
          </w:tcPr>
          <w:p w14:paraId="33344D3A"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7883749F"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2,3</w:t>
            </w:r>
          </w:p>
        </w:tc>
        <w:tc>
          <w:tcPr>
            <w:tcW w:w="786" w:type="pct"/>
            <w:tcBorders>
              <w:top w:val="nil"/>
              <w:left w:val="nil"/>
              <w:bottom w:val="single" w:sz="4" w:space="0" w:color="auto"/>
              <w:right w:val="single" w:sz="4" w:space="0" w:color="auto"/>
            </w:tcBorders>
            <w:shd w:val="clear" w:color="auto" w:fill="auto"/>
            <w:vAlign w:val="center"/>
            <w:hideMark/>
          </w:tcPr>
          <w:p w14:paraId="661DEDB2"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2,6</w:t>
            </w:r>
          </w:p>
        </w:tc>
        <w:tc>
          <w:tcPr>
            <w:tcW w:w="699" w:type="pct"/>
            <w:tcBorders>
              <w:top w:val="nil"/>
              <w:left w:val="nil"/>
              <w:bottom w:val="single" w:sz="4" w:space="0" w:color="auto"/>
              <w:right w:val="single" w:sz="4" w:space="0" w:color="auto"/>
            </w:tcBorders>
            <w:shd w:val="clear" w:color="auto" w:fill="auto"/>
            <w:vAlign w:val="center"/>
            <w:hideMark/>
          </w:tcPr>
          <w:p w14:paraId="2534C246"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1,7</w:t>
            </w:r>
          </w:p>
        </w:tc>
      </w:tr>
      <w:tr w:rsidR="00953171" w:rsidRPr="00251B61" w14:paraId="2107358D" w14:textId="77777777" w:rsidTr="008D3722">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4BC6F36D"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Ieņēmumu palielināšana no nodevas par personas apliecību izsniegšanu</w:t>
            </w:r>
          </w:p>
        </w:tc>
        <w:tc>
          <w:tcPr>
            <w:tcW w:w="860" w:type="pct"/>
            <w:tcBorders>
              <w:top w:val="nil"/>
              <w:left w:val="nil"/>
              <w:bottom w:val="single" w:sz="4" w:space="0" w:color="auto"/>
              <w:right w:val="single" w:sz="4" w:space="0" w:color="auto"/>
            </w:tcBorders>
            <w:shd w:val="clear" w:color="auto" w:fill="auto"/>
            <w:vAlign w:val="center"/>
            <w:hideMark/>
          </w:tcPr>
          <w:p w14:paraId="2A757F48"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78A0A919"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1,5</w:t>
            </w:r>
          </w:p>
        </w:tc>
        <w:tc>
          <w:tcPr>
            <w:tcW w:w="786" w:type="pct"/>
            <w:tcBorders>
              <w:top w:val="nil"/>
              <w:left w:val="nil"/>
              <w:bottom w:val="single" w:sz="4" w:space="0" w:color="auto"/>
              <w:right w:val="single" w:sz="4" w:space="0" w:color="auto"/>
            </w:tcBorders>
            <w:shd w:val="clear" w:color="auto" w:fill="auto"/>
            <w:vAlign w:val="center"/>
            <w:hideMark/>
          </w:tcPr>
          <w:p w14:paraId="468409E9"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1,5</w:t>
            </w:r>
          </w:p>
        </w:tc>
        <w:tc>
          <w:tcPr>
            <w:tcW w:w="699" w:type="pct"/>
            <w:tcBorders>
              <w:top w:val="nil"/>
              <w:left w:val="nil"/>
              <w:bottom w:val="single" w:sz="4" w:space="0" w:color="auto"/>
              <w:right w:val="single" w:sz="4" w:space="0" w:color="auto"/>
            </w:tcBorders>
            <w:shd w:val="clear" w:color="auto" w:fill="auto"/>
            <w:vAlign w:val="center"/>
            <w:hideMark/>
          </w:tcPr>
          <w:p w14:paraId="527D03CA"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2,4</w:t>
            </w:r>
          </w:p>
        </w:tc>
      </w:tr>
      <w:tr w:rsidR="00953171" w:rsidRPr="00251B61" w14:paraId="0577E280" w14:textId="77777777" w:rsidTr="008E1E6C">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2C9E1B8B"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Ieņēmumu palielināšana no nodevas par vīzas, uzturēšanās atļaujas vai ES pastāvīgā iedzīvotāja statusa LR pieprasīšanai nepieciešamo dokumentu izskatīšanu un ar to saistītajiem pakalpojumiem</w:t>
            </w:r>
          </w:p>
        </w:tc>
        <w:tc>
          <w:tcPr>
            <w:tcW w:w="860" w:type="pct"/>
            <w:tcBorders>
              <w:top w:val="nil"/>
              <w:left w:val="nil"/>
              <w:bottom w:val="single" w:sz="4" w:space="0" w:color="auto"/>
              <w:right w:val="single" w:sz="4" w:space="0" w:color="auto"/>
            </w:tcBorders>
            <w:shd w:val="clear" w:color="auto" w:fill="auto"/>
            <w:vAlign w:val="center"/>
            <w:hideMark/>
          </w:tcPr>
          <w:p w14:paraId="48937B9D" w14:textId="77777777" w:rsidR="00953171" w:rsidRPr="00251B61" w:rsidRDefault="00953171" w:rsidP="008E1E6C">
            <w:pPr>
              <w:ind w:firstLine="0"/>
              <w:jc w:val="center"/>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5CFA00E3"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1,5</w:t>
            </w:r>
          </w:p>
        </w:tc>
        <w:tc>
          <w:tcPr>
            <w:tcW w:w="786" w:type="pct"/>
            <w:tcBorders>
              <w:top w:val="nil"/>
              <w:left w:val="nil"/>
              <w:bottom w:val="single" w:sz="4" w:space="0" w:color="auto"/>
              <w:right w:val="single" w:sz="4" w:space="0" w:color="auto"/>
            </w:tcBorders>
            <w:shd w:val="clear" w:color="auto" w:fill="auto"/>
            <w:vAlign w:val="center"/>
            <w:hideMark/>
          </w:tcPr>
          <w:p w14:paraId="7E00EFE9"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1,5</w:t>
            </w:r>
          </w:p>
        </w:tc>
        <w:tc>
          <w:tcPr>
            <w:tcW w:w="699" w:type="pct"/>
            <w:tcBorders>
              <w:top w:val="nil"/>
              <w:left w:val="nil"/>
              <w:bottom w:val="single" w:sz="4" w:space="0" w:color="auto"/>
              <w:right w:val="single" w:sz="4" w:space="0" w:color="auto"/>
            </w:tcBorders>
            <w:shd w:val="clear" w:color="auto" w:fill="auto"/>
            <w:vAlign w:val="center"/>
            <w:hideMark/>
          </w:tcPr>
          <w:p w14:paraId="0500A99F"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1,5</w:t>
            </w:r>
          </w:p>
        </w:tc>
      </w:tr>
      <w:tr w:rsidR="00953171" w:rsidRPr="00251B61" w14:paraId="7BA2161F" w14:textId="77777777" w:rsidTr="008D3722">
        <w:trPr>
          <w:trHeight w:val="694"/>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633902A4"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Ieņēmumu palielināšana no nodevas par konsulāro amatpersonu sniegtajiem pakalpojumiem</w:t>
            </w:r>
          </w:p>
        </w:tc>
        <w:tc>
          <w:tcPr>
            <w:tcW w:w="860" w:type="pct"/>
            <w:tcBorders>
              <w:top w:val="nil"/>
              <w:left w:val="nil"/>
              <w:bottom w:val="single" w:sz="4" w:space="0" w:color="auto"/>
              <w:right w:val="single" w:sz="4" w:space="0" w:color="auto"/>
            </w:tcBorders>
            <w:shd w:val="clear" w:color="auto" w:fill="auto"/>
            <w:vAlign w:val="center"/>
            <w:hideMark/>
          </w:tcPr>
          <w:p w14:paraId="1D274BFC"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079AC670"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1,0</w:t>
            </w:r>
          </w:p>
        </w:tc>
        <w:tc>
          <w:tcPr>
            <w:tcW w:w="786" w:type="pct"/>
            <w:tcBorders>
              <w:top w:val="nil"/>
              <w:left w:val="nil"/>
              <w:bottom w:val="single" w:sz="4" w:space="0" w:color="auto"/>
              <w:right w:val="single" w:sz="4" w:space="0" w:color="auto"/>
            </w:tcBorders>
            <w:shd w:val="clear" w:color="auto" w:fill="auto"/>
            <w:vAlign w:val="center"/>
            <w:hideMark/>
          </w:tcPr>
          <w:p w14:paraId="57BB5987"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1,0</w:t>
            </w:r>
          </w:p>
        </w:tc>
        <w:tc>
          <w:tcPr>
            <w:tcW w:w="699" w:type="pct"/>
            <w:tcBorders>
              <w:top w:val="nil"/>
              <w:left w:val="nil"/>
              <w:bottom w:val="single" w:sz="4" w:space="0" w:color="auto"/>
              <w:right w:val="single" w:sz="4" w:space="0" w:color="auto"/>
            </w:tcBorders>
            <w:shd w:val="clear" w:color="auto" w:fill="auto"/>
            <w:vAlign w:val="center"/>
            <w:hideMark/>
          </w:tcPr>
          <w:p w14:paraId="49667BA4"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1,0</w:t>
            </w:r>
          </w:p>
        </w:tc>
      </w:tr>
      <w:tr w:rsidR="00953171" w:rsidRPr="00251B61" w14:paraId="20138454" w14:textId="77777777" w:rsidTr="008D37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733" w:type="pct"/>
            <w:gridSpan w:val="2"/>
            <w:shd w:val="clear" w:color="auto" w:fill="auto"/>
            <w:vAlign w:val="center"/>
          </w:tcPr>
          <w:p w14:paraId="14379169" w14:textId="77777777" w:rsidR="00953171" w:rsidRPr="00251B61" w:rsidRDefault="00953171" w:rsidP="008349F0">
            <w:pPr>
              <w:keepLines/>
              <w:spacing w:after="0"/>
              <w:ind w:firstLine="0"/>
              <w:contextualSpacing/>
              <w:jc w:val="left"/>
              <w:rPr>
                <w:rFonts w:eastAsia="Times New Roman" w:cs="Times New Roman"/>
                <w:sz w:val="18"/>
                <w:szCs w:val="18"/>
              </w:rPr>
            </w:pPr>
            <w:r w:rsidRPr="00251B61">
              <w:rPr>
                <w:rFonts w:eastAsia="Times New Roman" w:cs="Times New Roman"/>
                <w:b/>
                <w:bCs/>
                <w:sz w:val="18"/>
                <w:szCs w:val="18"/>
              </w:rPr>
              <w:t>Ziņojumā ietverto pasākumu ietekme, kopā</w:t>
            </w:r>
            <w:r w:rsidRPr="00251B61">
              <w:rPr>
                <w:rFonts w:eastAsia="Times New Roman" w:cs="Times New Roman"/>
                <w:b/>
                <w:bCs/>
                <w:sz w:val="18"/>
                <w:szCs w:val="18"/>
                <w:vertAlign w:val="superscript"/>
              </w:rPr>
              <w:t>1</w:t>
            </w:r>
          </w:p>
        </w:tc>
        <w:tc>
          <w:tcPr>
            <w:tcW w:w="782" w:type="pct"/>
            <w:shd w:val="clear" w:color="auto" w:fill="auto"/>
          </w:tcPr>
          <w:p w14:paraId="32D21D39" w14:textId="77777777" w:rsidR="00953171" w:rsidRPr="00251B61" w:rsidRDefault="00953171" w:rsidP="008349F0">
            <w:pPr>
              <w:spacing w:after="0"/>
              <w:contextualSpacing/>
              <w:jc w:val="right"/>
              <w:rPr>
                <w:rFonts w:eastAsia="Times New Roman" w:cs="Times New Roman"/>
                <w:b/>
                <w:bCs/>
                <w:sz w:val="18"/>
                <w:szCs w:val="18"/>
              </w:rPr>
            </w:pPr>
            <w:r w:rsidRPr="00251B61">
              <w:rPr>
                <w:rFonts w:cs="Times New Roman"/>
                <w:b/>
                <w:bCs/>
                <w:sz w:val="18"/>
                <w:szCs w:val="18"/>
              </w:rPr>
              <w:t>146,8</w:t>
            </w:r>
          </w:p>
        </w:tc>
        <w:tc>
          <w:tcPr>
            <w:tcW w:w="786" w:type="pct"/>
            <w:shd w:val="clear" w:color="auto" w:fill="auto"/>
          </w:tcPr>
          <w:p w14:paraId="41B7D066" w14:textId="77777777" w:rsidR="00953171" w:rsidRPr="00251B61" w:rsidRDefault="00953171" w:rsidP="008349F0">
            <w:pPr>
              <w:spacing w:after="0"/>
              <w:ind w:firstLine="552"/>
              <w:contextualSpacing/>
              <w:jc w:val="right"/>
              <w:rPr>
                <w:rFonts w:eastAsia="Times New Roman" w:cs="Times New Roman"/>
                <w:b/>
                <w:bCs/>
                <w:sz w:val="18"/>
                <w:szCs w:val="18"/>
              </w:rPr>
            </w:pPr>
            <w:r w:rsidRPr="00251B61">
              <w:rPr>
                <w:rFonts w:cs="Times New Roman"/>
                <w:b/>
                <w:bCs/>
                <w:sz w:val="18"/>
                <w:szCs w:val="18"/>
              </w:rPr>
              <w:t>128,5</w:t>
            </w:r>
          </w:p>
        </w:tc>
        <w:tc>
          <w:tcPr>
            <w:tcW w:w="699" w:type="pct"/>
            <w:shd w:val="clear" w:color="auto" w:fill="auto"/>
          </w:tcPr>
          <w:p w14:paraId="43C2B7D7" w14:textId="77777777" w:rsidR="00953171" w:rsidRPr="00251B61" w:rsidRDefault="00953171" w:rsidP="008349F0">
            <w:pPr>
              <w:spacing w:after="0"/>
              <w:ind w:firstLine="595"/>
              <w:contextualSpacing/>
              <w:jc w:val="right"/>
              <w:rPr>
                <w:rFonts w:eastAsia="Times New Roman" w:cs="Times New Roman"/>
                <w:b/>
                <w:bCs/>
                <w:sz w:val="18"/>
                <w:szCs w:val="18"/>
              </w:rPr>
            </w:pPr>
            <w:r w:rsidRPr="00251B61">
              <w:rPr>
                <w:rFonts w:cs="Times New Roman"/>
                <w:b/>
                <w:bCs/>
                <w:sz w:val="18"/>
                <w:szCs w:val="18"/>
              </w:rPr>
              <w:t>126,8</w:t>
            </w:r>
          </w:p>
        </w:tc>
      </w:tr>
      <w:tr w:rsidR="00953171" w:rsidRPr="00251B61" w14:paraId="4D294F74" w14:textId="77777777" w:rsidTr="008E1E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5000" w:type="pct"/>
            <w:gridSpan w:val="5"/>
            <w:shd w:val="clear" w:color="auto" w:fill="BDD6EE" w:themeFill="accent1" w:themeFillTint="66"/>
            <w:vAlign w:val="center"/>
          </w:tcPr>
          <w:p w14:paraId="27C86076" w14:textId="77777777" w:rsidR="00953171" w:rsidRPr="00251B61" w:rsidRDefault="00953171" w:rsidP="008349F0">
            <w:pPr>
              <w:spacing w:after="0"/>
              <w:ind w:firstLine="0"/>
              <w:contextualSpacing/>
              <w:jc w:val="left"/>
              <w:rPr>
                <w:rFonts w:cs="Times New Roman"/>
                <w:b/>
                <w:bCs/>
                <w:sz w:val="18"/>
                <w:szCs w:val="18"/>
              </w:rPr>
            </w:pPr>
            <w:r w:rsidRPr="00251B61">
              <w:rPr>
                <w:rFonts w:eastAsia="Times New Roman" w:cs="Times New Roman"/>
                <w:sz w:val="18"/>
                <w:szCs w:val="18"/>
              </w:rPr>
              <w:t>Informatīvajā ziņojumā " Par valsts budžeta ieņēmumu un nodokļu politikas pārskatīšanu 2025.–2027. gadā " ietvertie pasākumi</w:t>
            </w:r>
          </w:p>
        </w:tc>
      </w:tr>
      <w:tr w:rsidR="00953171" w:rsidRPr="00251B61" w14:paraId="63EFC7E8" w14:textId="77777777" w:rsidTr="00410A1E">
        <w:trPr>
          <w:trHeight w:val="300"/>
        </w:trPr>
        <w:tc>
          <w:tcPr>
            <w:tcW w:w="18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DA0502" w14:textId="1E078B8E" w:rsidR="00953171" w:rsidRPr="00251B61" w:rsidRDefault="00953171" w:rsidP="008349F0">
            <w:pPr>
              <w:spacing w:after="0"/>
              <w:ind w:firstLine="0"/>
              <w:jc w:val="left"/>
              <w:rPr>
                <w:rFonts w:cs="Times New Roman"/>
                <w:color w:val="000000"/>
                <w:sz w:val="18"/>
                <w:szCs w:val="18"/>
              </w:rPr>
            </w:pPr>
            <w:r w:rsidRPr="00251B61">
              <w:rPr>
                <w:rFonts w:cs="Times New Roman"/>
                <w:color w:val="000000"/>
                <w:sz w:val="18"/>
                <w:szCs w:val="18"/>
              </w:rPr>
              <w:t>Neapliekamā minimuma izmaiņas (2025.</w:t>
            </w:r>
            <w:r w:rsidR="00D20A18">
              <w:rPr>
                <w:rFonts w:cs="Times New Roman"/>
                <w:color w:val="000000"/>
                <w:sz w:val="18"/>
                <w:szCs w:val="18"/>
              </w:rPr>
              <w:t xml:space="preserve"> </w:t>
            </w:r>
            <w:r w:rsidRPr="00251B61">
              <w:rPr>
                <w:rFonts w:cs="Times New Roman"/>
                <w:color w:val="000000"/>
                <w:sz w:val="18"/>
                <w:szCs w:val="18"/>
              </w:rPr>
              <w:t xml:space="preserve">gads 500 </w:t>
            </w:r>
            <w:proofErr w:type="spellStart"/>
            <w:r w:rsidRPr="00835750">
              <w:rPr>
                <w:rFonts w:cs="Times New Roman"/>
                <w:i/>
                <w:iCs/>
                <w:color w:val="000000"/>
                <w:sz w:val="18"/>
                <w:szCs w:val="18"/>
              </w:rPr>
              <w:t>euro</w:t>
            </w:r>
            <w:proofErr w:type="spellEnd"/>
            <w:r w:rsidRPr="00251B61">
              <w:rPr>
                <w:rFonts w:cs="Times New Roman"/>
                <w:color w:val="000000"/>
                <w:sz w:val="18"/>
                <w:szCs w:val="18"/>
              </w:rPr>
              <w:t>; 2026.</w:t>
            </w:r>
            <w:r w:rsidR="00D20A18">
              <w:rPr>
                <w:rFonts w:cs="Times New Roman"/>
                <w:color w:val="000000"/>
                <w:sz w:val="18"/>
                <w:szCs w:val="18"/>
              </w:rPr>
              <w:t xml:space="preserve"> </w:t>
            </w:r>
            <w:r w:rsidRPr="00251B61">
              <w:rPr>
                <w:rFonts w:cs="Times New Roman"/>
                <w:color w:val="000000"/>
                <w:sz w:val="18"/>
                <w:szCs w:val="18"/>
              </w:rPr>
              <w:t xml:space="preserve">gads 550 </w:t>
            </w:r>
            <w:proofErr w:type="spellStart"/>
            <w:r w:rsidRPr="00835750">
              <w:rPr>
                <w:rFonts w:cs="Times New Roman"/>
                <w:i/>
                <w:iCs/>
                <w:color w:val="000000"/>
                <w:sz w:val="18"/>
                <w:szCs w:val="18"/>
              </w:rPr>
              <w:t>euro</w:t>
            </w:r>
            <w:proofErr w:type="spellEnd"/>
            <w:r w:rsidRPr="00251B61">
              <w:rPr>
                <w:rFonts w:cs="Times New Roman"/>
                <w:color w:val="000000"/>
                <w:sz w:val="18"/>
                <w:szCs w:val="18"/>
              </w:rPr>
              <w:t>; 2027.</w:t>
            </w:r>
            <w:r w:rsidR="00D20A18">
              <w:rPr>
                <w:rFonts w:cs="Times New Roman"/>
                <w:color w:val="000000"/>
                <w:sz w:val="18"/>
                <w:szCs w:val="18"/>
              </w:rPr>
              <w:t xml:space="preserve"> </w:t>
            </w:r>
            <w:r w:rsidRPr="00251B61">
              <w:rPr>
                <w:rFonts w:cs="Times New Roman"/>
                <w:color w:val="000000"/>
                <w:sz w:val="18"/>
                <w:szCs w:val="18"/>
              </w:rPr>
              <w:t xml:space="preserve">gads 570 </w:t>
            </w:r>
            <w:proofErr w:type="spellStart"/>
            <w:r w:rsidRPr="00835750">
              <w:rPr>
                <w:rFonts w:cs="Times New Roman"/>
                <w:i/>
                <w:iCs/>
                <w:color w:val="000000"/>
                <w:sz w:val="18"/>
                <w:szCs w:val="18"/>
              </w:rPr>
              <w:t>euro</w:t>
            </w:r>
            <w:proofErr w:type="spellEnd"/>
            <w:r w:rsidRPr="00251B61">
              <w:rPr>
                <w:rFonts w:cs="Times New Roman"/>
                <w:color w:val="000000"/>
                <w:sz w:val="18"/>
                <w:szCs w:val="18"/>
              </w:rPr>
              <w:t>)</w:t>
            </w:r>
          </w:p>
        </w:tc>
        <w:tc>
          <w:tcPr>
            <w:tcW w:w="860" w:type="pct"/>
            <w:tcBorders>
              <w:top w:val="single" w:sz="4" w:space="0" w:color="auto"/>
              <w:left w:val="nil"/>
              <w:bottom w:val="single" w:sz="4" w:space="0" w:color="auto"/>
              <w:right w:val="single" w:sz="4" w:space="0" w:color="auto"/>
            </w:tcBorders>
            <w:shd w:val="clear" w:color="auto" w:fill="auto"/>
            <w:vAlign w:val="center"/>
            <w:hideMark/>
          </w:tcPr>
          <w:p w14:paraId="7AFEFED5"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IIN</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23831ACE" w14:textId="77777777" w:rsidR="00953171" w:rsidRPr="00251B61" w:rsidRDefault="00953171" w:rsidP="00410A1E">
            <w:pPr>
              <w:ind w:firstLine="603"/>
              <w:jc w:val="center"/>
              <w:rPr>
                <w:rFonts w:cs="Times New Roman"/>
                <w:color w:val="000000"/>
                <w:sz w:val="18"/>
                <w:szCs w:val="18"/>
              </w:rPr>
            </w:pPr>
            <w:r w:rsidRPr="00251B61">
              <w:rPr>
                <w:rFonts w:cs="Times New Roman"/>
                <w:sz w:val="18"/>
                <w:szCs w:val="18"/>
              </w:rPr>
              <w:t>-449,9</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77A81A30" w14:textId="77777777" w:rsidR="00953171" w:rsidRPr="00251B61" w:rsidRDefault="00953171" w:rsidP="00410A1E">
            <w:pPr>
              <w:ind w:firstLine="547"/>
              <w:jc w:val="center"/>
              <w:rPr>
                <w:rFonts w:cs="Times New Roman"/>
                <w:color w:val="000000"/>
                <w:sz w:val="18"/>
                <w:szCs w:val="18"/>
              </w:rPr>
            </w:pPr>
            <w:r w:rsidRPr="00251B61">
              <w:rPr>
                <w:rFonts w:cs="Times New Roman"/>
                <w:sz w:val="18"/>
                <w:szCs w:val="18"/>
              </w:rPr>
              <w:t>-568,4</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07019CFA" w14:textId="77777777" w:rsidR="00953171" w:rsidRPr="00251B61" w:rsidRDefault="00953171" w:rsidP="00410A1E">
            <w:pPr>
              <w:ind w:firstLine="454"/>
              <w:jc w:val="center"/>
              <w:rPr>
                <w:rFonts w:cs="Times New Roman"/>
                <w:color w:val="000000"/>
                <w:sz w:val="18"/>
                <w:szCs w:val="18"/>
              </w:rPr>
            </w:pPr>
            <w:r w:rsidRPr="00251B61">
              <w:rPr>
                <w:rFonts w:cs="Times New Roman"/>
                <w:sz w:val="18"/>
                <w:szCs w:val="18"/>
              </w:rPr>
              <w:t>-616,8</w:t>
            </w:r>
          </w:p>
        </w:tc>
      </w:tr>
      <w:tr w:rsidR="00953171" w:rsidRPr="00251B61" w14:paraId="0182862B"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00D50C1E"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IIN likmju un ienākumu sliekšņu izmaiņas (no 2025. gada ieviest divu pakāpju IIN likmes: 25,5% apmērā ienākumiem līdz VSAOI objekta maksimālajam apmēram – 8 775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mēnesī (105 300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gadā), </w:t>
            </w:r>
            <w:r w:rsidRPr="00251B61">
              <w:rPr>
                <w:rFonts w:cs="Times New Roman"/>
                <w:color w:val="000000"/>
                <w:sz w:val="18"/>
                <w:szCs w:val="18"/>
              </w:rPr>
              <w:lastRenderedPageBreak/>
              <w:t xml:space="preserve">33% apmērā ienākumiem virs VSAOI objekta maksimālā apmēra 8 775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mēnesī (105 300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gadā)</w:t>
            </w:r>
          </w:p>
        </w:tc>
        <w:tc>
          <w:tcPr>
            <w:tcW w:w="860" w:type="pct"/>
            <w:tcBorders>
              <w:top w:val="nil"/>
              <w:left w:val="nil"/>
              <w:bottom w:val="single" w:sz="4" w:space="0" w:color="auto"/>
              <w:right w:val="single" w:sz="4" w:space="0" w:color="auto"/>
            </w:tcBorders>
            <w:shd w:val="clear" w:color="auto" w:fill="auto"/>
            <w:vAlign w:val="center"/>
            <w:hideMark/>
          </w:tcPr>
          <w:p w14:paraId="083E7F8B"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lastRenderedPageBreak/>
              <w:t>IIN</w:t>
            </w:r>
          </w:p>
        </w:tc>
        <w:tc>
          <w:tcPr>
            <w:tcW w:w="782" w:type="pct"/>
            <w:tcBorders>
              <w:top w:val="nil"/>
              <w:left w:val="nil"/>
              <w:bottom w:val="single" w:sz="4" w:space="0" w:color="auto"/>
              <w:right w:val="single" w:sz="4" w:space="0" w:color="auto"/>
            </w:tcBorders>
            <w:shd w:val="clear" w:color="auto" w:fill="auto"/>
            <w:vAlign w:val="center"/>
            <w:hideMark/>
          </w:tcPr>
          <w:p w14:paraId="60AFA427" w14:textId="77777777" w:rsidR="00953171" w:rsidRPr="00251B61" w:rsidRDefault="00953171" w:rsidP="00410A1E">
            <w:pPr>
              <w:jc w:val="center"/>
              <w:rPr>
                <w:rFonts w:cs="Times New Roman"/>
                <w:color w:val="000000"/>
                <w:sz w:val="18"/>
                <w:szCs w:val="18"/>
              </w:rPr>
            </w:pPr>
            <w:r w:rsidRPr="00251B61">
              <w:rPr>
                <w:rFonts w:cs="Times New Roman"/>
                <w:sz w:val="18"/>
                <w:szCs w:val="18"/>
              </w:rPr>
              <w:t>352,9</w:t>
            </w:r>
          </w:p>
        </w:tc>
        <w:tc>
          <w:tcPr>
            <w:tcW w:w="786" w:type="pct"/>
            <w:tcBorders>
              <w:top w:val="nil"/>
              <w:left w:val="nil"/>
              <w:bottom w:val="single" w:sz="4" w:space="0" w:color="auto"/>
              <w:right w:val="single" w:sz="4" w:space="0" w:color="auto"/>
            </w:tcBorders>
            <w:shd w:val="clear" w:color="auto" w:fill="auto"/>
            <w:vAlign w:val="center"/>
            <w:hideMark/>
          </w:tcPr>
          <w:p w14:paraId="4D395B66" w14:textId="77777777" w:rsidR="00953171" w:rsidRPr="00251B61" w:rsidRDefault="00953171" w:rsidP="00410A1E">
            <w:pPr>
              <w:ind w:firstLine="547"/>
              <w:jc w:val="center"/>
              <w:rPr>
                <w:rFonts w:cs="Times New Roman"/>
                <w:color w:val="000000"/>
                <w:sz w:val="18"/>
                <w:szCs w:val="18"/>
              </w:rPr>
            </w:pPr>
            <w:r w:rsidRPr="00251B61">
              <w:rPr>
                <w:rFonts w:cs="Times New Roman"/>
                <w:sz w:val="18"/>
                <w:szCs w:val="18"/>
              </w:rPr>
              <w:t>409,7</w:t>
            </w:r>
          </w:p>
        </w:tc>
        <w:tc>
          <w:tcPr>
            <w:tcW w:w="699" w:type="pct"/>
            <w:tcBorders>
              <w:top w:val="nil"/>
              <w:left w:val="nil"/>
              <w:bottom w:val="single" w:sz="4" w:space="0" w:color="auto"/>
              <w:right w:val="single" w:sz="4" w:space="0" w:color="auto"/>
            </w:tcBorders>
            <w:shd w:val="clear" w:color="auto" w:fill="auto"/>
            <w:vAlign w:val="center"/>
            <w:hideMark/>
          </w:tcPr>
          <w:p w14:paraId="2C743784" w14:textId="77777777" w:rsidR="00953171" w:rsidRPr="00251B61" w:rsidRDefault="00953171" w:rsidP="00410A1E">
            <w:pPr>
              <w:ind w:firstLine="454"/>
              <w:jc w:val="center"/>
              <w:rPr>
                <w:rFonts w:cs="Times New Roman"/>
                <w:color w:val="000000"/>
                <w:sz w:val="18"/>
                <w:szCs w:val="18"/>
              </w:rPr>
            </w:pPr>
            <w:r w:rsidRPr="00251B61">
              <w:rPr>
                <w:rFonts w:cs="Times New Roman"/>
                <w:sz w:val="18"/>
                <w:szCs w:val="18"/>
              </w:rPr>
              <w:t>430,6</w:t>
            </w:r>
          </w:p>
        </w:tc>
      </w:tr>
      <w:tr w:rsidR="00953171" w:rsidRPr="00251B61" w14:paraId="7B147B9A"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0761D07A"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Pensionāra neapliekamā minimuma paaugstināšana līdz 750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mēnesī</w:t>
            </w:r>
          </w:p>
        </w:tc>
        <w:tc>
          <w:tcPr>
            <w:tcW w:w="860" w:type="pct"/>
            <w:tcBorders>
              <w:top w:val="nil"/>
              <w:left w:val="nil"/>
              <w:bottom w:val="single" w:sz="4" w:space="0" w:color="auto"/>
              <w:right w:val="single" w:sz="4" w:space="0" w:color="auto"/>
            </w:tcBorders>
            <w:shd w:val="clear" w:color="auto" w:fill="auto"/>
            <w:vAlign w:val="center"/>
            <w:hideMark/>
          </w:tcPr>
          <w:p w14:paraId="4E879C48"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IIN</w:t>
            </w:r>
          </w:p>
        </w:tc>
        <w:tc>
          <w:tcPr>
            <w:tcW w:w="782" w:type="pct"/>
            <w:tcBorders>
              <w:top w:val="nil"/>
              <w:left w:val="nil"/>
              <w:bottom w:val="single" w:sz="4" w:space="0" w:color="auto"/>
              <w:right w:val="single" w:sz="4" w:space="0" w:color="auto"/>
            </w:tcBorders>
            <w:shd w:val="clear" w:color="auto" w:fill="auto"/>
            <w:vAlign w:val="center"/>
            <w:hideMark/>
          </w:tcPr>
          <w:p w14:paraId="438351D5" w14:textId="77777777" w:rsidR="00953171" w:rsidRPr="00251B61" w:rsidRDefault="00953171" w:rsidP="00410A1E">
            <w:pPr>
              <w:ind w:firstLine="603"/>
              <w:jc w:val="center"/>
              <w:rPr>
                <w:rFonts w:cs="Times New Roman"/>
                <w:color w:val="000000"/>
                <w:sz w:val="18"/>
                <w:szCs w:val="18"/>
              </w:rPr>
            </w:pPr>
            <w:r w:rsidRPr="00251B61">
              <w:rPr>
                <w:rFonts w:cs="Times New Roman"/>
                <w:sz w:val="18"/>
                <w:szCs w:val="18"/>
              </w:rPr>
              <w:t>-119,3</w:t>
            </w:r>
          </w:p>
        </w:tc>
        <w:tc>
          <w:tcPr>
            <w:tcW w:w="786" w:type="pct"/>
            <w:tcBorders>
              <w:top w:val="nil"/>
              <w:left w:val="nil"/>
              <w:bottom w:val="single" w:sz="4" w:space="0" w:color="auto"/>
              <w:right w:val="single" w:sz="4" w:space="0" w:color="auto"/>
            </w:tcBorders>
            <w:shd w:val="clear" w:color="auto" w:fill="auto"/>
            <w:vAlign w:val="center"/>
            <w:hideMark/>
          </w:tcPr>
          <w:p w14:paraId="1FE7281B" w14:textId="77777777" w:rsidR="00953171" w:rsidRPr="00251B61" w:rsidRDefault="00953171" w:rsidP="00410A1E">
            <w:pPr>
              <w:ind w:firstLine="547"/>
              <w:jc w:val="center"/>
              <w:rPr>
                <w:rFonts w:cs="Times New Roman"/>
                <w:color w:val="000000"/>
                <w:sz w:val="18"/>
                <w:szCs w:val="18"/>
              </w:rPr>
            </w:pPr>
            <w:r w:rsidRPr="00251B61">
              <w:rPr>
                <w:rFonts w:cs="Times New Roman"/>
                <w:sz w:val="18"/>
                <w:szCs w:val="18"/>
              </w:rPr>
              <w:t>-128,9</w:t>
            </w:r>
          </w:p>
        </w:tc>
        <w:tc>
          <w:tcPr>
            <w:tcW w:w="699" w:type="pct"/>
            <w:tcBorders>
              <w:top w:val="nil"/>
              <w:left w:val="nil"/>
              <w:bottom w:val="single" w:sz="4" w:space="0" w:color="auto"/>
              <w:right w:val="single" w:sz="4" w:space="0" w:color="auto"/>
            </w:tcBorders>
            <w:shd w:val="clear" w:color="auto" w:fill="auto"/>
            <w:vAlign w:val="center"/>
            <w:hideMark/>
          </w:tcPr>
          <w:p w14:paraId="01FA517B" w14:textId="77777777" w:rsidR="00953171" w:rsidRPr="00251B61" w:rsidRDefault="00953171" w:rsidP="00410A1E">
            <w:pPr>
              <w:ind w:firstLine="454"/>
              <w:jc w:val="center"/>
              <w:rPr>
                <w:rFonts w:cs="Times New Roman"/>
                <w:color w:val="000000"/>
                <w:sz w:val="18"/>
                <w:szCs w:val="18"/>
              </w:rPr>
            </w:pPr>
            <w:r w:rsidRPr="00251B61">
              <w:rPr>
                <w:rFonts w:cs="Times New Roman"/>
                <w:sz w:val="18"/>
                <w:szCs w:val="18"/>
              </w:rPr>
              <w:t>-139,2</w:t>
            </w:r>
          </w:p>
        </w:tc>
      </w:tr>
      <w:tr w:rsidR="00953171" w:rsidRPr="00251B61" w14:paraId="682DB137"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5BD6AB52"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PVN atgriezeniskais efekts no IIN izmaiņām</w:t>
            </w:r>
          </w:p>
        </w:tc>
        <w:tc>
          <w:tcPr>
            <w:tcW w:w="860" w:type="pct"/>
            <w:tcBorders>
              <w:top w:val="nil"/>
              <w:left w:val="nil"/>
              <w:bottom w:val="single" w:sz="4" w:space="0" w:color="auto"/>
              <w:right w:val="single" w:sz="4" w:space="0" w:color="auto"/>
            </w:tcBorders>
            <w:shd w:val="clear" w:color="auto" w:fill="auto"/>
            <w:vAlign w:val="center"/>
            <w:hideMark/>
          </w:tcPr>
          <w:p w14:paraId="55775A9B"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PVN</w:t>
            </w:r>
          </w:p>
        </w:tc>
        <w:tc>
          <w:tcPr>
            <w:tcW w:w="782" w:type="pct"/>
            <w:tcBorders>
              <w:top w:val="nil"/>
              <w:left w:val="nil"/>
              <w:bottom w:val="single" w:sz="4" w:space="0" w:color="auto"/>
              <w:right w:val="single" w:sz="4" w:space="0" w:color="auto"/>
            </w:tcBorders>
            <w:shd w:val="clear" w:color="auto" w:fill="auto"/>
            <w:vAlign w:val="center"/>
            <w:hideMark/>
          </w:tcPr>
          <w:p w14:paraId="5EDBC2C6" w14:textId="77777777" w:rsidR="00953171" w:rsidRPr="00251B61" w:rsidRDefault="00953171" w:rsidP="00410A1E">
            <w:pPr>
              <w:jc w:val="center"/>
              <w:rPr>
                <w:rFonts w:cs="Times New Roman"/>
                <w:color w:val="000000"/>
                <w:sz w:val="18"/>
                <w:szCs w:val="18"/>
              </w:rPr>
            </w:pPr>
            <w:r w:rsidRPr="00251B61">
              <w:rPr>
                <w:rFonts w:cs="Times New Roman"/>
                <w:sz w:val="18"/>
                <w:szCs w:val="18"/>
              </w:rPr>
              <w:t>25,2</w:t>
            </w:r>
          </w:p>
        </w:tc>
        <w:tc>
          <w:tcPr>
            <w:tcW w:w="786" w:type="pct"/>
            <w:tcBorders>
              <w:top w:val="nil"/>
              <w:left w:val="nil"/>
              <w:bottom w:val="single" w:sz="4" w:space="0" w:color="auto"/>
              <w:right w:val="single" w:sz="4" w:space="0" w:color="auto"/>
            </w:tcBorders>
            <w:shd w:val="clear" w:color="auto" w:fill="auto"/>
            <w:vAlign w:val="center"/>
            <w:hideMark/>
          </w:tcPr>
          <w:p w14:paraId="2FCC174C" w14:textId="77777777" w:rsidR="00953171" w:rsidRPr="00251B61" w:rsidRDefault="00953171" w:rsidP="00410A1E">
            <w:pPr>
              <w:ind w:firstLine="547"/>
              <w:jc w:val="center"/>
              <w:rPr>
                <w:rFonts w:cs="Times New Roman"/>
                <w:color w:val="000000"/>
                <w:sz w:val="18"/>
                <w:szCs w:val="18"/>
              </w:rPr>
            </w:pPr>
            <w:r w:rsidRPr="00251B61">
              <w:rPr>
                <w:rFonts w:cs="Times New Roman"/>
                <w:sz w:val="18"/>
                <w:szCs w:val="18"/>
              </w:rPr>
              <w:t>33,5</w:t>
            </w:r>
          </w:p>
        </w:tc>
        <w:tc>
          <w:tcPr>
            <w:tcW w:w="699" w:type="pct"/>
            <w:tcBorders>
              <w:top w:val="nil"/>
              <w:left w:val="nil"/>
              <w:bottom w:val="single" w:sz="4" w:space="0" w:color="auto"/>
              <w:right w:val="single" w:sz="4" w:space="0" w:color="auto"/>
            </w:tcBorders>
            <w:shd w:val="clear" w:color="auto" w:fill="auto"/>
            <w:vAlign w:val="center"/>
            <w:hideMark/>
          </w:tcPr>
          <w:p w14:paraId="43A691A1" w14:textId="77777777" w:rsidR="00953171" w:rsidRPr="00251B61" w:rsidRDefault="00953171" w:rsidP="00410A1E">
            <w:pPr>
              <w:ind w:firstLine="454"/>
              <w:jc w:val="center"/>
              <w:rPr>
                <w:rFonts w:cs="Times New Roman"/>
                <w:color w:val="000000"/>
                <w:sz w:val="18"/>
                <w:szCs w:val="18"/>
              </w:rPr>
            </w:pPr>
            <w:r w:rsidRPr="00251B61">
              <w:rPr>
                <w:rFonts w:cs="Times New Roman"/>
                <w:sz w:val="18"/>
                <w:szCs w:val="18"/>
              </w:rPr>
              <w:t>38,0</w:t>
            </w:r>
          </w:p>
        </w:tc>
      </w:tr>
      <w:tr w:rsidR="00953171" w:rsidRPr="00251B61" w14:paraId="4593B3FD"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3BF4821E"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Papildu IIN likmes 3% apmērā ieviešana, kas tiks piemērota, iesniedzot gada ienākumu deklarāciju, kopējam gada ienākumu pārsniegumam virs 200 000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gadā.</w:t>
            </w:r>
          </w:p>
        </w:tc>
        <w:tc>
          <w:tcPr>
            <w:tcW w:w="860" w:type="pct"/>
            <w:tcBorders>
              <w:top w:val="nil"/>
              <w:left w:val="nil"/>
              <w:bottom w:val="single" w:sz="4" w:space="0" w:color="auto"/>
              <w:right w:val="single" w:sz="4" w:space="0" w:color="auto"/>
            </w:tcBorders>
            <w:shd w:val="clear" w:color="auto" w:fill="auto"/>
            <w:vAlign w:val="center"/>
            <w:hideMark/>
          </w:tcPr>
          <w:p w14:paraId="2E308B65"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IIN</w:t>
            </w:r>
          </w:p>
        </w:tc>
        <w:tc>
          <w:tcPr>
            <w:tcW w:w="782" w:type="pct"/>
            <w:tcBorders>
              <w:top w:val="nil"/>
              <w:left w:val="nil"/>
              <w:bottom w:val="single" w:sz="4" w:space="0" w:color="auto"/>
              <w:right w:val="single" w:sz="4" w:space="0" w:color="auto"/>
            </w:tcBorders>
            <w:shd w:val="clear" w:color="auto" w:fill="auto"/>
            <w:vAlign w:val="center"/>
            <w:hideMark/>
          </w:tcPr>
          <w:p w14:paraId="17607B02" w14:textId="77777777" w:rsidR="00953171" w:rsidRPr="00251B61" w:rsidRDefault="00953171" w:rsidP="00410A1E">
            <w:pPr>
              <w:jc w:val="center"/>
              <w:rPr>
                <w:rFonts w:cs="Times New Roman"/>
                <w:color w:val="000000"/>
                <w:sz w:val="18"/>
                <w:szCs w:val="18"/>
              </w:rPr>
            </w:pPr>
            <w:r w:rsidRPr="00251B61">
              <w:rPr>
                <w:rFonts w:cs="Times New Roman"/>
                <w:sz w:val="18"/>
                <w:szCs w:val="18"/>
              </w:rPr>
              <w:t>0,0</w:t>
            </w:r>
          </w:p>
        </w:tc>
        <w:tc>
          <w:tcPr>
            <w:tcW w:w="786" w:type="pct"/>
            <w:tcBorders>
              <w:top w:val="nil"/>
              <w:left w:val="nil"/>
              <w:bottom w:val="single" w:sz="4" w:space="0" w:color="auto"/>
              <w:right w:val="single" w:sz="4" w:space="0" w:color="auto"/>
            </w:tcBorders>
            <w:shd w:val="clear" w:color="auto" w:fill="auto"/>
            <w:vAlign w:val="center"/>
            <w:hideMark/>
          </w:tcPr>
          <w:p w14:paraId="6B5BC2FB" w14:textId="77777777" w:rsidR="00953171" w:rsidRPr="00251B61" w:rsidRDefault="00953171" w:rsidP="00410A1E">
            <w:pPr>
              <w:jc w:val="center"/>
              <w:rPr>
                <w:rFonts w:cs="Times New Roman"/>
                <w:color w:val="000000"/>
                <w:sz w:val="18"/>
                <w:szCs w:val="18"/>
              </w:rPr>
            </w:pPr>
            <w:r w:rsidRPr="00251B61">
              <w:rPr>
                <w:rFonts w:cs="Times New Roman"/>
                <w:sz w:val="18"/>
                <w:szCs w:val="18"/>
              </w:rPr>
              <w:t>13,0</w:t>
            </w:r>
          </w:p>
        </w:tc>
        <w:tc>
          <w:tcPr>
            <w:tcW w:w="699" w:type="pct"/>
            <w:tcBorders>
              <w:top w:val="nil"/>
              <w:left w:val="nil"/>
              <w:bottom w:val="single" w:sz="4" w:space="0" w:color="auto"/>
              <w:right w:val="single" w:sz="4" w:space="0" w:color="auto"/>
            </w:tcBorders>
            <w:shd w:val="clear" w:color="auto" w:fill="auto"/>
            <w:vAlign w:val="center"/>
            <w:hideMark/>
          </w:tcPr>
          <w:p w14:paraId="3A540D6C" w14:textId="77777777" w:rsidR="00953171" w:rsidRPr="00251B61" w:rsidRDefault="00953171" w:rsidP="00410A1E">
            <w:pPr>
              <w:ind w:firstLine="454"/>
              <w:jc w:val="center"/>
              <w:rPr>
                <w:rFonts w:cs="Times New Roman"/>
                <w:color w:val="000000"/>
                <w:sz w:val="18"/>
                <w:szCs w:val="18"/>
              </w:rPr>
            </w:pPr>
            <w:r w:rsidRPr="00251B61">
              <w:rPr>
                <w:rFonts w:cs="Times New Roman"/>
                <w:sz w:val="18"/>
                <w:szCs w:val="18"/>
              </w:rPr>
              <w:t>13,0</w:t>
            </w:r>
          </w:p>
        </w:tc>
      </w:tr>
      <w:tr w:rsidR="00953171" w:rsidRPr="00251B61" w14:paraId="19924F11"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4E6CBCE3"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1% </w:t>
            </w:r>
            <w:proofErr w:type="spellStart"/>
            <w:r w:rsidRPr="00251B61">
              <w:rPr>
                <w:rFonts w:cs="Times New Roman"/>
                <w:color w:val="000000"/>
                <w:sz w:val="18"/>
                <w:szCs w:val="18"/>
              </w:rPr>
              <w:t>pārnese</w:t>
            </w:r>
            <w:proofErr w:type="spellEnd"/>
            <w:r w:rsidRPr="00251B61">
              <w:rPr>
                <w:rFonts w:cs="Times New Roman"/>
                <w:color w:val="000000"/>
                <w:sz w:val="18"/>
                <w:szCs w:val="18"/>
              </w:rPr>
              <w:t xml:space="preserve"> no </w:t>
            </w:r>
            <w:proofErr w:type="spellStart"/>
            <w:r w:rsidRPr="00251B61">
              <w:rPr>
                <w:rFonts w:cs="Times New Roman"/>
                <w:color w:val="000000"/>
                <w:sz w:val="18"/>
                <w:szCs w:val="18"/>
              </w:rPr>
              <w:t>fondētās</w:t>
            </w:r>
            <w:proofErr w:type="spellEnd"/>
            <w:r w:rsidRPr="00251B61">
              <w:rPr>
                <w:rFonts w:cs="Times New Roman"/>
                <w:color w:val="000000"/>
                <w:sz w:val="18"/>
                <w:szCs w:val="18"/>
              </w:rPr>
              <w:t xml:space="preserve"> pensiju shēmas uz pirmo līmeni</w:t>
            </w:r>
          </w:p>
        </w:tc>
        <w:tc>
          <w:tcPr>
            <w:tcW w:w="860" w:type="pct"/>
            <w:tcBorders>
              <w:top w:val="nil"/>
              <w:left w:val="nil"/>
              <w:bottom w:val="single" w:sz="4" w:space="0" w:color="auto"/>
              <w:right w:val="single" w:sz="4" w:space="0" w:color="auto"/>
            </w:tcBorders>
            <w:shd w:val="clear" w:color="auto" w:fill="auto"/>
            <w:vAlign w:val="center"/>
            <w:hideMark/>
          </w:tcPr>
          <w:p w14:paraId="3C973159"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VSAOI</w:t>
            </w:r>
            <w:r w:rsidRPr="00251B61">
              <w:rPr>
                <w:rFonts w:cs="Times New Roman"/>
                <w:color w:val="000000"/>
                <w:sz w:val="18"/>
                <w:szCs w:val="18"/>
                <w:vertAlign w:val="superscript"/>
              </w:rPr>
              <w:t>1</w:t>
            </w:r>
          </w:p>
        </w:tc>
        <w:tc>
          <w:tcPr>
            <w:tcW w:w="782" w:type="pct"/>
            <w:tcBorders>
              <w:top w:val="nil"/>
              <w:left w:val="nil"/>
              <w:bottom w:val="single" w:sz="4" w:space="0" w:color="auto"/>
              <w:right w:val="single" w:sz="4" w:space="0" w:color="auto"/>
            </w:tcBorders>
            <w:shd w:val="clear" w:color="auto" w:fill="auto"/>
            <w:vAlign w:val="center"/>
            <w:hideMark/>
          </w:tcPr>
          <w:p w14:paraId="0F4CF7DB" w14:textId="77777777" w:rsidR="00953171" w:rsidRPr="00251B61" w:rsidRDefault="00953171" w:rsidP="00410A1E">
            <w:pPr>
              <w:jc w:val="center"/>
              <w:rPr>
                <w:rFonts w:cs="Times New Roman"/>
                <w:color w:val="000000"/>
                <w:sz w:val="18"/>
                <w:szCs w:val="18"/>
              </w:rPr>
            </w:pPr>
            <w:r w:rsidRPr="00251B61">
              <w:rPr>
                <w:rFonts w:cs="Times New Roman"/>
                <w:sz w:val="18"/>
                <w:szCs w:val="18"/>
              </w:rPr>
              <w:t>104,0</w:t>
            </w:r>
          </w:p>
        </w:tc>
        <w:tc>
          <w:tcPr>
            <w:tcW w:w="786" w:type="pct"/>
            <w:tcBorders>
              <w:top w:val="nil"/>
              <w:left w:val="nil"/>
              <w:bottom w:val="single" w:sz="4" w:space="0" w:color="auto"/>
              <w:right w:val="single" w:sz="4" w:space="0" w:color="auto"/>
            </w:tcBorders>
            <w:shd w:val="clear" w:color="auto" w:fill="auto"/>
            <w:vAlign w:val="center"/>
            <w:hideMark/>
          </w:tcPr>
          <w:p w14:paraId="16CD3BD7" w14:textId="77777777" w:rsidR="00953171" w:rsidRPr="00251B61" w:rsidRDefault="00953171" w:rsidP="00410A1E">
            <w:pPr>
              <w:ind w:firstLine="694"/>
              <w:jc w:val="center"/>
              <w:rPr>
                <w:rFonts w:cs="Times New Roman"/>
                <w:color w:val="000000"/>
                <w:sz w:val="18"/>
                <w:szCs w:val="18"/>
              </w:rPr>
            </w:pPr>
            <w:r w:rsidRPr="00251B61">
              <w:rPr>
                <w:rFonts w:cs="Times New Roman"/>
                <w:sz w:val="18"/>
                <w:szCs w:val="18"/>
              </w:rPr>
              <w:t>162,0</w:t>
            </w:r>
          </w:p>
        </w:tc>
        <w:tc>
          <w:tcPr>
            <w:tcW w:w="699" w:type="pct"/>
            <w:tcBorders>
              <w:top w:val="nil"/>
              <w:left w:val="nil"/>
              <w:bottom w:val="single" w:sz="4" w:space="0" w:color="auto"/>
              <w:right w:val="single" w:sz="4" w:space="0" w:color="auto"/>
            </w:tcBorders>
            <w:shd w:val="clear" w:color="auto" w:fill="auto"/>
            <w:vAlign w:val="center"/>
            <w:hideMark/>
          </w:tcPr>
          <w:p w14:paraId="5A7D722F" w14:textId="77777777" w:rsidR="00953171" w:rsidRPr="00251B61" w:rsidRDefault="00953171" w:rsidP="00410A1E">
            <w:pPr>
              <w:ind w:firstLine="454"/>
              <w:jc w:val="center"/>
              <w:rPr>
                <w:rFonts w:cs="Times New Roman"/>
                <w:color w:val="000000"/>
                <w:sz w:val="18"/>
                <w:szCs w:val="18"/>
              </w:rPr>
            </w:pPr>
            <w:r w:rsidRPr="00251B61">
              <w:rPr>
                <w:rFonts w:cs="Times New Roman"/>
                <w:sz w:val="18"/>
                <w:szCs w:val="18"/>
              </w:rPr>
              <w:t>171,0</w:t>
            </w:r>
          </w:p>
        </w:tc>
      </w:tr>
      <w:tr w:rsidR="00953171" w:rsidRPr="00251B61" w14:paraId="78F65D67"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1CEFF86C"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Lauksaimnieku saņemtās atbalsta summas arī turpmāka neaplikšana ar IIN (šobrīd likumā "Par iedzīvotāju ienākuma nodokli" terminēts līdz 31.12.2024.)</w:t>
            </w:r>
          </w:p>
        </w:tc>
        <w:tc>
          <w:tcPr>
            <w:tcW w:w="860" w:type="pct"/>
            <w:tcBorders>
              <w:top w:val="nil"/>
              <w:left w:val="nil"/>
              <w:bottom w:val="single" w:sz="4" w:space="0" w:color="auto"/>
              <w:right w:val="single" w:sz="4" w:space="0" w:color="auto"/>
            </w:tcBorders>
            <w:shd w:val="clear" w:color="auto" w:fill="auto"/>
            <w:vAlign w:val="center"/>
            <w:hideMark/>
          </w:tcPr>
          <w:p w14:paraId="3D1A1862"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IIN</w:t>
            </w:r>
          </w:p>
        </w:tc>
        <w:tc>
          <w:tcPr>
            <w:tcW w:w="782" w:type="pct"/>
            <w:tcBorders>
              <w:top w:val="nil"/>
              <w:left w:val="nil"/>
              <w:bottom w:val="single" w:sz="4" w:space="0" w:color="auto"/>
              <w:right w:val="single" w:sz="4" w:space="0" w:color="auto"/>
            </w:tcBorders>
            <w:shd w:val="clear" w:color="auto" w:fill="auto"/>
            <w:vAlign w:val="center"/>
            <w:hideMark/>
          </w:tcPr>
          <w:p w14:paraId="2D263694" w14:textId="77777777" w:rsidR="00953171" w:rsidRPr="00251B61" w:rsidRDefault="00953171" w:rsidP="00410A1E">
            <w:pPr>
              <w:jc w:val="center"/>
              <w:rPr>
                <w:rFonts w:cs="Times New Roman"/>
                <w:color w:val="000000"/>
                <w:sz w:val="18"/>
                <w:szCs w:val="18"/>
              </w:rPr>
            </w:pPr>
            <w:r w:rsidRPr="00251B61">
              <w:rPr>
                <w:rFonts w:cs="Times New Roman"/>
                <w:sz w:val="18"/>
                <w:szCs w:val="18"/>
              </w:rPr>
              <w:t>0,0</w:t>
            </w:r>
          </w:p>
        </w:tc>
        <w:tc>
          <w:tcPr>
            <w:tcW w:w="786" w:type="pct"/>
            <w:tcBorders>
              <w:top w:val="nil"/>
              <w:left w:val="nil"/>
              <w:bottom w:val="single" w:sz="4" w:space="0" w:color="auto"/>
              <w:right w:val="single" w:sz="4" w:space="0" w:color="auto"/>
            </w:tcBorders>
            <w:shd w:val="clear" w:color="auto" w:fill="auto"/>
            <w:vAlign w:val="center"/>
            <w:hideMark/>
          </w:tcPr>
          <w:p w14:paraId="2E08907A" w14:textId="77777777" w:rsidR="00953171" w:rsidRPr="00251B61" w:rsidRDefault="00953171" w:rsidP="00410A1E">
            <w:pPr>
              <w:jc w:val="center"/>
              <w:rPr>
                <w:rFonts w:cs="Times New Roman"/>
                <w:color w:val="000000"/>
                <w:sz w:val="18"/>
                <w:szCs w:val="18"/>
              </w:rPr>
            </w:pPr>
            <w:r w:rsidRPr="00251B61">
              <w:rPr>
                <w:rFonts w:cs="Times New Roman"/>
                <w:sz w:val="18"/>
                <w:szCs w:val="18"/>
              </w:rPr>
              <w:t>-23,1</w:t>
            </w:r>
          </w:p>
        </w:tc>
        <w:tc>
          <w:tcPr>
            <w:tcW w:w="699" w:type="pct"/>
            <w:tcBorders>
              <w:top w:val="nil"/>
              <w:left w:val="nil"/>
              <w:bottom w:val="single" w:sz="4" w:space="0" w:color="auto"/>
              <w:right w:val="single" w:sz="4" w:space="0" w:color="auto"/>
            </w:tcBorders>
            <w:shd w:val="clear" w:color="auto" w:fill="auto"/>
            <w:vAlign w:val="center"/>
            <w:hideMark/>
          </w:tcPr>
          <w:p w14:paraId="199B6174" w14:textId="77777777" w:rsidR="00953171" w:rsidRPr="00251B61" w:rsidRDefault="00953171" w:rsidP="00410A1E">
            <w:pPr>
              <w:ind w:firstLine="454"/>
              <w:jc w:val="center"/>
              <w:rPr>
                <w:rFonts w:cs="Times New Roman"/>
                <w:color w:val="000000"/>
                <w:sz w:val="18"/>
                <w:szCs w:val="18"/>
              </w:rPr>
            </w:pPr>
            <w:r w:rsidRPr="00251B61">
              <w:rPr>
                <w:rFonts w:cs="Times New Roman"/>
                <w:sz w:val="18"/>
                <w:szCs w:val="18"/>
              </w:rPr>
              <w:t>-23,1</w:t>
            </w:r>
          </w:p>
        </w:tc>
      </w:tr>
      <w:tr w:rsidR="00953171" w:rsidRPr="00251B61" w14:paraId="1894F24F" w14:textId="77777777" w:rsidTr="00410A1E">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1E6A3673"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Paplašināts IIN atvieglojums maksājumiem, ko darba devējs veic atbilstoši noslēgtajiem koplīgumiem par ēdināšanas un ārstniecības izdevumiem, ar pārcelšanās, izmitināšanas un transporta izdevumiem</w:t>
            </w:r>
          </w:p>
        </w:tc>
        <w:tc>
          <w:tcPr>
            <w:tcW w:w="860" w:type="pct"/>
            <w:tcBorders>
              <w:top w:val="nil"/>
              <w:left w:val="nil"/>
              <w:bottom w:val="single" w:sz="4" w:space="0" w:color="auto"/>
              <w:right w:val="single" w:sz="4" w:space="0" w:color="auto"/>
            </w:tcBorders>
            <w:shd w:val="clear" w:color="auto" w:fill="auto"/>
            <w:vAlign w:val="center"/>
            <w:hideMark/>
          </w:tcPr>
          <w:p w14:paraId="6BB7A155"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vAlign w:val="center"/>
            <w:hideMark/>
          </w:tcPr>
          <w:p w14:paraId="7EB5259F" w14:textId="77777777" w:rsidR="00953171" w:rsidRPr="00251B61" w:rsidRDefault="00953171" w:rsidP="00410A1E">
            <w:pPr>
              <w:jc w:val="center"/>
              <w:rPr>
                <w:rFonts w:cs="Times New Roman"/>
                <w:color w:val="000000"/>
                <w:sz w:val="18"/>
                <w:szCs w:val="18"/>
              </w:rPr>
            </w:pPr>
            <w:r w:rsidRPr="00251B61">
              <w:rPr>
                <w:rFonts w:cs="Times New Roman"/>
                <w:sz w:val="18"/>
                <w:szCs w:val="18"/>
              </w:rPr>
              <w:t>-14,0</w:t>
            </w:r>
          </w:p>
        </w:tc>
        <w:tc>
          <w:tcPr>
            <w:tcW w:w="786" w:type="pct"/>
            <w:tcBorders>
              <w:top w:val="nil"/>
              <w:left w:val="nil"/>
              <w:bottom w:val="single" w:sz="4" w:space="0" w:color="auto"/>
              <w:right w:val="single" w:sz="4" w:space="0" w:color="auto"/>
            </w:tcBorders>
            <w:shd w:val="clear" w:color="auto" w:fill="auto"/>
            <w:vAlign w:val="center"/>
            <w:hideMark/>
          </w:tcPr>
          <w:p w14:paraId="06714CC3" w14:textId="77777777" w:rsidR="00953171" w:rsidRPr="00251B61" w:rsidRDefault="00953171" w:rsidP="00410A1E">
            <w:pPr>
              <w:jc w:val="center"/>
              <w:rPr>
                <w:rFonts w:cs="Times New Roman"/>
                <w:color w:val="000000"/>
                <w:sz w:val="18"/>
                <w:szCs w:val="18"/>
              </w:rPr>
            </w:pPr>
            <w:r w:rsidRPr="00251B61">
              <w:rPr>
                <w:rFonts w:cs="Times New Roman"/>
                <w:sz w:val="18"/>
                <w:szCs w:val="18"/>
              </w:rPr>
              <w:t>-14,0</w:t>
            </w:r>
          </w:p>
        </w:tc>
        <w:tc>
          <w:tcPr>
            <w:tcW w:w="699" w:type="pct"/>
            <w:tcBorders>
              <w:top w:val="nil"/>
              <w:left w:val="nil"/>
              <w:bottom w:val="single" w:sz="4" w:space="0" w:color="auto"/>
              <w:right w:val="single" w:sz="4" w:space="0" w:color="auto"/>
            </w:tcBorders>
            <w:shd w:val="clear" w:color="auto" w:fill="auto"/>
            <w:vAlign w:val="center"/>
            <w:hideMark/>
          </w:tcPr>
          <w:p w14:paraId="439A7C07" w14:textId="77777777" w:rsidR="00953171" w:rsidRPr="00251B61" w:rsidRDefault="00953171" w:rsidP="00410A1E">
            <w:pPr>
              <w:ind w:firstLine="595"/>
              <w:jc w:val="center"/>
              <w:rPr>
                <w:rFonts w:cs="Times New Roman"/>
                <w:color w:val="000000"/>
                <w:sz w:val="18"/>
                <w:szCs w:val="18"/>
              </w:rPr>
            </w:pPr>
            <w:r w:rsidRPr="00251B61">
              <w:rPr>
                <w:rFonts w:cs="Times New Roman"/>
                <w:sz w:val="18"/>
                <w:szCs w:val="18"/>
              </w:rPr>
              <w:t>-14,0</w:t>
            </w:r>
          </w:p>
        </w:tc>
      </w:tr>
      <w:tr w:rsidR="00953171" w:rsidRPr="00251B61" w14:paraId="0F69FD8E" w14:textId="77777777" w:rsidTr="00410A1E">
        <w:trPr>
          <w:trHeight w:val="300"/>
        </w:trPr>
        <w:tc>
          <w:tcPr>
            <w:tcW w:w="1873" w:type="pct"/>
            <w:vMerge/>
            <w:tcBorders>
              <w:top w:val="nil"/>
              <w:left w:val="single" w:sz="4" w:space="0" w:color="auto"/>
              <w:bottom w:val="single" w:sz="4" w:space="0" w:color="auto"/>
              <w:right w:val="single" w:sz="4" w:space="0" w:color="auto"/>
            </w:tcBorders>
            <w:vAlign w:val="center"/>
            <w:hideMark/>
          </w:tcPr>
          <w:p w14:paraId="25208B68"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6C90CBED" w14:textId="77777777" w:rsidR="00953171" w:rsidRPr="00251B61" w:rsidRDefault="00953171" w:rsidP="00410A1E">
            <w:pPr>
              <w:ind w:firstLine="0"/>
              <w:jc w:val="left"/>
              <w:rPr>
                <w:rFonts w:cs="Times New Roman"/>
                <w:i/>
                <w:iCs/>
                <w:color w:val="000000"/>
                <w:sz w:val="18"/>
                <w:szCs w:val="18"/>
              </w:rPr>
            </w:pPr>
            <w:r w:rsidRPr="00251B61">
              <w:rPr>
                <w:rFonts w:cs="Times New Roman"/>
                <w:i/>
                <w:iCs/>
                <w:color w:val="000000"/>
                <w:sz w:val="18"/>
                <w:szCs w:val="18"/>
              </w:rPr>
              <w:t>IIN</w:t>
            </w:r>
          </w:p>
        </w:tc>
        <w:tc>
          <w:tcPr>
            <w:tcW w:w="782" w:type="pct"/>
            <w:tcBorders>
              <w:top w:val="nil"/>
              <w:left w:val="nil"/>
              <w:bottom w:val="single" w:sz="4" w:space="0" w:color="auto"/>
              <w:right w:val="single" w:sz="4" w:space="0" w:color="auto"/>
            </w:tcBorders>
            <w:shd w:val="clear" w:color="auto" w:fill="auto"/>
            <w:vAlign w:val="center"/>
            <w:hideMark/>
          </w:tcPr>
          <w:p w14:paraId="09EC3751"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-5,4</w:t>
            </w:r>
          </w:p>
        </w:tc>
        <w:tc>
          <w:tcPr>
            <w:tcW w:w="786" w:type="pct"/>
            <w:tcBorders>
              <w:top w:val="nil"/>
              <w:left w:val="nil"/>
              <w:bottom w:val="single" w:sz="4" w:space="0" w:color="auto"/>
              <w:right w:val="single" w:sz="4" w:space="0" w:color="auto"/>
            </w:tcBorders>
            <w:shd w:val="clear" w:color="auto" w:fill="auto"/>
            <w:vAlign w:val="center"/>
            <w:hideMark/>
          </w:tcPr>
          <w:p w14:paraId="4612C769"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-5,4</w:t>
            </w:r>
          </w:p>
        </w:tc>
        <w:tc>
          <w:tcPr>
            <w:tcW w:w="699" w:type="pct"/>
            <w:tcBorders>
              <w:top w:val="nil"/>
              <w:left w:val="nil"/>
              <w:bottom w:val="single" w:sz="4" w:space="0" w:color="auto"/>
              <w:right w:val="single" w:sz="4" w:space="0" w:color="auto"/>
            </w:tcBorders>
            <w:shd w:val="clear" w:color="auto" w:fill="auto"/>
            <w:vAlign w:val="center"/>
            <w:hideMark/>
          </w:tcPr>
          <w:p w14:paraId="5978EEB2"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-5,4</w:t>
            </w:r>
          </w:p>
        </w:tc>
      </w:tr>
      <w:tr w:rsidR="00953171" w:rsidRPr="00251B61" w14:paraId="03C95336" w14:textId="77777777" w:rsidTr="00410A1E">
        <w:trPr>
          <w:trHeight w:val="315"/>
        </w:trPr>
        <w:tc>
          <w:tcPr>
            <w:tcW w:w="1873" w:type="pct"/>
            <w:vMerge/>
            <w:tcBorders>
              <w:top w:val="nil"/>
              <w:left w:val="single" w:sz="4" w:space="0" w:color="auto"/>
              <w:bottom w:val="single" w:sz="4" w:space="0" w:color="auto"/>
              <w:right w:val="single" w:sz="4" w:space="0" w:color="auto"/>
            </w:tcBorders>
            <w:vAlign w:val="center"/>
            <w:hideMark/>
          </w:tcPr>
          <w:p w14:paraId="7030F0B9"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208FD5A1" w14:textId="77777777" w:rsidR="00953171" w:rsidRPr="00251B61" w:rsidRDefault="00953171" w:rsidP="00410A1E">
            <w:pPr>
              <w:ind w:firstLine="0"/>
              <w:jc w:val="left"/>
              <w:rPr>
                <w:rFonts w:cs="Times New Roman"/>
                <w:i/>
                <w:iCs/>
                <w:color w:val="000000"/>
                <w:sz w:val="18"/>
                <w:szCs w:val="18"/>
              </w:rPr>
            </w:pPr>
            <w:r w:rsidRPr="00251B61">
              <w:rPr>
                <w:rFonts w:cs="Times New Roman"/>
                <w:i/>
                <w:iCs/>
                <w:color w:val="000000"/>
                <w:sz w:val="18"/>
                <w:szCs w:val="18"/>
              </w:rPr>
              <w:t>VSAOI</w:t>
            </w:r>
            <w:r w:rsidRPr="00251B61">
              <w:rPr>
                <w:rFonts w:cs="Times New Roman"/>
                <w:i/>
                <w:iCs/>
                <w:color w:val="000000"/>
                <w:sz w:val="18"/>
                <w:szCs w:val="18"/>
                <w:vertAlign w:val="superscript"/>
              </w:rPr>
              <w:t>1</w:t>
            </w:r>
          </w:p>
        </w:tc>
        <w:tc>
          <w:tcPr>
            <w:tcW w:w="782" w:type="pct"/>
            <w:tcBorders>
              <w:top w:val="nil"/>
              <w:left w:val="nil"/>
              <w:bottom w:val="single" w:sz="4" w:space="0" w:color="auto"/>
              <w:right w:val="single" w:sz="4" w:space="0" w:color="auto"/>
            </w:tcBorders>
            <w:shd w:val="clear" w:color="auto" w:fill="auto"/>
            <w:vAlign w:val="center"/>
            <w:hideMark/>
          </w:tcPr>
          <w:p w14:paraId="49035508"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-8,6</w:t>
            </w:r>
          </w:p>
        </w:tc>
        <w:tc>
          <w:tcPr>
            <w:tcW w:w="786" w:type="pct"/>
            <w:tcBorders>
              <w:top w:val="nil"/>
              <w:left w:val="nil"/>
              <w:bottom w:val="single" w:sz="4" w:space="0" w:color="auto"/>
              <w:right w:val="single" w:sz="4" w:space="0" w:color="auto"/>
            </w:tcBorders>
            <w:shd w:val="clear" w:color="auto" w:fill="auto"/>
            <w:vAlign w:val="center"/>
            <w:hideMark/>
          </w:tcPr>
          <w:p w14:paraId="1FE2020E"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-8,6</w:t>
            </w:r>
          </w:p>
        </w:tc>
        <w:tc>
          <w:tcPr>
            <w:tcW w:w="699" w:type="pct"/>
            <w:tcBorders>
              <w:top w:val="nil"/>
              <w:left w:val="nil"/>
              <w:bottom w:val="single" w:sz="4" w:space="0" w:color="auto"/>
              <w:right w:val="single" w:sz="4" w:space="0" w:color="auto"/>
            </w:tcBorders>
            <w:shd w:val="clear" w:color="auto" w:fill="auto"/>
            <w:vAlign w:val="center"/>
            <w:hideMark/>
          </w:tcPr>
          <w:p w14:paraId="3C758703"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-8,6</w:t>
            </w:r>
          </w:p>
        </w:tc>
      </w:tr>
      <w:tr w:rsidR="00953171" w:rsidRPr="00251B61" w14:paraId="2E78B4C2" w14:textId="77777777" w:rsidTr="00410A1E">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5D89FF47"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Palielināts ar IIN neapliekamais apmērs darba devēja izmaksātajam bērna piedzimšanas pabalstam un bēru pabalstam līdz 500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bet darba devēja dāvanām - līdz 100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taksācijas gadā</w:t>
            </w:r>
          </w:p>
        </w:tc>
        <w:tc>
          <w:tcPr>
            <w:tcW w:w="860" w:type="pct"/>
            <w:tcBorders>
              <w:top w:val="nil"/>
              <w:left w:val="nil"/>
              <w:bottom w:val="single" w:sz="4" w:space="0" w:color="auto"/>
              <w:right w:val="single" w:sz="4" w:space="0" w:color="auto"/>
            </w:tcBorders>
            <w:shd w:val="clear" w:color="auto" w:fill="auto"/>
            <w:vAlign w:val="center"/>
            <w:hideMark/>
          </w:tcPr>
          <w:p w14:paraId="12133DA2"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vAlign w:val="center"/>
            <w:hideMark/>
          </w:tcPr>
          <w:p w14:paraId="0730267A" w14:textId="77777777" w:rsidR="00953171" w:rsidRPr="00251B61" w:rsidRDefault="00953171" w:rsidP="00410A1E">
            <w:pPr>
              <w:jc w:val="center"/>
              <w:rPr>
                <w:rFonts w:cs="Times New Roman"/>
                <w:color w:val="000000"/>
                <w:sz w:val="18"/>
                <w:szCs w:val="18"/>
              </w:rPr>
            </w:pPr>
            <w:r w:rsidRPr="00251B61">
              <w:rPr>
                <w:rFonts w:cs="Times New Roman"/>
                <w:sz w:val="18"/>
                <w:szCs w:val="18"/>
              </w:rPr>
              <w:t>-1,9</w:t>
            </w:r>
          </w:p>
        </w:tc>
        <w:tc>
          <w:tcPr>
            <w:tcW w:w="786" w:type="pct"/>
            <w:tcBorders>
              <w:top w:val="nil"/>
              <w:left w:val="nil"/>
              <w:bottom w:val="single" w:sz="4" w:space="0" w:color="auto"/>
              <w:right w:val="single" w:sz="4" w:space="0" w:color="auto"/>
            </w:tcBorders>
            <w:shd w:val="clear" w:color="auto" w:fill="auto"/>
            <w:vAlign w:val="center"/>
            <w:hideMark/>
          </w:tcPr>
          <w:p w14:paraId="5D40D9C1" w14:textId="77777777" w:rsidR="00953171" w:rsidRPr="00251B61" w:rsidRDefault="00953171" w:rsidP="00410A1E">
            <w:pPr>
              <w:jc w:val="center"/>
              <w:rPr>
                <w:rFonts w:cs="Times New Roman"/>
                <w:color w:val="000000"/>
                <w:sz w:val="18"/>
                <w:szCs w:val="18"/>
              </w:rPr>
            </w:pPr>
            <w:r w:rsidRPr="00251B61">
              <w:rPr>
                <w:rFonts w:cs="Times New Roman"/>
                <w:sz w:val="18"/>
                <w:szCs w:val="18"/>
              </w:rPr>
              <w:t>-1,9</w:t>
            </w:r>
          </w:p>
        </w:tc>
        <w:tc>
          <w:tcPr>
            <w:tcW w:w="699" w:type="pct"/>
            <w:tcBorders>
              <w:top w:val="nil"/>
              <w:left w:val="nil"/>
              <w:bottom w:val="single" w:sz="4" w:space="0" w:color="auto"/>
              <w:right w:val="single" w:sz="4" w:space="0" w:color="auto"/>
            </w:tcBorders>
            <w:shd w:val="clear" w:color="auto" w:fill="auto"/>
            <w:vAlign w:val="center"/>
            <w:hideMark/>
          </w:tcPr>
          <w:p w14:paraId="1BEEAD3D" w14:textId="77777777" w:rsidR="00953171" w:rsidRPr="00251B61" w:rsidRDefault="00953171" w:rsidP="00410A1E">
            <w:pPr>
              <w:jc w:val="center"/>
              <w:rPr>
                <w:rFonts w:cs="Times New Roman"/>
                <w:color w:val="000000"/>
                <w:sz w:val="18"/>
                <w:szCs w:val="18"/>
              </w:rPr>
            </w:pPr>
            <w:r w:rsidRPr="00251B61">
              <w:rPr>
                <w:rFonts w:cs="Times New Roman"/>
                <w:sz w:val="18"/>
                <w:szCs w:val="18"/>
              </w:rPr>
              <w:t>-1,9</w:t>
            </w:r>
          </w:p>
        </w:tc>
      </w:tr>
      <w:tr w:rsidR="00953171" w:rsidRPr="00251B61" w14:paraId="5F4AC066" w14:textId="77777777" w:rsidTr="00410A1E">
        <w:trPr>
          <w:trHeight w:val="300"/>
        </w:trPr>
        <w:tc>
          <w:tcPr>
            <w:tcW w:w="1873" w:type="pct"/>
            <w:vMerge/>
            <w:tcBorders>
              <w:top w:val="nil"/>
              <w:left w:val="single" w:sz="4" w:space="0" w:color="auto"/>
              <w:bottom w:val="single" w:sz="4" w:space="0" w:color="auto"/>
              <w:right w:val="single" w:sz="4" w:space="0" w:color="auto"/>
            </w:tcBorders>
            <w:vAlign w:val="center"/>
            <w:hideMark/>
          </w:tcPr>
          <w:p w14:paraId="67BB47C6"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16BD53D8" w14:textId="77777777" w:rsidR="00953171" w:rsidRPr="00251B61" w:rsidRDefault="00953171" w:rsidP="00410A1E">
            <w:pPr>
              <w:ind w:firstLine="0"/>
              <w:jc w:val="left"/>
              <w:rPr>
                <w:rFonts w:cs="Times New Roman"/>
                <w:i/>
                <w:iCs/>
                <w:color w:val="000000"/>
                <w:sz w:val="18"/>
                <w:szCs w:val="18"/>
              </w:rPr>
            </w:pPr>
            <w:r w:rsidRPr="00251B61">
              <w:rPr>
                <w:rFonts w:cs="Times New Roman"/>
                <w:i/>
                <w:iCs/>
                <w:color w:val="000000"/>
                <w:sz w:val="18"/>
                <w:szCs w:val="18"/>
              </w:rPr>
              <w:t>IIN</w:t>
            </w:r>
          </w:p>
        </w:tc>
        <w:tc>
          <w:tcPr>
            <w:tcW w:w="782" w:type="pct"/>
            <w:tcBorders>
              <w:top w:val="nil"/>
              <w:left w:val="nil"/>
              <w:bottom w:val="single" w:sz="4" w:space="0" w:color="auto"/>
              <w:right w:val="single" w:sz="4" w:space="0" w:color="auto"/>
            </w:tcBorders>
            <w:shd w:val="clear" w:color="auto" w:fill="auto"/>
            <w:vAlign w:val="center"/>
            <w:hideMark/>
          </w:tcPr>
          <w:p w14:paraId="784641EF"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-0,8</w:t>
            </w:r>
          </w:p>
        </w:tc>
        <w:tc>
          <w:tcPr>
            <w:tcW w:w="786" w:type="pct"/>
            <w:tcBorders>
              <w:top w:val="nil"/>
              <w:left w:val="nil"/>
              <w:bottom w:val="single" w:sz="4" w:space="0" w:color="auto"/>
              <w:right w:val="single" w:sz="4" w:space="0" w:color="auto"/>
            </w:tcBorders>
            <w:shd w:val="clear" w:color="auto" w:fill="auto"/>
            <w:vAlign w:val="center"/>
            <w:hideMark/>
          </w:tcPr>
          <w:p w14:paraId="3A5C5E11"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-0,8</w:t>
            </w:r>
          </w:p>
        </w:tc>
        <w:tc>
          <w:tcPr>
            <w:tcW w:w="699" w:type="pct"/>
            <w:tcBorders>
              <w:top w:val="nil"/>
              <w:left w:val="nil"/>
              <w:bottom w:val="single" w:sz="4" w:space="0" w:color="auto"/>
              <w:right w:val="single" w:sz="4" w:space="0" w:color="auto"/>
            </w:tcBorders>
            <w:shd w:val="clear" w:color="auto" w:fill="auto"/>
            <w:vAlign w:val="center"/>
            <w:hideMark/>
          </w:tcPr>
          <w:p w14:paraId="04918FEA"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-0,8</w:t>
            </w:r>
          </w:p>
        </w:tc>
      </w:tr>
      <w:tr w:rsidR="00953171" w:rsidRPr="00251B61" w14:paraId="094505BD" w14:textId="77777777" w:rsidTr="00410A1E">
        <w:trPr>
          <w:trHeight w:val="315"/>
        </w:trPr>
        <w:tc>
          <w:tcPr>
            <w:tcW w:w="1873" w:type="pct"/>
            <w:vMerge/>
            <w:tcBorders>
              <w:top w:val="nil"/>
              <w:left w:val="single" w:sz="4" w:space="0" w:color="auto"/>
              <w:bottom w:val="single" w:sz="4" w:space="0" w:color="auto"/>
              <w:right w:val="single" w:sz="4" w:space="0" w:color="auto"/>
            </w:tcBorders>
            <w:vAlign w:val="center"/>
            <w:hideMark/>
          </w:tcPr>
          <w:p w14:paraId="51C3F254"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65346238" w14:textId="77777777" w:rsidR="00953171" w:rsidRPr="00251B61" w:rsidRDefault="00953171" w:rsidP="00410A1E">
            <w:pPr>
              <w:ind w:firstLine="0"/>
              <w:jc w:val="left"/>
              <w:rPr>
                <w:rFonts w:cs="Times New Roman"/>
                <w:i/>
                <w:iCs/>
                <w:color w:val="000000"/>
                <w:sz w:val="18"/>
                <w:szCs w:val="18"/>
              </w:rPr>
            </w:pPr>
            <w:r w:rsidRPr="00251B61">
              <w:rPr>
                <w:rFonts w:cs="Times New Roman"/>
                <w:i/>
                <w:iCs/>
                <w:color w:val="000000"/>
                <w:sz w:val="18"/>
                <w:szCs w:val="18"/>
              </w:rPr>
              <w:t>VSAOI</w:t>
            </w:r>
            <w:r w:rsidRPr="00251B61">
              <w:rPr>
                <w:rFonts w:cs="Times New Roman"/>
                <w:i/>
                <w:iCs/>
                <w:color w:val="000000"/>
                <w:sz w:val="18"/>
                <w:szCs w:val="18"/>
                <w:vertAlign w:val="superscript"/>
              </w:rPr>
              <w:t>1</w:t>
            </w:r>
          </w:p>
        </w:tc>
        <w:tc>
          <w:tcPr>
            <w:tcW w:w="782" w:type="pct"/>
            <w:tcBorders>
              <w:top w:val="nil"/>
              <w:left w:val="nil"/>
              <w:bottom w:val="single" w:sz="4" w:space="0" w:color="auto"/>
              <w:right w:val="single" w:sz="4" w:space="0" w:color="auto"/>
            </w:tcBorders>
            <w:shd w:val="clear" w:color="auto" w:fill="auto"/>
            <w:vAlign w:val="center"/>
            <w:hideMark/>
          </w:tcPr>
          <w:p w14:paraId="25A8F927"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-1,2</w:t>
            </w:r>
          </w:p>
        </w:tc>
        <w:tc>
          <w:tcPr>
            <w:tcW w:w="786" w:type="pct"/>
            <w:tcBorders>
              <w:top w:val="nil"/>
              <w:left w:val="nil"/>
              <w:bottom w:val="single" w:sz="4" w:space="0" w:color="auto"/>
              <w:right w:val="single" w:sz="4" w:space="0" w:color="auto"/>
            </w:tcBorders>
            <w:shd w:val="clear" w:color="auto" w:fill="auto"/>
            <w:vAlign w:val="center"/>
            <w:hideMark/>
          </w:tcPr>
          <w:p w14:paraId="5E6B1BD7"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-1,2</w:t>
            </w:r>
          </w:p>
        </w:tc>
        <w:tc>
          <w:tcPr>
            <w:tcW w:w="699" w:type="pct"/>
            <w:tcBorders>
              <w:top w:val="nil"/>
              <w:left w:val="nil"/>
              <w:bottom w:val="single" w:sz="4" w:space="0" w:color="auto"/>
              <w:right w:val="single" w:sz="4" w:space="0" w:color="auto"/>
            </w:tcBorders>
            <w:shd w:val="clear" w:color="auto" w:fill="auto"/>
            <w:vAlign w:val="center"/>
            <w:hideMark/>
          </w:tcPr>
          <w:p w14:paraId="4E17FCAB"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-1,2</w:t>
            </w:r>
          </w:p>
        </w:tc>
      </w:tr>
      <w:tr w:rsidR="00953171" w:rsidRPr="00251B61" w14:paraId="57F83CCE"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37F9E06E"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IIN attaisnoto izdevumu pieaugums par izglītības un  ārstniecības izdevumiem, kā arī ziedojumiem dēļ IIN likmes pieauguma no 20% uz 25,5%</w:t>
            </w:r>
          </w:p>
        </w:tc>
        <w:tc>
          <w:tcPr>
            <w:tcW w:w="860" w:type="pct"/>
            <w:tcBorders>
              <w:top w:val="nil"/>
              <w:left w:val="nil"/>
              <w:bottom w:val="single" w:sz="4" w:space="0" w:color="auto"/>
              <w:right w:val="single" w:sz="4" w:space="0" w:color="auto"/>
            </w:tcBorders>
            <w:shd w:val="clear" w:color="auto" w:fill="auto"/>
            <w:vAlign w:val="center"/>
            <w:hideMark/>
          </w:tcPr>
          <w:p w14:paraId="08239B5B"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IIN</w:t>
            </w:r>
          </w:p>
        </w:tc>
        <w:tc>
          <w:tcPr>
            <w:tcW w:w="782" w:type="pct"/>
            <w:tcBorders>
              <w:top w:val="nil"/>
              <w:left w:val="nil"/>
              <w:bottom w:val="single" w:sz="4" w:space="0" w:color="auto"/>
              <w:right w:val="single" w:sz="4" w:space="0" w:color="auto"/>
            </w:tcBorders>
            <w:shd w:val="clear" w:color="auto" w:fill="auto"/>
            <w:vAlign w:val="center"/>
            <w:hideMark/>
          </w:tcPr>
          <w:p w14:paraId="590B98CC" w14:textId="77777777" w:rsidR="00953171" w:rsidRPr="00251B61" w:rsidRDefault="00953171" w:rsidP="00410A1E">
            <w:pPr>
              <w:jc w:val="center"/>
              <w:rPr>
                <w:rFonts w:cs="Times New Roman"/>
                <w:color w:val="000000"/>
                <w:sz w:val="18"/>
                <w:szCs w:val="18"/>
              </w:rPr>
            </w:pPr>
            <w:r w:rsidRPr="00251B61">
              <w:rPr>
                <w:rFonts w:cs="Times New Roman"/>
                <w:sz w:val="18"/>
                <w:szCs w:val="18"/>
              </w:rPr>
              <w:t>0,0</w:t>
            </w:r>
          </w:p>
        </w:tc>
        <w:tc>
          <w:tcPr>
            <w:tcW w:w="786" w:type="pct"/>
            <w:tcBorders>
              <w:top w:val="nil"/>
              <w:left w:val="nil"/>
              <w:bottom w:val="single" w:sz="4" w:space="0" w:color="auto"/>
              <w:right w:val="single" w:sz="4" w:space="0" w:color="auto"/>
            </w:tcBorders>
            <w:shd w:val="clear" w:color="auto" w:fill="auto"/>
            <w:vAlign w:val="center"/>
            <w:hideMark/>
          </w:tcPr>
          <w:p w14:paraId="2CF1A06E" w14:textId="77777777" w:rsidR="00953171" w:rsidRPr="00251B61" w:rsidRDefault="00953171" w:rsidP="00410A1E">
            <w:pPr>
              <w:jc w:val="center"/>
              <w:rPr>
                <w:rFonts w:cs="Times New Roman"/>
                <w:color w:val="000000"/>
                <w:sz w:val="18"/>
                <w:szCs w:val="18"/>
              </w:rPr>
            </w:pPr>
            <w:r w:rsidRPr="00251B61">
              <w:rPr>
                <w:rFonts w:cs="Times New Roman"/>
                <w:sz w:val="18"/>
                <w:szCs w:val="18"/>
              </w:rPr>
              <w:t>-8,3</w:t>
            </w:r>
          </w:p>
        </w:tc>
        <w:tc>
          <w:tcPr>
            <w:tcW w:w="699" w:type="pct"/>
            <w:tcBorders>
              <w:top w:val="nil"/>
              <w:left w:val="nil"/>
              <w:bottom w:val="single" w:sz="4" w:space="0" w:color="auto"/>
              <w:right w:val="single" w:sz="4" w:space="0" w:color="auto"/>
            </w:tcBorders>
            <w:shd w:val="clear" w:color="auto" w:fill="auto"/>
            <w:vAlign w:val="center"/>
            <w:hideMark/>
          </w:tcPr>
          <w:p w14:paraId="4CA45907" w14:textId="77777777" w:rsidR="00953171" w:rsidRPr="00251B61" w:rsidRDefault="00953171" w:rsidP="00410A1E">
            <w:pPr>
              <w:jc w:val="center"/>
              <w:rPr>
                <w:rFonts w:cs="Times New Roman"/>
                <w:color w:val="000000"/>
                <w:sz w:val="18"/>
                <w:szCs w:val="18"/>
              </w:rPr>
            </w:pPr>
            <w:r w:rsidRPr="00251B61">
              <w:rPr>
                <w:rFonts w:cs="Times New Roman"/>
                <w:sz w:val="18"/>
                <w:szCs w:val="18"/>
              </w:rPr>
              <w:t>-8,4</w:t>
            </w:r>
          </w:p>
        </w:tc>
      </w:tr>
      <w:tr w:rsidR="00953171" w:rsidRPr="00251B61" w14:paraId="07C4B7C1"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69418DD0"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Nosakot IIN pamatlikmi 25,5% apmērā, tiek izlīdzinātas IIN likmes pārējiem ienākumiem, kuriem šobrīd  piemēro IIN likmi 20% apmērā</w:t>
            </w:r>
          </w:p>
        </w:tc>
        <w:tc>
          <w:tcPr>
            <w:tcW w:w="860" w:type="pct"/>
            <w:tcBorders>
              <w:top w:val="nil"/>
              <w:left w:val="nil"/>
              <w:bottom w:val="single" w:sz="4" w:space="0" w:color="auto"/>
              <w:right w:val="single" w:sz="4" w:space="0" w:color="auto"/>
            </w:tcBorders>
            <w:shd w:val="clear" w:color="auto" w:fill="auto"/>
            <w:vAlign w:val="center"/>
            <w:hideMark/>
          </w:tcPr>
          <w:p w14:paraId="12EA62BF"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IIN</w:t>
            </w:r>
          </w:p>
        </w:tc>
        <w:tc>
          <w:tcPr>
            <w:tcW w:w="782" w:type="pct"/>
            <w:tcBorders>
              <w:top w:val="nil"/>
              <w:left w:val="nil"/>
              <w:bottom w:val="single" w:sz="4" w:space="0" w:color="auto"/>
              <w:right w:val="single" w:sz="4" w:space="0" w:color="auto"/>
            </w:tcBorders>
            <w:shd w:val="clear" w:color="auto" w:fill="auto"/>
            <w:vAlign w:val="center"/>
            <w:hideMark/>
          </w:tcPr>
          <w:p w14:paraId="44DAE85E" w14:textId="77777777" w:rsidR="00953171" w:rsidRPr="00251B61" w:rsidRDefault="00953171" w:rsidP="00410A1E">
            <w:pPr>
              <w:jc w:val="center"/>
              <w:rPr>
                <w:rFonts w:cs="Times New Roman"/>
                <w:color w:val="000000"/>
                <w:sz w:val="18"/>
                <w:szCs w:val="18"/>
              </w:rPr>
            </w:pPr>
            <w:r w:rsidRPr="00251B61">
              <w:rPr>
                <w:rFonts w:cs="Times New Roman"/>
                <w:sz w:val="18"/>
                <w:szCs w:val="18"/>
              </w:rPr>
              <w:t>17,0</w:t>
            </w:r>
          </w:p>
        </w:tc>
        <w:tc>
          <w:tcPr>
            <w:tcW w:w="786" w:type="pct"/>
            <w:tcBorders>
              <w:top w:val="nil"/>
              <w:left w:val="nil"/>
              <w:bottom w:val="single" w:sz="4" w:space="0" w:color="auto"/>
              <w:right w:val="single" w:sz="4" w:space="0" w:color="auto"/>
            </w:tcBorders>
            <w:shd w:val="clear" w:color="auto" w:fill="auto"/>
            <w:vAlign w:val="center"/>
            <w:hideMark/>
          </w:tcPr>
          <w:p w14:paraId="1D1133B8" w14:textId="77777777" w:rsidR="00953171" w:rsidRPr="00251B61" w:rsidRDefault="00953171" w:rsidP="00410A1E">
            <w:pPr>
              <w:jc w:val="center"/>
              <w:rPr>
                <w:rFonts w:cs="Times New Roman"/>
                <w:color w:val="000000"/>
                <w:sz w:val="18"/>
                <w:szCs w:val="18"/>
              </w:rPr>
            </w:pPr>
            <w:r w:rsidRPr="00251B61">
              <w:rPr>
                <w:rFonts w:cs="Times New Roman"/>
                <w:sz w:val="18"/>
                <w:szCs w:val="18"/>
              </w:rPr>
              <w:t>21,8</w:t>
            </w:r>
          </w:p>
        </w:tc>
        <w:tc>
          <w:tcPr>
            <w:tcW w:w="699" w:type="pct"/>
            <w:tcBorders>
              <w:top w:val="nil"/>
              <w:left w:val="nil"/>
              <w:bottom w:val="single" w:sz="4" w:space="0" w:color="auto"/>
              <w:right w:val="single" w:sz="4" w:space="0" w:color="auto"/>
            </w:tcBorders>
            <w:shd w:val="clear" w:color="auto" w:fill="auto"/>
            <w:vAlign w:val="center"/>
            <w:hideMark/>
          </w:tcPr>
          <w:p w14:paraId="37F9DDF4" w14:textId="77777777" w:rsidR="00953171" w:rsidRPr="00251B61" w:rsidRDefault="00953171" w:rsidP="00410A1E">
            <w:pPr>
              <w:ind w:firstLine="592"/>
              <w:jc w:val="center"/>
              <w:rPr>
                <w:rFonts w:cs="Times New Roman"/>
                <w:color w:val="000000"/>
                <w:sz w:val="18"/>
                <w:szCs w:val="18"/>
              </w:rPr>
            </w:pPr>
            <w:r w:rsidRPr="00251B61">
              <w:rPr>
                <w:rFonts w:cs="Times New Roman"/>
                <w:sz w:val="18"/>
                <w:szCs w:val="18"/>
              </w:rPr>
              <w:t>22,8</w:t>
            </w:r>
          </w:p>
        </w:tc>
      </w:tr>
      <w:tr w:rsidR="00953171" w:rsidRPr="00251B61" w14:paraId="6A62480F" w14:textId="77777777" w:rsidTr="00410A1E">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20CA1FFC"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Minimālās algas palielināšana (2025. gadā  740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mēnesī, 2026. gadā – 780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mēnesī, 2027. gadā – 820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mēnesī, 2028. gadā – 860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mēnesī)</w:t>
            </w:r>
          </w:p>
        </w:tc>
        <w:tc>
          <w:tcPr>
            <w:tcW w:w="860" w:type="pct"/>
            <w:tcBorders>
              <w:top w:val="nil"/>
              <w:left w:val="nil"/>
              <w:bottom w:val="single" w:sz="4" w:space="0" w:color="auto"/>
              <w:right w:val="single" w:sz="4" w:space="0" w:color="auto"/>
            </w:tcBorders>
            <w:shd w:val="clear" w:color="auto" w:fill="auto"/>
            <w:vAlign w:val="center"/>
            <w:hideMark/>
          </w:tcPr>
          <w:p w14:paraId="0539DB38"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vAlign w:val="center"/>
            <w:hideMark/>
          </w:tcPr>
          <w:p w14:paraId="179BB090" w14:textId="77777777" w:rsidR="00953171" w:rsidRPr="00251B61" w:rsidRDefault="00953171" w:rsidP="00410A1E">
            <w:pPr>
              <w:jc w:val="center"/>
              <w:rPr>
                <w:rFonts w:cs="Times New Roman"/>
                <w:color w:val="000000"/>
                <w:sz w:val="18"/>
                <w:szCs w:val="18"/>
              </w:rPr>
            </w:pPr>
            <w:r w:rsidRPr="00251B61">
              <w:rPr>
                <w:rFonts w:cs="Times New Roman"/>
                <w:sz w:val="18"/>
                <w:szCs w:val="18"/>
              </w:rPr>
              <w:t>18,4</w:t>
            </w:r>
          </w:p>
        </w:tc>
        <w:tc>
          <w:tcPr>
            <w:tcW w:w="786" w:type="pct"/>
            <w:tcBorders>
              <w:top w:val="nil"/>
              <w:left w:val="nil"/>
              <w:bottom w:val="single" w:sz="4" w:space="0" w:color="auto"/>
              <w:right w:val="single" w:sz="4" w:space="0" w:color="auto"/>
            </w:tcBorders>
            <w:shd w:val="clear" w:color="auto" w:fill="auto"/>
            <w:vAlign w:val="center"/>
            <w:hideMark/>
          </w:tcPr>
          <w:p w14:paraId="4AD14726" w14:textId="77777777" w:rsidR="00953171" w:rsidRPr="00251B61" w:rsidRDefault="00953171" w:rsidP="00410A1E">
            <w:pPr>
              <w:jc w:val="center"/>
              <w:rPr>
                <w:rFonts w:cs="Times New Roman"/>
                <w:color w:val="000000"/>
                <w:sz w:val="18"/>
                <w:szCs w:val="18"/>
              </w:rPr>
            </w:pPr>
            <w:r w:rsidRPr="00251B61">
              <w:rPr>
                <w:rFonts w:cs="Times New Roman"/>
                <w:sz w:val="18"/>
                <w:szCs w:val="18"/>
              </w:rPr>
              <w:t>29,8</w:t>
            </w:r>
          </w:p>
        </w:tc>
        <w:tc>
          <w:tcPr>
            <w:tcW w:w="699" w:type="pct"/>
            <w:tcBorders>
              <w:top w:val="nil"/>
              <w:left w:val="nil"/>
              <w:bottom w:val="single" w:sz="4" w:space="0" w:color="auto"/>
              <w:right w:val="single" w:sz="4" w:space="0" w:color="auto"/>
            </w:tcBorders>
            <w:shd w:val="clear" w:color="auto" w:fill="auto"/>
            <w:vAlign w:val="center"/>
            <w:hideMark/>
          </w:tcPr>
          <w:p w14:paraId="59A3578B" w14:textId="77777777" w:rsidR="00953171" w:rsidRPr="00251B61" w:rsidRDefault="00953171" w:rsidP="00410A1E">
            <w:pPr>
              <w:ind w:firstLine="592"/>
              <w:jc w:val="center"/>
              <w:rPr>
                <w:rFonts w:cs="Times New Roman"/>
                <w:color w:val="000000"/>
                <w:sz w:val="18"/>
                <w:szCs w:val="18"/>
              </w:rPr>
            </w:pPr>
            <w:r w:rsidRPr="00251B61">
              <w:rPr>
                <w:rFonts w:cs="Times New Roman"/>
                <w:sz w:val="18"/>
                <w:szCs w:val="18"/>
              </w:rPr>
              <w:t>39,7</w:t>
            </w:r>
          </w:p>
        </w:tc>
      </w:tr>
      <w:tr w:rsidR="00953171" w:rsidRPr="00251B61" w14:paraId="4E9898DB" w14:textId="77777777" w:rsidTr="00410A1E">
        <w:trPr>
          <w:trHeight w:val="300"/>
        </w:trPr>
        <w:tc>
          <w:tcPr>
            <w:tcW w:w="1873" w:type="pct"/>
            <w:vMerge/>
            <w:tcBorders>
              <w:top w:val="nil"/>
              <w:left w:val="single" w:sz="4" w:space="0" w:color="auto"/>
              <w:bottom w:val="single" w:sz="4" w:space="0" w:color="auto"/>
              <w:right w:val="single" w:sz="4" w:space="0" w:color="auto"/>
            </w:tcBorders>
            <w:vAlign w:val="center"/>
            <w:hideMark/>
          </w:tcPr>
          <w:p w14:paraId="57735C1D"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7FA19741" w14:textId="77777777" w:rsidR="00953171" w:rsidRPr="00251B61" w:rsidRDefault="00953171" w:rsidP="00410A1E">
            <w:pPr>
              <w:ind w:firstLine="0"/>
              <w:jc w:val="left"/>
              <w:rPr>
                <w:rFonts w:cs="Times New Roman"/>
                <w:i/>
                <w:iCs/>
                <w:color w:val="000000"/>
                <w:sz w:val="18"/>
                <w:szCs w:val="18"/>
              </w:rPr>
            </w:pPr>
            <w:r w:rsidRPr="00251B61">
              <w:rPr>
                <w:rFonts w:cs="Times New Roman"/>
                <w:i/>
                <w:iCs/>
                <w:color w:val="000000"/>
                <w:sz w:val="18"/>
                <w:szCs w:val="18"/>
              </w:rPr>
              <w:t>IIN</w:t>
            </w:r>
          </w:p>
        </w:tc>
        <w:tc>
          <w:tcPr>
            <w:tcW w:w="782" w:type="pct"/>
            <w:tcBorders>
              <w:top w:val="nil"/>
              <w:left w:val="nil"/>
              <w:bottom w:val="single" w:sz="4" w:space="0" w:color="auto"/>
              <w:right w:val="single" w:sz="4" w:space="0" w:color="auto"/>
            </w:tcBorders>
            <w:shd w:val="clear" w:color="auto" w:fill="auto"/>
            <w:vAlign w:val="center"/>
            <w:hideMark/>
          </w:tcPr>
          <w:p w14:paraId="753486D4"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6,0</w:t>
            </w:r>
          </w:p>
        </w:tc>
        <w:tc>
          <w:tcPr>
            <w:tcW w:w="786" w:type="pct"/>
            <w:tcBorders>
              <w:top w:val="nil"/>
              <w:left w:val="nil"/>
              <w:bottom w:val="single" w:sz="4" w:space="0" w:color="auto"/>
              <w:right w:val="single" w:sz="4" w:space="0" w:color="auto"/>
            </w:tcBorders>
            <w:shd w:val="clear" w:color="auto" w:fill="auto"/>
            <w:vAlign w:val="center"/>
            <w:hideMark/>
          </w:tcPr>
          <w:p w14:paraId="7B257AB5"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9,2</w:t>
            </w:r>
          </w:p>
        </w:tc>
        <w:tc>
          <w:tcPr>
            <w:tcW w:w="699" w:type="pct"/>
            <w:tcBorders>
              <w:top w:val="nil"/>
              <w:left w:val="nil"/>
              <w:bottom w:val="single" w:sz="4" w:space="0" w:color="auto"/>
              <w:right w:val="single" w:sz="4" w:space="0" w:color="auto"/>
            </w:tcBorders>
            <w:shd w:val="clear" w:color="auto" w:fill="auto"/>
            <w:vAlign w:val="center"/>
            <w:hideMark/>
          </w:tcPr>
          <w:p w14:paraId="67E17028" w14:textId="77777777" w:rsidR="00953171" w:rsidRPr="00251B61" w:rsidRDefault="00953171" w:rsidP="00410A1E">
            <w:pPr>
              <w:ind w:firstLine="592"/>
              <w:jc w:val="center"/>
              <w:rPr>
                <w:rFonts w:cs="Times New Roman"/>
                <w:i/>
                <w:iCs/>
                <w:color w:val="000000"/>
                <w:sz w:val="18"/>
                <w:szCs w:val="18"/>
              </w:rPr>
            </w:pPr>
            <w:r w:rsidRPr="00251B61">
              <w:rPr>
                <w:rFonts w:cs="Times New Roman"/>
                <w:i/>
                <w:iCs/>
                <w:sz w:val="18"/>
                <w:szCs w:val="18"/>
              </w:rPr>
              <w:t>11,9</w:t>
            </w:r>
          </w:p>
        </w:tc>
      </w:tr>
      <w:tr w:rsidR="00953171" w:rsidRPr="00251B61" w14:paraId="1AB5ABA8" w14:textId="77777777" w:rsidTr="00410A1E">
        <w:trPr>
          <w:trHeight w:val="300"/>
        </w:trPr>
        <w:tc>
          <w:tcPr>
            <w:tcW w:w="1873" w:type="pct"/>
            <w:vMerge/>
            <w:tcBorders>
              <w:top w:val="nil"/>
              <w:left w:val="single" w:sz="4" w:space="0" w:color="auto"/>
              <w:bottom w:val="single" w:sz="4" w:space="0" w:color="auto"/>
              <w:right w:val="single" w:sz="4" w:space="0" w:color="auto"/>
            </w:tcBorders>
            <w:vAlign w:val="center"/>
            <w:hideMark/>
          </w:tcPr>
          <w:p w14:paraId="4F2CD9BB"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06A9C26A" w14:textId="77777777" w:rsidR="00953171" w:rsidRPr="00251B61" w:rsidRDefault="00953171" w:rsidP="00410A1E">
            <w:pPr>
              <w:ind w:firstLine="0"/>
              <w:jc w:val="left"/>
              <w:rPr>
                <w:rFonts w:cs="Times New Roman"/>
                <w:i/>
                <w:iCs/>
                <w:color w:val="000000"/>
                <w:sz w:val="18"/>
                <w:szCs w:val="18"/>
              </w:rPr>
            </w:pPr>
            <w:r w:rsidRPr="00251B61">
              <w:rPr>
                <w:rFonts w:cs="Times New Roman"/>
                <w:i/>
                <w:iCs/>
                <w:color w:val="000000"/>
                <w:sz w:val="18"/>
                <w:szCs w:val="18"/>
              </w:rPr>
              <w:t>VSAOI</w:t>
            </w:r>
            <w:r w:rsidRPr="00251B61">
              <w:rPr>
                <w:rFonts w:cs="Times New Roman"/>
                <w:i/>
                <w:iCs/>
                <w:color w:val="000000"/>
                <w:sz w:val="18"/>
                <w:szCs w:val="18"/>
                <w:vertAlign w:val="superscript"/>
              </w:rPr>
              <w:t>1</w:t>
            </w:r>
          </w:p>
        </w:tc>
        <w:tc>
          <w:tcPr>
            <w:tcW w:w="782" w:type="pct"/>
            <w:tcBorders>
              <w:top w:val="nil"/>
              <w:left w:val="nil"/>
              <w:bottom w:val="single" w:sz="4" w:space="0" w:color="auto"/>
              <w:right w:val="single" w:sz="4" w:space="0" w:color="auto"/>
            </w:tcBorders>
            <w:shd w:val="clear" w:color="auto" w:fill="auto"/>
            <w:vAlign w:val="center"/>
            <w:hideMark/>
          </w:tcPr>
          <w:p w14:paraId="39940A11"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9,8</w:t>
            </w:r>
          </w:p>
        </w:tc>
        <w:tc>
          <w:tcPr>
            <w:tcW w:w="786" w:type="pct"/>
            <w:tcBorders>
              <w:top w:val="nil"/>
              <w:left w:val="nil"/>
              <w:bottom w:val="single" w:sz="4" w:space="0" w:color="auto"/>
              <w:right w:val="single" w:sz="4" w:space="0" w:color="auto"/>
            </w:tcBorders>
            <w:shd w:val="clear" w:color="auto" w:fill="auto"/>
            <w:vAlign w:val="center"/>
            <w:hideMark/>
          </w:tcPr>
          <w:p w14:paraId="7F52F26F"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16,0</w:t>
            </w:r>
          </w:p>
        </w:tc>
        <w:tc>
          <w:tcPr>
            <w:tcW w:w="699" w:type="pct"/>
            <w:tcBorders>
              <w:top w:val="nil"/>
              <w:left w:val="nil"/>
              <w:bottom w:val="single" w:sz="4" w:space="0" w:color="auto"/>
              <w:right w:val="single" w:sz="4" w:space="0" w:color="auto"/>
            </w:tcBorders>
            <w:shd w:val="clear" w:color="auto" w:fill="auto"/>
            <w:vAlign w:val="center"/>
            <w:hideMark/>
          </w:tcPr>
          <w:p w14:paraId="2C2B785F" w14:textId="77777777" w:rsidR="00953171" w:rsidRPr="00251B61" w:rsidRDefault="00953171" w:rsidP="00410A1E">
            <w:pPr>
              <w:ind w:firstLine="592"/>
              <w:jc w:val="center"/>
              <w:rPr>
                <w:rFonts w:cs="Times New Roman"/>
                <w:i/>
                <w:iCs/>
                <w:color w:val="000000"/>
                <w:sz w:val="18"/>
                <w:szCs w:val="18"/>
              </w:rPr>
            </w:pPr>
            <w:r w:rsidRPr="00251B61">
              <w:rPr>
                <w:rFonts w:cs="Times New Roman"/>
                <w:i/>
                <w:iCs/>
                <w:sz w:val="18"/>
                <w:szCs w:val="18"/>
              </w:rPr>
              <w:t>21,5</w:t>
            </w:r>
          </w:p>
        </w:tc>
      </w:tr>
      <w:tr w:rsidR="00953171" w:rsidRPr="00251B61" w14:paraId="63112979" w14:textId="77777777" w:rsidTr="00410A1E">
        <w:trPr>
          <w:trHeight w:val="315"/>
        </w:trPr>
        <w:tc>
          <w:tcPr>
            <w:tcW w:w="1873" w:type="pct"/>
            <w:vMerge/>
            <w:tcBorders>
              <w:top w:val="nil"/>
              <w:left w:val="single" w:sz="4" w:space="0" w:color="auto"/>
              <w:bottom w:val="single" w:sz="4" w:space="0" w:color="auto"/>
              <w:right w:val="single" w:sz="4" w:space="0" w:color="auto"/>
            </w:tcBorders>
            <w:vAlign w:val="center"/>
            <w:hideMark/>
          </w:tcPr>
          <w:p w14:paraId="46870906"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4571FF79" w14:textId="77777777" w:rsidR="00953171" w:rsidRPr="00251B61" w:rsidRDefault="00953171" w:rsidP="00410A1E">
            <w:pPr>
              <w:ind w:firstLine="0"/>
              <w:jc w:val="left"/>
              <w:rPr>
                <w:rFonts w:cs="Times New Roman"/>
                <w:i/>
                <w:iCs/>
                <w:color w:val="000000"/>
                <w:sz w:val="18"/>
                <w:szCs w:val="18"/>
              </w:rPr>
            </w:pPr>
            <w:r w:rsidRPr="00251B61">
              <w:rPr>
                <w:rFonts w:cs="Times New Roman"/>
                <w:i/>
                <w:iCs/>
                <w:color w:val="000000"/>
                <w:sz w:val="18"/>
                <w:szCs w:val="18"/>
              </w:rPr>
              <w:t>PVN</w:t>
            </w:r>
          </w:p>
        </w:tc>
        <w:tc>
          <w:tcPr>
            <w:tcW w:w="782" w:type="pct"/>
            <w:tcBorders>
              <w:top w:val="nil"/>
              <w:left w:val="nil"/>
              <w:bottom w:val="single" w:sz="4" w:space="0" w:color="auto"/>
              <w:right w:val="single" w:sz="4" w:space="0" w:color="auto"/>
            </w:tcBorders>
            <w:shd w:val="clear" w:color="auto" w:fill="auto"/>
            <w:vAlign w:val="center"/>
            <w:hideMark/>
          </w:tcPr>
          <w:p w14:paraId="4162AC0F"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2,6</w:t>
            </w:r>
          </w:p>
        </w:tc>
        <w:tc>
          <w:tcPr>
            <w:tcW w:w="786" w:type="pct"/>
            <w:tcBorders>
              <w:top w:val="nil"/>
              <w:left w:val="nil"/>
              <w:bottom w:val="single" w:sz="4" w:space="0" w:color="auto"/>
              <w:right w:val="single" w:sz="4" w:space="0" w:color="auto"/>
            </w:tcBorders>
            <w:shd w:val="clear" w:color="auto" w:fill="auto"/>
            <w:vAlign w:val="center"/>
            <w:hideMark/>
          </w:tcPr>
          <w:p w14:paraId="016F92E5"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4,6</w:t>
            </w:r>
          </w:p>
        </w:tc>
        <w:tc>
          <w:tcPr>
            <w:tcW w:w="699" w:type="pct"/>
            <w:tcBorders>
              <w:top w:val="nil"/>
              <w:left w:val="nil"/>
              <w:bottom w:val="single" w:sz="4" w:space="0" w:color="auto"/>
              <w:right w:val="single" w:sz="4" w:space="0" w:color="auto"/>
            </w:tcBorders>
            <w:shd w:val="clear" w:color="auto" w:fill="auto"/>
            <w:vAlign w:val="center"/>
            <w:hideMark/>
          </w:tcPr>
          <w:p w14:paraId="30630DB2"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6,3</w:t>
            </w:r>
          </w:p>
        </w:tc>
      </w:tr>
      <w:tr w:rsidR="00953171" w:rsidRPr="00251B61" w14:paraId="324C10E3"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2470FB0F"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TEN likmju indeksēšana visiem transportlīdzekļiem (vidēji +10%) un TEN samaksas termiņa noteikšana</w:t>
            </w:r>
          </w:p>
        </w:tc>
        <w:tc>
          <w:tcPr>
            <w:tcW w:w="860" w:type="pct"/>
            <w:tcBorders>
              <w:top w:val="nil"/>
              <w:left w:val="nil"/>
              <w:bottom w:val="single" w:sz="4" w:space="0" w:color="auto"/>
              <w:right w:val="single" w:sz="4" w:space="0" w:color="auto"/>
            </w:tcBorders>
            <w:shd w:val="clear" w:color="auto" w:fill="auto"/>
            <w:vAlign w:val="center"/>
            <w:hideMark/>
          </w:tcPr>
          <w:p w14:paraId="1D5C466B"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TEN</w:t>
            </w:r>
          </w:p>
        </w:tc>
        <w:tc>
          <w:tcPr>
            <w:tcW w:w="782" w:type="pct"/>
            <w:tcBorders>
              <w:top w:val="nil"/>
              <w:left w:val="nil"/>
              <w:bottom w:val="single" w:sz="4" w:space="0" w:color="auto"/>
              <w:right w:val="single" w:sz="4" w:space="0" w:color="auto"/>
            </w:tcBorders>
            <w:shd w:val="clear" w:color="auto" w:fill="auto"/>
            <w:vAlign w:val="center"/>
            <w:hideMark/>
          </w:tcPr>
          <w:p w14:paraId="780633C9" w14:textId="77777777" w:rsidR="00953171" w:rsidRPr="00251B61" w:rsidRDefault="00953171" w:rsidP="00410A1E">
            <w:pPr>
              <w:jc w:val="center"/>
              <w:rPr>
                <w:rFonts w:cs="Times New Roman"/>
                <w:color w:val="000000"/>
                <w:sz w:val="18"/>
                <w:szCs w:val="18"/>
              </w:rPr>
            </w:pPr>
            <w:r w:rsidRPr="00251B61">
              <w:rPr>
                <w:rFonts w:cs="Times New Roman"/>
                <w:sz w:val="18"/>
                <w:szCs w:val="18"/>
              </w:rPr>
              <w:t>11,4</w:t>
            </w:r>
          </w:p>
        </w:tc>
        <w:tc>
          <w:tcPr>
            <w:tcW w:w="786" w:type="pct"/>
            <w:tcBorders>
              <w:top w:val="nil"/>
              <w:left w:val="nil"/>
              <w:bottom w:val="single" w:sz="4" w:space="0" w:color="auto"/>
              <w:right w:val="single" w:sz="4" w:space="0" w:color="auto"/>
            </w:tcBorders>
            <w:shd w:val="clear" w:color="auto" w:fill="auto"/>
            <w:vAlign w:val="center"/>
            <w:hideMark/>
          </w:tcPr>
          <w:p w14:paraId="20FD99B6" w14:textId="77777777" w:rsidR="00953171" w:rsidRPr="00251B61" w:rsidRDefault="00953171" w:rsidP="00410A1E">
            <w:pPr>
              <w:jc w:val="center"/>
              <w:rPr>
                <w:rFonts w:cs="Times New Roman"/>
                <w:color w:val="000000"/>
                <w:sz w:val="18"/>
                <w:szCs w:val="18"/>
              </w:rPr>
            </w:pPr>
            <w:r w:rsidRPr="00251B61">
              <w:rPr>
                <w:rFonts w:cs="Times New Roman"/>
                <w:sz w:val="18"/>
                <w:szCs w:val="18"/>
              </w:rPr>
              <w:t>12,0</w:t>
            </w:r>
          </w:p>
        </w:tc>
        <w:tc>
          <w:tcPr>
            <w:tcW w:w="699" w:type="pct"/>
            <w:tcBorders>
              <w:top w:val="nil"/>
              <w:left w:val="nil"/>
              <w:bottom w:val="single" w:sz="4" w:space="0" w:color="auto"/>
              <w:right w:val="single" w:sz="4" w:space="0" w:color="auto"/>
            </w:tcBorders>
            <w:shd w:val="clear" w:color="auto" w:fill="auto"/>
            <w:vAlign w:val="center"/>
            <w:hideMark/>
          </w:tcPr>
          <w:p w14:paraId="3BFE9FFA" w14:textId="77777777" w:rsidR="00953171" w:rsidRPr="00251B61" w:rsidRDefault="00953171" w:rsidP="00410A1E">
            <w:pPr>
              <w:ind w:firstLine="599"/>
              <w:jc w:val="center"/>
              <w:rPr>
                <w:rFonts w:cs="Times New Roman"/>
                <w:color w:val="000000"/>
                <w:sz w:val="18"/>
                <w:szCs w:val="18"/>
              </w:rPr>
            </w:pPr>
            <w:r w:rsidRPr="00251B61">
              <w:rPr>
                <w:rFonts w:cs="Times New Roman"/>
                <w:sz w:val="18"/>
                <w:szCs w:val="18"/>
              </w:rPr>
              <w:t>12,7</w:t>
            </w:r>
          </w:p>
        </w:tc>
      </w:tr>
      <w:tr w:rsidR="00953171" w:rsidRPr="00251B61" w14:paraId="7E077E1B"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2B30B0DA"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UVTN likmju palielināšana vidēji par 10%, sākot ar 2027.gadu</w:t>
            </w:r>
          </w:p>
        </w:tc>
        <w:tc>
          <w:tcPr>
            <w:tcW w:w="860" w:type="pct"/>
            <w:tcBorders>
              <w:top w:val="nil"/>
              <w:left w:val="nil"/>
              <w:bottom w:val="single" w:sz="4" w:space="0" w:color="auto"/>
              <w:right w:val="single" w:sz="4" w:space="0" w:color="auto"/>
            </w:tcBorders>
            <w:shd w:val="clear" w:color="auto" w:fill="auto"/>
            <w:vAlign w:val="center"/>
            <w:hideMark/>
          </w:tcPr>
          <w:p w14:paraId="05FD739D"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UVTN</w:t>
            </w:r>
          </w:p>
        </w:tc>
        <w:tc>
          <w:tcPr>
            <w:tcW w:w="782" w:type="pct"/>
            <w:tcBorders>
              <w:top w:val="nil"/>
              <w:left w:val="nil"/>
              <w:bottom w:val="single" w:sz="4" w:space="0" w:color="auto"/>
              <w:right w:val="single" w:sz="4" w:space="0" w:color="auto"/>
            </w:tcBorders>
            <w:shd w:val="clear" w:color="auto" w:fill="auto"/>
            <w:vAlign w:val="center"/>
            <w:hideMark/>
          </w:tcPr>
          <w:p w14:paraId="67490E66" w14:textId="77777777" w:rsidR="00953171" w:rsidRPr="00251B61" w:rsidRDefault="00953171" w:rsidP="00410A1E">
            <w:pPr>
              <w:jc w:val="center"/>
              <w:rPr>
                <w:rFonts w:cs="Times New Roman"/>
                <w:color w:val="000000"/>
                <w:sz w:val="18"/>
                <w:szCs w:val="18"/>
              </w:rPr>
            </w:pPr>
            <w:r w:rsidRPr="00251B61">
              <w:rPr>
                <w:rFonts w:cs="Times New Roman"/>
                <w:sz w:val="18"/>
                <w:szCs w:val="18"/>
              </w:rPr>
              <w:t>0,0</w:t>
            </w:r>
          </w:p>
        </w:tc>
        <w:tc>
          <w:tcPr>
            <w:tcW w:w="786" w:type="pct"/>
            <w:tcBorders>
              <w:top w:val="nil"/>
              <w:left w:val="nil"/>
              <w:bottom w:val="single" w:sz="4" w:space="0" w:color="auto"/>
              <w:right w:val="single" w:sz="4" w:space="0" w:color="auto"/>
            </w:tcBorders>
            <w:shd w:val="clear" w:color="auto" w:fill="auto"/>
            <w:vAlign w:val="center"/>
            <w:hideMark/>
          </w:tcPr>
          <w:p w14:paraId="78BA3A04" w14:textId="77777777" w:rsidR="00953171" w:rsidRPr="00251B61" w:rsidRDefault="00953171" w:rsidP="00410A1E">
            <w:pPr>
              <w:jc w:val="center"/>
              <w:rPr>
                <w:rFonts w:cs="Times New Roman"/>
                <w:color w:val="000000"/>
                <w:sz w:val="18"/>
                <w:szCs w:val="18"/>
              </w:rPr>
            </w:pPr>
            <w:r w:rsidRPr="00251B61">
              <w:rPr>
                <w:rFonts w:cs="Times New Roman"/>
                <w:sz w:val="18"/>
                <w:szCs w:val="18"/>
              </w:rPr>
              <w:t>0,0</w:t>
            </w:r>
          </w:p>
        </w:tc>
        <w:tc>
          <w:tcPr>
            <w:tcW w:w="699" w:type="pct"/>
            <w:tcBorders>
              <w:top w:val="nil"/>
              <w:left w:val="nil"/>
              <w:bottom w:val="single" w:sz="4" w:space="0" w:color="auto"/>
              <w:right w:val="single" w:sz="4" w:space="0" w:color="auto"/>
            </w:tcBorders>
            <w:shd w:val="clear" w:color="auto" w:fill="auto"/>
            <w:vAlign w:val="center"/>
            <w:hideMark/>
          </w:tcPr>
          <w:p w14:paraId="1B5098ED" w14:textId="77777777" w:rsidR="00953171" w:rsidRPr="00251B61" w:rsidRDefault="00953171" w:rsidP="00410A1E">
            <w:pPr>
              <w:jc w:val="center"/>
              <w:rPr>
                <w:rFonts w:cs="Times New Roman"/>
                <w:color w:val="000000"/>
                <w:sz w:val="18"/>
                <w:szCs w:val="18"/>
              </w:rPr>
            </w:pPr>
            <w:r w:rsidRPr="00251B61">
              <w:rPr>
                <w:rFonts w:cs="Times New Roman"/>
                <w:sz w:val="18"/>
                <w:szCs w:val="18"/>
              </w:rPr>
              <w:t>2,7</w:t>
            </w:r>
          </w:p>
        </w:tc>
      </w:tr>
      <w:tr w:rsidR="00953171" w:rsidRPr="00251B61" w14:paraId="3CAB8E99"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007DD2FD"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Izložu nodokļa likmes palielināšana no 10% uz 15%, sākot ar 2025.gadu</w:t>
            </w:r>
          </w:p>
        </w:tc>
        <w:tc>
          <w:tcPr>
            <w:tcW w:w="860" w:type="pct"/>
            <w:tcBorders>
              <w:top w:val="nil"/>
              <w:left w:val="nil"/>
              <w:bottom w:val="single" w:sz="4" w:space="0" w:color="auto"/>
              <w:right w:val="single" w:sz="4" w:space="0" w:color="auto"/>
            </w:tcBorders>
            <w:shd w:val="clear" w:color="auto" w:fill="auto"/>
            <w:vAlign w:val="center"/>
            <w:hideMark/>
          </w:tcPr>
          <w:p w14:paraId="7613ED14"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Izložu un azartspēļu nodoklis</w:t>
            </w:r>
          </w:p>
        </w:tc>
        <w:tc>
          <w:tcPr>
            <w:tcW w:w="782" w:type="pct"/>
            <w:tcBorders>
              <w:top w:val="nil"/>
              <w:left w:val="nil"/>
              <w:bottom w:val="single" w:sz="4" w:space="0" w:color="auto"/>
              <w:right w:val="single" w:sz="4" w:space="0" w:color="auto"/>
            </w:tcBorders>
            <w:shd w:val="clear" w:color="auto" w:fill="auto"/>
            <w:vAlign w:val="center"/>
            <w:hideMark/>
          </w:tcPr>
          <w:p w14:paraId="757B08CE" w14:textId="77777777" w:rsidR="00953171" w:rsidRPr="00251B61" w:rsidRDefault="00953171" w:rsidP="00410A1E">
            <w:pPr>
              <w:jc w:val="center"/>
              <w:rPr>
                <w:rFonts w:cs="Times New Roman"/>
                <w:color w:val="000000"/>
                <w:sz w:val="18"/>
                <w:szCs w:val="18"/>
              </w:rPr>
            </w:pPr>
            <w:r w:rsidRPr="00251B61">
              <w:rPr>
                <w:rFonts w:cs="Times New Roman"/>
                <w:sz w:val="18"/>
                <w:szCs w:val="18"/>
              </w:rPr>
              <w:t>2,5</w:t>
            </w:r>
          </w:p>
        </w:tc>
        <w:tc>
          <w:tcPr>
            <w:tcW w:w="786" w:type="pct"/>
            <w:tcBorders>
              <w:top w:val="nil"/>
              <w:left w:val="nil"/>
              <w:bottom w:val="single" w:sz="4" w:space="0" w:color="auto"/>
              <w:right w:val="single" w:sz="4" w:space="0" w:color="auto"/>
            </w:tcBorders>
            <w:shd w:val="clear" w:color="auto" w:fill="auto"/>
            <w:vAlign w:val="center"/>
            <w:hideMark/>
          </w:tcPr>
          <w:p w14:paraId="0C0DCBD6" w14:textId="77777777" w:rsidR="00953171" w:rsidRPr="00251B61" w:rsidRDefault="00953171" w:rsidP="00410A1E">
            <w:pPr>
              <w:jc w:val="center"/>
              <w:rPr>
                <w:rFonts w:cs="Times New Roman"/>
                <w:color w:val="000000"/>
                <w:sz w:val="18"/>
                <w:szCs w:val="18"/>
              </w:rPr>
            </w:pPr>
            <w:r w:rsidRPr="00251B61">
              <w:rPr>
                <w:rFonts w:cs="Times New Roman"/>
                <w:sz w:val="18"/>
                <w:szCs w:val="18"/>
              </w:rPr>
              <w:t>2,7</w:t>
            </w:r>
          </w:p>
        </w:tc>
        <w:tc>
          <w:tcPr>
            <w:tcW w:w="699" w:type="pct"/>
            <w:tcBorders>
              <w:top w:val="nil"/>
              <w:left w:val="nil"/>
              <w:bottom w:val="single" w:sz="4" w:space="0" w:color="auto"/>
              <w:right w:val="single" w:sz="4" w:space="0" w:color="auto"/>
            </w:tcBorders>
            <w:shd w:val="clear" w:color="auto" w:fill="auto"/>
            <w:vAlign w:val="center"/>
            <w:hideMark/>
          </w:tcPr>
          <w:p w14:paraId="0851941B" w14:textId="77777777" w:rsidR="00953171" w:rsidRPr="00251B61" w:rsidRDefault="00953171" w:rsidP="00410A1E">
            <w:pPr>
              <w:jc w:val="center"/>
              <w:rPr>
                <w:rFonts w:cs="Times New Roman"/>
                <w:color w:val="000000"/>
                <w:sz w:val="18"/>
                <w:szCs w:val="18"/>
              </w:rPr>
            </w:pPr>
            <w:r w:rsidRPr="00251B61">
              <w:rPr>
                <w:rFonts w:cs="Times New Roman"/>
                <w:sz w:val="18"/>
                <w:szCs w:val="18"/>
              </w:rPr>
              <w:t>2,9</w:t>
            </w:r>
          </w:p>
        </w:tc>
      </w:tr>
      <w:tr w:rsidR="00953171" w:rsidRPr="00251B61" w14:paraId="6D6881C5"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1C8A65AA" w14:textId="53988B7A"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 xml:space="preserve">Azartspēļu nodokļa likmes palielinājums no 2027.gada par 20 </w:t>
            </w:r>
            <w:proofErr w:type="spellStart"/>
            <w:r w:rsidR="008349F0">
              <w:rPr>
                <w:rFonts w:cs="Times New Roman"/>
                <w:color w:val="000000"/>
                <w:sz w:val="18"/>
                <w:szCs w:val="18"/>
              </w:rPr>
              <w:t>pp</w:t>
            </w:r>
            <w:proofErr w:type="spellEnd"/>
          </w:p>
        </w:tc>
        <w:tc>
          <w:tcPr>
            <w:tcW w:w="860" w:type="pct"/>
            <w:tcBorders>
              <w:top w:val="nil"/>
              <w:left w:val="nil"/>
              <w:bottom w:val="single" w:sz="4" w:space="0" w:color="auto"/>
              <w:right w:val="single" w:sz="4" w:space="0" w:color="auto"/>
            </w:tcBorders>
            <w:shd w:val="clear" w:color="auto" w:fill="auto"/>
            <w:vAlign w:val="center"/>
            <w:hideMark/>
          </w:tcPr>
          <w:p w14:paraId="046AFBAF"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Izložu un azartspēļu nodoklis</w:t>
            </w:r>
          </w:p>
        </w:tc>
        <w:tc>
          <w:tcPr>
            <w:tcW w:w="782" w:type="pct"/>
            <w:tcBorders>
              <w:top w:val="nil"/>
              <w:left w:val="nil"/>
              <w:bottom w:val="single" w:sz="4" w:space="0" w:color="auto"/>
              <w:right w:val="single" w:sz="4" w:space="0" w:color="auto"/>
            </w:tcBorders>
            <w:shd w:val="clear" w:color="auto" w:fill="auto"/>
            <w:vAlign w:val="center"/>
            <w:hideMark/>
          </w:tcPr>
          <w:p w14:paraId="174622A5" w14:textId="77777777" w:rsidR="00953171" w:rsidRPr="00251B61" w:rsidRDefault="00953171" w:rsidP="00410A1E">
            <w:pPr>
              <w:jc w:val="center"/>
              <w:rPr>
                <w:rFonts w:cs="Times New Roman"/>
                <w:color w:val="000000"/>
                <w:sz w:val="18"/>
                <w:szCs w:val="18"/>
              </w:rPr>
            </w:pPr>
            <w:r w:rsidRPr="00251B61">
              <w:rPr>
                <w:rFonts w:cs="Times New Roman"/>
                <w:sz w:val="18"/>
                <w:szCs w:val="18"/>
              </w:rPr>
              <w:t>0,0</w:t>
            </w:r>
          </w:p>
        </w:tc>
        <w:tc>
          <w:tcPr>
            <w:tcW w:w="786" w:type="pct"/>
            <w:tcBorders>
              <w:top w:val="nil"/>
              <w:left w:val="nil"/>
              <w:bottom w:val="single" w:sz="4" w:space="0" w:color="auto"/>
              <w:right w:val="single" w:sz="4" w:space="0" w:color="auto"/>
            </w:tcBorders>
            <w:shd w:val="clear" w:color="auto" w:fill="auto"/>
            <w:vAlign w:val="center"/>
            <w:hideMark/>
          </w:tcPr>
          <w:p w14:paraId="78ABE503" w14:textId="77777777" w:rsidR="00953171" w:rsidRPr="00251B61" w:rsidRDefault="00953171" w:rsidP="00410A1E">
            <w:pPr>
              <w:jc w:val="center"/>
              <w:rPr>
                <w:rFonts w:cs="Times New Roman"/>
                <w:color w:val="000000"/>
                <w:sz w:val="18"/>
                <w:szCs w:val="18"/>
              </w:rPr>
            </w:pPr>
            <w:r w:rsidRPr="00251B61">
              <w:rPr>
                <w:rFonts w:cs="Times New Roman"/>
                <w:sz w:val="18"/>
                <w:szCs w:val="18"/>
              </w:rPr>
              <w:t>0,0</w:t>
            </w:r>
          </w:p>
        </w:tc>
        <w:tc>
          <w:tcPr>
            <w:tcW w:w="699" w:type="pct"/>
            <w:tcBorders>
              <w:top w:val="nil"/>
              <w:left w:val="nil"/>
              <w:bottom w:val="single" w:sz="4" w:space="0" w:color="auto"/>
              <w:right w:val="single" w:sz="4" w:space="0" w:color="auto"/>
            </w:tcBorders>
            <w:shd w:val="clear" w:color="auto" w:fill="auto"/>
            <w:vAlign w:val="center"/>
            <w:hideMark/>
          </w:tcPr>
          <w:p w14:paraId="757D9275" w14:textId="77777777" w:rsidR="00953171" w:rsidRPr="00251B61" w:rsidRDefault="00953171" w:rsidP="00410A1E">
            <w:pPr>
              <w:jc w:val="center"/>
              <w:rPr>
                <w:rFonts w:cs="Times New Roman"/>
                <w:color w:val="000000"/>
                <w:sz w:val="18"/>
                <w:szCs w:val="18"/>
              </w:rPr>
            </w:pPr>
            <w:r w:rsidRPr="00251B61">
              <w:rPr>
                <w:rFonts w:cs="Times New Roman"/>
                <w:sz w:val="18"/>
                <w:szCs w:val="18"/>
              </w:rPr>
              <w:t>9,5</w:t>
            </w:r>
          </w:p>
        </w:tc>
      </w:tr>
      <w:tr w:rsidR="00953171" w:rsidRPr="00251B61" w14:paraId="6CFAE349"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5D4758BA"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PVN likmes 12% apmērā piemērošana Pievienotās vērtības nodokļa likuma pielikumā minētajiem svaigiem augļiem, ogām un dārzeņiem</w:t>
            </w:r>
          </w:p>
        </w:tc>
        <w:tc>
          <w:tcPr>
            <w:tcW w:w="860" w:type="pct"/>
            <w:tcBorders>
              <w:top w:val="nil"/>
              <w:left w:val="nil"/>
              <w:bottom w:val="single" w:sz="4" w:space="0" w:color="auto"/>
              <w:right w:val="single" w:sz="4" w:space="0" w:color="auto"/>
            </w:tcBorders>
            <w:shd w:val="clear" w:color="auto" w:fill="auto"/>
            <w:vAlign w:val="center"/>
            <w:hideMark/>
          </w:tcPr>
          <w:p w14:paraId="1523C2A5"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PVN</w:t>
            </w:r>
          </w:p>
        </w:tc>
        <w:tc>
          <w:tcPr>
            <w:tcW w:w="782" w:type="pct"/>
            <w:tcBorders>
              <w:top w:val="nil"/>
              <w:left w:val="nil"/>
              <w:bottom w:val="single" w:sz="4" w:space="0" w:color="auto"/>
              <w:right w:val="single" w:sz="4" w:space="0" w:color="auto"/>
            </w:tcBorders>
            <w:shd w:val="clear" w:color="auto" w:fill="auto"/>
            <w:vAlign w:val="center"/>
            <w:hideMark/>
          </w:tcPr>
          <w:p w14:paraId="17EEFD13" w14:textId="77777777" w:rsidR="00953171" w:rsidRPr="00251B61" w:rsidRDefault="00953171" w:rsidP="00410A1E">
            <w:pPr>
              <w:jc w:val="center"/>
              <w:rPr>
                <w:rFonts w:cs="Times New Roman"/>
                <w:color w:val="000000"/>
                <w:sz w:val="18"/>
                <w:szCs w:val="18"/>
              </w:rPr>
            </w:pPr>
            <w:r w:rsidRPr="00251B61">
              <w:rPr>
                <w:rFonts w:cs="Times New Roman"/>
                <w:sz w:val="18"/>
                <w:szCs w:val="18"/>
              </w:rPr>
              <w:t>-17,1</w:t>
            </w:r>
          </w:p>
        </w:tc>
        <w:tc>
          <w:tcPr>
            <w:tcW w:w="786" w:type="pct"/>
            <w:tcBorders>
              <w:top w:val="nil"/>
              <w:left w:val="nil"/>
              <w:bottom w:val="single" w:sz="4" w:space="0" w:color="auto"/>
              <w:right w:val="single" w:sz="4" w:space="0" w:color="auto"/>
            </w:tcBorders>
            <w:shd w:val="clear" w:color="auto" w:fill="auto"/>
            <w:vAlign w:val="center"/>
            <w:hideMark/>
          </w:tcPr>
          <w:p w14:paraId="466F802B" w14:textId="77777777" w:rsidR="00953171" w:rsidRPr="00251B61" w:rsidRDefault="00953171" w:rsidP="00410A1E">
            <w:pPr>
              <w:jc w:val="center"/>
              <w:rPr>
                <w:rFonts w:cs="Times New Roman"/>
                <w:color w:val="000000"/>
                <w:sz w:val="18"/>
                <w:szCs w:val="18"/>
              </w:rPr>
            </w:pPr>
            <w:r w:rsidRPr="00251B61">
              <w:rPr>
                <w:rFonts w:cs="Times New Roman"/>
                <w:sz w:val="18"/>
                <w:szCs w:val="18"/>
              </w:rPr>
              <w:t>-19,1</w:t>
            </w:r>
          </w:p>
        </w:tc>
        <w:tc>
          <w:tcPr>
            <w:tcW w:w="699" w:type="pct"/>
            <w:tcBorders>
              <w:top w:val="nil"/>
              <w:left w:val="nil"/>
              <w:bottom w:val="single" w:sz="4" w:space="0" w:color="auto"/>
              <w:right w:val="single" w:sz="4" w:space="0" w:color="auto"/>
            </w:tcBorders>
            <w:shd w:val="clear" w:color="auto" w:fill="auto"/>
            <w:vAlign w:val="center"/>
            <w:hideMark/>
          </w:tcPr>
          <w:p w14:paraId="3E94C94A" w14:textId="77777777" w:rsidR="00953171" w:rsidRPr="00251B61" w:rsidRDefault="00953171" w:rsidP="00410A1E">
            <w:pPr>
              <w:ind w:firstLine="595"/>
              <w:jc w:val="center"/>
              <w:rPr>
                <w:rFonts w:cs="Times New Roman"/>
                <w:color w:val="000000"/>
                <w:sz w:val="18"/>
                <w:szCs w:val="18"/>
              </w:rPr>
            </w:pPr>
            <w:r w:rsidRPr="00251B61">
              <w:rPr>
                <w:rFonts w:cs="Times New Roman"/>
                <w:sz w:val="18"/>
                <w:szCs w:val="18"/>
              </w:rPr>
              <w:t>-23,4</w:t>
            </w:r>
          </w:p>
        </w:tc>
      </w:tr>
      <w:tr w:rsidR="00953171" w:rsidRPr="00251B61" w14:paraId="0A740186" w14:textId="77777777" w:rsidTr="00410A1E">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6FEE6BB1"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lastRenderedPageBreak/>
              <w:t>DRN likmes akmeņoglēm un koksam palielināšana (EK priekšlikums minimālais līmenis visiem fosilajiem kurināmajiem (pašreiz likme ir 0,76 par GJ):</w:t>
            </w:r>
            <w:r w:rsidRPr="00251B61">
              <w:rPr>
                <w:rFonts w:cs="Times New Roman"/>
                <w:color w:val="000000"/>
                <w:sz w:val="18"/>
                <w:szCs w:val="18"/>
              </w:rPr>
              <w:br/>
              <w:t xml:space="preserve">    - 0,9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par GJ 2025.gadā; </w:t>
            </w:r>
            <w:r w:rsidRPr="00251B61">
              <w:rPr>
                <w:rFonts w:cs="Times New Roman"/>
                <w:color w:val="000000"/>
                <w:sz w:val="18"/>
                <w:szCs w:val="18"/>
              </w:rPr>
              <w:br/>
              <w:t xml:space="preserve">    - 1,0 </w:t>
            </w:r>
            <w:proofErr w:type="spellStart"/>
            <w:r w:rsidRPr="00835750">
              <w:rPr>
                <w:rFonts w:cs="Times New Roman"/>
                <w:i/>
                <w:iCs/>
                <w:color w:val="000000"/>
                <w:sz w:val="18"/>
                <w:szCs w:val="18"/>
              </w:rPr>
              <w:t>euro</w:t>
            </w:r>
            <w:proofErr w:type="spellEnd"/>
            <w:r w:rsidRPr="00251B61">
              <w:rPr>
                <w:rFonts w:cs="Times New Roman"/>
                <w:color w:val="000000"/>
                <w:sz w:val="18"/>
                <w:szCs w:val="18"/>
              </w:rPr>
              <w:t xml:space="preserve"> par GJ 2027.gadā.</w:t>
            </w:r>
          </w:p>
        </w:tc>
        <w:tc>
          <w:tcPr>
            <w:tcW w:w="860" w:type="pct"/>
            <w:tcBorders>
              <w:top w:val="nil"/>
              <w:left w:val="nil"/>
              <w:bottom w:val="single" w:sz="4" w:space="0" w:color="auto"/>
              <w:right w:val="single" w:sz="4" w:space="0" w:color="auto"/>
            </w:tcBorders>
            <w:shd w:val="clear" w:color="auto" w:fill="auto"/>
            <w:vAlign w:val="center"/>
            <w:hideMark/>
          </w:tcPr>
          <w:p w14:paraId="28A64F07"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DRN</w:t>
            </w:r>
          </w:p>
        </w:tc>
        <w:tc>
          <w:tcPr>
            <w:tcW w:w="782" w:type="pct"/>
            <w:tcBorders>
              <w:top w:val="nil"/>
              <w:left w:val="nil"/>
              <w:bottom w:val="single" w:sz="4" w:space="0" w:color="auto"/>
              <w:right w:val="single" w:sz="4" w:space="0" w:color="auto"/>
            </w:tcBorders>
            <w:shd w:val="clear" w:color="auto" w:fill="auto"/>
            <w:vAlign w:val="center"/>
            <w:hideMark/>
          </w:tcPr>
          <w:p w14:paraId="0F327E69" w14:textId="77777777" w:rsidR="00953171" w:rsidRPr="00251B61" w:rsidRDefault="00953171" w:rsidP="00410A1E">
            <w:pPr>
              <w:jc w:val="center"/>
              <w:rPr>
                <w:rFonts w:cs="Times New Roman"/>
                <w:color w:val="000000"/>
                <w:sz w:val="18"/>
                <w:szCs w:val="18"/>
              </w:rPr>
            </w:pPr>
            <w:r w:rsidRPr="00251B61">
              <w:rPr>
                <w:rFonts w:cs="Times New Roman"/>
                <w:sz w:val="18"/>
                <w:szCs w:val="18"/>
              </w:rPr>
              <w:t>0,3</w:t>
            </w:r>
          </w:p>
        </w:tc>
        <w:tc>
          <w:tcPr>
            <w:tcW w:w="786" w:type="pct"/>
            <w:tcBorders>
              <w:top w:val="nil"/>
              <w:left w:val="nil"/>
              <w:bottom w:val="single" w:sz="4" w:space="0" w:color="auto"/>
              <w:right w:val="single" w:sz="4" w:space="0" w:color="auto"/>
            </w:tcBorders>
            <w:shd w:val="clear" w:color="auto" w:fill="auto"/>
            <w:vAlign w:val="center"/>
            <w:hideMark/>
          </w:tcPr>
          <w:p w14:paraId="1F2844D5" w14:textId="77777777" w:rsidR="00953171" w:rsidRPr="00251B61" w:rsidRDefault="00953171" w:rsidP="00410A1E">
            <w:pPr>
              <w:jc w:val="center"/>
              <w:rPr>
                <w:rFonts w:cs="Times New Roman"/>
                <w:color w:val="000000"/>
                <w:sz w:val="18"/>
                <w:szCs w:val="18"/>
              </w:rPr>
            </w:pPr>
            <w:r w:rsidRPr="00251B61">
              <w:rPr>
                <w:rFonts w:cs="Times New Roman"/>
                <w:sz w:val="18"/>
                <w:szCs w:val="18"/>
              </w:rPr>
              <w:t>0,3</w:t>
            </w:r>
          </w:p>
        </w:tc>
        <w:tc>
          <w:tcPr>
            <w:tcW w:w="699" w:type="pct"/>
            <w:tcBorders>
              <w:top w:val="nil"/>
              <w:left w:val="nil"/>
              <w:bottom w:val="single" w:sz="4" w:space="0" w:color="auto"/>
              <w:right w:val="single" w:sz="4" w:space="0" w:color="auto"/>
            </w:tcBorders>
            <w:shd w:val="clear" w:color="auto" w:fill="auto"/>
            <w:vAlign w:val="center"/>
            <w:hideMark/>
          </w:tcPr>
          <w:p w14:paraId="66E56C2E" w14:textId="77777777" w:rsidR="00953171" w:rsidRPr="00251B61" w:rsidRDefault="00953171" w:rsidP="00410A1E">
            <w:pPr>
              <w:jc w:val="center"/>
              <w:rPr>
                <w:rFonts w:cs="Times New Roman"/>
                <w:color w:val="000000"/>
                <w:sz w:val="18"/>
                <w:szCs w:val="18"/>
              </w:rPr>
            </w:pPr>
            <w:r w:rsidRPr="00251B61">
              <w:rPr>
                <w:rFonts w:cs="Times New Roman"/>
                <w:sz w:val="18"/>
                <w:szCs w:val="18"/>
              </w:rPr>
              <w:t>0,4</w:t>
            </w:r>
          </w:p>
        </w:tc>
      </w:tr>
      <w:tr w:rsidR="00953171" w:rsidRPr="00251B61" w14:paraId="2A83DE62" w14:textId="77777777" w:rsidTr="00410A1E">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1F6B18DF" w14:textId="0A3C3EB6"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Akcīzes nodokļa likmju pakāpeniska paaugstināšana degvielai 2025. un 2026.</w:t>
            </w:r>
            <w:r w:rsidR="00835750">
              <w:rPr>
                <w:rFonts w:cs="Times New Roman"/>
                <w:color w:val="000000"/>
                <w:sz w:val="18"/>
                <w:szCs w:val="18"/>
              </w:rPr>
              <w:t xml:space="preserve"> </w:t>
            </w:r>
            <w:r w:rsidRPr="00251B61">
              <w:rPr>
                <w:rFonts w:cs="Times New Roman"/>
                <w:color w:val="000000"/>
                <w:sz w:val="18"/>
                <w:szCs w:val="18"/>
              </w:rPr>
              <w:t>gadā, ietverot akcīzes nodoklī CO</w:t>
            </w:r>
            <w:r w:rsidRPr="00835750">
              <w:rPr>
                <w:rFonts w:cs="Times New Roman"/>
                <w:color w:val="000000"/>
                <w:sz w:val="18"/>
                <w:szCs w:val="18"/>
                <w:vertAlign w:val="subscript"/>
              </w:rPr>
              <w:t>2</w:t>
            </w:r>
            <w:r w:rsidRPr="00251B61">
              <w:rPr>
                <w:rFonts w:cs="Times New Roman"/>
                <w:color w:val="000000"/>
                <w:sz w:val="18"/>
                <w:szCs w:val="18"/>
              </w:rPr>
              <w:t xml:space="preserve"> komponenti </w:t>
            </w:r>
          </w:p>
        </w:tc>
        <w:tc>
          <w:tcPr>
            <w:tcW w:w="860" w:type="pct"/>
            <w:tcBorders>
              <w:top w:val="nil"/>
              <w:left w:val="nil"/>
              <w:bottom w:val="single" w:sz="4" w:space="0" w:color="auto"/>
              <w:right w:val="single" w:sz="4" w:space="0" w:color="auto"/>
            </w:tcBorders>
            <w:shd w:val="clear" w:color="auto" w:fill="auto"/>
            <w:vAlign w:val="center"/>
            <w:hideMark/>
          </w:tcPr>
          <w:p w14:paraId="6AA5D669" w14:textId="77777777" w:rsidR="00953171" w:rsidRPr="00251B61" w:rsidRDefault="00953171" w:rsidP="00410A1E">
            <w:pPr>
              <w:ind w:firstLine="0"/>
              <w:jc w:val="left"/>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vAlign w:val="center"/>
            <w:hideMark/>
          </w:tcPr>
          <w:p w14:paraId="771F6B35" w14:textId="77777777" w:rsidR="00953171" w:rsidRPr="00251B61" w:rsidRDefault="00953171" w:rsidP="00410A1E">
            <w:pPr>
              <w:jc w:val="center"/>
              <w:rPr>
                <w:rFonts w:cs="Times New Roman"/>
                <w:color w:val="000000"/>
                <w:sz w:val="18"/>
                <w:szCs w:val="18"/>
              </w:rPr>
            </w:pPr>
            <w:r w:rsidRPr="00251B61">
              <w:rPr>
                <w:rFonts w:cs="Times New Roman"/>
                <w:sz w:val="18"/>
                <w:szCs w:val="18"/>
              </w:rPr>
              <w:t>33,0</w:t>
            </w:r>
          </w:p>
        </w:tc>
        <w:tc>
          <w:tcPr>
            <w:tcW w:w="786" w:type="pct"/>
            <w:tcBorders>
              <w:top w:val="nil"/>
              <w:left w:val="nil"/>
              <w:bottom w:val="single" w:sz="4" w:space="0" w:color="auto"/>
              <w:right w:val="single" w:sz="4" w:space="0" w:color="auto"/>
            </w:tcBorders>
            <w:shd w:val="clear" w:color="auto" w:fill="auto"/>
            <w:vAlign w:val="center"/>
            <w:hideMark/>
          </w:tcPr>
          <w:p w14:paraId="0B60D422" w14:textId="77777777" w:rsidR="00953171" w:rsidRPr="00251B61" w:rsidRDefault="00953171" w:rsidP="00410A1E">
            <w:pPr>
              <w:jc w:val="center"/>
              <w:rPr>
                <w:rFonts w:cs="Times New Roman"/>
                <w:color w:val="000000"/>
                <w:sz w:val="18"/>
                <w:szCs w:val="18"/>
              </w:rPr>
            </w:pPr>
            <w:r w:rsidRPr="00251B61">
              <w:rPr>
                <w:rFonts w:cs="Times New Roman"/>
                <w:sz w:val="18"/>
                <w:szCs w:val="18"/>
              </w:rPr>
              <w:t>62,5</w:t>
            </w:r>
          </w:p>
        </w:tc>
        <w:tc>
          <w:tcPr>
            <w:tcW w:w="699" w:type="pct"/>
            <w:tcBorders>
              <w:top w:val="nil"/>
              <w:left w:val="nil"/>
              <w:bottom w:val="single" w:sz="4" w:space="0" w:color="auto"/>
              <w:right w:val="single" w:sz="4" w:space="0" w:color="auto"/>
            </w:tcBorders>
            <w:shd w:val="clear" w:color="auto" w:fill="auto"/>
            <w:vAlign w:val="center"/>
            <w:hideMark/>
          </w:tcPr>
          <w:p w14:paraId="1CB6C3D7" w14:textId="77777777" w:rsidR="00953171" w:rsidRPr="00251B61" w:rsidRDefault="00953171" w:rsidP="00410A1E">
            <w:pPr>
              <w:jc w:val="center"/>
              <w:rPr>
                <w:rFonts w:cs="Times New Roman"/>
                <w:color w:val="000000"/>
                <w:sz w:val="18"/>
                <w:szCs w:val="18"/>
              </w:rPr>
            </w:pPr>
            <w:r w:rsidRPr="00251B61">
              <w:rPr>
                <w:rFonts w:cs="Times New Roman"/>
                <w:sz w:val="18"/>
                <w:szCs w:val="18"/>
              </w:rPr>
              <w:t>7,0</w:t>
            </w:r>
          </w:p>
        </w:tc>
      </w:tr>
      <w:tr w:rsidR="00953171" w:rsidRPr="00251B61" w14:paraId="1345921A" w14:textId="77777777" w:rsidTr="00410A1E">
        <w:trPr>
          <w:trHeight w:val="300"/>
        </w:trPr>
        <w:tc>
          <w:tcPr>
            <w:tcW w:w="1873" w:type="pct"/>
            <w:vMerge/>
            <w:tcBorders>
              <w:top w:val="nil"/>
              <w:left w:val="single" w:sz="4" w:space="0" w:color="auto"/>
              <w:bottom w:val="single" w:sz="4" w:space="0" w:color="auto"/>
              <w:right w:val="single" w:sz="4" w:space="0" w:color="auto"/>
            </w:tcBorders>
            <w:vAlign w:val="center"/>
            <w:hideMark/>
          </w:tcPr>
          <w:p w14:paraId="1FF70FD3"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6426CA4C" w14:textId="77777777" w:rsidR="00953171" w:rsidRPr="00251B61" w:rsidRDefault="00953171" w:rsidP="00410A1E">
            <w:pPr>
              <w:ind w:firstLine="0"/>
              <w:jc w:val="left"/>
              <w:rPr>
                <w:rFonts w:cs="Times New Roman"/>
                <w:i/>
                <w:iCs/>
                <w:color w:val="000000"/>
                <w:sz w:val="18"/>
                <w:szCs w:val="18"/>
              </w:rPr>
            </w:pPr>
            <w:r w:rsidRPr="00251B61">
              <w:rPr>
                <w:rFonts w:cs="Times New Roman"/>
                <w:i/>
                <w:iCs/>
                <w:color w:val="000000"/>
                <w:sz w:val="18"/>
                <w:szCs w:val="18"/>
              </w:rPr>
              <w:t>Akcīzes nodoklis</w:t>
            </w:r>
          </w:p>
        </w:tc>
        <w:tc>
          <w:tcPr>
            <w:tcW w:w="782" w:type="pct"/>
            <w:tcBorders>
              <w:top w:val="nil"/>
              <w:left w:val="nil"/>
              <w:bottom w:val="single" w:sz="4" w:space="0" w:color="auto"/>
              <w:right w:val="single" w:sz="4" w:space="0" w:color="auto"/>
            </w:tcBorders>
            <w:shd w:val="clear" w:color="auto" w:fill="auto"/>
            <w:vAlign w:val="center"/>
            <w:hideMark/>
          </w:tcPr>
          <w:p w14:paraId="3F2BABBD"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27,3</w:t>
            </w:r>
          </w:p>
        </w:tc>
        <w:tc>
          <w:tcPr>
            <w:tcW w:w="786" w:type="pct"/>
            <w:tcBorders>
              <w:top w:val="nil"/>
              <w:left w:val="nil"/>
              <w:bottom w:val="single" w:sz="4" w:space="0" w:color="auto"/>
              <w:right w:val="single" w:sz="4" w:space="0" w:color="auto"/>
            </w:tcBorders>
            <w:shd w:val="clear" w:color="auto" w:fill="auto"/>
            <w:vAlign w:val="center"/>
            <w:hideMark/>
          </w:tcPr>
          <w:p w14:paraId="09683B3E"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51,7</w:t>
            </w:r>
          </w:p>
        </w:tc>
        <w:tc>
          <w:tcPr>
            <w:tcW w:w="699" w:type="pct"/>
            <w:tcBorders>
              <w:top w:val="nil"/>
              <w:left w:val="nil"/>
              <w:bottom w:val="single" w:sz="4" w:space="0" w:color="auto"/>
              <w:right w:val="single" w:sz="4" w:space="0" w:color="auto"/>
            </w:tcBorders>
            <w:shd w:val="clear" w:color="auto" w:fill="auto"/>
            <w:vAlign w:val="center"/>
            <w:hideMark/>
          </w:tcPr>
          <w:p w14:paraId="7EB57B3B"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4,8</w:t>
            </w:r>
          </w:p>
        </w:tc>
      </w:tr>
      <w:tr w:rsidR="00953171" w:rsidRPr="00251B61" w14:paraId="77B01633" w14:textId="77777777" w:rsidTr="00410A1E">
        <w:trPr>
          <w:trHeight w:val="315"/>
        </w:trPr>
        <w:tc>
          <w:tcPr>
            <w:tcW w:w="1873" w:type="pct"/>
            <w:vMerge/>
            <w:tcBorders>
              <w:top w:val="nil"/>
              <w:left w:val="single" w:sz="4" w:space="0" w:color="auto"/>
              <w:bottom w:val="single" w:sz="4" w:space="0" w:color="auto"/>
              <w:right w:val="single" w:sz="4" w:space="0" w:color="auto"/>
            </w:tcBorders>
            <w:vAlign w:val="center"/>
            <w:hideMark/>
          </w:tcPr>
          <w:p w14:paraId="6F02B919"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5683E320" w14:textId="77777777" w:rsidR="00953171" w:rsidRPr="00251B61" w:rsidRDefault="00953171" w:rsidP="00410A1E">
            <w:pPr>
              <w:ind w:firstLine="0"/>
              <w:jc w:val="left"/>
              <w:rPr>
                <w:rFonts w:cs="Times New Roman"/>
                <w:i/>
                <w:iCs/>
                <w:color w:val="000000"/>
                <w:sz w:val="18"/>
                <w:szCs w:val="18"/>
              </w:rPr>
            </w:pPr>
            <w:r w:rsidRPr="00251B61">
              <w:rPr>
                <w:rFonts w:cs="Times New Roman"/>
                <w:i/>
                <w:iCs/>
                <w:color w:val="000000"/>
                <w:sz w:val="18"/>
                <w:szCs w:val="18"/>
              </w:rPr>
              <w:t>PVN</w:t>
            </w:r>
          </w:p>
        </w:tc>
        <w:tc>
          <w:tcPr>
            <w:tcW w:w="782" w:type="pct"/>
            <w:tcBorders>
              <w:top w:val="nil"/>
              <w:left w:val="nil"/>
              <w:bottom w:val="single" w:sz="4" w:space="0" w:color="auto"/>
              <w:right w:val="single" w:sz="4" w:space="0" w:color="auto"/>
            </w:tcBorders>
            <w:shd w:val="clear" w:color="auto" w:fill="auto"/>
            <w:vAlign w:val="center"/>
            <w:hideMark/>
          </w:tcPr>
          <w:p w14:paraId="1CAD23F6"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5,7</w:t>
            </w:r>
          </w:p>
        </w:tc>
        <w:tc>
          <w:tcPr>
            <w:tcW w:w="786" w:type="pct"/>
            <w:tcBorders>
              <w:top w:val="nil"/>
              <w:left w:val="nil"/>
              <w:bottom w:val="single" w:sz="4" w:space="0" w:color="auto"/>
              <w:right w:val="single" w:sz="4" w:space="0" w:color="auto"/>
            </w:tcBorders>
            <w:shd w:val="clear" w:color="auto" w:fill="auto"/>
            <w:vAlign w:val="center"/>
            <w:hideMark/>
          </w:tcPr>
          <w:p w14:paraId="394945F8"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10,8</w:t>
            </w:r>
          </w:p>
        </w:tc>
        <w:tc>
          <w:tcPr>
            <w:tcW w:w="699" w:type="pct"/>
            <w:tcBorders>
              <w:top w:val="nil"/>
              <w:left w:val="nil"/>
              <w:bottom w:val="single" w:sz="4" w:space="0" w:color="auto"/>
              <w:right w:val="single" w:sz="4" w:space="0" w:color="auto"/>
            </w:tcBorders>
            <w:shd w:val="clear" w:color="auto" w:fill="auto"/>
            <w:vAlign w:val="center"/>
            <w:hideMark/>
          </w:tcPr>
          <w:p w14:paraId="4B0E1E60" w14:textId="77777777" w:rsidR="00953171" w:rsidRPr="00251B61" w:rsidRDefault="00953171" w:rsidP="00410A1E">
            <w:pPr>
              <w:jc w:val="center"/>
              <w:rPr>
                <w:rFonts w:cs="Times New Roman"/>
                <w:i/>
                <w:iCs/>
                <w:color w:val="000000"/>
                <w:sz w:val="18"/>
                <w:szCs w:val="18"/>
              </w:rPr>
            </w:pPr>
            <w:r w:rsidRPr="00251B61">
              <w:rPr>
                <w:rFonts w:cs="Times New Roman"/>
                <w:i/>
                <w:iCs/>
                <w:sz w:val="18"/>
                <w:szCs w:val="18"/>
              </w:rPr>
              <w:t>2,1</w:t>
            </w:r>
          </w:p>
        </w:tc>
      </w:tr>
      <w:tr w:rsidR="00953171" w:rsidRPr="00251B61" w14:paraId="116599B2" w14:textId="77777777" w:rsidTr="008D3722">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39508DC0"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Akcīzes nodokļa likmju pakāpeniska paaugstināšana degvielai, dabasgāzei un naftas gāzēm, ko izmanto par kurināmo</w:t>
            </w:r>
          </w:p>
        </w:tc>
        <w:tc>
          <w:tcPr>
            <w:tcW w:w="860" w:type="pct"/>
            <w:tcBorders>
              <w:top w:val="nil"/>
              <w:left w:val="nil"/>
              <w:bottom w:val="single" w:sz="4" w:space="0" w:color="auto"/>
              <w:right w:val="single" w:sz="4" w:space="0" w:color="auto"/>
            </w:tcBorders>
            <w:shd w:val="clear" w:color="auto" w:fill="auto"/>
            <w:vAlign w:val="center"/>
            <w:hideMark/>
          </w:tcPr>
          <w:p w14:paraId="625AD5E4" w14:textId="77777777" w:rsidR="00953171" w:rsidRPr="00251B61" w:rsidRDefault="00953171" w:rsidP="008349F0">
            <w:pPr>
              <w:ind w:firstLine="0"/>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hideMark/>
          </w:tcPr>
          <w:p w14:paraId="51CC6F2F" w14:textId="77777777" w:rsidR="00953171" w:rsidRPr="00251B61" w:rsidRDefault="00953171" w:rsidP="008349F0">
            <w:pPr>
              <w:jc w:val="center"/>
              <w:rPr>
                <w:rFonts w:cs="Times New Roman"/>
                <w:color w:val="000000"/>
                <w:sz w:val="18"/>
                <w:szCs w:val="18"/>
              </w:rPr>
            </w:pPr>
            <w:r w:rsidRPr="00251B61">
              <w:rPr>
                <w:rFonts w:cs="Times New Roman"/>
                <w:sz w:val="18"/>
                <w:szCs w:val="18"/>
              </w:rPr>
              <w:t>5,3</w:t>
            </w:r>
          </w:p>
        </w:tc>
        <w:tc>
          <w:tcPr>
            <w:tcW w:w="786" w:type="pct"/>
            <w:tcBorders>
              <w:top w:val="nil"/>
              <w:left w:val="nil"/>
              <w:bottom w:val="single" w:sz="4" w:space="0" w:color="auto"/>
              <w:right w:val="single" w:sz="4" w:space="0" w:color="auto"/>
            </w:tcBorders>
            <w:shd w:val="clear" w:color="auto" w:fill="auto"/>
            <w:hideMark/>
          </w:tcPr>
          <w:p w14:paraId="2AD2325F" w14:textId="77777777" w:rsidR="00953171" w:rsidRPr="00251B61" w:rsidRDefault="00953171" w:rsidP="008349F0">
            <w:pPr>
              <w:jc w:val="center"/>
              <w:rPr>
                <w:rFonts w:cs="Times New Roman"/>
                <w:color w:val="000000"/>
                <w:sz w:val="18"/>
                <w:szCs w:val="18"/>
              </w:rPr>
            </w:pPr>
            <w:r w:rsidRPr="00251B61">
              <w:rPr>
                <w:rFonts w:cs="Times New Roman"/>
                <w:sz w:val="18"/>
                <w:szCs w:val="18"/>
              </w:rPr>
              <w:t>9,6</w:t>
            </w:r>
          </w:p>
        </w:tc>
        <w:tc>
          <w:tcPr>
            <w:tcW w:w="699" w:type="pct"/>
            <w:tcBorders>
              <w:top w:val="nil"/>
              <w:left w:val="nil"/>
              <w:bottom w:val="single" w:sz="4" w:space="0" w:color="auto"/>
              <w:right w:val="single" w:sz="4" w:space="0" w:color="auto"/>
            </w:tcBorders>
            <w:shd w:val="clear" w:color="auto" w:fill="auto"/>
            <w:hideMark/>
          </w:tcPr>
          <w:p w14:paraId="5CE32740" w14:textId="77777777" w:rsidR="00953171" w:rsidRPr="00251B61" w:rsidRDefault="00953171" w:rsidP="008349F0">
            <w:pPr>
              <w:ind w:firstLine="592"/>
              <w:jc w:val="center"/>
              <w:rPr>
                <w:rFonts w:cs="Times New Roman"/>
                <w:color w:val="000000"/>
                <w:sz w:val="18"/>
                <w:szCs w:val="18"/>
              </w:rPr>
            </w:pPr>
            <w:r w:rsidRPr="00251B61">
              <w:rPr>
                <w:rFonts w:cs="Times New Roman"/>
                <w:sz w:val="18"/>
                <w:szCs w:val="18"/>
              </w:rPr>
              <w:t>14,2</w:t>
            </w:r>
          </w:p>
        </w:tc>
      </w:tr>
      <w:tr w:rsidR="00953171" w:rsidRPr="00251B61" w14:paraId="355DEDFC" w14:textId="77777777" w:rsidTr="008D3722">
        <w:trPr>
          <w:trHeight w:val="300"/>
        </w:trPr>
        <w:tc>
          <w:tcPr>
            <w:tcW w:w="1873" w:type="pct"/>
            <w:vMerge/>
            <w:tcBorders>
              <w:top w:val="nil"/>
              <w:left w:val="single" w:sz="4" w:space="0" w:color="auto"/>
              <w:bottom w:val="single" w:sz="4" w:space="0" w:color="auto"/>
              <w:right w:val="single" w:sz="4" w:space="0" w:color="auto"/>
            </w:tcBorders>
            <w:vAlign w:val="center"/>
            <w:hideMark/>
          </w:tcPr>
          <w:p w14:paraId="01C5F42B"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2234D96F"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Akcīzes nodoklis</w:t>
            </w:r>
          </w:p>
        </w:tc>
        <w:tc>
          <w:tcPr>
            <w:tcW w:w="782" w:type="pct"/>
            <w:tcBorders>
              <w:top w:val="nil"/>
              <w:left w:val="nil"/>
              <w:bottom w:val="single" w:sz="4" w:space="0" w:color="auto"/>
              <w:right w:val="single" w:sz="4" w:space="0" w:color="auto"/>
            </w:tcBorders>
            <w:shd w:val="clear" w:color="auto" w:fill="auto"/>
            <w:hideMark/>
          </w:tcPr>
          <w:p w14:paraId="60863990"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4,4</w:t>
            </w:r>
          </w:p>
        </w:tc>
        <w:tc>
          <w:tcPr>
            <w:tcW w:w="786" w:type="pct"/>
            <w:tcBorders>
              <w:top w:val="nil"/>
              <w:left w:val="nil"/>
              <w:bottom w:val="single" w:sz="4" w:space="0" w:color="auto"/>
              <w:right w:val="single" w:sz="4" w:space="0" w:color="auto"/>
            </w:tcBorders>
            <w:shd w:val="clear" w:color="auto" w:fill="auto"/>
            <w:hideMark/>
          </w:tcPr>
          <w:p w14:paraId="185B29AC"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7,9</w:t>
            </w:r>
          </w:p>
        </w:tc>
        <w:tc>
          <w:tcPr>
            <w:tcW w:w="699" w:type="pct"/>
            <w:tcBorders>
              <w:top w:val="nil"/>
              <w:left w:val="nil"/>
              <w:bottom w:val="single" w:sz="4" w:space="0" w:color="auto"/>
              <w:right w:val="single" w:sz="4" w:space="0" w:color="auto"/>
            </w:tcBorders>
            <w:shd w:val="clear" w:color="auto" w:fill="auto"/>
            <w:hideMark/>
          </w:tcPr>
          <w:p w14:paraId="7C5A7596" w14:textId="77777777" w:rsidR="00953171" w:rsidRPr="00251B61" w:rsidRDefault="00953171" w:rsidP="008349F0">
            <w:pPr>
              <w:ind w:firstLine="592"/>
              <w:jc w:val="center"/>
              <w:rPr>
                <w:rFonts w:cs="Times New Roman"/>
                <w:i/>
                <w:iCs/>
                <w:color w:val="000000"/>
                <w:sz w:val="18"/>
                <w:szCs w:val="18"/>
              </w:rPr>
            </w:pPr>
            <w:r w:rsidRPr="00251B61">
              <w:rPr>
                <w:rFonts w:cs="Times New Roman"/>
                <w:i/>
                <w:iCs/>
                <w:sz w:val="18"/>
                <w:szCs w:val="18"/>
              </w:rPr>
              <w:t>11,7</w:t>
            </w:r>
          </w:p>
        </w:tc>
      </w:tr>
      <w:tr w:rsidR="00953171" w:rsidRPr="00251B61" w14:paraId="64BE80C4" w14:textId="77777777" w:rsidTr="008D3722">
        <w:trPr>
          <w:trHeight w:val="315"/>
        </w:trPr>
        <w:tc>
          <w:tcPr>
            <w:tcW w:w="1873" w:type="pct"/>
            <w:vMerge/>
            <w:tcBorders>
              <w:top w:val="nil"/>
              <w:left w:val="single" w:sz="4" w:space="0" w:color="auto"/>
              <w:bottom w:val="single" w:sz="4" w:space="0" w:color="auto"/>
              <w:right w:val="single" w:sz="4" w:space="0" w:color="auto"/>
            </w:tcBorders>
            <w:vAlign w:val="center"/>
            <w:hideMark/>
          </w:tcPr>
          <w:p w14:paraId="6F7FA500"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0EE9E3A5"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PVN</w:t>
            </w:r>
          </w:p>
        </w:tc>
        <w:tc>
          <w:tcPr>
            <w:tcW w:w="782" w:type="pct"/>
            <w:tcBorders>
              <w:top w:val="nil"/>
              <w:left w:val="nil"/>
              <w:bottom w:val="single" w:sz="4" w:space="0" w:color="auto"/>
              <w:right w:val="single" w:sz="4" w:space="0" w:color="auto"/>
            </w:tcBorders>
            <w:shd w:val="clear" w:color="auto" w:fill="auto"/>
            <w:hideMark/>
          </w:tcPr>
          <w:p w14:paraId="3DCEE11F"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0,9</w:t>
            </w:r>
          </w:p>
        </w:tc>
        <w:tc>
          <w:tcPr>
            <w:tcW w:w="786" w:type="pct"/>
            <w:tcBorders>
              <w:top w:val="nil"/>
              <w:left w:val="nil"/>
              <w:bottom w:val="single" w:sz="4" w:space="0" w:color="auto"/>
              <w:right w:val="single" w:sz="4" w:space="0" w:color="auto"/>
            </w:tcBorders>
            <w:shd w:val="clear" w:color="auto" w:fill="auto"/>
            <w:hideMark/>
          </w:tcPr>
          <w:p w14:paraId="449F343C"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1,7</w:t>
            </w:r>
          </w:p>
        </w:tc>
        <w:tc>
          <w:tcPr>
            <w:tcW w:w="699" w:type="pct"/>
            <w:tcBorders>
              <w:top w:val="nil"/>
              <w:left w:val="nil"/>
              <w:bottom w:val="single" w:sz="4" w:space="0" w:color="auto"/>
              <w:right w:val="single" w:sz="4" w:space="0" w:color="auto"/>
            </w:tcBorders>
            <w:shd w:val="clear" w:color="auto" w:fill="auto"/>
            <w:hideMark/>
          </w:tcPr>
          <w:p w14:paraId="2AA3B0B3"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2,5</w:t>
            </w:r>
          </w:p>
        </w:tc>
      </w:tr>
      <w:tr w:rsidR="00953171" w:rsidRPr="00251B61" w14:paraId="72B44A4C" w14:textId="77777777" w:rsidTr="008D3722">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7B5ED2D0"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Akcīzes nodokļa atbrīvojuma atcelšana naftas produktiem, kurus izmanto elektroenerģijas ražošanā un koģenerācijā</w:t>
            </w:r>
          </w:p>
        </w:tc>
        <w:tc>
          <w:tcPr>
            <w:tcW w:w="860" w:type="pct"/>
            <w:tcBorders>
              <w:top w:val="nil"/>
              <w:left w:val="nil"/>
              <w:bottom w:val="single" w:sz="4" w:space="0" w:color="auto"/>
              <w:right w:val="single" w:sz="4" w:space="0" w:color="auto"/>
            </w:tcBorders>
            <w:shd w:val="clear" w:color="auto" w:fill="auto"/>
            <w:vAlign w:val="center"/>
            <w:hideMark/>
          </w:tcPr>
          <w:p w14:paraId="7FCA802D" w14:textId="77777777" w:rsidR="00953171" w:rsidRPr="00251B61" w:rsidRDefault="00953171" w:rsidP="008349F0">
            <w:pPr>
              <w:ind w:firstLine="0"/>
              <w:rPr>
                <w:rFonts w:cs="Times New Roman"/>
                <w:color w:val="000000"/>
                <w:sz w:val="18"/>
                <w:szCs w:val="18"/>
              </w:rPr>
            </w:pPr>
            <w:r w:rsidRPr="00251B61">
              <w:rPr>
                <w:rFonts w:cs="Times New Roman"/>
                <w:color w:val="000000"/>
                <w:sz w:val="18"/>
                <w:szCs w:val="18"/>
              </w:rPr>
              <w:t>Akcīzes nodoklis</w:t>
            </w:r>
          </w:p>
        </w:tc>
        <w:tc>
          <w:tcPr>
            <w:tcW w:w="782" w:type="pct"/>
            <w:tcBorders>
              <w:top w:val="nil"/>
              <w:left w:val="nil"/>
              <w:bottom w:val="single" w:sz="4" w:space="0" w:color="auto"/>
              <w:right w:val="single" w:sz="4" w:space="0" w:color="auto"/>
            </w:tcBorders>
            <w:shd w:val="clear" w:color="auto" w:fill="auto"/>
            <w:hideMark/>
          </w:tcPr>
          <w:p w14:paraId="16A4400D" w14:textId="77777777" w:rsidR="00953171" w:rsidRPr="00251B61" w:rsidRDefault="00953171" w:rsidP="008349F0">
            <w:pPr>
              <w:jc w:val="center"/>
              <w:rPr>
                <w:rFonts w:cs="Times New Roman"/>
                <w:color w:val="000000"/>
                <w:sz w:val="18"/>
                <w:szCs w:val="18"/>
              </w:rPr>
            </w:pPr>
            <w:r w:rsidRPr="00251B61">
              <w:rPr>
                <w:rFonts w:cs="Times New Roman"/>
                <w:sz w:val="18"/>
                <w:szCs w:val="18"/>
              </w:rPr>
              <w:t>0,2</w:t>
            </w:r>
          </w:p>
        </w:tc>
        <w:tc>
          <w:tcPr>
            <w:tcW w:w="786" w:type="pct"/>
            <w:tcBorders>
              <w:top w:val="nil"/>
              <w:left w:val="nil"/>
              <w:bottom w:val="single" w:sz="4" w:space="0" w:color="auto"/>
              <w:right w:val="single" w:sz="4" w:space="0" w:color="auto"/>
            </w:tcBorders>
            <w:shd w:val="clear" w:color="auto" w:fill="auto"/>
            <w:hideMark/>
          </w:tcPr>
          <w:p w14:paraId="3639F662" w14:textId="77777777" w:rsidR="00953171" w:rsidRPr="00251B61" w:rsidRDefault="00953171" w:rsidP="008349F0">
            <w:pPr>
              <w:jc w:val="center"/>
              <w:rPr>
                <w:rFonts w:cs="Times New Roman"/>
                <w:color w:val="000000"/>
                <w:sz w:val="18"/>
                <w:szCs w:val="18"/>
              </w:rPr>
            </w:pPr>
            <w:r w:rsidRPr="00251B61">
              <w:rPr>
                <w:rFonts w:cs="Times New Roman"/>
                <w:sz w:val="18"/>
                <w:szCs w:val="18"/>
              </w:rPr>
              <w:t>0,3</w:t>
            </w:r>
          </w:p>
        </w:tc>
        <w:tc>
          <w:tcPr>
            <w:tcW w:w="699" w:type="pct"/>
            <w:tcBorders>
              <w:top w:val="nil"/>
              <w:left w:val="nil"/>
              <w:bottom w:val="single" w:sz="4" w:space="0" w:color="auto"/>
              <w:right w:val="single" w:sz="4" w:space="0" w:color="auto"/>
            </w:tcBorders>
            <w:shd w:val="clear" w:color="auto" w:fill="auto"/>
            <w:hideMark/>
          </w:tcPr>
          <w:p w14:paraId="68ADE843" w14:textId="77777777" w:rsidR="00953171" w:rsidRPr="00251B61" w:rsidRDefault="00953171" w:rsidP="008349F0">
            <w:pPr>
              <w:jc w:val="center"/>
              <w:rPr>
                <w:rFonts w:cs="Times New Roman"/>
                <w:color w:val="000000"/>
                <w:sz w:val="18"/>
                <w:szCs w:val="18"/>
              </w:rPr>
            </w:pPr>
            <w:r w:rsidRPr="00251B61">
              <w:rPr>
                <w:rFonts w:cs="Times New Roman"/>
                <w:sz w:val="18"/>
                <w:szCs w:val="18"/>
              </w:rPr>
              <w:t>0,4</w:t>
            </w:r>
          </w:p>
        </w:tc>
      </w:tr>
      <w:tr w:rsidR="00953171" w:rsidRPr="00251B61" w14:paraId="02594A9D" w14:textId="77777777" w:rsidTr="008D3722">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09933E66"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Akcīzes nodokļa alkoholiskajiem dzērieniem un alum paaugstināšana  2027. gadā</w:t>
            </w:r>
          </w:p>
        </w:tc>
        <w:tc>
          <w:tcPr>
            <w:tcW w:w="860" w:type="pct"/>
            <w:tcBorders>
              <w:top w:val="nil"/>
              <w:left w:val="nil"/>
              <w:bottom w:val="single" w:sz="4" w:space="0" w:color="auto"/>
              <w:right w:val="single" w:sz="4" w:space="0" w:color="auto"/>
            </w:tcBorders>
            <w:shd w:val="clear" w:color="auto" w:fill="auto"/>
            <w:vAlign w:val="center"/>
            <w:hideMark/>
          </w:tcPr>
          <w:p w14:paraId="70CD7B09" w14:textId="77777777" w:rsidR="00953171" w:rsidRPr="00251B61" w:rsidRDefault="00953171" w:rsidP="008349F0">
            <w:pPr>
              <w:ind w:firstLine="0"/>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hideMark/>
          </w:tcPr>
          <w:p w14:paraId="15F5FA03" w14:textId="77777777" w:rsidR="00953171" w:rsidRPr="00251B61" w:rsidRDefault="00953171" w:rsidP="008349F0">
            <w:pPr>
              <w:jc w:val="center"/>
              <w:rPr>
                <w:rFonts w:cs="Times New Roman"/>
                <w:color w:val="000000"/>
                <w:sz w:val="18"/>
                <w:szCs w:val="18"/>
              </w:rPr>
            </w:pPr>
            <w:r w:rsidRPr="00251B61">
              <w:rPr>
                <w:rFonts w:cs="Times New Roman"/>
                <w:sz w:val="18"/>
                <w:szCs w:val="18"/>
              </w:rPr>
              <w:t>0,0</w:t>
            </w:r>
          </w:p>
        </w:tc>
        <w:tc>
          <w:tcPr>
            <w:tcW w:w="786" w:type="pct"/>
            <w:tcBorders>
              <w:top w:val="nil"/>
              <w:left w:val="nil"/>
              <w:bottom w:val="single" w:sz="4" w:space="0" w:color="auto"/>
              <w:right w:val="single" w:sz="4" w:space="0" w:color="auto"/>
            </w:tcBorders>
            <w:shd w:val="clear" w:color="auto" w:fill="auto"/>
            <w:hideMark/>
          </w:tcPr>
          <w:p w14:paraId="188514BE" w14:textId="77777777" w:rsidR="00953171" w:rsidRPr="00251B61" w:rsidRDefault="00953171" w:rsidP="008349F0">
            <w:pPr>
              <w:jc w:val="center"/>
              <w:rPr>
                <w:rFonts w:cs="Times New Roman"/>
                <w:color w:val="000000"/>
                <w:sz w:val="18"/>
                <w:szCs w:val="18"/>
              </w:rPr>
            </w:pPr>
            <w:r w:rsidRPr="00251B61">
              <w:rPr>
                <w:rFonts w:cs="Times New Roman"/>
                <w:sz w:val="18"/>
                <w:szCs w:val="18"/>
              </w:rPr>
              <w:t>0,0</w:t>
            </w:r>
          </w:p>
        </w:tc>
        <w:tc>
          <w:tcPr>
            <w:tcW w:w="699" w:type="pct"/>
            <w:tcBorders>
              <w:top w:val="nil"/>
              <w:left w:val="nil"/>
              <w:bottom w:val="single" w:sz="4" w:space="0" w:color="auto"/>
              <w:right w:val="single" w:sz="4" w:space="0" w:color="auto"/>
            </w:tcBorders>
            <w:shd w:val="clear" w:color="auto" w:fill="auto"/>
            <w:hideMark/>
          </w:tcPr>
          <w:p w14:paraId="447973B9" w14:textId="77777777" w:rsidR="00953171" w:rsidRPr="00251B61" w:rsidRDefault="00953171" w:rsidP="008349F0">
            <w:pPr>
              <w:jc w:val="center"/>
              <w:rPr>
                <w:rFonts w:cs="Times New Roman"/>
                <w:color w:val="000000"/>
                <w:sz w:val="18"/>
                <w:szCs w:val="18"/>
              </w:rPr>
            </w:pPr>
            <w:r w:rsidRPr="00251B61">
              <w:rPr>
                <w:rFonts w:cs="Times New Roman"/>
                <w:sz w:val="18"/>
                <w:szCs w:val="18"/>
              </w:rPr>
              <w:t>8,5</w:t>
            </w:r>
          </w:p>
        </w:tc>
      </w:tr>
      <w:tr w:rsidR="00953171" w:rsidRPr="00251B61" w14:paraId="41C421D9" w14:textId="77777777" w:rsidTr="008D3722">
        <w:trPr>
          <w:trHeight w:val="300"/>
        </w:trPr>
        <w:tc>
          <w:tcPr>
            <w:tcW w:w="1873" w:type="pct"/>
            <w:vMerge/>
            <w:tcBorders>
              <w:top w:val="nil"/>
              <w:left w:val="single" w:sz="4" w:space="0" w:color="auto"/>
              <w:bottom w:val="single" w:sz="4" w:space="0" w:color="auto"/>
              <w:right w:val="single" w:sz="4" w:space="0" w:color="auto"/>
            </w:tcBorders>
            <w:vAlign w:val="center"/>
            <w:hideMark/>
          </w:tcPr>
          <w:p w14:paraId="36902AAC"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53C1E6D2"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Akcīzes nodoklis</w:t>
            </w:r>
          </w:p>
        </w:tc>
        <w:tc>
          <w:tcPr>
            <w:tcW w:w="782" w:type="pct"/>
            <w:tcBorders>
              <w:top w:val="nil"/>
              <w:left w:val="nil"/>
              <w:bottom w:val="single" w:sz="4" w:space="0" w:color="auto"/>
              <w:right w:val="single" w:sz="4" w:space="0" w:color="auto"/>
            </w:tcBorders>
            <w:shd w:val="clear" w:color="auto" w:fill="auto"/>
            <w:hideMark/>
          </w:tcPr>
          <w:p w14:paraId="50C0EB11"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 xml:space="preserve"> 0,0</w:t>
            </w:r>
          </w:p>
        </w:tc>
        <w:tc>
          <w:tcPr>
            <w:tcW w:w="786" w:type="pct"/>
            <w:tcBorders>
              <w:top w:val="nil"/>
              <w:left w:val="nil"/>
              <w:bottom w:val="single" w:sz="4" w:space="0" w:color="auto"/>
              <w:right w:val="single" w:sz="4" w:space="0" w:color="auto"/>
            </w:tcBorders>
            <w:shd w:val="clear" w:color="auto" w:fill="auto"/>
            <w:hideMark/>
          </w:tcPr>
          <w:p w14:paraId="1406D0C8"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 xml:space="preserve">0,0 </w:t>
            </w:r>
          </w:p>
        </w:tc>
        <w:tc>
          <w:tcPr>
            <w:tcW w:w="699" w:type="pct"/>
            <w:tcBorders>
              <w:top w:val="nil"/>
              <w:left w:val="nil"/>
              <w:bottom w:val="single" w:sz="4" w:space="0" w:color="auto"/>
              <w:right w:val="single" w:sz="4" w:space="0" w:color="auto"/>
            </w:tcBorders>
            <w:shd w:val="clear" w:color="auto" w:fill="auto"/>
            <w:hideMark/>
          </w:tcPr>
          <w:p w14:paraId="648447D2"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7,0</w:t>
            </w:r>
          </w:p>
        </w:tc>
      </w:tr>
      <w:tr w:rsidR="00953171" w:rsidRPr="00251B61" w14:paraId="27E4FA33" w14:textId="77777777" w:rsidTr="008D3722">
        <w:trPr>
          <w:trHeight w:val="315"/>
        </w:trPr>
        <w:tc>
          <w:tcPr>
            <w:tcW w:w="1873" w:type="pct"/>
            <w:vMerge/>
            <w:tcBorders>
              <w:top w:val="nil"/>
              <w:left w:val="single" w:sz="4" w:space="0" w:color="auto"/>
              <w:bottom w:val="single" w:sz="4" w:space="0" w:color="auto"/>
              <w:right w:val="single" w:sz="4" w:space="0" w:color="auto"/>
            </w:tcBorders>
            <w:vAlign w:val="center"/>
            <w:hideMark/>
          </w:tcPr>
          <w:p w14:paraId="1C536484"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4643D7E5"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PVN</w:t>
            </w:r>
          </w:p>
        </w:tc>
        <w:tc>
          <w:tcPr>
            <w:tcW w:w="782" w:type="pct"/>
            <w:tcBorders>
              <w:top w:val="nil"/>
              <w:left w:val="nil"/>
              <w:bottom w:val="single" w:sz="4" w:space="0" w:color="auto"/>
              <w:right w:val="single" w:sz="4" w:space="0" w:color="auto"/>
            </w:tcBorders>
            <w:shd w:val="clear" w:color="auto" w:fill="auto"/>
            <w:hideMark/>
          </w:tcPr>
          <w:p w14:paraId="33BE5205"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 xml:space="preserve"> 0,0</w:t>
            </w:r>
          </w:p>
        </w:tc>
        <w:tc>
          <w:tcPr>
            <w:tcW w:w="786" w:type="pct"/>
            <w:tcBorders>
              <w:top w:val="nil"/>
              <w:left w:val="nil"/>
              <w:bottom w:val="single" w:sz="4" w:space="0" w:color="auto"/>
              <w:right w:val="single" w:sz="4" w:space="0" w:color="auto"/>
            </w:tcBorders>
            <w:shd w:val="clear" w:color="auto" w:fill="auto"/>
            <w:hideMark/>
          </w:tcPr>
          <w:p w14:paraId="275D5DE3"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 xml:space="preserve">0,0 </w:t>
            </w:r>
          </w:p>
        </w:tc>
        <w:tc>
          <w:tcPr>
            <w:tcW w:w="699" w:type="pct"/>
            <w:tcBorders>
              <w:top w:val="nil"/>
              <w:left w:val="nil"/>
              <w:bottom w:val="single" w:sz="4" w:space="0" w:color="auto"/>
              <w:right w:val="single" w:sz="4" w:space="0" w:color="auto"/>
            </w:tcBorders>
            <w:shd w:val="clear" w:color="auto" w:fill="auto"/>
            <w:hideMark/>
          </w:tcPr>
          <w:p w14:paraId="43E79FA9"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1,5</w:t>
            </w:r>
          </w:p>
        </w:tc>
      </w:tr>
      <w:tr w:rsidR="00953171" w:rsidRPr="00251B61" w14:paraId="25531E26" w14:textId="77777777" w:rsidTr="008D3722">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165F4E45"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Akcīzes nodokļa paaugstināšana tabakas izstrādājumiem un pēc izmantošanas mērķa līdzīgiem produktiem  2027. gadā</w:t>
            </w:r>
          </w:p>
        </w:tc>
        <w:tc>
          <w:tcPr>
            <w:tcW w:w="860" w:type="pct"/>
            <w:tcBorders>
              <w:top w:val="nil"/>
              <w:left w:val="nil"/>
              <w:bottom w:val="single" w:sz="4" w:space="0" w:color="auto"/>
              <w:right w:val="single" w:sz="4" w:space="0" w:color="auto"/>
            </w:tcBorders>
            <w:shd w:val="clear" w:color="auto" w:fill="auto"/>
            <w:vAlign w:val="center"/>
            <w:hideMark/>
          </w:tcPr>
          <w:p w14:paraId="614A7B71" w14:textId="77777777" w:rsidR="00953171" w:rsidRPr="00251B61" w:rsidRDefault="00953171" w:rsidP="008349F0">
            <w:pPr>
              <w:ind w:firstLine="0"/>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hideMark/>
          </w:tcPr>
          <w:p w14:paraId="016E77BE" w14:textId="77777777" w:rsidR="00953171" w:rsidRPr="00251B61" w:rsidRDefault="00953171" w:rsidP="008349F0">
            <w:pPr>
              <w:jc w:val="center"/>
              <w:rPr>
                <w:rFonts w:cs="Times New Roman"/>
                <w:color w:val="000000"/>
                <w:sz w:val="18"/>
                <w:szCs w:val="18"/>
              </w:rPr>
            </w:pPr>
            <w:r w:rsidRPr="00251B61">
              <w:rPr>
                <w:rFonts w:cs="Times New Roman"/>
                <w:sz w:val="18"/>
                <w:szCs w:val="18"/>
              </w:rPr>
              <w:t>0,0</w:t>
            </w:r>
          </w:p>
        </w:tc>
        <w:tc>
          <w:tcPr>
            <w:tcW w:w="786" w:type="pct"/>
            <w:tcBorders>
              <w:top w:val="nil"/>
              <w:left w:val="nil"/>
              <w:bottom w:val="single" w:sz="4" w:space="0" w:color="auto"/>
              <w:right w:val="single" w:sz="4" w:space="0" w:color="auto"/>
            </w:tcBorders>
            <w:shd w:val="clear" w:color="auto" w:fill="auto"/>
            <w:hideMark/>
          </w:tcPr>
          <w:p w14:paraId="05F477C3" w14:textId="77777777" w:rsidR="00953171" w:rsidRPr="00251B61" w:rsidRDefault="00953171" w:rsidP="008349F0">
            <w:pPr>
              <w:jc w:val="center"/>
              <w:rPr>
                <w:rFonts w:cs="Times New Roman"/>
                <w:color w:val="000000"/>
                <w:sz w:val="18"/>
                <w:szCs w:val="18"/>
              </w:rPr>
            </w:pPr>
            <w:r w:rsidRPr="00251B61">
              <w:rPr>
                <w:rFonts w:cs="Times New Roman"/>
                <w:sz w:val="18"/>
                <w:szCs w:val="18"/>
              </w:rPr>
              <w:t>0,0</w:t>
            </w:r>
          </w:p>
        </w:tc>
        <w:tc>
          <w:tcPr>
            <w:tcW w:w="699" w:type="pct"/>
            <w:tcBorders>
              <w:top w:val="nil"/>
              <w:left w:val="nil"/>
              <w:bottom w:val="single" w:sz="4" w:space="0" w:color="auto"/>
              <w:right w:val="single" w:sz="4" w:space="0" w:color="auto"/>
            </w:tcBorders>
            <w:shd w:val="clear" w:color="auto" w:fill="auto"/>
            <w:hideMark/>
          </w:tcPr>
          <w:p w14:paraId="0EA32F1D" w14:textId="77777777" w:rsidR="00953171" w:rsidRPr="00251B61" w:rsidRDefault="00953171" w:rsidP="008349F0">
            <w:pPr>
              <w:ind w:firstLine="599"/>
              <w:jc w:val="center"/>
              <w:rPr>
                <w:rFonts w:cs="Times New Roman"/>
                <w:color w:val="000000"/>
                <w:sz w:val="18"/>
                <w:szCs w:val="18"/>
              </w:rPr>
            </w:pPr>
            <w:r w:rsidRPr="00251B61">
              <w:rPr>
                <w:rFonts w:cs="Times New Roman"/>
                <w:sz w:val="18"/>
                <w:szCs w:val="18"/>
              </w:rPr>
              <w:t>12,8</w:t>
            </w:r>
          </w:p>
        </w:tc>
      </w:tr>
      <w:tr w:rsidR="00953171" w:rsidRPr="00251B61" w14:paraId="29DC34CA" w14:textId="77777777" w:rsidTr="008D3722">
        <w:trPr>
          <w:trHeight w:val="300"/>
        </w:trPr>
        <w:tc>
          <w:tcPr>
            <w:tcW w:w="1873" w:type="pct"/>
            <w:vMerge/>
            <w:tcBorders>
              <w:top w:val="nil"/>
              <w:left w:val="single" w:sz="4" w:space="0" w:color="auto"/>
              <w:bottom w:val="single" w:sz="4" w:space="0" w:color="auto"/>
              <w:right w:val="single" w:sz="4" w:space="0" w:color="auto"/>
            </w:tcBorders>
            <w:vAlign w:val="center"/>
            <w:hideMark/>
          </w:tcPr>
          <w:p w14:paraId="00B84B44"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392C22E1"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Akcīzes nodoklis</w:t>
            </w:r>
          </w:p>
        </w:tc>
        <w:tc>
          <w:tcPr>
            <w:tcW w:w="782" w:type="pct"/>
            <w:tcBorders>
              <w:top w:val="nil"/>
              <w:left w:val="nil"/>
              <w:bottom w:val="single" w:sz="4" w:space="0" w:color="auto"/>
              <w:right w:val="single" w:sz="4" w:space="0" w:color="auto"/>
            </w:tcBorders>
            <w:shd w:val="clear" w:color="auto" w:fill="auto"/>
            <w:hideMark/>
          </w:tcPr>
          <w:p w14:paraId="6D42EDE6"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 xml:space="preserve">0,0 </w:t>
            </w:r>
          </w:p>
        </w:tc>
        <w:tc>
          <w:tcPr>
            <w:tcW w:w="786" w:type="pct"/>
            <w:tcBorders>
              <w:top w:val="nil"/>
              <w:left w:val="nil"/>
              <w:bottom w:val="single" w:sz="4" w:space="0" w:color="auto"/>
              <w:right w:val="single" w:sz="4" w:space="0" w:color="auto"/>
            </w:tcBorders>
            <w:shd w:val="clear" w:color="auto" w:fill="auto"/>
            <w:hideMark/>
          </w:tcPr>
          <w:p w14:paraId="3BAD85E5"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 xml:space="preserve">0,0 </w:t>
            </w:r>
          </w:p>
        </w:tc>
        <w:tc>
          <w:tcPr>
            <w:tcW w:w="699" w:type="pct"/>
            <w:tcBorders>
              <w:top w:val="nil"/>
              <w:left w:val="nil"/>
              <w:bottom w:val="single" w:sz="4" w:space="0" w:color="auto"/>
              <w:right w:val="single" w:sz="4" w:space="0" w:color="auto"/>
            </w:tcBorders>
            <w:shd w:val="clear" w:color="auto" w:fill="auto"/>
            <w:hideMark/>
          </w:tcPr>
          <w:p w14:paraId="0AF6670E" w14:textId="77777777" w:rsidR="00953171" w:rsidRPr="00251B61" w:rsidRDefault="00953171" w:rsidP="008349F0">
            <w:pPr>
              <w:ind w:firstLine="599"/>
              <w:jc w:val="center"/>
              <w:rPr>
                <w:rFonts w:cs="Times New Roman"/>
                <w:i/>
                <w:iCs/>
                <w:color w:val="000000"/>
                <w:sz w:val="18"/>
                <w:szCs w:val="18"/>
              </w:rPr>
            </w:pPr>
            <w:r w:rsidRPr="00251B61">
              <w:rPr>
                <w:rFonts w:cs="Times New Roman"/>
                <w:sz w:val="18"/>
                <w:szCs w:val="18"/>
              </w:rPr>
              <w:t>10,6</w:t>
            </w:r>
          </w:p>
        </w:tc>
      </w:tr>
      <w:tr w:rsidR="00953171" w:rsidRPr="00251B61" w14:paraId="0349AF99" w14:textId="77777777" w:rsidTr="008D3722">
        <w:trPr>
          <w:trHeight w:val="315"/>
        </w:trPr>
        <w:tc>
          <w:tcPr>
            <w:tcW w:w="1873" w:type="pct"/>
            <w:vMerge/>
            <w:tcBorders>
              <w:top w:val="nil"/>
              <w:left w:val="single" w:sz="4" w:space="0" w:color="auto"/>
              <w:bottom w:val="single" w:sz="4" w:space="0" w:color="auto"/>
              <w:right w:val="single" w:sz="4" w:space="0" w:color="auto"/>
            </w:tcBorders>
            <w:vAlign w:val="center"/>
            <w:hideMark/>
          </w:tcPr>
          <w:p w14:paraId="7FE205C4"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1D042EFC"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PVN</w:t>
            </w:r>
          </w:p>
        </w:tc>
        <w:tc>
          <w:tcPr>
            <w:tcW w:w="782" w:type="pct"/>
            <w:tcBorders>
              <w:top w:val="nil"/>
              <w:left w:val="nil"/>
              <w:bottom w:val="single" w:sz="4" w:space="0" w:color="auto"/>
              <w:right w:val="single" w:sz="4" w:space="0" w:color="auto"/>
            </w:tcBorders>
            <w:shd w:val="clear" w:color="auto" w:fill="auto"/>
            <w:hideMark/>
          </w:tcPr>
          <w:p w14:paraId="448B39E9"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 xml:space="preserve">0,0 </w:t>
            </w:r>
          </w:p>
        </w:tc>
        <w:tc>
          <w:tcPr>
            <w:tcW w:w="786" w:type="pct"/>
            <w:tcBorders>
              <w:top w:val="nil"/>
              <w:left w:val="nil"/>
              <w:bottom w:val="single" w:sz="4" w:space="0" w:color="auto"/>
              <w:right w:val="single" w:sz="4" w:space="0" w:color="auto"/>
            </w:tcBorders>
            <w:shd w:val="clear" w:color="auto" w:fill="auto"/>
            <w:hideMark/>
          </w:tcPr>
          <w:p w14:paraId="2C397A9C"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 xml:space="preserve">0,0 </w:t>
            </w:r>
          </w:p>
        </w:tc>
        <w:tc>
          <w:tcPr>
            <w:tcW w:w="699" w:type="pct"/>
            <w:tcBorders>
              <w:top w:val="nil"/>
              <w:left w:val="nil"/>
              <w:bottom w:val="single" w:sz="4" w:space="0" w:color="auto"/>
              <w:right w:val="single" w:sz="4" w:space="0" w:color="auto"/>
            </w:tcBorders>
            <w:shd w:val="clear" w:color="auto" w:fill="auto"/>
            <w:hideMark/>
          </w:tcPr>
          <w:p w14:paraId="342179C8" w14:textId="77777777" w:rsidR="00953171" w:rsidRPr="00251B61" w:rsidRDefault="00953171" w:rsidP="008349F0">
            <w:pPr>
              <w:jc w:val="center"/>
              <w:rPr>
                <w:rFonts w:cs="Times New Roman"/>
                <w:i/>
                <w:iCs/>
                <w:color w:val="000000"/>
                <w:sz w:val="18"/>
                <w:szCs w:val="18"/>
              </w:rPr>
            </w:pPr>
            <w:r w:rsidRPr="00251B61">
              <w:rPr>
                <w:rFonts w:cs="Times New Roman"/>
                <w:sz w:val="18"/>
                <w:szCs w:val="18"/>
              </w:rPr>
              <w:t>2,2</w:t>
            </w:r>
          </w:p>
        </w:tc>
      </w:tr>
      <w:tr w:rsidR="00953171" w:rsidRPr="00251B61" w14:paraId="5EC270A0" w14:textId="77777777" w:rsidTr="008D3722">
        <w:trPr>
          <w:trHeight w:val="300"/>
        </w:trPr>
        <w:tc>
          <w:tcPr>
            <w:tcW w:w="1873" w:type="pct"/>
            <w:vMerge w:val="restart"/>
            <w:tcBorders>
              <w:top w:val="nil"/>
              <w:left w:val="single" w:sz="4" w:space="0" w:color="auto"/>
              <w:bottom w:val="single" w:sz="4" w:space="0" w:color="auto"/>
              <w:right w:val="single" w:sz="4" w:space="0" w:color="auto"/>
            </w:tcBorders>
            <w:shd w:val="clear" w:color="auto" w:fill="auto"/>
            <w:vAlign w:val="center"/>
            <w:hideMark/>
          </w:tcPr>
          <w:p w14:paraId="3CE22E10"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Akcīzes nodokļa paaugstināšana bezalkoholiskajiem dzērieniem ar cukura saturu līdz 8 g uz 100 ml 2025.gadā</w:t>
            </w:r>
          </w:p>
        </w:tc>
        <w:tc>
          <w:tcPr>
            <w:tcW w:w="860" w:type="pct"/>
            <w:tcBorders>
              <w:top w:val="nil"/>
              <w:left w:val="nil"/>
              <w:bottom w:val="single" w:sz="4" w:space="0" w:color="auto"/>
              <w:right w:val="single" w:sz="4" w:space="0" w:color="auto"/>
            </w:tcBorders>
            <w:shd w:val="clear" w:color="auto" w:fill="auto"/>
            <w:vAlign w:val="center"/>
            <w:hideMark/>
          </w:tcPr>
          <w:p w14:paraId="4C0DFF78" w14:textId="77777777" w:rsidR="00953171" w:rsidRPr="00251B61" w:rsidRDefault="00953171" w:rsidP="008349F0">
            <w:pPr>
              <w:ind w:firstLine="0"/>
              <w:rPr>
                <w:rFonts w:cs="Times New Roman"/>
                <w:color w:val="000000"/>
                <w:sz w:val="18"/>
                <w:szCs w:val="18"/>
              </w:rPr>
            </w:pPr>
            <w:r w:rsidRPr="00251B61">
              <w:rPr>
                <w:rFonts w:cs="Times New Roman"/>
                <w:color w:val="000000"/>
                <w:sz w:val="18"/>
                <w:szCs w:val="18"/>
              </w:rPr>
              <w:t>Kopā, t.sk.:</w:t>
            </w:r>
          </w:p>
        </w:tc>
        <w:tc>
          <w:tcPr>
            <w:tcW w:w="782" w:type="pct"/>
            <w:tcBorders>
              <w:top w:val="nil"/>
              <w:left w:val="nil"/>
              <w:bottom w:val="single" w:sz="4" w:space="0" w:color="auto"/>
              <w:right w:val="single" w:sz="4" w:space="0" w:color="auto"/>
            </w:tcBorders>
            <w:shd w:val="clear" w:color="auto" w:fill="auto"/>
            <w:hideMark/>
          </w:tcPr>
          <w:p w14:paraId="500E7F67" w14:textId="77777777" w:rsidR="00953171" w:rsidRPr="00251B61" w:rsidRDefault="00953171" w:rsidP="008349F0">
            <w:pPr>
              <w:jc w:val="center"/>
              <w:rPr>
                <w:rFonts w:cs="Times New Roman"/>
                <w:color w:val="000000"/>
                <w:sz w:val="18"/>
                <w:szCs w:val="18"/>
              </w:rPr>
            </w:pPr>
            <w:r w:rsidRPr="00251B61">
              <w:rPr>
                <w:rFonts w:cs="Times New Roman"/>
                <w:sz w:val="18"/>
                <w:szCs w:val="18"/>
              </w:rPr>
              <w:t>3,3</w:t>
            </w:r>
          </w:p>
        </w:tc>
        <w:tc>
          <w:tcPr>
            <w:tcW w:w="786" w:type="pct"/>
            <w:tcBorders>
              <w:top w:val="nil"/>
              <w:left w:val="nil"/>
              <w:bottom w:val="single" w:sz="4" w:space="0" w:color="auto"/>
              <w:right w:val="single" w:sz="4" w:space="0" w:color="auto"/>
            </w:tcBorders>
            <w:shd w:val="clear" w:color="auto" w:fill="auto"/>
            <w:hideMark/>
          </w:tcPr>
          <w:p w14:paraId="573A5FF8" w14:textId="77777777" w:rsidR="00953171" w:rsidRPr="00251B61" w:rsidRDefault="00953171" w:rsidP="008349F0">
            <w:pPr>
              <w:jc w:val="center"/>
              <w:rPr>
                <w:rFonts w:cs="Times New Roman"/>
                <w:color w:val="000000"/>
                <w:sz w:val="18"/>
                <w:szCs w:val="18"/>
              </w:rPr>
            </w:pPr>
            <w:r w:rsidRPr="00251B61">
              <w:rPr>
                <w:rFonts w:cs="Times New Roman"/>
                <w:sz w:val="18"/>
                <w:szCs w:val="18"/>
              </w:rPr>
              <w:t>3,6</w:t>
            </w:r>
          </w:p>
        </w:tc>
        <w:tc>
          <w:tcPr>
            <w:tcW w:w="699" w:type="pct"/>
            <w:tcBorders>
              <w:top w:val="nil"/>
              <w:left w:val="nil"/>
              <w:bottom w:val="single" w:sz="4" w:space="0" w:color="auto"/>
              <w:right w:val="single" w:sz="4" w:space="0" w:color="auto"/>
            </w:tcBorders>
            <w:shd w:val="clear" w:color="auto" w:fill="auto"/>
            <w:hideMark/>
          </w:tcPr>
          <w:p w14:paraId="758086DB" w14:textId="77777777" w:rsidR="00953171" w:rsidRPr="00251B61" w:rsidRDefault="00953171" w:rsidP="008349F0">
            <w:pPr>
              <w:jc w:val="center"/>
              <w:rPr>
                <w:rFonts w:cs="Times New Roman"/>
                <w:color w:val="000000"/>
                <w:sz w:val="18"/>
                <w:szCs w:val="18"/>
              </w:rPr>
            </w:pPr>
            <w:r w:rsidRPr="00251B61">
              <w:rPr>
                <w:rFonts w:cs="Times New Roman"/>
                <w:sz w:val="18"/>
                <w:szCs w:val="18"/>
              </w:rPr>
              <w:t>3,5</w:t>
            </w:r>
          </w:p>
        </w:tc>
      </w:tr>
      <w:tr w:rsidR="00953171" w:rsidRPr="00251B61" w14:paraId="513BFFE2" w14:textId="77777777" w:rsidTr="008D3722">
        <w:trPr>
          <w:trHeight w:val="300"/>
        </w:trPr>
        <w:tc>
          <w:tcPr>
            <w:tcW w:w="1873" w:type="pct"/>
            <w:vMerge/>
            <w:tcBorders>
              <w:top w:val="nil"/>
              <w:left w:val="single" w:sz="4" w:space="0" w:color="auto"/>
              <w:bottom w:val="single" w:sz="4" w:space="0" w:color="auto"/>
              <w:right w:val="single" w:sz="4" w:space="0" w:color="auto"/>
            </w:tcBorders>
            <w:vAlign w:val="center"/>
            <w:hideMark/>
          </w:tcPr>
          <w:p w14:paraId="646787B5"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72CE25EF"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Akcīzes nodoklis</w:t>
            </w:r>
          </w:p>
        </w:tc>
        <w:tc>
          <w:tcPr>
            <w:tcW w:w="782" w:type="pct"/>
            <w:tcBorders>
              <w:top w:val="nil"/>
              <w:left w:val="nil"/>
              <w:bottom w:val="single" w:sz="4" w:space="0" w:color="auto"/>
              <w:right w:val="single" w:sz="4" w:space="0" w:color="auto"/>
            </w:tcBorders>
            <w:shd w:val="clear" w:color="auto" w:fill="auto"/>
            <w:hideMark/>
          </w:tcPr>
          <w:p w14:paraId="69923357"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2,8</w:t>
            </w:r>
          </w:p>
        </w:tc>
        <w:tc>
          <w:tcPr>
            <w:tcW w:w="786" w:type="pct"/>
            <w:tcBorders>
              <w:top w:val="nil"/>
              <w:left w:val="nil"/>
              <w:bottom w:val="single" w:sz="4" w:space="0" w:color="auto"/>
              <w:right w:val="single" w:sz="4" w:space="0" w:color="auto"/>
            </w:tcBorders>
            <w:shd w:val="clear" w:color="auto" w:fill="auto"/>
            <w:hideMark/>
          </w:tcPr>
          <w:p w14:paraId="28C871A4"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2,9</w:t>
            </w:r>
          </w:p>
        </w:tc>
        <w:tc>
          <w:tcPr>
            <w:tcW w:w="699" w:type="pct"/>
            <w:tcBorders>
              <w:top w:val="nil"/>
              <w:left w:val="nil"/>
              <w:bottom w:val="single" w:sz="4" w:space="0" w:color="auto"/>
              <w:right w:val="single" w:sz="4" w:space="0" w:color="auto"/>
            </w:tcBorders>
            <w:shd w:val="clear" w:color="auto" w:fill="auto"/>
            <w:hideMark/>
          </w:tcPr>
          <w:p w14:paraId="2CBC5CAC"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2,9</w:t>
            </w:r>
          </w:p>
        </w:tc>
      </w:tr>
      <w:tr w:rsidR="00953171" w:rsidRPr="00251B61" w14:paraId="205E12B7" w14:textId="77777777" w:rsidTr="008D3722">
        <w:trPr>
          <w:trHeight w:val="315"/>
        </w:trPr>
        <w:tc>
          <w:tcPr>
            <w:tcW w:w="1873" w:type="pct"/>
            <w:vMerge/>
            <w:tcBorders>
              <w:top w:val="nil"/>
              <w:left w:val="single" w:sz="4" w:space="0" w:color="auto"/>
              <w:bottom w:val="single" w:sz="4" w:space="0" w:color="auto"/>
              <w:right w:val="single" w:sz="4" w:space="0" w:color="auto"/>
            </w:tcBorders>
            <w:vAlign w:val="center"/>
            <w:hideMark/>
          </w:tcPr>
          <w:p w14:paraId="05D4734C" w14:textId="77777777" w:rsidR="00953171" w:rsidRPr="00251B61" w:rsidRDefault="00953171" w:rsidP="008349F0">
            <w:pPr>
              <w:rPr>
                <w:rFonts w:cs="Times New Roman"/>
                <w:color w:val="000000"/>
                <w:sz w:val="18"/>
                <w:szCs w:val="18"/>
              </w:rPr>
            </w:pPr>
          </w:p>
        </w:tc>
        <w:tc>
          <w:tcPr>
            <w:tcW w:w="860" w:type="pct"/>
            <w:tcBorders>
              <w:top w:val="nil"/>
              <w:left w:val="nil"/>
              <w:bottom w:val="single" w:sz="4" w:space="0" w:color="auto"/>
              <w:right w:val="single" w:sz="4" w:space="0" w:color="auto"/>
            </w:tcBorders>
            <w:shd w:val="clear" w:color="auto" w:fill="auto"/>
            <w:vAlign w:val="center"/>
            <w:hideMark/>
          </w:tcPr>
          <w:p w14:paraId="4257D731" w14:textId="77777777" w:rsidR="00953171" w:rsidRPr="00251B61" w:rsidRDefault="00953171" w:rsidP="008349F0">
            <w:pPr>
              <w:ind w:firstLine="0"/>
              <w:jc w:val="left"/>
              <w:rPr>
                <w:rFonts w:cs="Times New Roman"/>
                <w:i/>
                <w:iCs/>
                <w:color w:val="000000"/>
                <w:sz w:val="18"/>
                <w:szCs w:val="18"/>
              </w:rPr>
            </w:pPr>
            <w:r w:rsidRPr="00251B61">
              <w:rPr>
                <w:rFonts w:cs="Times New Roman"/>
                <w:i/>
                <w:iCs/>
                <w:color w:val="000000"/>
                <w:sz w:val="18"/>
                <w:szCs w:val="18"/>
              </w:rPr>
              <w:t>PVN</w:t>
            </w:r>
          </w:p>
        </w:tc>
        <w:tc>
          <w:tcPr>
            <w:tcW w:w="782" w:type="pct"/>
            <w:tcBorders>
              <w:top w:val="nil"/>
              <w:left w:val="nil"/>
              <w:bottom w:val="single" w:sz="4" w:space="0" w:color="auto"/>
              <w:right w:val="single" w:sz="4" w:space="0" w:color="auto"/>
            </w:tcBorders>
            <w:shd w:val="clear" w:color="auto" w:fill="auto"/>
            <w:hideMark/>
          </w:tcPr>
          <w:p w14:paraId="3EE74F90"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0,6</w:t>
            </w:r>
          </w:p>
        </w:tc>
        <w:tc>
          <w:tcPr>
            <w:tcW w:w="786" w:type="pct"/>
            <w:tcBorders>
              <w:top w:val="nil"/>
              <w:left w:val="nil"/>
              <w:bottom w:val="single" w:sz="4" w:space="0" w:color="auto"/>
              <w:right w:val="single" w:sz="4" w:space="0" w:color="auto"/>
            </w:tcBorders>
            <w:shd w:val="clear" w:color="auto" w:fill="auto"/>
            <w:hideMark/>
          </w:tcPr>
          <w:p w14:paraId="4AE41C35"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0,6</w:t>
            </w:r>
          </w:p>
        </w:tc>
        <w:tc>
          <w:tcPr>
            <w:tcW w:w="699" w:type="pct"/>
            <w:tcBorders>
              <w:top w:val="nil"/>
              <w:left w:val="nil"/>
              <w:bottom w:val="single" w:sz="4" w:space="0" w:color="auto"/>
              <w:right w:val="single" w:sz="4" w:space="0" w:color="auto"/>
            </w:tcBorders>
            <w:shd w:val="clear" w:color="auto" w:fill="auto"/>
            <w:hideMark/>
          </w:tcPr>
          <w:p w14:paraId="2C1AEF60" w14:textId="77777777" w:rsidR="00953171" w:rsidRPr="00251B61" w:rsidRDefault="00953171" w:rsidP="008349F0">
            <w:pPr>
              <w:jc w:val="center"/>
              <w:rPr>
                <w:rFonts w:cs="Times New Roman"/>
                <w:i/>
                <w:iCs/>
                <w:color w:val="000000"/>
                <w:sz w:val="18"/>
                <w:szCs w:val="18"/>
              </w:rPr>
            </w:pPr>
            <w:r w:rsidRPr="00251B61">
              <w:rPr>
                <w:rFonts w:cs="Times New Roman"/>
                <w:i/>
                <w:iCs/>
                <w:sz w:val="18"/>
                <w:szCs w:val="18"/>
              </w:rPr>
              <w:t>0,6</w:t>
            </w:r>
          </w:p>
        </w:tc>
      </w:tr>
      <w:tr w:rsidR="00953171" w:rsidRPr="00251B61" w14:paraId="7B1854EE" w14:textId="77777777" w:rsidTr="008D3722">
        <w:trPr>
          <w:trHeight w:val="300"/>
        </w:trPr>
        <w:tc>
          <w:tcPr>
            <w:tcW w:w="1873" w:type="pct"/>
            <w:tcBorders>
              <w:top w:val="nil"/>
              <w:left w:val="single" w:sz="4" w:space="0" w:color="auto"/>
              <w:bottom w:val="single" w:sz="4" w:space="0" w:color="auto"/>
              <w:right w:val="single" w:sz="4" w:space="0" w:color="auto"/>
            </w:tcBorders>
            <w:shd w:val="clear" w:color="auto" w:fill="auto"/>
            <w:vAlign w:val="center"/>
            <w:hideMark/>
          </w:tcPr>
          <w:p w14:paraId="5400ABFA" w14:textId="77777777" w:rsidR="00953171" w:rsidRPr="00251B61" w:rsidRDefault="00953171" w:rsidP="008349F0">
            <w:pPr>
              <w:ind w:firstLine="0"/>
              <w:jc w:val="left"/>
              <w:rPr>
                <w:rFonts w:cs="Times New Roman"/>
                <w:color w:val="000000"/>
                <w:sz w:val="18"/>
                <w:szCs w:val="18"/>
              </w:rPr>
            </w:pPr>
            <w:r w:rsidRPr="00251B61">
              <w:rPr>
                <w:rFonts w:cs="Times New Roman"/>
                <w:color w:val="000000"/>
                <w:sz w:val="18"/>
                <w:szCs w:val="18"/>
              </w:rPr>
              <w:t>Ieņēmumu no konfiscēto noziedzīgi iegūto līdzekļu realizācijas precizēšana</w:t>
            </w:r>
          </w:p>
        </w:tc>
        <w:tc>
          <w:tcPr>
            <w:tcW w:w="860" w:type="pct"/>
            <w:tcBorders>
              <w:top w:val="nil"/>
              <w:left w:val="nil"/>
              <w:bottom w:val="single" w:sz="4" w:space="0" w:color="auto"/>
              <w:right w:val="single" w:sz="4" w:space="0" w:color="auto"/>
            </w:tcBorders>
            <w:shd w:val="clear" w:color="auto" w:fill="auto"/>
            <w:vAlign w:val="center"/>
            <w:hideMark/>
          </w:tcPr>
          <w:p w14:paraId="38D28A2F" w14:textId="77777777" w:rsidR="00953171" w:rsidRPr="00251B61" w:rsidRDefault="00953171" w:rsidP="008349F0">
            <w:pPr>
              <w:ind w:firstLine="0"/>
              <w:rPr>
                <w:rFonts w:cs="Times New Roman"/>
                <w:color w:val="000000"/>
                <w:sz w:val="18"/>
                <w:szCs w:val="18"/>
              </w:rPr>
            </w:pPr>
            <w:proofErr w:type="spellStart"/>
            <w:r w:rsidRPr="00251B61">
              <w:rPr>
                <w:rFonts w:cs="Times New Roman"/>
                <w:color w:val="000000"/>
                <w:sz w:val="18"/>
                <w:szCs w:val="18"/>
              </w:rPr>
              <w:t>Nenodokļi</w:t>
            </w:r>
            <w:proofErr w:type="spellEnd"/>
          </w:p>
        </w:tc>
        <w:tc>
          <w:tcPr>
            <w:tcW w:w="782" w:type="pct"/>
            <w:tcBorders>
              <w:top w:val="nil"/>
              <w:left w:val="nil"/>
              <w:bottom w:val="single" w:sz="4" w:space="0" w:color="auto"/>
              <w:right w:val="single" w:sz="4" w:space="0" w:color="auto"/>
            </w:tcBorders>
            <w:shd w:val="clear" w:color="auto" w:fill="auto"/>
            <w:vAlign w:val="center"/>
            <w:hideMark/>
          </w:tcPr>
          <w:p w14:paraId="000C0A4A"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30,0</w:t>
            </w:r>
          </w:p>
        </w:tc>
        <w:tc>
          <w:tcPr>
            <w:tcW w:w="786" w:type="pct"/>
            <w:tcBorders>
              <w:top w:val="nil"/>
              <w:left w:val="nil"/>
              <w:bottom w:val="single" w:sz="4" w:space="0" w:color="auto"/>
              <w:right w:val="single" w:sz="4" w:space="0" w:color="auto"/>
            </w:tcBorders>
            <w:shd w:val="clear" w:color="auto" w:fill="auto"/>
            <w:vAlign w:val="center"/>
            <w:hideMark/>
          </w:tcPr>
          <w:p w14:paraId="68F36ADC" w14:textId="77777777" w:rsidR="00953171" w:rsidRPr="00251B61" w:rsidRDefault="00953171" w:rsidP="008349F0">
            <w:pPr>
              <w:jc w:val="center"/>
              <w:rPr>
                <w:rFonts w:cs="Times New Roman"/>
                <w:color w:val="000000"/>
                <w:sz w:val="18"/>
                <w:szCs w:val="18"/>
              </w:rPr>
            </w:pPr>
            <w:r w:rsidRPr="00251B61">
              <w:rPr>
                <w:rFonts w:cs="Times New Roman"/>
                <w:color w:val="000000"/>
                <w:sz w:val="18"/>
                <w:szCs w:val="18"/>
              </w:rPr>
              <w:t>30,0</w:t>
            </w:r>
          </w:p>
        </w:tc>
        <w:tc>
          <w:tcPr>
            <w:tcW w:w="699" w:type="pct"/>
            <w:tcBorders>
              <w:top w:val="nil"/>
              <w:left w:val="nil"/>
              <w:bottom w:val="single" w:sz="4" w:space="0" w:color="auto"/>
              <w:right w:val="single" w:sz="4" w:space="0" w:color="auto"/>
            </w:tcBorders>
            <w:shd w:val="clear" w:color="auto" w:fill="auto"/>
            <w:vAlign w:val="center"/>
            <w:hideMark/>
          </w:tcPr>
          <w:p w14:paraId="5D5759AE" w14:textId="77777777" w:rsidR="00953171" w:rsidRPr="00251B61" w:rsidRDefault="00953171" w:rsidP="008349F0">
            <w:pPr>
              <w:ind w:firstLine="599"/>
              <w:jc w:val="center"/>
              <w:rPr>
                <w:rFonts w:cs="Times New Roman"/>
                <w:color w:val="000000"/>
                <w:sz w:val="18"/>
                <w:szCs w:val="18"/>
              </w:rPr>
            </w:pPr>
            <w:r w:rsidRPr="00251B61">
              <w:rPr>
                <w:rFonts w:cs="Times New Roman"/>
                <w:color w:val="000000"/>
                <w:sz w:val="18"/>
                <w:szCs w:val="18"/>
              </w:rPr>
              <w:t>30,0</w:t>
            </w:r>
          </w:p>
        </w:tc>
      </w:tr>
      <w:tr w:rsidR="00953171" w:rsidRPr="00251B61" w14:paraId="0EB46DB5" w14:textId="77777777" w:rsidTr="008D37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733" w:type="pct"/>
            <w:gridSpan w:val="2"/>
            <w:shd w:val="clear" w:color="auto" w:fill="auto"/>
            <w:vAlign w:val="center"/>
          </w:tcPr>
          <w:p w14:paraId="6F7F1DCD" w14:textId="77777777" w:rsidR="00953171" w:rsidRPr="00251B61" w:rsidRDefault="00953171" w:rsidP="008349F0">
            <w:pPr>
              <w:keepLines/>
              <w:spacing w:after="0"/>
              <w:ind w:firstLine="0"/>
              <w:contextualSpacing/>
              <w:jc w:val="left"/>
              <w:rPr>
                <w:rFonts w:eastAsia="Times New Roman" w:cs="Times New Roman"/>
                <w:b/>
                <w:bCs/>
                <w:sz w:val="18"/>
                <w:szCs w:val="18"/>
              </w:rPr>
            </w:pPr>
            <w:r w:rsidRPr="00251B61">
              <w:rPr>
                <w:rFonts w:eastAsia="Times New Roman" w:cs="Times New Roman"/>
                <w:b/>
                <w:bCs/>
                <w:sz w:val="18"/>
                <w:szCs w:val="18"/>
              </w:rPr>
              <w:t>Ziņojumā ietverto pasākumu ietekme, kopā</w:t>
            </w:r>
            <w:r w:rsidRPr="00251B61">
              <w:rPr>
                <w:rFonts w:eastAsia="Times New Roman" w:cs="Times New Roman"/>
                <w:b/>
                <w:bCs/>
                <w:sz w:val="18"/>
                <w:szCs w:val="18"/>
                <w:vertAlign w:val="superscript"/>
              </w:rPr>
              <w:t>1</w:t>
            </w:r>
          </w:p>
        </w:tc>
        <w:tc>
          <w:tcPr>
            <w:tcW w:w="782" w:type="pct"/>
            <w:shd w:val="clear" w:color="auto" w:fill="auto"/>
          </w:tcPr>
          <w:p w14:paraId="7AA73EAD" w14:textId="77777777" w:rsidR="00953171" w:rsidRPr="00251B61" w:rsidRDefault="00953171" w:rsidP="008349F0">
            <w:pPr>
              <w:spacing w:after="0"/>
              <w:contextualSpacing/>
              <w:jc w:val="right"/>
              <w:rPr>
                <w:rFonts w:cs="Times New Roman"/>
                <w:b/>
                <w:bCs/>
                <w:sz w:val="18"/>
                <w:szCs w:val="18"/>
              </w:rPr>
            </w:pPr>
            <w:r w:rsidRPr="00251B61">
              <w:rPr>
                <w:rFonts w:cs="Times New Roman"/>
                <w:b/>
                <w:bCs/>
                <w:sz w:val="18"/>
                <w:szCs w:val="18"/>
              </w:rPr>
              <w:t>1,3</w:t>
            </w:r>
          </w:p>
        </w:tc>
        <w:tc>
          <w:tcPr>
            <w:tcW w:w="786" w:type="pct"/>
            <w:shd w:val="clear" w:color="auto" w:fill="auto"/>
          </w:tcPr>
          <w:p w14:paraId="7D1C60C4" w14:textId="77777777" w:rsidR="00953171" w:rsidRPr="00251B61" w:rsidRDefault="00953171" w:rsidP="008349F0">
            <w:pPr>
              <w:spacing w:after="0"/>
              <w:contextualSpacing/>
              <w:jc w:val="right"/>
              <w:rPr>
                <w:rFonts w:cs="Times New Roman"/>
                <w:b/>
                <w:bCs/>
                <w:sz w:val="18"/>
                <w:szCs w:val="18"/>
              </w:rPr>
            </w:pPr>
            <w:r w:rsidRPr="00251B61">
              <w:rPr>
                <w:rFonts w:cs="Times New Roman"/>
                <w:b/>
                <w:bCs/>
                <w:sz w:val="18"/>
                <w:szCs w:val="18"/>
              </w:rPr>
              <w:t>27,1</w:t>
            </w:r>
          </w:p>
        </w:tc>
        <w:tc>
          <w:tcPr>
            <w:tcW w:w="699" w:type="pct"/>
            <w:shd w:val="clear" w:color="auto" w:fill="auto"/>
          </w:tcPr>
          <w:p w14:paraId="44B92B06" w14:textId="77777777" w:rsidR="00953171" w:rsidRPr="00251B61" w:rsidRDefault="00953171" w:rsidP="008349F0">
            <w:pPr>
              <w:spacing w:after="0"/>
              <w:contextualSpacing/>
              <w:jc w:val="right"/>
              <w:rPr>
                <w:rFonts w:cs="Times New Roman"/>
                <w:b/>
                <w:bCs/>
                <w:sz w:val="18"/>
                <w:szCs w:val="18"/>
              </w:rPr>
            </w:pPr>
            <w:r w:rsidRPr="00251B61">
              <w:rPr>
                <w:rFonts w:cs="Times New Roman"/>
                <w:b/>
                <w:bCs/>
                <w:sz w:val="18"/>
                <w:szCs w:val="18"/>
              </w:rPr>
              <w:t>-7,1</w:t>
            </w:r>
          </w:p>
        </w:tc>
      </w:tr>
      <w:tr w:rsidR="00953171" w:rsidRPr="00251B61" w14:paraId="38D0D24C" w14:textId="77777777" w:rsidTr="008D37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7"/>
        </w:trPr>
        <w:tc>
          <w:tcPr>
            <w:tcW w:w="2733" w:type="pct"/>
            <w:gridSpan w:val="2"/>
            <w:shd w:val="clear" w:color="auto" w:fill="auto"/>
            <w:vAlign w:val="center"/>
          </w:tcPr>
          <w:p w14:paraId="3AE17B24" w14:textId="77777777" w:rsidR="00953171" w:rsidRPr="00251B61" w:rsidRDefault="00953171" w:rsidP="008349F0">
            <w:pPr>
              <w:keepLines/>
              <w:spacing w:after="0"/>
              <w:ind w:firstLine="0"/>
              <w:contextualSpacing/>
              <w:jc w:val="left"/>
              <w:rPr>
                <w:rFonts w:eastAsia="Times New Roman" w:cs="Times New Roman"/>
                <w:b/>
                <w:bCs/>
                <w:sz w:val="18"/>
                <w:szCs w:val="18"/>
              </w:rPr>
            </w:pPr>
            <w:r w:rsidRPr="00251B61">
              <w:rPr>
                <w:rFonts w:eastAsia="Times New Roman" w:cs="Times New Roman"/>
                <w:b/>
                <w:bCs/>
                <w:sz w:val="18"/>
                <w:szCs w:val="18"/>
              </w:rPr>
              <w:t>Visi MK atbalstītie pasākumi, kopā</w:t>
            </w:r>
            <w:r w:rsidRPr="00251B61">
              <w:rPr>
                <w:rFonts w:eastAsia="Times New Roman" w:cs="Times New Roman"/>
                <w:b/>
                <w:bCs/>
                <w:sz w:val="18"/>
                <w:szCs w:val="18"/>
                <w:vertAlign w:val="superscript"/>
              </w:rPr>
              <w:t>1</w:t>
            </w:r>
          </w:p>
        </w:tc>
        <w:tc>
          <w:tcPr>
            <w:tcW w:w="782" w:type="pct"/>
            <w:shd w:val="clear" w:color="auto" w:fill="auto"/>
          </w:tcPr>
          <w:p w14:paraId="773DEB5E" w14:textId="77777777" w:rsidR="00953171" w:rsidRPr="00251B61" w:rsidRDefault="00953171" w:rsidP="008349F0">
            <w:pPr>
              <w:spacing w:after="0"/>
              <w:contextualSpacing/>
              <w:jc w:val="right"/>
              <w:rPr>
                <w:rFonts w:cs="Times New Roman"/>
                <w:b/>
                <w:bCs/>
                <w:sz w:val="18"/>
                <w:szCs w:val="18"/>
              </w:rPr>
            </w:pPr>
            <w:r w:rsidRPr="00251B61">
              <w:rPr>
                <w:rFonts w:cs="Times New Roman"/>
                <w:b/>
                <w:bCs/>
                <w:sz w:val="18"/>
                <w:szCs w:val="18"/>
              </w:rPr>
              <w:t xml:space="preserve">227,4 </w:t>
            </w:r>
          </w:p>
        </w:tc>
        <w:tc>
          <w:tcPr>
            <w:tcW w:w="786" w:type="pct"/>
            <w:shd w:val="clear" w:color="auto" w:fill="auto"/>
          </w:tcPr>
          <w:p w14:paraId="1D7B6671" w14:textId="77777777" w:rsidR="00953171" w:rsidRPr="00251B61" w:rsidRDefault="00953171" w:rsidP="008349F0">
            <w:pPr>
              <w:spacing w:after="0"/>
              <w:ind w:firstLine="694"/>
              <w:contextualSpacing/>
              <w:jc w:val="right"/>
              <w:rPr>
                <w:rFonts w:cs="Times New Roman"/>
                <w:b/>
                <w:bCs/>
                <w:sz w:val="18"/>
                <w:szCs w:val="18"/>
              </w:rPr>
            </w:pPr>
            <w:r w:rsidRPr="00251B61">
              <w:rPr>
                <w:rFonts w:cs="Times New Roman"/>
                <w:b/>
                <w:bCs/>
                <w:sz w:val="18"/>
                <w:szCs w:val="18"/>
              </w:rPr>
              <w:t xml:space="preserve">200,7 </w:t>
            </w:r>
          </w:p>
        </w:tc>
        <w:tc>
          <w:tcPr>
            <w:tcW w:w="699" w:type="pct"/>
            <w:shd w:val="clear" w:color="auto" w:fill="auto"/>
          </w:tcPr>
          <w:p w14:paraId="2215C91B" w14:textId="77777777" w:rsidR="00953171" w:rsidRPr="00251B61" w:rsidRDefault="00953171" w:rsidP="008349F0">
            <w:pPr>
              <w:spacing w:after="0"/>
              <w:ind w:firstLine="595"/>
              <w:contextualSpacing/>
              <w:jc w:val="right"/>
              <w:rPr>
                <w:rFonts w:cs="Times New Roman"/>
                <w:b/>
                <w:bCs/>
                <w:sz w:val="18"/>
                <w:szCs w:val="18"/>
              </w:rPr>
            </w:pPr>
            <w:r w:rsidRPr="00251B61">
              <w:rPr>
                <w:rFonts w:cs="Times New Roman"/>
                <w:b/>
                <w:bCs/>
                <w:sz w:val="18"/>
                <w:szCs w:val="18"/>
              </w:rPr>
              <w:t xml:space="preserve">163,7 </w:t>
            </w:r>
          </w:p>
        </w:tc>
      </w:tr>
    </w:tbl>
    <w:p w14:paraId="3E207E02" w14:textId="77777777" w:rsidR="00953171" w:rsidRPr="00251B61" w:rsidRDefault="00953171" w:rsidP="008349F0">
      <w:pPr>
        <w:spacing w:after="240"/>
        <w:ind w:firstLine="0"/>
        <w:contextualSpacing/>
        <w:rPr>
          <w:rFonts w:eastAsia="Calibri" w:cs="Times New Roman"/>
          <w:sz w:val="18"/>
          <w:szCs w:val="18"/>
          <w:lang w:eastAsia="en-US"/>
        </w:rPr>
      </w:pPr>
      <w:r w:rsidRPr="00251B61">
        <w:rPr>
          <w:rFonts w:eastAsia="Calibri" w:cs="Times New Roman"/>
          <w:sz w:val="18"/>
          <w:szCs w:val="18"/>
          <w:vertAlign w:val="superscript"/>
          <w:lang w:eastAsia="en-US"/>
        </w:rPr>
        <w:t>1</w:t>
      </w:r>
      <w:r w:rsidRPr="00251B61">
        <w:rPr>
          <w:rFonts w:eastAsia="Calibri" w:cs="Times New Roman"/>
          <w:sz w:val="18"/>
          <w:szCs w:val="18"/>
          <w:lang w:eastAsia="en-US"/>
        </w:rPr>
        <w:t xml:space="preserve"> Neieskaitot iemaksas valsts </w:t>
      </w:r>
      <w:proofErr w:type="spellStart"/>
      <w:r w:rsidRPr="00251B61">
        <w:rPr>
          <w:rFonts w:eastAsia="Calibri" w:cs="Times New Roman"/>
          <w:sz w:val="18"/>
          <w:szCs w:val="18"/>
          <w:lang w:eastAsia="en-US"/>
        </w:rPr>
        <w:t>fondēto</w:t>
      </w:r>
      <w:proofErr w:type="spellEnd"/>
      <w:r w:rsidRPr="00251B61">
        <w:rPr>
          <w:rFonts w:eastAsia="Calibri" w:cs="Times New Roman"/>
          <w:sz w:val="18"/>
          <w:szCs w:val="18"/>
          <w:lang w:eastAsia="en-US"/>
        </w:rPr>
        <w:t xml:space="preserve"> pensiju shēmā.</w:t>
      </w:r>
    </w:p>
    <w:p w14:paraId="7F8EE8BE" w14:textId="77777777" w:rsidR="00953171" w:rsidRPr="00251B61" w:rsidRDefault="00953171" w:rsidP="008349F0">
      <w:pPr>
        <w:ind w:firstLine="0"/>
        <w:rPr>
          <w:rFonts w:eastAsia="Calibri" w:cs="Times New Roman"/>
          <w:sz w:val="18"/>
          <w:szCs w:val="18"/>
          <w:lang w:eastAsia="en-US"/>
        </w:rPr>
      </w:pPr>
    </w:p>
    <w:p w14:paraId="4C6318BF" w14:textId="49F69E83" w:rsidR="003F3FCD" w:rsidRPr="00835750" w:rsidRDefault="000548A5" w:rsidP="008349F0">
      <w:pPr>
        <w:pStyle w:val="Heading2"/>
        <w:spacing w:before="240" w:after="240"/>
        <w:rPr>
          <w:rFonts w:eastAsia="Times New Roman"/>
        </w:rPr>
      </w:pPr>
      <w:bookmarkStart w:id="77" w:name="_Toc179356098"/>
      <w:r w:rsidRPr="00835750">
        <w:rPr>
          <w:rFonts w:eastAsia="Times New Roman"/>
        </w:rPr>
        <w:t>3.2. Kopbudžeta nodokļu ieņēmumi</w:t>
      </w:r>
      <w:bookmarkEnd w:id="77"/>
    </w:p>
    <w:p w14:paraId="5A3900BF" w14:textId="15D63311" w:rsidR="00835750" w:rsidRPr="00251B61" w:rsidRDefault="00835750" w:rsidP="008349F0">
      <w:pPr>
        <w:rPr>
          <w:rFonts w:eastAsia="Times New Roman" w:cs="Times New Roman"/>
          <w:color w:val="000000"/>
          <w:szCs w:val="24"/>
        </w:rPr>
      </w:pPr>
      <w:r w:rsidRPr="00251B61">
        <w:rPr>
          <w:rFonts w:eastAsia="Calibri" w:cs="Times New Roman"/>
          <w:szCs w:val="24"/>
        </w:rPr>
        <w:t xml:space="preserve">2024. gada 1. pusgadā </w:t>
      </w:r>
      <w:r w:rsidRPr="00251B61">
        <w:rPr>
          <w:rFonts w:eastAsia="Times New Roman" w:cs="Times New Roman"/>
          <w:color w:val="000000"/>
          <w:szCs w:val="24"/>
        </w:rPr>
        <w:t>kopbudžeta nodokļu ieņēmumi bija 6 615,5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kas, salīdzinot ar likumā “Par valsts budžetu 2024. gadam un budžeta ietvaru 2024., 2025. un 2026. gadam” noteikto plānu, ir par 29,5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0,4% mazāk. To galvenokārt ietekmēja neizpilde PVN jomā, kas saistās ar būtisku cenu samazinājumu energoresursu nozarē. Tāpat plānotos apmērus nesasniedza akcīzes nodoklis – galvenokārt pieprasījuma krituma rezultātā naftas produktu kategorijā. Savukārt darbaspēka nodokļi un UIN pārsniedza plānotos apmērus.</w:t>
      </w:r>
    </w:p>
    <w:p w14:paraId="57DE825E" w14:textId="5571D45D" w:rsidR="00835750" w:rsidRPr="00251B61" w:rsidRDefault="00835750" w:rsidP="008349F0">
      <w:pPr>
        <w:rPr>
          <w:rFonts w:eastAsia="Times New Roman" w:cs="Times New Roman"/>
          <w:color w:val="000000"/>
          <w:szCs w:val="24"/>
        </w:rPr>
      </w:pPr>
      <w:r w:rsidRPr="00251B61">
        <w:rPr>
          <w:rFonts w:eastAsiaTheme="minorHAnsi" w:cs="Times New Roman"/>
          <w:szCs w:val="24"/>
        </w:rPr>
        <w:t>Salīdzinot ar 2023. gada 1. pusgadu, kopbudžeta nodokļu ieņēmumi tika iekasēti par 406,1 milj. </w:t>
      </w:r>
      <w:proofErr w:type="spellStart"/>
      <w:r w:rsidRPr="00251B61">
        <w:rPr>
          <w:rFonts w:eastAsiaTheme="minorHAnsi" w:cs="Times New Roman"/>
          <w:i/>
          <w:iCs/>
          <w:szCs w:val="24"/>
        </w:rPr>
        <w:t>euro</w:t>
      </w:r>
      <w:proofErr w:type="spellEnd"/>
      <w:r w:rsidRPr="00251B61">
        <w:rPr>
          <w:rFonts w:eastAsiaTheme="minorHAnsi" w:cs="Times New Roman"/>
          <w:szCs w:val="24"/>
        </w:rPr>
        <w:t xml:space="preserve"> jeb 6,5% vairāk, ko noteica darbaspēka nodokļu un UIN ieņēmumu būtiskais pieaugums.</w:t>
      </w:r>
      <w:r>
        <w:rPr>
          <w:rFonts w:eastAsiaTheme="minorHAnsi" w:cs="Times New Roman"/>
          <w:szCs w:val="24"/>
        </w:rPr>
        <w:t xml:space="preserve"> </w:t>
      </w:r>
      <w:r w:rsidRPr="00251B61">
        <w:rPr>
          <w:rFonts w:eastAsiaTheme="minorHAnsi" w:cs="Times New Roman"/>
          <w:szCs w:val="24"/>
        </w:rPr>
        <w:t>Darbaspēka nodokļu pieaugums saistāms ar augsto darba samaksas fonda pieauguma tempu gada sākumā. Savukārt UIN ieņēmumu pieaugums saistāms ar nodokļa piemaksas ieviešanu bankām</w:t>
      </w:r>
      <w:r w:rsidRPr="00251B61">
        <w:rPr>
          <w:rFonts w:eastAsia="Times New Roman" w:cs="Times New Roman"/>
          <w:color w:val="000000"/>
          <w:szCs w:val="24"/>
        </w:rPr>
        <w:t>.</w:t>
      </w:r>
    </w:p>
    <w:p w14:paraId="0E3C27F8" w14:textId="77777777" w:rsidR="00835750" w:rsidRPr="00251B61" w:rsidRDefault="00835750" w:rsidP="008349F0">
      <w:pPr>
        <w:rPr>
          <w:rFonts w:eastAsiaTheme="minorHAnsi" w:cs="Times New Roman"/>
          <w:szCs w:val="24"/>
        </w:rPr>
      </w:pPr>
      <w:r w:rsidRPr="00251B61">
        <w:rPr>
          <w:rFonts w:eastAsiaTheme="minorHAnsi" w:cs="Times New Roman"/>
          <w:szCs w:val="24"/>
        </w:rPr>
        <w:t xml:space="preserve">Nodokļu ieņēmumu prognozes ir sagatavotas, pamatojoties uz vidēja termiņa makroekonomisko rādītāju prognozēm, kā arī, ņemot vērā 2024. gada pirmā pusgada izpildi, iepriekš pieņemtās izmaiņas normatīvajos aktos un likumprojekta “Par valsts budžetu 2025. gadam un budžeta ietvaru 2025., 2026. un 2027. gadam” izstrādes gaitā pieņemtos pasākumus. </w:t>
      </w:r>
    </w:p>
    <w:p w14:paraId="34D60413" w14:textId="39CC2989" w:rsidR="00835750" w:rsidRPr="00251B61" w:rsidRDefault="00835750" w:rsidP="008349F0">
      <w:pPr>
        <w:rPr>
          <w:rFonts w:eastAsia="Times New Roman" w:cs="Times New Roman"/>
          <w:color w:val="000000"/>
          <w:szCs w:val="24"/>
        </w:rPr>
      </w:pPr>
      <w:r w:rsidRPr="00251B61">
        <w:rPr>
          <w:rFonts w:eastAsia="Times New Roman" w:cs="Times New Roman"/>
          <w:color w:val="000000"/>
          <w:szCs w:val="24"/>
        </w:rPr>
        <w:lastRenderedPageBreak/>
        <w:t xml:space="preserve">Saskaņā ar </w:t>
      </w:r>
      <w:r w:rsidRPr="00251B61">
        <w:rPr>
          <w:rFonts w:eastAsia="Calibri" w:cs="Times New Roman"/>
          <w:szCs w:val="24"/>
        </w:rPr>
        <w:t>likumprojektu</w:t>
      </w:r>
      <w:r w:rsidRPr="00251B61">
        <w:rPr>
          <w:rFonts w:eastAsia="Times New Roman" w:cs="Times New Roman"/>
          <w:color w:val="000000"/>
          <w:szCs w:val="24"/>
        </w:rPr>
        <w:t xml:space="preserve"> “Par valsts budžetu 2025. gadam un budžeta ietvaru 2025., 2026. un 2027. gadam</w:t>
      </w:r>
      <w:r w:rsidRPr="008E1E6C">
        <w:rPr>
          <w:rFonts w:eastAsia="Times New Roman" w:cs="Times New Roman"/>
          <w:color w:val="000000"/>
          <w:szCs w:val="24"/>
        </w:rPr>
        <w:t>” 2025. gadā kopbudžeta nodokļu ieņēmumi tiek plānoti 14 552,7 milj. </w:t>
      </w:r>
      <w:proofErr w:type="spellStart"/>
      <w:r w:rsidRPr="008E1E6C">
        <w:rPr>
          <w:rFonts w:eastAsia="Times New Roman" w:cs="Times New Roman"/>
          <w:i/>
          <w:iCs/>
          <w:color w:val="000000"/>
          <w:szCs w:val="24"/>
        </w:rPr>
        <w:t>euro</w:t>
      </w:r>
      <w:proofErr w:type="spellEnd"/>
      <w:r w:rsidRPr="008E1E6C">
        <w:rPr>
          <w:rFonts w:eastAsia="Times New Roman" w:cs="Times New Roman"/>
          <w:color w:val="000000"/>
          <w:szCs w:val="24"/>
        </w:rPr>
        <w:t>, 2026. gadā 15 353,</w:t>
      </w:r>
      <w:r w:rsidR="008E1E6C" w:rsidRPr="008E1E6C">
        <w:rPr>
          <w:rFonts w:eastAsia="Times New Roman" w:cs="Times New Roman"/>
          <w:color w:val="000000"/>
          <w:szCs w:val="24"/>
        </w:rPr>
        <w:t>9</w:t>
      </w:r>
      <w:r w:rsidRPr="008E1E6C">
        <w:rPr>
          <w:rFonts w:eastAsia="Times New Roman" w:cs="Times New Roman"/>
          <w:color w:val="000000"/>
          <w:szCs w:val="24"/>
        </w:rPr>
        <w:t> milj.</w:t>
      </w:r>
      <w:r w:rsidRPr="00251B61">
        <w:rPr>
          <w:rFonts w:eastAsia="Times New Roman" w:cs="Times New Roman"/>
          <w:color w:val="000000"/>
          <w:szCs w:val="24"/>
        </w:rPr>
        <w:t>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un 2027. gadā 15 999,7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apmērā (skat. 3.2. tabulu).</w:t>
      </w:r>
    </w:p>
    <w:p w14:paraId="11672279" w14:textId="77777777" w:rsidR="00835750" w:rsidRPr="00251B61" w:rsidRDefault="00835750" w:rsidP="008349F0">
      <w:pPr>
        <w:pStyle w:val="Tabulasnosaukums"/>
      </w:pPr>
      <w:r w:rsidRPr="00251B61">
        <w:t>3.2. tabula. Kopbudžeta nodokļu ieņēmumi</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3"/>
        <w:gridCol w:w="994"/>
        <w:gridCol w:w="1133"/>
        <w:gridCol w:w="1135"/>
        <w:gridCol w:w="1060"/>
      </w:tblGrid>
      <w:tr w:rsidR="00835750" w:rsidRPr="00251B61" w14:paraId="4F7767FF" w14:textId="77777777" w:rsidTr="00D83C9B">
        <w:trPr>
          <w:cantSplit/>
          <w:trHeight w:val="20"/>
          <w:jc w:val="center"/>
        </w:trPr>
        <w:tc>
          <w:tcPr>
            <w:tcW w:w="2635" w:type="pct"/>
            <w:shd w:val="clear" w:color="auto" w:fill="8EAADB"/>
            <w:vAlign w:val="center"/>
          </w:tcPr>
          <w:p w14:paraId="3CA24011" w14:textId="77777777" w:rsidR="00835750" w:rsidRPr="00251B61" w:rsidRDefault="00835750" w:rsidP="008349F0">
            <w:pPr>
              <w:pStyle w:val="Tabulasgalvenesrinda"/>
            </w:pPr>
          </w:p>
        </w:tc>
        <w:tc>
          <w:tcPr>
            <w:tcW w:w="544" w:type="pct"/>
            <w:shd w:val="clear" w:color="auto" w:fill="8EAADB"/>
            <w:vAlign w:val="center"/>
          </w:tcPr>
          <w:p w14:paraId="3780AA49" w14:textId="77777777" w:rsidR="00835750" w:rsidRPr="00251B61" w:rsidRDefault="00835750" w:rsidP="008349F0">
            <w:pPr>
              <w:pStyle w:val="Tabulasgalvenesrinda"/>
              <w:rPr>
                <w:vertAlign w:val="superscript"/>
              </w:rPr>
            </w:pPr>
            <w:r w:rsidRPr="00251B61">
              <w:t>2024</w:t>
            </w:r>
          </w:p>
        </w:tc>
        <w:tc>
          <w:tcPr>
            <w:tcW w:w="620" w:type="pct"/>
            <w:tcBorders>
              <w:bottom w:val="single" w:sz="4" w:space="0" w:color="auto"/>
            </w:tcBorders>
            <w:shd w:val="clear" w:color="auto" w:fill="8EAADB"/>
            <w:vAlign w:val="center"/>
          </w:tcPr>
          <w:p w14:paraId="5E1191C0" w14:textId="77777777" w:rsidR="00835750" w:rsidRPr="00251B61" w:rsidRDefault="00835750" w:rsidP="008349F0">
            <w:pPr>
              <w:pStyle w:val="Tabulasgalvenesrinda"/>
            </w:pPr>
            <w:r w:rsidRPr="00251B61">
              <w:t>2025</w:t>
            </w:r>
          </w:p>
        </w:tc>
        <w:tc>
          <w:tcPr>
            <w:tcW w:w="621" w:type="pct"/>
            <w:tcBorders>
              <w:bottom w:val="single" w:sz="4" w:space="0" w:color="auto"/>
            </w:tcBorders>
            <w:shd w:val="clear" w:color="auto" w:fill="8EAADB"/>
            <w:vAlign w:val="center"/>
          </w:tcPr>
          <w:p w14:paraId="63116DC8" w14:textId="77777777" w:rsidR="00835750" w:rsidRPr="00251B61" w:rsidRDefault="00835750" w:rsidP="008349F0">
            <w:pPr>
              <w:pStyle w:val="Tabulasgalvenesrinda"/>
            </w:pPr>
            <w:r w:rsidRPr="00251B61">
              <w:t>2026</w:t>
            </w:r>
          </w:p>
        </w:tc>
        <w:tc>
          <w:tcPr>
            <w:tcW w:w="580" w:type="pct"/>
            <w:tcBorders>
              <w:bottom w:val="single" w:sz="4" w:space="0" w:color="auto"/>
            </w:tcBorders>
            <w:shd w:val="clear" w:color="auto" w:fill="8EAADB"/>
            <w:vAlign w:val="center"/>
          </w:tcPr>
          <w:p w14:paraId="2EAD753D" w14:textId="77777777" w:rsidR="00835750" w:rsidRPr="00251B61" w:rsidRDefault="00835750" w:rsidP="008349F0">
            <w:pPr>
              <w:pStyle w:val="Tabulasgalvenesrinda"/>
            </w:pPr>
            <w:r w:rsidRPr="00251B61">
              <w:t>2027</w:t>
            </w:r>
          </w:p>
        </w:tc>
      </w:tr>
      <w:tr w:rsidR="00835750" w:rsidRPr="00251B61" w14:paraId="55154997" w14:textId="77777777" w:rsidTr="00D83C9B">
        <w:trPr>
          <w:cantSplit/>
          <w:trHeight w:val="20"/>
          <w:jc w:val="center"/>
        </w:trPr>
        <w:tc>
          <w:tcPr>
            <w:tcW w:w="2635" w:type="pct"/>
            <w:vAlign w:val="center"/>
          </w:tcPr>
          <w:p w14:paraId="32DD7C60" w14:textId="77777777" w:rsidR="00835750" w:rsidRPr="00251B61" w:rsidRDefault="00835750" w:rsidP="008349F0">
            <w:pPr>
              <w:pStyle w:val="Tabulasteksts"/>
              <w:spacing w:after="0"/>
              <w:ind w:left="0"/>
              <w:rPr>
                <w:i/>
              </w:rPr>
            </w:pPr>
            <w:r w:rsidRPr="00251B61">
              <w:t>Saskaņā ar likumprojektu “Par valsts budžetu 2025. gadam un budžeta ietvaru 2025., 2026. un 2027. gadam”, milj.</w:t>
            </w:r>
            <w:r w:rsidRPr="00251B61">
              <w:rPr>
                <w:i/>
              </w:rPr>
              <w:t> euro</w:t>
            </w:r>
          </w:p>
        </w:tc>
        <w:tc>
          <w:tcPr>
            <w:tcW w:w="544" w:type="pct"/>
            <w:tcBorders>
              <w:bottom w:val="single" w:sz="4" w:space="0" w:color="auto"/>
            </w:tcBorders>
          </w:tcPr>
          <w:p w14:paraId="75F94770" w14:textId="77777777" w:rsidR="00835750" w:rsidRPr="00251B61" w:rsidRDefault="00835750" w:rsidP="008349F0">
            <w:pPr>
              <w:pStyle w:val="Tabulascipari"/>
              <w:keepNext/>
              <w:keepLines/>
              <w:spacing w:after="0"/>
              <w:ind w:left="0"/>
              <w:jc w:val="center"/>
              <w:rPr>
                <w:szCs w:val="18"/>
                <w:vertAlign w:val="superscript"/>
              </w:rPr>
            </w:pPr>
            <w:r w:rsidRPr="00251B61">
              <w:t>13 703,7</w:t>
            </w:r>
            <w:r w:rsidRPr="00251B61">
              <w:rPr>
                <w:vertAlign w:val="superscript"/>
              </w:rPr>
              <w:t>1</w:t>
            </w:r>
          </w:p>
        </w:tc>
        <w:tc>
          <w:tcPr>
            <w:tcW w:w="620" w:type="pct"/>
            <w:tcBorders>
              <w:top w:val="single" w:sz="4" w:space="0" w:color="auto"/>
              <w:left w:val="nil"/>
              <w:bottom w:val="single" w:sz="4" w:space="0" w:color="auto"/>
              <w:right w:val="single" w:sz="4" w:space="0" w:color="auto"/>
            </w:tcBorders>
            <w:shd w:val="clear" w:color="auto" w:fill="auto"/>
          </w:tcPr>
          <w:p w14:paraId="77368859" w14:textId="1F1A6F12" w:rsidR="00835750" w:rsidRPr="00251B61" w:rsidRDefault="00835750" w:rsidP="008349F0">
            <w:pPr>
              <w:pStyle w:val="Tabulascipari"/>
              <w:keepNext/>
              <w:keepLines/>
              <w:spacing w:after="0"/>
              <w:ind w:left="0"/>
              <w:jc w:val="center"/>
              <w:rPr>
                <w:szCs w:val="18"/>
              </w:rPr>
            </w:pPr>
            <w:r w:rsidRPr="00251B61">
              <w:t>14 552,7</w:t>
            </w:r>
            <w:r w:rsidR="00D83C9B" w:rsidRPr="00D83C9B">
              <w:rPr>
                <w:rFonts w:eastAsia="Times New Roman"/>
                <w:vertAlign w:val="superscript"/>
              </w:rPr>
              <w:t>1</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19B77F" w14:textId="5423D26A" w:rsidR="00835750" w:rsidRPr="00251B61" w:rsidRDefault="00835750" w:rsidP="008349F0">
            <w:pPr>
              <w:pStyle w:val="Tabulascipari"/>
              <w:keepNext/>
              <w:keepLines/>
              <w:spacing w:after="0"/>
              <w:ind w:left="0"/>
              <w:jc w:val="center"/>
              <w:rPr>
                <w:szCs w:val="18"/>
              </w:rPr>
            </w:pPr>
            <w:r w:rsidRPr="00251B61">
              <w:t>15 353,9</w:t>
            </w:r>
            <w:r w:rsidR="00D83C9B" w:rsidRPr="00D83C9B">
              <w:rPr>
                <w:rFonts w:eastAsia="Times New Roman"/>
                <w:vertAlign w:val="superscript"/>
              </w:rPr>
              <w:t>1</w:t>
            </w:r>
          </w:p>
        </w:tc>
        <w:tc>
          <w:tcPr>
            <w:tcW w:w="580" w:type="pct"/>
            <w:tcBorders>
              <w:top w:val="single" w:sz="4" w:space="0" w:color="auto"/>
              <w:left w:val="single" w:sz="4" w:space="0" w:color="auto"/>
              <w:bottom w:val="single" w:sz="4" w:space="0" w:color="auto"/>
              <w:right w:val="single" w:sz="4" w:space="0" w:color="auto"/>
            </w:tcBorders>
            <w:shd w:val="clear" w:color="auto" w:fill="auto"/>
          </w:tcPr>
          <w:p w14:paraId="2FA12BAD" w14:textId="6FC52D6A" w:rsidR="00835750" w:rsidRPr="00251B61" w:rsidRDefault="00835750" w:rsidP="008349F0">
            <w:pPr>
              <w:pStyle w:val="Tabulascipari"/>
              <w:keepNext/>
              <w:keepLines/>
              <w:spacing w:after="0"/>
              <w:ind w:left="0"/>
              <w:jc w:val="center"/>
              <w:rPr>
                <w:szCs w:val="18"/>
              </w:rPr>
            </w:pPr>
            <w:r w:rsidRPr="00251B61">
              <w:t>15 999,7</w:t>
            </w:r>
            <w:r w:rsidR="00D83C9B" w:rsidRPr="00D83C9B">
              <w:rPr>
                <w:rFonts w:eastAsia="Times New Roman"/>
                <w:vertAlign w:val="superscript"/>
              </w:rPr>
              <w:t>1</w:t>
            </w:r>
          </w:p>
        </w:tc>
      </w:tr>
      <w:tr w:rsidR="00835750" w:rsidRPr="00251B61" w14:paraId="7935B8F0" w14:textId="77777777" w:rsidTr="00D83C9B">
        <w:trPr>
          <w:cantSplit/>
          <w:trHeight w:val="227"/>
          <w:jc w:val="center"/>
        </w:trPr>
        <w:tc>
          <w:tcPr>
            <w:tcW w:w="2635" w:type="pct"/>
            <w:vAlign w:val="center"/>
          </w:tcPr>
          <w:p w14:paraId="2CB50A1C" w14:textId="77777777" w:rsidR="00835750" w:rsidRPr="00251B61" w:rsidRDefault="00835750" w:rsidP="008349F0">
            <w:pPr>
              <w:pStyle w:val="Tabulasteksts"/>
              <w:spacing w:after="0"/>
              <w:ind w:left="391"/>
              <w:jc w:val="both"/>
              <w:rPr>
                <w:i/>
                <w:iCs/>
                <w:szCs w:val="18"/>
              </w:rPr>
            </w:pPr>
            <w:r w:rsidRPr="00251B61">
              <w:rPr>
                <w:i/>
                <w:iCs/>
                <w:szCs w:val="18"/>
              </w:rPr>
              <w:t>pret IKP, %</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51AF5C" w14:textId="77777777" w:rsidR="00835750" w:rsidRPr="00251B61" w:rsidRDefault="00835750" w:rsidP="008349F0">
            <w:pPr>
              <w:pStyle w:val="Tabulascipari"/>
              <w:keepNext/>
              <w:keepLines/>
              <w:spacing w:after="0"/>
              <w:ind w:left="0"/>
              <w:rPr>
                <w:i/>
                <w:iCs/>
                <w:color w:val="000000"/>
                <w:szCs w:val="18"/>
              </w:rPr>
            </w:pPr>
            <w:r w:rsidRPr="00251B61">
              <w:rPr>
                <w:i/>
                <w:iCs/>
              </w:rPr>
              <w:t>32,7%</w:t>
            </w:r>
          </w:p>
        </w:tc>
        <w:tc>
          <w:tcPr>
            <w:tcW w:w="620" w:type="pct"/>
            <w:tcBorders>
              <w:top w:val="single" w:sz="4" w:space="0" w:color="auto"/>
              <w:left w:val="nil"/>
              <w:bottom w:val="single" w:sz="4" w:space="0" w:color="auto"/>
              <w:right w:val="single" w:sz="4" w:space="0" w:color="auto"/>
            </w:tcBorders>
            <w:shd w:val="clear" w:color="auto" w:fill="auto"/>
          </w:tcPr>
          <w:p w14:paraId="30C1386F" w14:textId="77777777" w:rsidR="00835750" w:rsidRPr="00251B61" w:rsidRDefault="00835750" w:rsidP="008349F0">
            <w:pPr>
              <w:pStyle w:val="Tabulascipari"/>
              <w:keepNext/>
              <w:keepLines/>
              <w:spacing w:after="0"/>
              <w:ind w:left="0"/>
              <w:rPr>
                <w:i/>
                <w:iCs/>
                <w:szCs w:val="18"/>
              </w:rPr>
            </w:pPr>
            <w:r w:rsidRPr="00251B61">
              <w:rPr>
                <w:i/>
                <w:iCs/>
              </w:rPr>
              <w:t>32,8%</w:t>
            </w:r>
          </w:p>
        </w:tc>
        <w:tc>
          <w:tcPr>
            <w:tcW w:w="621" w:type="pct"/>
            <w:tcBorders>
              <w:top w:val="single" w:sz="4" w:space="0" w:color="auto"/>
              <w:left w:val="nil"/>
              <w:bottom w:val="single" w:sz="4" w:space="0" w:color="auto"/>
              <w:right w:val="single" w:sz="4" w:space="0" w:color="auto"/>
            </w:tcBorders>
            <w:shd w:val="clear" w:color="auto" w:fill="auto"/>
          </w:tcPr>
          <w:p w14:paraId="7F9ED642" w14:textId="77777777" w:rsidR="00835750" w:rsidRPr="00251B61" w:rsidRDefault="00835750" w:rsidP="008349F0">
            <w:pPr>
              <w:pStyle w:val="Tabulascipari"/>
              <w:keepNext/>
              <w:keepLines/>
              <w:spacing w:after="0"/>
              <w:ind w:left="0"/>
              <w:rPr>
                <w:i/>
                <w:iCs/>
                <w:szCs w:val="18"/>
              </w:rPr>
            </w:pPr>
            <w:r w:rsidRPr="00251B61">
              <w:rPr>
                <w:i/>
                <w:iCs/>
              </w:rPr>
              <w:t>32,8%</w:t>
            </w:r>
          </w:p>
        </w:tc>
        <w:tc>
          <w:tcPr>
            <w:tcW w:w="580" w:type="pct"/>
            <w:tcBorders>
              <w:top w:val="single" w:sz="4" w:space="0" w:color="auto"/>
              <w:left w:val="nil"/>
              <w:bottom w:val="single" w:sz="4" w:space="0" w:color="auto"/>
              <w:right w:val="single" w:sz="4" w:space="0" w:color="auto"/>
            </w:tcBorders>
            <w:shd w:val="clear" w:color="auto" w:fill="auto"/>
          </w:tcPr>
          <w:p w14:paraId="0B8E9D50" w14:textId="77777777" w:rsidR="00835750" w:rsidRPr="00251B61" w:rsidRDefault="00835750" w:rsidP="008349F0">
            <w:pPr>
              <w:pStyle w:val="Tabulascipari"/>
              <w:keepNext/>
              <w:keepLines/>
              <w:spacing w:after="0"/>
              <w:ind w:left="0"/>
              <w:rPr>
                <w:i/>
                <w:iCs/>
                <w:szCs w:val="18"/>
              </w:rPr>
            </w:pPr>
            <w:r w:rsidRPr="00251B61">
              <w:rPr>
                <w:i/>
                <w:iCs/>
              </w:rPr>
              <w:t>32,4%</w:t>
            </w:r>
          </w:p>
        </w:tc>
      </w:tr>
      <w:tr w:rsidR="00835750" w:rsidRPr="00251B61" w14:paraId="3A22D419" w14:textId="77777777" w:rsidTr="00D83C9B">
        <w:trPr>
          <w:cantSplit/>
          <w:trHeight w:val="20"/>
          <w:jc w:val="center"/>
        </w:trPr>
        <w:tc>
          <w:tcPr>
            <w:tcW w:w="2635" w:type="pct"/>
            <w:vAlign w:val="center"/>
          </w:tcPr>
          <w:p w14:paraId="1D04B5D7" w14:textId="77777777" w:rsidR="00835750" w:rsidRPr="00251B61" w:rsidRDefault="00835750" w:rsidP="008349F0">
            <w:pPr>
              <w:pStyle w:val="Tabulasteksts"/>
              <w:spacing w:after="0"/>
              <w:ind w:left="0"/>
              <w:jc w:val="both"/>
              <w:rPr>
                <w:szCs w:val="18"/>
              </w:rPr>
            </w:pPr>
            <w:r w:rsidRPr="00251B61">
              <w:rPr>
                <w:szCs w:val="18"/>
              </w:rPr>
              <w:t>Salīdzinājumā ar likumu “Par valsts budžetu 2024. gadam un budžeta ietvaru 2024., 2025. un 2026. gadam”, milj. </w:t>
            </w:r>
            <w:r w:rsidRPr="00251B61">
              <w:rPr>
                <w:i/>
                <w:iCs/>
                <w:szCs w:val="18"/>
              </w:rPr>
              <w:t>euro</w:t>
            </w:r>
          </w:p>
        </w:tc>
        <w:tc>
          <w:tcPr>
            <w:tcW w:w="544" w:type="pct"/>
            <w:tcBorders>
              <w:top w:val="single" w:sz="4" w:space="0" w:color="auto"/>
              <w:left w:val="nil"/>
              <w:bottom w:val="single" w:sz="4" w:space="0" w:color="auto"/>
              <w:right w:val="single" w:sz="4" w:space="0" w:color="auto"/>
            </w:tcBorders>
            <w:shd w:val="clear" w:color="auto" w:fill="auto"/>
          </w:tcPr>
          <w:p w14:paraId="58C0CD40" w14:textId="77777777" w:rsidR="00835750" w:rsidRPr="00251B61" w:rsidRDefault="00835750" w:rsidP="008349F0">
            <w:pPr>
              <w:pStyle w:val="Tabulascipari"/>
              <w:keepNext/>
              <w:keepLines/>
              <w:spacing w:after="0"/>
              <w:ind w:left="0"/>
              <w:rPr>
                <w:i/>
                <w:iCs/>
                <w:szCs w:val="18"/>
              </w:rPr>
            </w:pPr>
            <w:r w:rsidRPr="00251B61">
              <w:rPr>
                <w:i/>
                <w:iCs/>
              </w:rPr>
              <w:t>-100,9</w:t>
            </w:r>
          </w:p>
        </w:tc>
        <w:tc>
          <w:tcPr>
            <w:tcW w:w="620" w:type="pct"/>
            <w:tcBorders>
              <w:top w:val="single" w:sz="4" w:space="0" w:color="auto"/>
              <w:left w:val="single" w:sz="4" w:space="0" w:color="auto"/>
              <w:bottom w:val="single" w:sz="4" w:space="0" w:color="auto"/>
              <w:right w:val="single" w:sz="4" w:space="0" w:color="auto"/>
            </w:tcBorders>
            <w:shd w:val="clear" w:color="auto" w:fill="auto"/>
          </w:tcPr>
          <w:p w14:paraId="778EE969" w14:textId="77777777" w:rsidR="00835750" w:rsidRPr="00251B61" w:rsidRDefault="00835750" w:rsidP="008349F0">
            <w:pPr>
              <w:pStyle w:val="Tabulascipari"/>
              <w:keepNext/>
              <w:keepLines/>
              <w:spacing w:after="0"/>
              <w:ind w:left="0"/>
              <w:rPr>
                <w:i/>
                <w:iCs/>
                <w:szCs w:val="18"/>
              </w:rPr>
            </w:pPr>
            <w:r w:rsidRPr="00251B61">
              <w:rPr>
                <w:i/>
                <w:iCs/>
              </w:rPr>
              <w:t>-37,0</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09D6731" w14:textId="77777777" w:rsidR="00835750" w:rsidRPr="00251B61" w:rsidRDefault="00835750" w:rsidP="008349F0">
            <w:pPr>
              <w:pStyle w:val="Tabulascipari"/>
              <w:keepNext/>
              <w:keepLines/>
              <w:spacing w:after="0"/>
              <w:ind w:left="0"/>
              <w:rPr>
                <w:i/>
                <w:iCs/>
                <w:szCs w:val="18"/>
              </w:rPr>
            </w:pPr>
            <w:r w:rsidRPr="00251B61">
              <w:rPr>
                <w:i/>
                <w:iCs/>
              </w:rPr>
              <w:t>-100,4</w:t>
            </w:r>
          </w:p>
        </w:tc>
        <w:tc>
          <w:tcPr>
            <w:tcW w:w="580" w:type="pct"/>
            <w:tcBorders>
              <w:top w:val="single" w:sz="4" w:space="0" w:color="auto"/>
              <w:left w:val="single" w:sz="4" w:space="0" w:color="auto"/>
              <w:bottom w:val="single" w:sz="4" w:space="0" w:color="auto"/>
              <w:right w:val="single" w:sz="4" w:space="0" w:color="auto"/>
            </w:tcBorders>
            <w:shd w:val="clear" w:color="auto" w:fill="auto"/>
          </w:tcPr>
          <w:p w14:paraId="718C9AFD" w14:textId="77777777" w:rsidR="00835750" w:rsidRPr="00251B61" w:rsidRDefault="00835750" w:rsidP="008349F0">
            <w:pPr>
              <w:pStyle w:val="Tabulascipari"/>
              <w:keepNext/>
              <w:keepLines/>
              <w:spacing w:after="0"/>
              <w:ind w:left="0"/>
              <w:rPr>
                <w:i/>
                <w:iCs/>
                <w:szCs w:val="18"/>
              </w:rPr>
            </w:pPr>
            <w:r w:rsidRPr="00251B61">
              <w:rPr>
                <w:i/>
                <w:iCs/>
              </w:rPr>
              <w:t>—</w:t>
            </w:r>
          </w:p>
        </w:tc>
      </w:tr>
      <w:tr w:rsidR="00835750" w:rsidRPr="00251B61" w14:paraId="1FBD3072" w14:textId="77777777" w:rsidTr="00D83C9B">
        <w:trPr>
          <w:cantSplit/>
          <w:trHeight w:val="20"/>
          <w:jc w:val="center"/>
        </w:trPr>
        <w:tc>
          <w:tcPr>
            <w:tcW w:w="2635" w:type="pct"/>
            <w:vAlign w:val="center"/>
          </w:tcPr>
          <w:p w14:paraId="652F840B" w14:textId="77777777" w:rsidR="00835750" w:rsidRPr="00251B61" w:rsidRDefault="00835750" w:rsidP="008349F0">
            <w:pPr>
              <w:pStyle w:val="Tabulasteksts"/>
              <w:spacing w:after="0"/>
              <w:ind w:left="0"/>
              <w:jc w:val="both"/>
              <w:rPr>
                <w:szCs w:val="18"/>
              </w:rPr>
            </w:pPr>
            <w:r w:rsidRPr="00251B61">
              <w:rPr>
                <w:szCs w:val="18"/>
              </w:rPr>
              <w:t>Salīdzinājumā ar likumu “Par valsts budžetu 2024. gadam un budžeta ietvaru 2024., 2025. un 2026. gadam”, %</w:t>
            </w:r>
          </w:p>
        </w:tc>
        <w:tc>
          <w:tcPr>
            <w:tcW w:w="544" w:type="pct"/>
            <w:tcBorders>
              <w:top w:val="single" w:sz="4" w:space="0" w:color="auto"/>
              <w:left w:val="nil"/>
              <w:bottom w:val="single" w:sz="4" w:space="0" w:color="auto"/>
              <w:right w:val="single" w:sz="4" w:space="0" w:color="auto"/>
            </w:tcBorders>
            <w:shd w:val="clear" w:color="auto" w:fill="auto"/>
          </w:tcPr>
          <w:p w14:paraId="6AE98657" w14:textId="77777777" w:rsidR="00835750" w:rsidRPr="00251B61" w:rsidRDefault="00835750" w:rsidP="008349F0">
            <w:pPr>
              <w:pStyle w:val="Tabulascipari"/>
              <w:keepNext/>
              <w:keepLines/>
              <w:spacing w:after="0"/>
              <w:ind w:left="0"/>
              <w:rPr>
                <w:i/>
                <w:iCs/>
                <w:szCs w:val="18"/>
              </w:rPr>
            </w:pPr>
            <w:r w:rsidRPr="00251B61">
              <w:rPr>
                <w:i/>
                <w:iCs/>
              </w:rPr>
              <w:t>-0,7</w:t>
            </w:r>
          </w:p>
        </w:tc>
        <w:tc>
          <w:tcPr>
            <w:tcW w:w="620" w:type="pct"/>
            <w:tcBorders>
              <w:top w:val="single" w:sz="4" w:space="0" w:color="auto"/>
              <w:left w:val="single" w:sz="4" w:space="0" w:color="auto"/>
              <w:bottom w:val="single" w:sz="4" w:space="0" w:color="auto"/>
              <w:right w:val="single" w:sz="4" w:space="0" w:color="auto"/>
            </w:tcBorders>
            <w:shd w:val="clear" w:color="auto" w:fill="auto"/>
          </w:tcPr>
          <w:p w14:paraId="1BD3AA79" w14:textId="77777777" w:rsidR="00835750" w:rsidRPr="00251B61" w:rsidRDefault="00835750" w:rsidP="008349F0">
            <w:pPr>
              <w:pStyle w:val="Tabulascipari"/>
              <w:keepNext/>
              <w:keepLines/>
              <w:spacing w:after="0"/>
              <w:ind w:left="0"/>
              <w:rPr>
                <w:i/>
                <w:iCs/>
                <w:szCs w:val="18"/>
              </w:rPr>
            </w:pPr>
            <w:r w:rsidRPr="00251B61">
              <w:rPr>
                <w:i/>
                <w:iCs/>
              </w:rPr>
              <w:t>-0,3</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3FA8F8" w14:textId="77777777" w:rsidR="00835750" w:rsidRPr="00251B61" w:rsidRDefault="00835750" w:rsidP="008349F0">
            <w:pPr>
              <w:pStyle w:val="Tabulascipari"/>
              <w:keepNext/>
              <w:keepLines/>
              <w:spacing w:after="0"/>
              <w:ind w:left="0"/>
              <w:rPr>
                <w:i/>
                <w:iCs/>
                <w:szCs w:val="18"/>
              </w:rPr>
            </w:pPr>
            <w:r w:rsidRPr="00251B61">
              <w:rPr>
                <w:i/>
                <w:iCs/>
              </w:rPr>
              <w:t>-0,6</w:t>
            </w:r>
          </w:p>
        </w:tc>
        <w:tc>
          <w:tcPr>
            <w:tcW w:w="580" w:type="pct"/>
            <w:tcBorders>
              <w:top w:val="single" w:sz="4" w:space="0" w:color="auto"/>
              <w:left w:val="single" w:sz="4" w:space="0" w:color="auto"/>
              <w:bottom w:val="single" w:sz="4" w:space="0" w:color="auto"/>
              <w:right w:val="single" w:sz="4" w:space="0" w:color="auto"/>
            </w:tcBorders>
            <w:shd w:val="clear" w:color="auto" w:fill="auto"/>
          </w:tcPr>
          <w:p w14:paraId="7F41F0BB" w14:textId="77777777" w:rsidR="00835750" w:rsidRPr="00251B61" w:rsidRDefault="00835750" w:rsidP="008349F0">
            <w:pPr>
              <w:pStyle w:val="Tabulascipari"/>
              <w:keepNext/>
              <w:keepLines/>
              <w:spacing w:after="0"/>
              <w:ind w:left="0"/>
              <w:rPr>
                <w:i/>
                <w:iCs/>
                <w:szCs w:val="18"/>
              </w:rPr>
            </w:pPr>
            <w:r w:rsidRPr="00251B61">
              <w:rPr>
                <w:i/>
                <w:iCs/>
              </w:rPr>
              <w:t>—</w:t>
            </w:r>
          </w:p>
        </w:tc>
      </w:tr>
    </w:tbl>
    <w:p w14:paraId="48945589" w14:textId="3EFB1644" w:rsidR="00835750" w:rsidRDefault="00835750" w:rsidP="008349F0">
      <w:pPr>
        <w:pStyle w:val="Piezme"/>
      </w:pPr>
      <w:r w:rsidRPr="00251B61">
        <w:rPr>
          <w:vertAlign w:val="superscript"/>
        </w:rPr>
        <w:t>1</w:t>
      </w:r>
      <w:r w:rsidRPr="00251B61">
        <w:t> Prognoze</w:t>
      </w:r>
    </w:p>
    <w:p w14:paraId="1C4CF7ED" w14:textId="77777777" w:rsidR="00835750" w:rsidRPr="00835750" w:rsidRDefault="00835750" w:rsidP="008349F0">
      <w:pPr>
        <w:pStyle w:val="Piezme"/>
      </w:pPr>
    </w:p>
    <w:p w14:paraId="7DA23CC3" w14:textId="58E14160" w:rsidR="00835750" w:rsidRPr="00251B61" w:rsidRDefault="00835750" w:rsidP="008349F0">
      <w:pPr>
        <w:rPr>
          <w:rFonts w:eastAsia="Times New Roman" w:cs="Times New Roman"/>
          <w:color w:val="000000"/>
          <w:szCs w:val="24"/>
        </w:rPr>
      </w:pPr>
      <w:r w:rsidRPr="00251B61">
        <w:rPr>
          <w:rFonts w:eastAsia="Times New Roman" w:cs="Times New Roman"/>
          <w:color w:val="000000"/>
          <w:szCs w:val="24"/>
        </w:rPr>
        <w:t xml:space="preserve">Informācija par </w:t>
      </w:r>
      <w:r w:rsidR="00D83C9B">
        <w:rPr>
          <w:rFonts w:eastAsia="Times New Roman" w:cs="Times New Roman"/>
          <w:color w:val="000000"/>
          <w:szCs w:val="24"/>
        </w:rPr>
        <w:t xml:space="preserve">prognozētajiem </w:t>
      </w:r>
      <w:r w:rsidRPr="00251B61">
        <w:rPr>
          <w:rFonts w:eastAsia="Times New Roman" w:cs="Times New Roman"/>
          <w:color w:val="000000"/>
          <w:szCs w:val="24"/>
        </w:rPr>
        <w:t>kopbudžeta nodokļu ieņēmumiem sadalījumā pa veidiem laika periodā no 2024. līdz 2027. gadam ir sniegta 3.3. tabulā.</w:t>
      </w:r>
    </w:p>
    <w:p w14:paraId="5401F66E" w14:textId="77777777" w:rsidR="00835750" w:rsidRPr="00251B61" w:rsidRDefault="00835750" w:rsidP="008349F0">
      <w:pPr>
        <w:widowControl w:val="0"/>
        <w:jc w:val="right"/>
        <w:rPr>
          <w:rFonts w:eastAsia="Times New Roman" w:cs="Times New Roman"/>
          <w:b/>
          <w:i/>
          <w:color w:val="000000"/>
        </w:rPr>
      </w:pPr>
      <w:r w:rsidRPr="00251B61">
        <w:rPr>
          <w:rFonts w:eastAsia="Times New Roman" w:cs="Times New Roman"/>
          <w:b/>
          <w:i/>
          <w:color w:val="000000"/>
        </w:rPr>
        <w:t>3.3. tabula. Kopbudžeta nodokļu ieņēmumi, milj. </w:t>
      </w:r>
      <w:proofErr w:type="spellStart"/>
      <w:r w:rsidRPr="00251B61">
        <w:rPr>
          <w:rFonts w:eastAsia="Times New Roman" w:cs="Times New Roman"/>
          <w:b/>
          <w:i/>
          <w:color w:val="000000"/>
        </w:rPr>
        <w:t>euro</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7"/>
        <w:gridCol w:w="906"/>
        <w:gridCol w:w="906"/>
        <w:gridCol w:w="906"/>
        <w:gridCol w:w="906"/>
      </w:tblGrid>
      <w:tr w:rsidR="00835750" w:rsidRPr="00251B61" w14:paraId="26071834" w14:textId="77777777" w:rsidTr="008D3722">
        <w:trPr>
          <w:cantSplit/>
          <w:trHeight w:val="20"/>
        </w:trPr>
        <w:tc>
          <w:tcPr>
            <w:tcW w:w="3000" w:type="pct"/>
            <w:shd w:val="clear" w:color="auto" w:fill="8EAADB"/>
            <w:vAlign w:val="center"/>
            <w:hideMark/>
          </w:tcPr>
          <w:p w14:paraId="6A57C1E2" w14:textId="77777777" w:rsidR="00835750" w:rsidRPr="00251B61" w:rsidRDefault="00835750" w:rsidP="008349F0">
            <w:pPr>
              <w:keepNext/>
              <w:keepLines/>
              <w:spacing w:before="100" w:beforeAutospacing="1" w:after="100" w:afterAutospacing="1"/>
              <w:ind w:firstLine="0"/>
              <w:contextualSpacing/>
              <w:jc w:val="center"/>
              <w:rPr>
                <w:rFonts w:eastAsia="Times New Roman" w:cs="Times New Roman"/>
                <w:b/>
                <w:bCs/>
                <w:sz w:val="18"/>
                <w:szCs w:val="24"/>
              </w:rPr>
            </w:pPr>
          </w:p>
        </w:tc>
        <w:tc>
          <w:tcPr>
            <w:tcW w:w="500" w:type="pct"/>
            <w:shd w:val="clear" w:color="auto" w:fill="8EAADB"/>
            <w:vAlign w:val="center"/>
            <w:hideMark/>
          </w:tcPr>
          <w:p w14:paraId="43B5F8D5" w14:textId="77777777" w:rsidR="00835750" w:rsidRPr="00251B61" w:rsidRDefault="00835750" w:rsidP="008349F0">
            <w:pPr>
              <w:keepNext/>
              <w:keepLines/>
              <w:spacing w:before="100" w:beforeAutospacing="1" w:after="100" w:afterAutospacing="1"/>
              <w:ind w:firstLine="0"/>
              <w:contextualSpacing/>
              <w:jc w:val="center"/>
              <w:rPr>
                <w:rFonts w:eastAsia="Times New Roman" w:cs="Times New Roman"/>
                <w:b/>
                <w:bCs/>
                <w:sz w:val="18"/>
                <w:szCs w:val="24"/>
              </w:rPr>
            </w:pPr>
            <w:r w:rsidRPr="00251B61">
              <w:rPr>
                <w:rFonts w:eastAsia="Times New Roman" w:cs="Times New Roman"/>
                <w:b/>
                <w:bCs/>
                <w:sz w:val="18"/>
                <w:szCs w:val="24"/>
              </w:rPr>
              <w:t>2024</w:t>
            </w:r>
            <w:r w:rsidRPr="00251B61">
              <w:rPr>
                <w:rFonts w:eastAsia="Times New Roman" w:cs="Times New Roman"/>
                <w:b/>
                <w:bCs/>
                <w:sz w:val="18"/>
                <w:szCs w:val="24"/>
                <w:vertAlign w:val="superscript"/>
              </w:rPr>
              <w:t>1</w:t>
            </w:r>
          </w:p>
        </w:tc>
        <w:tc>
          <w:tcPr>
            <w:tcW w:w="500" w:type="pct"/>
            <w:shd w:val="clear" w:color="auto" w:fill="8EAADB"/>
            <w:vAlign w:val="center"/>
            <w:hideMark/>
          </w:tcPr>
          <w:p w14:paraId="3717D547" w14:textId="12EDDD3E" w:rsidR="00835750" w:rsidRPr="00251B61" w:rsidRDefault="00835750" w:rsidP="008349F0">
            <w:pPr>
              <w:keepNext/>
              <w:keepLines/>
              <w:spacing w:before="100" w:beforeAutospacing="1" w:after="100" w:afterAutospacing="1"/>
              <w:ind w:firstLine="0"/>
              <w:contextualSpacing/>
              <w:jc w:val="center"/>
              <w:rPr>
                <w:rFonts w:eastAsia="Times New Roman" w:cs="Times New Roman"/>
                <w:b/>
                <w:bCs/>
                <w:sz w:val="18"/>
                <w:szCs w:val="24"/>
              </w:rPr>
            </w:pPr>
            <w:r w:rsidRPr="00251B61">
              <w:rPr>
                <w:rFonts w:eastAsia="Times New Roman" w:cs="Times New Roman"/>
                <w:b/>
                <w:bCs/>
                <w:sz w:val="18"/>
                <w:szCs w:val="24"/>
              </w:rPr>
              <w:t>2025</w:t>
            </w:r>
            <w:r w:rsidR="00D83C9B" w:rsidRPr="00D83C9B">
              <w:rPr>
                <w:rFonts w:eastAsia="Times New Roman" w:cs="Times New Roman"/>
                <w:b/>
                <w:bCs/>
                <w:sz w:val="18"/>
                <w:szCs w:val="24"/>
                <w:vertAlign w:val="superscript"/>
              </w:rPr>
              <w:t>1</w:t>
            </w:r>
          </w:p>
        </w:tc>
        <w:tc>
          <w:tcPr>
            <w:tcW w:w="500" w:type="pct"/>
            <w:shd w:val="clear" w:color="auto" w:fill="8EAADB"/>
            <w:vAlign w:val="center"/>
            <w:hideMark/>
          </w:tcPr>
          <w:p w14:paraId="285DCCBA" w14:textId="2EA20F52" w:rsidR="00835750" w:rsidRPr="00251B61" w:rsidRDefault="00835750" w:rsidP="008349F0">
            <w:pPr>
              <w:keepNext/>
              <w:keepLines/>
              <w:spacing w:before="100" w:beforeAutospacing="1" w:after="100" w:afterAutospacing="1"/>
              <w:ind w:firstLine="0"/>
              <w:contextualSpacing/>
              <w:jc w:val="center"/>
              <w:rPr>
                <w:rFonts w:eastAsia="Times New Roman" w:cs="Times New Roman"/>
                <w:b/>
                <w:bCs/>
                <w:sz w:val="18"/>
                <w:szCs w:val="24"/>
              </w:rPr>
            </w:pPr>
            <w:r w:rsidRPr="00251B61">
              <w:rPr>
                <w:rFonts w:eastAsia="Times New Roman" w:cs="Times New Roman"/>
                <w:b/>
                <w:bCs/>
                <w:sz w:val="18"/>
                <w:szCs w:val="24"/>
              </w:rPr>
              <w:t>2026</w:t>
            </w:r>
            <w:r w:rsidR="00D83C9B" w:rsidRPr="00D83C9B">
              <w:rPr>
                <w:rFonts w:eastAsia="Times New Roman" w:cs="Times New Roman"/>
                <w:b/>
                <w:bCs/>
                <w:sz w:val="18"/>
                <w:szCs w:val="24"/>
                <w:vertAlign w:val="superscript"/>
              </w:rPr>
              <w:t>1</w:t>
            </w:r>
          </w:p>
        </w:tc>
        <w:tc>
          <w:tcPr>
            <w:tcW w:w="500" w:type="pct"/>
            <w:shd w:val="clear" w:color="auto" w:fill="8EAADB"/>
            <w:noWrap/>
            <w:vAlign w:val="center"/>
            <w:hideMark/>
          </w:tcPr>
          <w:p w14:paraId="3183BD6F" w14:textId="1A3284B9" w:rsidR="00835750" w:rsidRPr="00251B61" w:rsidRDefault="00835750" w:rsidP="008349F0">
            <w:pPr>
              <w:keepNext/>
              <w:keepLines/>
              <w:spacing w:before="100" w:beforeAutospacing="1" w:after="100" w:afterAutospacing="1"/>
              <w:ind w:firstLine="0"/>
              <w:contextualSpacing/>
              <w:jc w:val="center"/>
              <w:rPr>
                <w:rFonts w:eastAsia="Times New Roman" w:cs="Times New Roman"/>
                <w:b/>
                <w:bCs/>
                <w:sz w:val="18"/>
                <w:szCs w:val="24"/>
              </w:rPr>
            </w:pPr>
            <w:r w:rsidRPr="00251B61">
              <w:rPr>
                <w:rFonts w:eastAsia="Times New Roman" w:cs="Times New Roman"/>
                <w:b/>
                <w:bCs/>
                <w:sz w:val="18"/>
                <w:szCs w:val="24"/>
              </w:rPr>
              <w:t>2027</w:t>
            </w:r>
            <w:r w:rsidR="00D83C9B" w:rsidRPr="00D83C9B">
              <w:rPr>
                <w:rFonts w:eastAsia="Times New Roman" w:cs="Times New Roman"/>
                <w:b/>
                <w:bCs/>
                <w:sz w:val="18"/>
                <w:szCs w:val="24"/>
                <w:vertAlign w:val="superscript"/>
              </w:rPr>
              <w:t>1</w:t>
            </w:r>
          </w:p>
        </w:tc>
      </w:tr>
      <w:tr w:rsidR="00835750" w:rsidRPr="00251B61" w14:paraId="38CA5884" w14:textId="77777777" w:rsidTr="008D3722">
        <w:trPr>
          <w:cantSplit/>
          <w:trHeight w:val="20"/>
        </w:trPr>
        <w:tc>
          <w:tcPr>
            <w:tcW w:w="3000" w:type="pct"/>
            <w:shd w:val="clear" w:color="auto" w:fill="D9E2F3"/>
            <w:vAlign w:val="center"/>
          </w:tcPr>
          <w:p w14:paraId="7938444D" w14:textId="77777777" w:rsidR="00835750" w:rsidRPr="00251B61" w:rsidRDefault="00835750" w:rsidP="008349F0">
            <w:pPr>
              <w:keepNext/>
              <w:keepLines/>
              <w:spacing w:before="100" w:beforeAutospacing="1" w:after="100" w:afterAutospacing="1"/>
              <w:ind w:firstLine="0"/>
              <w:contextualSpacing/>
              <w:jc w:val="left"/>
              <w:rPr>
                <w:rFonts w:eastAsia="Times New Roman" w:cs="Times New Roman"/>
                <w:sz w:val="18"/>
                <w:szCs w:val="24"/>
              </w:rPr>
            </w:pPr>
            <w:r w:rsidRPr="00251B61">
              <w:rPr>
                <w:rFonts w:eastAsia="Times New Roman" w:cs="Times New Roman"/>
                <w:sz w:val="18"/>
                <w:szCs w:val="24"/>
              </w:rPr>
              <w:t>Tiešie nodokļi</w:t>
            </w:r>
          </w:p>
        </w:tc>
        <w:tc>
          <w:tcPr>
            <w:tcW w:w="500" w:type="pct"/>
            <w:shd w:val="clear" w:color="auto" w:fill="D9E2F3"/>
          </w:tcPr>
          <w:p w14:paraId="7EA12DC3"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8 181,4</w:t>
            </w:r>
          </w:p>
        </w:tc>
        <w:tc>
          <w:tcPr>
            <w:tcW w:w="500" w:type="pct"/>
            <w:shd w:val="clear" w:color="auto" w:fill="D9E2F3"/>
          </w:tcPr>
          <w:p w14:paraId="08659258"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8 623,7</w:t>
            </w:r>
          </w:p>
        </w:tc>
        <w:tc>
          <w:tcPr>
            <w:tcW w:w="500" w:type="pct"/>
            <w:shd w:val="clear" w:color="auto" w:fill="D9E2F3"/>
          </w:tcPr>
          <w:p w14:paraId="3BAC013A"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9 110,9</w:t>
            </w:r>
          </w:p>
        </w:tc>
        <w:tc>
          <w:tcPr>
            <w:tcW w:w="500" w:type="pct"/>
            <w:shd w:val="clear" w:color="auto" w:fill="D9E2F3"/>
          </w:tcPr>
          <w:p w14:paraId="50B7DDF1"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9 524,4</w:t>
            </w:r>
          </w:p>
        </w:tc>
      </w:tr>
      <w:tr w:rsidR="00835750" w:rsidRPr="00251B61" w14:paraId="5C7F1787" w14:textId="77777777" w:rsidTr="008D3722">
        <w:trPr>
          <w:cantSplit/>
          <w:trHeight w:val="20"/>
        </w:trPr>
        <w:tc>
          <w:tcPr>
            <w:tcW w:w="3000" w:type="pct"/>
            <w:shd w:val="clear" w:color="auto" w:fill="auto"/>
            <w:vAlign w:val="center"/>
            <w:hideMark/>
          </w:tcPr>
          <w:p w14:paraId="45B2A45B"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IIN</w:t>
            </w:r>
          </w:p>
        </w:tc>
        <w:tc>
          <w:tcPr>
            <w:tcW w:w="500" w:type="pct"/>
            <w:shd w:val="clear" w:color="auto" w:fill="auto"/>
          </w:tcPr>
          <w:p w14:paraId="7158202E"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2 771,0</w:t>
            </w:r>
          </w:p>
        </w:tc>
        <w:tc>
          <w:tcPr>
            <w:tcW w:w="500" w:type="pct"/>
            <w:shd w:val="clear" w:color="auto" w:fill="auto"/>
          </w:tcPr>
          <w:p w14:paraId="5CD77ED8"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2 735,9</w:t>
            </w:r>
          </w:p>
        </w:tc>
        <w:tc>
          <w:tcPr>
            <w:tcW w:w="500" w:type="pct"/>
            <w:shd w:val="clear" w:color="auto" w:fill="auto"/>
          </w:tcPr>
          <w:p w14:paraId="522A014E"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2 844,5</w:t>
            </w:r>
          </w:p>
        </w:tc>
        <w:tc>
          <w:tcPr>
            <w:tcW w:w="500" w:type="pct"/>
            <w:shd w:val="clear" w:color="auto" w:fill="auto"/>
          </w:tcPr>
          <w:p w14:paraId="3080E933"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2 972,0</w:t>
            </w:r>
          </w:p>
        </w:tc>
      </w:tr>
      <w:tr w:rsidR="00835750" w:rsidRPr="00251B61" w14:paraId="2E90F7AD" w14:textId="77777777" w:rsidTr="008D3722">
        <w:trPr>
          <w:cantSplit/>
          <w:trHeight w:val="20"/>
        </w:trPr>
        <w:tc>
          <w:tcPr>
            <w:tcW w:w="3000" w:type="pct"/>
            <w:shd w:val="clear" w:color="auto" w:fill="auto"/>
            <w:vAlign w:val="center"/>
            <w:hideMark/>
          </w:tcPr>
          <w:p w14:paraId="12B67342"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VSAOI</w:t>
            </w:r>
            <w:r w:rsidRPr="00251B61">
              <w:rPr>
                <w:rFonts w:eastAsia="Times New Roman" w:cs="Times New Roman"/>
                <w:i/>
                <w:iCs/>
                <w:sz w:val="18"/>
                <w:szCs w:val="24"/>
                <w:vertAlign w:val="superscript"/>
              </w:rPr>
              <w:t>2</w:t>
            </w:r>
          </w:p>
        </w:tc>
        <w:tc>
          <w:tcPr>
            <w:tcW w:w="500" w:type="pct"/>
            <w:shd w:val="clear" w:color="auto" w:fill="auto"/>
          </w:tcPr>
          <w:p w14:paraId="7C705CF3"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4 471,5</w:t>
            </w:r>
          </w:p>
        </w:tc>
        <w:tc>
          <w:tcPr>
            <w:tcW w:w="500" w:type="pct"/>
            <w:shd w:val="clear" w:color="auto" w:fill="auto"/>
          </w:tcPr>
          <w:p w14:paraId="7DAADC65"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4 862,9</w:t>
            </w:r>
          </w:p>
        </w:tc>
        <w:tc>
          <w:tcPr>
            <w:tcW w:w="500" w:type="pct"/>
            <w:shd w:val="clear" w:color="auto" w:fill="auto"/>
          </w:tcPr>
          <w:p w14:paraId="1ED6144A"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5 228,6</w:t>
            </w:r>
          </w:p>
        </w:tc>
        <w:tc>
          <w:tcPr>
            <w:tcW w:w="500" w:type="pct"/>
            <w:shd w:val="clear" w:color="auto" w:fill="auto"/>
          </w:tcPr>
          <w:p w14:paraId="15D52FA1"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5 504,4</w:t>
            </w:r>
          </w:p>
        </w:tc>
      </w:tr>
      <w:tr w:rsidR="00835750" w:rsidRPr="00251B61" w14:paraId="7D08A8CF" w14:textId="77777777" w:rsidTr="008D3722">
        <w:trPr>
          <w:cantSplit/>
          <w:trHeight w:val="20"/>
        </w:trPr>
        <w:tc>
          <w:tcPr>
            <w:tcW w:w="3000" w:type="pct"/>
            <w:shd w:val="clear" w:color="auto" w:fill="auto"/>
            <w:vAlign w:val="center"/>
            <w:hideMark/>
          </w:tcPr>
          <w:p w14:paraId="0A7A6691"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UIN</w:t>
            </w:r>
          </w:p>
        </w:tc>
        <w:tc>
          <w:tcPr>
            <w:tcW w:w="500" w:type="pct"/>
            <w:shd w:val="clear" w:color="auto" w:fill="auto"/>
          </w:tcPr>
          <w:p w14:paraId="14BD7D6E"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700,0</w:t>
            </w:r>
          </w:p>
        </w:tc>
        <w:tc>
          <w:tcPr>
            <w:tcW w:w="500" w:type="pct"/>
            <w:shd w:val="clear" w:color="auto" w:fill="auto"/>
          </w:tcPr>
          <w:p w14:paraId="448193A4"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690,7</w:t>
            </w:r>
          </w:p>
        </w:tc>
        <w:tc>
          <w:tcPr>
            <w:tcW w:w="500" w:type="pct"/>
            <w:shd w:val="clear" w:color="auto" w:fill="auto"/>
          </w:tcPr>
          <w:p w14:paraId="3A09DAA3"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687,9</w:t>
            </w:r>
          </w:p>
        </w:tc>
        <w:tc>
          <w:tcPr>
            <w:tcW w:w="500" w:type="pct"/>
            <w:shd w:val="clear" w:color="auto" w:fill="auto"/>
          </w:tcPr>
          <w:p w14:paraId="271573D0"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695,3</w:t>
            </w:r>
          </w:p>
        </w:tc>
      </w:tr>
      <w:tr w:rsidR="00835750" w:rsidRPr="00251B61" w14:paraId="7465FC4E" w14:textId="77777777" w:rsidTr="008D3722">
        <w:trPr>
          <w:cantSplit/>
          <w:trHeight w:val="20"/>
        </w:trPr>
        <w:tc>
          <w:tcPr>
            <w:tcW w:w="3000" w:type="pct"/>
            <w:shd w:val="clear" w:color="auto" w:fill="auto"/>
            <w:vAlign w:val="center"/>
            <w:hideMark/>
          </w:tcPr>
          <w:p w14:paraId="5040FA85"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Nekustamā īpašuma nodoklis</w:t>
            </w:r>
          </w:p>
        </w:tc>
        <w:tc>
          <w:tcPr>
            <w:tcW w:w="500" w:type="pct"/>
            <w:shd w:val="clear" w:color="auto" w:fill="auto"/>
          </w:tcPr>
          <w:p w14:paraId="67D79AC1"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238,9</w:t>
            </w:r>
          </w:p>
        </w:tc>
        <w:tc>
          <w:tcPr>
            <w:tcW w:w="500" w:type="pct"/>
            <w:shd w:val="clear" w:color="auto" w:fill="auto"/>
          </w:tcPr>
          <w:p w14:paraId="5558C12B"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241,2</w:t>
            </w:r>
          </w:p>
        </w:tc>
        <w:tc>
          <w:tcPr>
            <w:tcW w:w="500" w:type="pct"/>
            <w:shd w:val="clear" w:color="auto" w:fill="auto"/>
          </w:tcPr>
          <w:p w14:paraId="48F76D68"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243,6</w:t>
            </w:r>
          </w:p>
        </w:tc>
        <w:tc>
          <w:tcPr>
            <w:tcW w:w="500" w:type="pct"/>
            <w:shd w:val="clear" w:color="auto" w:fill="auto"/>
          </w:tcPr>
          <w:p w14:paraId="572D0001"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246,0</w:t>
            </w:r>
          </w:p>
        </w:tc>
      </w:tr>
      <w:tr w:rsidR="00835750" w:rsidRPr="00251B61" w14:paraId="0201F409" w14:textId="77777777" w:rsidTr="008D3722">
        <w:trPr>
          <w:cantSplit/>
          <w:trHeight w:val="20"/>
        </w:trPr>
        <w:tc>
          <w:tcPr>
            <w:tcW w:w="3000" w:type="pct"/>
            <w:shd w:val="clear" w:color="auto" w:fill="auto"/>
            <w:vAlign w:val="center"/>
          </w:tcPr>
          <w:p w14:paraId="078D234B" w14:textId="77777777" w:rsidR="00835750" w:rsidRPr="00251B61" w:rsidRDefault="00835750" w:rsidP="008349F0">
            <w:pPr>
              <w:keepNext/>
              <w:keepLines/>
              <w:spacing w:before="100" w:beforeAutospacing="1" w:after="100" w:afterAutospacing="1"/>
              <w:ind w:firstLine="0"/>
              <w:contextualSpacing/>
              <w:jc w:val="left"/>
              <w:rPr>
                <w:rFonts w:eastAsia="Times New Roman" w:cs="Times New Roman"/>
                <w:i/>
                <w:iCs/>
                <w:sz w:val="18"/>
                <w:szCs w:val="24"/>
              </w:rPr>
            </w:pPr>
            <w:r w:rsidRPr="00251B61">
              <w:rPr>
                <w:rFonts w:eastAsia="Times New Roman" w:cs="Times New Roman"/>
                <w:sz w:val="18"/>
                <w:szCs w:val="24"/>
              </w:rPr>
              <w:t xml:space="preserve">                </w:t>
            </w:r>
            <w:r w:rsidRPr="00251B61">
              <w:rPr>
                <w:rFonts w:eastAsia="Times New Roman" w:cs="Times New Roman"/>
                <w:i/>
                <w:iCs/>
                <w:sz w:val="18"/>
                <w:szCs w:val="24"/>
              </w:rPr>
              <w:t>Ieņēmumi no solidaritātes iemaksām</w:t>
            </w:r>
          </w:p>
        </w:tc>
        <w:tc>
          <w:tcPr>
            <w:tcW w:w="500" w:type="pct"/>
            <w:shd w:val="clear" w:color="auto" w:fill="auto"/>
          </w:tcPr>
          <w:p w14:paraId="4C8F9789" w14:textId="77777777" w:rsidR="00835750" w:rsidRPr="00251B61" w:rsidRDefault="00835750" w:rsidP="008349F0">
            <w:pPr>
              <w:spacing w:before="100" w:beforeAutospacing="1" w:after="100" w:afterAutospacing="1"/>
              <w:ind w:firstLine="0"/>
              <w:contextualSpacing/>
              <w:jc w:val="right"/>
              <w:rPr>
                <w:rFonts w:cs="Times New Roman"/>
                <w:b/>
                <w:i/>
                <w:iCs/>
                <w:sz w:val="18"/>
                <w:szCs w:val="18"/>
              </w:rPr>
            </w:pPr>
            <w:r w:rsidRPr="00251B61">
              <w:rPr>
                <w:rFonts w:cs="Times New Roman"/>
                <w:i/>
                <w:iCs/>
                <w:sz w:val="18"/>
                <w:szCs w:val="18"/>
              </w:rPr>
              <w:t>0,0</w:t>
            </w:r>
          </w:p>
        </w:tc>
        <w:tc>
          <w:tcPr>
            <w:tcW w:w="500" w:type="pct"/>
            <w:shd w:val="clear" w:color="auto" w:fill="auto"/>
          </w:tcPr>
          <w:p w14:paraId="3BB551D0" w14:textId="77777777" w:rsidR="00835750" w:rsidRPr="00251B61" w:rsidRDefault="00835750" w:rsidP="008349F0">
            <w:pPr>
              <w:spacing w:before="100" w:beforeAutospacing="1" w:after="100" w:afterAutospacing="1"/>
              <w:ind w:firstLine="0"/>
              <w:contextualSpacing/>
              <w:jc w:val="right"/>
              <w:rPr>
                <w:rFonts w:cs="Times New Roman"/>
                <w:b/>
                <w:i/>
                <w:iCs/>
                <w:sz w:val="18"/>
                <w:szCs w:val="18"/>
              </w:rPr>
            </w:pPr>
            <w:r w:rsidRPr="00251B61">
              <w:rPr>
                <w:rFonts w:cs="Times New Roman"/>
                <w:i/>
                <w:iCs/>
                <w:sz w:val="18"/>
                <w:szCs w:val="18"/>
              </w:rPr>
              <w:t>93,0</w:t>
            </w:r>
          </w:p>
        </w:tc>
        <w:tc>
          <w:tcPr>
            <w:tcW w:w="500" w:type="pct"/>
            <w:shd w:val="clear" w:color="auto" w:fill="auto"/>
          </w:tcPr>
          <w:p w14:paraId="361079BF" w14:textId="77777777" w:rsidR="00835750" w:rsidRPr="00251B61" w:rsidRDefault="00835750" w:rsidP="008349F0">
            <w:pPr>
              <w:spacing w:before="100" w:beforeAutospacing="1" w:after="100" w:afterAutospacing="1"/>
              <w:ind w:firstLine="0"/>
              <w:contextualSpacing/>
              <w:jc w:val="right"/>
              <w:rPr>
                <w:rFonts w:cs="Times New Roman"/>
                <w:b/>
                <w:i/>
                <w:iCs/>
                <w:sz w:val="18"/>
                <w:szCs w:val="18"/>
              </w:rPr>
            </w:pPr>
            <w:r w:rsidRPr="00251B61">
              <w:rPr>
                <w:rFonts w:cs="Times New Roman"/>
                <w:i/>
                <w:iCs/>
                <w:sz w:val="18"/>
                <w:szCs w:val="18"/>
              </w:rPr>
              <w:t>106,3</w:t>
            </w:r>
          </w:p>
        </w:tc>
        <w:tc>
          <w:tcPr>
            <w:tcW w:w="500" w:type="pct"/>
            <w:shd w:val="clear" w:color="auto" w:fill="auto"/>
          </w:tcPr>
          <w:p w14:paraId="311B5E6B" w14:textId="77777777" w:rsidR="00835750" w:rsidRPr="00251B61" w:rsidRDefault="00835750" w:rsidP="008349F0">
            <w:pPr>
              <w:spacing w:before="100" w:beforeAutospacing="1" w:after="100" w:afterAutospacing="1"/>
              <w:ind w:firstLine="0"/>
              <w:contextualSpacing/>
              <w:jc w:val="right"/>
              <w:rPr>
                <w:rFonts w:cs="Times New Roman"/>
                <w:b/>
                <w:i/>
                <w:iCs/>
                <w:sz w:val="18"/>
                <w:szCs w:val="18"/>
              </w:rPr>
            </w:pPr>
            <w:r w:rsidRPr="00251B61">
              <w:rPr>
                <w:rFonts w:cs="Times New Roman"/>
                <w:i/>
                <w:iCs/>
                <w:sz w:val="18"/>
                <w:szCs w:val="18"/>
              </w:rPr>
              <w:t>106,7</w:t>
            </w:r>
          </w:p>
        </w:tc>
      </w:tr>
      <w:tr w:rsidR="00835750" w:rsidRPr="00251B61" w14:paraId="55CCC5B6" w14:textId="77777777" w:rsidTr="008D3722">
        <w:trPr>
          <w:cantSplit/>
          <w:trHeight w:val="20"/>
        </w:trPr>
        <w:tc>
          <w:tcPr>
            <w:tcW w:w="3000" w:type="pct"/>
            <w:shd w:val="clear" w:color="auto" w:fill="D9E2F3"/>
            <w:vAlign w:val="center"/>
          </w:tcPr>
          <w:p w14:paraId="1FFBA37C" w14:textId="77777777" w:rsidR="00835750" w:rsidRPr="00251B61" w:rsidRDefault="00835750" w:rsidP="008349F0">
            <w:pPr>
              <w:keepNext/>
              <w:keepLines/>
              <w:spacing w:before="100" w:beforeAutospacing="1" w:after="100" w:afterAutospacing="1"/>
              <w:ind w:firstLine="0"/>
              <w:contextualSpacing/>
              <w:jc w:val="left"/>
              <w:rPr>
                <w:rFonts w:eastAsia="Times New Roman" w:cs="Times New Roman"/>
                <w:sz w:val="18"/>
                <w:szCs w:val="24"/>
              </w:rPr>
            </w:pPr>
            <w:r w:rsidRPr="00251B61">
              <w:rPr>
                <w:rFonts w:eastAsia="Times New Roman" w:cs="Times New Roman"/>
                <w:sz w:val="18"/>
                <w:szCs w:val="24"/>
              </w:rPr>
              <w:t>Netiešie nodokļi</w:t>
            </w:r>
          </w:p>
        </w:tc>
        <w:tc>
          <w:tcPr>
            <w:tcW w:w="500" w:type="pct"/>
            <w:shd w:val="clear" w:color="auto" w:fill="D9E2F3"/>
          </w:tcPr>
          <w:p w14:paraId="13BB97F4"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5 390,3</w:t>
            </w:r>
          </w:p>
        </w:tc>
        <w:tc>
          <w:tcPr>
            <w:tcW w:w="500" w:type="pct"/>
            <w:shd w:val="clear" w:color="auto" w:fill="D9E2F3"/>
          </w:tcPr>
          <w:p w14:paraId="1EC13632"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5 776,3</w:t>
            </w:r>
          </w:p>
        </w:tc>
        <w:tc>
          <w:tcPr>
            <w:tcW w:w="500" w:type="pct"/>
            <w:shd w:val="clear" w:color="auto" w:fill="D9E2F3"/>
          </w:tcPr>
          <w:p w14:paraId="7548EBBC"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6 075,6</w:t>
            </w:r>
          </w:p>
        </w:tc>
        <w:tc>
          <w:tcPr>
            <w:tcW w:w="500" w:type="pct"/>
            <w:shd w:val="clear" w:color="auto" w:fill="D9E2F3"/>
          </w:tcPr>
          <w:p w14:paraId="098887C2"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6 292,8</w:t>
            </w:r>
          </w:p>
        </w:tc>
      </w:tr>
      <w:tr w:rsidR="00835750" w:rsidRPr="00251B61" w14:paraId="33C1ECB0" w14:textId="77777777" w:rsidTr="008D3722">
        <w:trPr>
          <w:cantSplit/>
          <w:trHeight w:val="20"/>
        </w:trPr>
        <w:tc>
          <w:tcPr>
            <w:tcW w:w="3000" w:type="pct"/>
            <w:shd w:val="clear" w:color="auto" w:fill="auto"/>
            <w:vAlign w:val="center"/>
            <w:hideMark/>
          </w:tcPr>
          <w:p w14:paraId="2BC9C5B7"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PVN</w:t>
            </w:r>
          </w:p>
        </w:tc>
        <w:tc>
          <w:tcPr>
            <w:tcW w:w="500" w:type="pct"/>
            <w:shd w:val="clear" w:color="auto" w:fill="auto"/>
          </w:tcPr>
          <w:p w14:paraId="76B2B4D9"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3 984,7</w:t>
            </w:r>
          </w:p>
        </w:tc>
        <w:tc>
          <w:tcPr>
            <w:tcW w:w="500" w:type="pct"/>
            <w:shd w:val="clear" w:color="auto" w:fill="auto"/>
          </w:tcPr>
          <w:p w14:paraId="40D0F1F3"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4 245,5</w:t>
            </w:r>
          </w:p>
        </w:tc>
        <w:tc>
          <w:tcPr>
            <w:tcW w:w="500" w:type="pct"/>
            <w:shd w:val="clear" w:color="auto" w:fill="auto"/>
          </w:tcPr>
          <w:p w14:paraId="2ADEE0B4"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4 441,4</w:t>
            </w:r>
          </w:p>
        </w:tc>
        <w:tc>
          <w:tcPr>
            <w:tcW w:w="500" w:type="pct"/>
            <w:shd w:val="clear" w:color="auto" w:fill="auto"/>
          </w:tcPr>
          <w:p w14:paraId="435F22AC"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4 634,4</w:t>
            </w:r>
          </w:p>
        </w:tc>
      </w:tr>
      <w:tr w:rsidR="00835750" w:rsidRPr="00251B61" w14:paraId="05864E3E" w14:textId="77777777" w:rsidTr="008D3722">
        <w:trPr>
          <w:cantSplit/>
          <w:trHeight w:val="20"/>
        </w:trPr>
        <w:tc>
          <w:tcPr>
            <w:tcW w:w="3000" w:type="pct"/>
            <w:shd w:val="clear" w:color="auto" w:fill="auto"/>
            <w:vAlign w:val="center"/>
            <w:hideMark/>
          </w:tcPr>
          <w:p w14:paraId="31A1EB5D"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Akcīzes nodoklis</w:t>
            </w:r>
          </w:p>
        </w:tc>
        <w:tc>
          <w:tcPr>
            <w:tcW w:w="500" w:type="pct"/>
            <w:shd w:val="clear" w:color="auto" w:fill="auto"/>
          </w:tcPr>
          <w:p w14:paraId="2BCF16F1"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1 207,7</w:t>
            </w:r>
          </w:p>
        </w:tc>
        <w:tc>
          <w:tcPr>
            <w:tcW w:w="500" w:type="pct"/>
            <w:shd w:val="clear" w:color="auto" w:fill="auto"/>
          </w:tcPr>
          <w:p w14:paraId="42AFF251"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1 314,0</w:t>
            </w:r>
          </w:p>
        </w:tc>
        <w:tc>
          <w:tcPr>
            <w:tcW w:w="500" w:type="pct"/>
            <w:shd w:val="clear" w:color="auto" w:fill="auto"/>
          </w:tcPr>
          <w:p w14:paraId="72EFF44D"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1 407,4</w:t>
            </w:r>
          </w:p>
        </w:tc>
        <w:tc>
          <w:tcPr>
            <w:tcW w:w="500" w:type="pct"/>
            <w:shd w:val="clear" w:color="auto" w:fill="auto"/>
          </w:tcPr>
          <w:p w14:paraId="7A7C16DE"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1 423,1</w:t>
            </w:r>
          </w:p>
        </w:tc>
      </w:tr>
      <w:tr w:rsidR="00835750" w:rsidRPr="00251B61" w14:paraId="1C3B09EC" w14:textId="77777777" w:rsidTr="008D3722">
        <w:trPr>
          <w:cantSplit/>
          <w:trHeight w:val="20"/>
        </w:trPr>
        <w:tc>
          <w:tcPr>
            <w:tcW w:w="3000" w:type="pct"/>
            <w:shd w:val="clear" w:color="auto" w:fill="auto"/>
            <w:vAlign w:val="center"/>
            <w:hideMark/>
          </w:tcPr>
          <w:p w14:paraId="0C74634A"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Transportlīdzekļu ekspluatācijas nodoklis</w:t>
            </w:r>
          </w:p>
        </w:tc>
        <w:tc>
          <w:tcPr>
            <w:tcW w:w="500" w:type="pct"/>
            <w:shd w:val="clear" w:color="auto" w:fill="auto"/>
          </w:tcPr>
          <w:p w14:paraId="6811BB4A"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104,2</w:t>
            </w:r>
          </w:p>
        </w:tc>
        <w:tc>
          <w:tcPr>
            <w:tcW w:w="500" w:type="pct"/>
            <w:shd w:val="clear" w:color="auto" w:fill="auto"/>
          </w:tcPr>
          <w:p w14:paraId="0B4AE293"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118,9</w:t>
            </w:r>
          </w:p>
        </w:tc>
        <w:tc>
          <w:tcPr>
            <w:tcW w:w="500" w:type="pct"/>
            <w:shd w:val="clear" w:color="auto" w:fill="auto"/>
          </w:tcPr>
          <w:p w14:paraId="52E2C8F7"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124,5</w:t>
            </w:r>
          </w:p>
        </w:tc>
        <w:tc>
          <w:tcPr>
            <w:tcW w:w="500" w:type="pct"/>
            <w:shd w:val="clear" w:color="auto" w:fill="auto"/>
          </w:tcPr>
          <w:p w14:paraId="614481F9"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126,0</w:t>
            </w:r>
          </w:p>
        </w:tc>
      </w:tr>
      <w:tr w:rsidR="00835750" w:rsidRPr="00251B61" w14:paraId="11D6C414" w14:textId="77777777" w:rsidTr="008D3722">
        <w:trPr>
          <w:cantSplit/>
          <w:trHeight w:val="20"/>
        </w:trPr>
        <w:tc>
          <w:tcPr>
            <w:tcW w:w="3000" w:type="pct"/>
            <w:shd w:val="clear" w:color="auto" w:fill="auto"/>
            <w:vAlign w:val="center"/>
            <w:hideMark/>
          </w:tcPr>
          <w:p w14:paraId="1FF85BC2"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Uzņēmumu vieglo transportlīdzekļu nodoklis</w:t>
            </w:r>
          </w:p>
        </w:tc>
        <w:tc>
          <w:tcPr>
            <w:tcW w:w="500" w:type="pct"/>
            <w:shd w:val="clear" w:color="auto" w:fill="auto"/>
          </w:tcPr>
          <w:p w14:paraId="15E4DDB9"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30,0</w:t>
            </w:r>
          </w:p>
        </w:tc>
        <w:tc>
          <w:tcPr>
            <w:tcW w:w="500" w:type="pct"/>
            <w:shd w:val="clear" w:color="auto" w:fill="auto"/>
          </w:tcPr>
          <w:p w14:paraId="081AB72F"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30,6</w:t>
            </w:r>
          </w:p>
        </w:tc>
        <w:tc>
          <w:tcPr>
            <w:tcW w:w="500" w:type="pct"/>
            <w:shd w:val="clear" w:color="auto" w:fill="auto"/>
          </w:tcPr>
          <w:p w14:paraId="03F249AA"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31,3</w:t>
            </w:r>
          </w:p>
        </w:tc>
        <w:tc>
          <w:tcPr>
            <w:tcW w:w="500" w:type="pct"/>
            <w:shd w:val="clear" w:color="auto" w:fill="auto"/>
          </w:tcPr>
          <w:p w14:paraId="0100AC18"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34,8</w:t>
            </w:r>
          </w:p>
        </w:tc>
      </w:tr>
      <w:tr w:rsidR="00835750" w:rsidRPr="00251B61" w14:paraId="101137E1" w14:textId="77777777" w:rsidTr="008D3722">
        <w:trPr>
          <w:cantSplit/>
          <w:trHeight w:val="20"/>
        </w:trPr>
        <w:tc>
          <w:tcPr>
            <w:tcW w:w="3000" w:type="pct"/>
            <w:shd w:val="clear" w:color="auto" w:fill="auto"/>
            <w:vAlign w:val="center"/>
            <w:hideMark/>
          </w:tcPr>
          <w:p w14:paraId="772CDEF2"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Muitas nodoklis</w:t>
            </w:r>
          </w:p>
        </w:tc>
        <w:tc>
          <w:tcPr>
            <w:tcW w:w="500" w:type="pct"/>
            <w:shd w:val="clear" w:color="auto" w:fill="auto"/>
          </w:tcPr>
          <w:p w14:paraId="0F71F1A6"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63,7</w:t>
            </w:r>
          </w:p>
        </w:tc>
        <w:tc>
          <w:tcPr>
            <w:tcW w:w="500" w:type="pct"/>
            <w:shd w:val="clear" w:color="auto" w:fill="auto"/>
          </w:tcPr>
          <w:p w14:paraId="2150359D"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67,3</w:t>
            </w:r>
          </w:p>
        </w:tc>
        <w:tc>
          <w:tcPr>
            <w:tcW w:w="500" w:type="pct"/>
            <w:shd w:val="clear" w:color="auto" w:fill="auto"/>
          </w:tcPr>
          <w:p w14:paraId="1D258661"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70,9</w:t>
            </w:r>
          </w:p>
        </w:tc>
        <w:tc>
          <w:tcPr>
            <w:tcW w:w="500" w:type="pct"/>
            <w:shd w:val="clear" w:color="auto" w:fill="auto"/>
          </w:tcPr>
          <w:p w14:paraId="43A0EF82"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74,5</w:t>
            </w:r>
          </w:p>
        </w:tc>
      </w:tr>
      <w:tr w:rsidR="00835750" w:rsidRPr="00251B61" w14:paraId="7CFD227E" w14:textId="77777777" w:rsidTr="008D3722">
        <w:trPr>
          <w:cantSplit/>
          <w:trHeight w:val="20"/>
        </w:trPr>
        <w:tc>
          <w:tcPr>
            <w:tcW w:w="3000" w:type="pct"/>
            <w:shd w:val="clear" w:color="auto" w:fill="D9E2F3"/>
            <w:vAlign w:val="center"/>
          </w:tcPr>
          <w:p w14:paraId="7F996A8E" w14:textId="77777777" w:rsidR="00835750" w:rsidRPr="00251B61" w:rsidRDefault="00835750" w:rsidP="008349F0">
            <w:pPr>
              <w:keepNext/>
              <w:keepLines/>
              <w:spacing w:before="100" w:beforeAutospacing="1" w:after="100" w:afterAutospacing="1"/>
              <w:ind w:firstLine="0"/>
              <w:contextualSpacing/>
              <w:jc w:val="left"/>
              <w:rPr>
                <w:rFonts w:eastAsia="Times New Roman" w:cs="Times New Roman"/>
                <w:sz w:val="18"/>
                <w:szCs w:val="24"/>
              </w:rPr>
            </w:pPr>
            <w:r w:rsidRPr="00251B61">
              <w:rPr>
                <w:rFonts w:eastAsia="Times New Roman" w:cs="Times New Roman"/>
                <w:sz w:val="18"/>
                <w:szCs w:val="24"/>
              </w:rPr>
              <w:t>Pārējie nodokļi</w:t>
            </w:r>
          </w:p>
        </w:tc>
        <w:tc>
          <w:tcPr>
            <w:tcW w:w="500" w:type="pct"/>
            <w:shd w:val="clear" w:color="auto" w:fill="D9E2F3"/>
          </w:tcPr>
          <w:p w14:paraId="3B99D627"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132,0</w:t>
            </w:r>
          </w:p>
        </w:tc>
        <w:tc>
          <w:tcPr>
            <w:tcW w:w="500" w:type="pct"/>
            <w:shd w:val="clear" w:color="auto" w:fill="D9E2F3"/>
          </w:tcPr>
          <w:p w14:paraId="17B966B8"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152,7</w:t>
            </w:r>
          </w:p>
        </w:tc>
        <w:tc>
          <w:tcPr>
            <w:tcW w:w="500" w:type="pct"/>
            <w:shd w:val="clear" w:color="auto" w:fill="D9E2F3"/>
          </w:tcPr>
          <w:p w14:paraId="3EA65E6F"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167,4</w:t>
            </w:r>
          </w:p>
        </w:tc>
        <w:tc>
          <w:tcPr>
            <w:tcW w:w="500" w:type="pct"/>
            <w:shd w:val="clear" w:color="auto" w:fill="D9E2F3"/>
          </w:tcPr>
          <w:p w14:paraId="0F81AE01" w14:textId="77777777" w:rsidR="00835750" w:rsidRPr="00251B61" w:rsidRDefault="00835750" w:rsidP="008349F0">
            <w:pPr>
              <w:spacing w:before="100" w:beforeAutospacing="1" w:after="100" w:afterAutospacing="1"/>
              <w:ind w:firstLine="0"/>
              <w:contextualSpacing/>
              <w:jc w:val="right"/>
              <w:rPr>
                <w:rFonts w:cs="Times New Roman"/>
                <w:b/>
                <w:bCs/>
                <w:sz w:val="18"/>
                <w:szCs w:val="18"/>
              </w:rPr>
            </w:pPr>
            <w:r w:rsidRPr="00251B61">
              <w:rPr>
                <w:rFonts w:cs="Times New Roman"/>
                <w:b/>
                <w:bCs/>
                <w:sz w:val="18"/>
                <w:szCs w:val="18"/>
              </w:rPr>
              <w:t>182,5</w:t>
            </w:r>
          </w:p>
        </w:tc>
      </w:tr>
      <w:tr w:rsidR="00835750" w:rsidRPr="00251B61" w14:paraId="49EB0212" w14:textId="77777777" w:rsidTr="008D3722">
        <w:trPr>
          <w:cantSplit/>
          <w:trHeight w:val="20"/>
        </w:trPr>
        <w:tc>
          <w:tcPr>
            <w:tcW w:w="3000" w:type="pct"/>
            <w:shd w:val="clear" w:color="auto" w:fill="auto"/>
            <w:vAlign w:val="center"/>
            <w:hideMark/>
          </w:tcPr>
          <w:p w14:paraId="16213C94"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Dabas resursu nodoklis</w:t>
            </w:r>
          </w:p>
        </w:tc>
        <w:tc>
          <w:tcPr>
            <w:tcW w:w="500" w:type="pct"/>
            <w:shd w:val="clear" w:color="auto" w:fill="auto"/>
          </w:tcPr>
          <w:p w14:paraId="141DB689"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72,5</w:t>
            </w:r>
          </w:p>
        </w:tc>
        <w:tc>
          <w:tcPr>
            <w:tcW w:w="500" w:type="pct"/>
            <w:shd w:val="clear" w:color="auto" w:fill="auto"/>
          </w:tcPr>
          <w:p w14:paraId="52F06528"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89,3</w:t>
            </w:r>
          </w:p>
        </w:tc>
        <w:tc>
          <w:tcPr>
            <w:tcW w:w="500" w:type="pct"/>
            <w:shd w:val="clear" w:color="auto" w:fill="auto"/>
          </w:tcPr>
          <w:p w14:paraId="6B65A2FE"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102,5</w:t>
            </w:r>
          </w:p>
        </w:tc>
        <w:tc>
          <w:tcPr>
            <w:tcW w:w="500" w:type="pct"/>
            <w:shd w:val="clear" w:color="auto" w:fill="auto"/>
          </w:tcPr>
          <w:p w14:paraId="352AE6F5"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106,6</w:t>
            </w:r>
          </w:p>
        </w:tc>
      </w:tr>
      <w:tr w:rsidR="00835750" w:rsidRPr="00251B61" w14:paraId="73F05006" w14:textId="77777777" w:rsidTr="008D3722">
        <w:trPr>
          <w:cantSplit/>
          <w:trHeight w:val="20"/>
        </w:trPr>
        <w:tc>
          <w:tcPr>
            <w:tcW w:w="3000" w:type="pct"/>
            <w:shd w:val="clear" w:color="auto" w:fill="auto"/>
            <w:vAlign w:val="center"/>
            <w:hideMark/>
          </w:tcPr>
          <w:p w14:paraId="57BB47CD"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Izložu un azartspēļu nodoklis</w:t>
            </w:r>
          </w:p>
        </w:tc>
        <w:tc>
          <w:tcPr>
            <w:tcW w:w="500" w:type="pct"/>
            <w:shd w:val="clear" w:color="auto" w:fill="auto"/>
          </w:tcPr>
          <w:p w14:paraId="46BE6674"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54,4</w:t>
            </w:r>
          </w:p>
        </w:tc>
        <w:tc>
          <w:tcPr>
            <w:tcW w:w="500" w:type="pct"/>
            <w:shd w:val="clear" w:color="auto" w:fill="auto"/>
          </w:tcPr>
          <w:p w14:paraId="116D47F6"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58,2</w:t>
            </w:r>
          </w:p>
        </w:tc>
        <w:tc>
          <w:tcPr>
            <w:tcW w:w="500" w:type="pct"/>
            <w:shd w:val="clear" w:color="auto" w:fill="auto"/>
          </w:tcPr>
          <w:p w14:paraId="286E5759"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59,6</w:t>
            </w:r>
          </w:p>
        </w:tc>
        <w:tc>
          <w:tcPr>
            <w:tcW w:w="500" w:type="pct"/>
            <w:shd w:val="clear" w:color="auto" w:fill="auto"/>
          </w:tcPr>
          <w:p w14:paraId="2C19C6E7"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70,5</w:t>
            </w:r>
          </w:p>
        </w:tc>
      </w:tr>
      <w:tr w:rsidR="00835750" w:rsidRPr="00251B61" w14:paraId="5942EB66" w14:textId="77777777" w:rsidTr="008D3722">
        <w:trPr>
          <w:cantSplit/>
          <w:trHeight w:val="20"/>
        </w:trPr>
        <w:tc>
          <w:tcPr>
            <w:tcW w:w="3000" w:type="pct"/>
            <w:shd w:val="clear" w:color="auto" w:fill="auto"/>
            <w:vAlign w:val="center"/>
            <w:hideMark/>
          </w:tcPr>
          <w:p w14:paraId="653AFAA7" w14:textId="77777777" w:rsidR="00835750" w:rsidRPr="00251B61" w:rsidRDefault="00835750" w:rsidP="008349F0">
            <w:pPr>
              <w:keepNext/>
              <w:keepLines/>
              <w:spacing w:before="100" w:beforeAutospacing="1" w:after="100" w:afterAutospacing="1"/>
              <w:ind w:left="720" w:firstLine="0"/>
              <w:contextualSpacing/>
              <w:jc w:val="left"/>
              <w:rPr>
                <w:rFonts w:eastAsia="Times New Roman" w:cs="Times New Roman"/>
                <w:i/>
                <w:iCs/>
                <w:sz w:val="18"/>
                <w:szCs w:val="24"/>
              </w:rPr>
            </w:pPr>
            <w:r w:rsidRPr="00251B61">
              <w:rPr>
                <w:rFonts w:eastAsia="Times New Roman" w:cs="Times New Roman"/>
                <w:i/>
                <w:iCs/>
                <w:sz w:val="18"/>
                <w:szCs w:val="24"/>
              </w:rPr>
              <w:t>Elektroenerģijas nodoklis</w:t>
            </w:r>
          </w:p>
        </w:tc>
        <w:tc>
          <w:tcPr>
            <w:tcW w:w="500" w:type="pct"/>
            <w:shd w:val="clear" w:color="auto" w:fill="auto"/>
          </w:tcPr>
          <w:p w14:paraId="22AEB7E7"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5,2</w:t>
            </w:r>
          </w:p>
        </w:tc>
        <w:tc>
          <w:tcPr>
            <w:tcW w:w="500" w:type="pct"/>
            <w:shd w:val="clear" w:color="auto" w:fill="auto"/>
          </w:tcPr>
          <w:p w14:paraId="23D1ED97"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5,2</w:t>
            </w:r>
          </w:p>
        </w:tc>
        <w:tc>
          <w:tcPr>
            <w:tcW w:w="500" w:type="pct"/>
            <w:shd w:val="clear" w:color="auto" w:fill="auto"/>
          </w:tcPr>
          <w:p w14:paraId="47947712"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5,3</w:t>
            </w:r>
          </w:p>
        </w:tc>
        <w:tc>
          <w:tcPr>
            <w:tcW w:w="500" w:type="pct"/>
            <w:shd w:val="clear" w:color="auto" w:fill="auto"/>
          </w:tcPr>
          <w:p w14:paraId="25A8D6BE" w14:textId="77777777" w:rsidR="00835750" w:rsidRPr="00251B61" w:rsidRDefault="00835750" w:rsidP="008349F0">
            <w:pPr>
              <w:spacing w:before="100" w:beforeAutospacing="1" w:after="100" w:afterAutospacing="1"/>
              <w:ind w:firstLine="0"/>
              <w:contextualSpacing/>
              <w:jc w:val="right"/>
              <w:rPr>
                <w:rFonts w:eastAsia="Times New Roman" w:cs="Times New Roman"/>
                <w:i/>
                <w:iCs/>
                <w:sz w:val="18"/>
                <w:szCs w:val="18"/>
              </w:rPr>
            </w:pPr>
            <w:r w:rsidRPr="00251B61">
              <w:rPr>
                <w:rFonts w:cs="Times New Roman"/>
                <w:i/>
                <w:iCs/>
                <w:sz w:val="18"/>
                <w:szCs w:val="18"/>
              </w:rPr>
              <w:t>5,3</w:t>
            </w:r>
          </w:p>
        </w:tc>
      </w:tr>
    </w:tbl>
    <w:p w14:paraId="774D809E" w14:textId="77777777" w:rsidR="00835750" w:rsidRPr="00251B61" w:rsidRDefault="00835750" w:rsidP="008349F0">
      <w:pPr>
        <w:spacing w:after="0"/>
        <w:ind w:left="425" w:firstLine="0"/>
        <w:contextualSpacing/>
        <w:rPr>
          <w:rFonts w:eastAsia="Calibri" w:cs="Times New Roman"/>
          <w:sz w:val="18"/>
          <w:szCs w:val="18"/>
          <w:lang w:eastAsia="en-US"/>
        </w:rPr>
      </w:pPr>
      <w:r w:rsidRPr="00251B61">
        <w:rPr>
          <w:rFonts w:eastAsia="Calibri" w:cs="Times New Roman"/>
          <w:sz w:val="18"/>
          <w:szCs w:val="18"/>
          <w:vertAlign w:val="superscript"/>
          <w:lang w:eastAsia="en-US"/>
        </w:rPr>
        <w:t>1</w:t>
      </w:r>
      <w:r w:rsidRPr="00251B61">
        <w:rPr>
          <w:rFonts w:eastAsia="Calibri" w:cs="Times New Roman"/>
          <w:sz w:val="18"/>
          <w:szCs w:val="18"/>
          <w:lang w:eastAsia="en-US"/>
        </w:rPr>
        <w:t> Prognoze</w:t>
      </w:r>
    </w:p>
    <w:p w14:paraId="734C220F" w14:textId="77777777" w:rsidR="00835750" w:rsidRPr="00251B61" w:rsidRDefault="00835750" w:rsidP="008349F0">
      <w:pPr>
        <w:spacing w:after="0"/>
        <w:ind w:left="425" w:firstLine="0"/>
        <w:contextualSpacing/>
        <w:rPr>
          <w:rFonts w:eastAsia="Calibri" w:cs="Times New Roman"/>
          <w:sz w:val="18"/>
          <w:szCs w:val="18"/>
          <w:lang w:eastAsia="en-US"/>
        </w:rPr>
      </w:pPr>
      <w:r w:rsidRPr="00251B61">
        <w:rPr>
          <w:rFonts w:eastAsia="Calibri" w:cs="Times New Roman"/>
          <w:sz w:val="18"/>
          <w:szCs w:val="18"/>
          <w:vertAlign w:val="superscript"/>
          <w:lang w:eastAsia="en-US"/>
        </w:rPr>
        <w:t>2</w:t>
      </w:r>
      <w:r w:rsidRPr="00251B61">
        <w:rPr>
          <w:rFonts w:eastAsia="Calibri" w:cs="Times New Roman"/>
          <w:sz w:val="18"/>
          <w:szCs w:val="18"/>
          <w:lang w:eastAsia="en-US"/>
        </w:rPr>
        <w:t xml:space="preserve"> Neieskaitot iemaksas valsts </w:t>
      </w:r>
      <w:proofErr w:type="spellStart"/>
      <w:r w:rsidRPr="00251B61">
        <w:rPr>
          <w:rFonts w:eastAsia="Calibri" w:cs="Times New Roman"/>
          <w:sz w:val="18"/>
          <w:szCs w:val="18"/>
          <w:lang w:eastAsia="en-US"/>
        </w:rPr>
        <w:t>fondēto</w:t>
      </w:r>
      <w:proofErr w:type="spellEnd"/>
      <w:r w:rsidRPr="00251B61">
        <w:rPr>
          <w:rFonts w:eastAsia="Calibri" w:cs="Times New Roman"/>
          <w:sz w:val="18"/>
          <w:szCs w:val="18"/>
          <w:lang w:eastAsia="en-US"/>
        </w:rPr>
        <w:t xml:space="preserve"> pensiju shēmā.</w:t>
      </w:r>
    </w:p>
    <w:p w14:paraId="79BDC9E3" w14:textId="77777777" w:rsidR="00A6117C" w:rsidRPr="00FD1578" w:rsidRDefault="00A6117C" w:rsidP="008349F0">
      <w:pPr>
        <w:spacing w:after="0"/>
        <w:ind w:firstLine="0"/>
        <w:contextualSpacing/>
        <w:rPr>
          <w:rFonts w:eastAsia="Calibri" w:cs="Times New Roman"/>
          <w:sz w:val="18"/>
          <w:szCs w:val="18"/>
          <w:highlight w:val="lightGray"/>
          <w:lang w:eastAsia="en-US"/>
        </w:rPr>
      </w:pPr>
    </w:p>
    <w:p w14:paraId="3C084703" w14:textId="3AC9E703" w:rsidR="006C567F" w:rsidRPr="008349F0" w:rsidRDefault="006C567F" w:rsidP="008349F0">
      <w:pPr>
        <w:pStyle w:val="Heading3"/>
        <w:numPr>
          <w:ilvl w:val="0"/>
          <w:numId w:val="0"/>
        </w:numPr>
      </w:pPr>
      <w:bookmarkStart w:id="78" w:name="_Toc179356099"/>
      <w:bookmarkStart w:id="79" w:name="_Toc103590594"/>
      <w:r w:rsidRPr="008349F0">
        <w:t>3.2.1. Tiešie nodokļi</w:t>
      </w:r>
      <w:bookmarkEnd w:id="78"/>
    </w:p>
    <w:p w14:paraId="63F8A34C" w14:textId="4FCAE9F8"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2024. gada 1. pusgadā tiešo nodokļu ieņēmumi bija 4 016,5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kas salīdzinot ar plānu, bija par 107,9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2,8% vairāk, kur lielākās </w:t>
      </w:r>
      <w:proofErr w:type="spellStart"/>
      <w:r w:rsidRPr="00251B61">
        <w:rPr>
          <w:rFonts w:eastAsia="Times New Roman" w:cs="Times New Roman"/>
          <w:color w:val="000000"/>
          <w:szCs w:val="24"/>
        </w:rPr>
        <w:t>pārpildes</w:t>
      </w:r>
      <w:proofErr w:type="spellEnd"/>
      <w:r w:rsidRPr="00251B61">
        <w:rPr>
          <w:rFonts w:eastAsia="Times New Roman" w:cs="Times New Roman"/>
          <w:color w:val="000000"/>
          <w:szCs w:val="24"/>
        </w:rPr>
        <w:t xml:space="preserve"> bija darbaspēka nodokļu ieņēmumiem. Salīdzinot ar 2023. gada attiecīgo periodu, tiešo nodokļu ieņēmumi tika iekasēti par 481,5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13,6% vairāk. </w:t>
      </w:r>
    </w:p>
    <w:p w14:paraId="549D938B" w14:textId="0AECCEAD"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 xml:space="preserve">Saskaņā ar </w:t>
      </w:r>
      <w:r w:rsidRPr="00251B61">
        <w:rPr>
          <w:rFonts w:eastAsia="Calibri" w:cs="Times New Roman"/>
          <w:szCs w:val="24"/>
        </w:rPr>
        <w:t>likumprojektu</w:t>
      </w:r>
      <w:r w:rsidRPr="00251B61">
        <w:rPr>
          <w:rFonts w:eastAsia="Times New Roman" w:cs="Times New Roman"/>
          <w:color w:val="000000"/>
          <w:szCs w:val="24"/>
        </w:rPr>
        <w:t xml:space="preserve"> “Par valsts budžetu 2025. gadam un budžeta ietvaru 2025., 2026. un 2027. gadam” tiek plānots, ka 2025. gadā tiešo nodokļu ieņēmumi veidos 59,3% no visiem kopbudžeta nodokļiem, kas ir par 0,4 </w:t>
      </w:r>
      <w:proofErr w:type="spellStart"/>
      <w:r>
        <w:rPr>
          <w:rFonts w:eastAsia="Times New Roman" w:cs="Times New Roman"/>
          <w:color w:val="000000"/>
          <w:szCs w:val="24"/>
        </w:rPr>
        <w:t>pp</w:t>
      </w:r>
      <w:proofErr w:type="spellEnd"/>
      <w:r w:rsidRPr="00251B61">
        <w:rPr>
          <w:rFonts w:eastAsia="Times New Roman" w:cs="Times New Roman"/>
          <w:color w:val="000000"/>
          <w:szCs w:val="24"/>
        </w:rPr>
        <w:t xml:space="preserve"> mazāk nekā prognozēts 2024. gadam, pamatā IIN ieņēmumu samazinājuma</w:t>
      </w:r>
      <w:r w:rsidRPr="008349F0">
        <w:rPr>
          <w:rFonts w:eastAsia="Times New Roman" w:cs="Times New Roman"/>
          <w:color w:val="000000"/>
          <w:szCs w:val="24"/>
        </w:rPr>
        <w:t xml:space="preserve"> </w:t>
      </w:r>
      <w:r w:rsidRPr="00251B61">
        <w:rPr>
          <w:rFonts w:eastAsia="Times New Roman" w:cs="Times New Roman"/>
          <w:color w:val="000000"/>
          <w:szCs w:val="24"/>
        </w:rPr>
        <w:t>dēļ. Informācija par tiešo nodokļu sadalījumu ir sniegta 3.1. attēlā.</w:t>
      </w:r>
    </w:p>
    <w:p w14:paraId="3C321BC8" w14:textId="77777777" w:rsidR="008349F0" w:rsidRPr="00251B61" w:rsidRDefault="008349F0" w:rsidP="008349F0">
      <w:pPr>
        <w:keepNext/>
        <w:spacing w:after="0"/>
        <w:ind w:firstLine="0"/>
        <w:contextualSpacing/>
        <w:jc w:val="center"/>
        <w:rPr>
          <w:rFonts w:eastAsia="Calibri" w:cs="Times New Roman"/>
          <w:szCs w:val="24"/>
        </w:rPr>
      </w:pPr>
      <w:r w:rsidRPr="00251B61">
        <w:rPr>
          <w:rFonts w:eastAsia="Calibri" w:cs="Times New Roman"/>
          <w:noProof/>
          <w:szCs w:val="24"/>
        </w:rPr>
        <w:lastRenderedPageBreak/>
        <w:drawing>
          <wp:inline distT="0" distB="0" distL="0" distR="0" wp14:anchorId="58D5BDD8" wp14:editId="1AE0EDC0">
            <wp:extent cx="4870008" cy="2707200"/>
            <wp:effectExtent l="0" t="0" r="6985" b="0"/>
            <wp:docPr id="797303122" name="Picture 1" descr="A close-up of a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303122" name="Picture 1" descr="A close-up of a pie char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94038" cy="2720558"/>
                    </a:xfrm>
                    <a:prstGeom prst="rect">
                      <a:avLst/>
                    </a:prstGeom>
                    <a:noFill/>
                  </pic:spPr>
                </pic:pic>
              </a:graphicData>
            </a:graphic>
          </wp:inline>
        </w:drawing>
      </w:r>
    </w:p>
    <w:p w14:paraId="69608ACA" w14:textId="140F1DC9" w:rsidR="008349F0" w:rsidRPr="00251B61" w:rsidRDefault="008349F0" w:rsidP="008349F0">
      <w:pPr>
        <w:spacing w:after="240"/>
        <w:ind w:firstLine="0"/>
        <w:jc w:val="center"/>
        <w:rPr>
          <w:rFonts w:eastAsia="Calibri" w:cs="Times New Roman"/>
          <w:b/>
          <w:bCs/>
          <w:i/>
          <w:iCs/>
          <w:szCs w:val="24"/>
        </w:rPr>
      </w:pPr>
      <w:r w:rsidRPr="00251B61">
        <w:rPr>
          <w:rFonts w:eastAsia="Calibri" w:cs="Times New Roman"/>
          <w:b/>
          <w:bCs/>
          <w:i/>
          <w:iCs/>
          <w:szCs w:val="24"/>
        </w:rPr>
        <w:t>3.1. att. Tiešo nodokļu sadalījums kopbudžeta nodokļu ieņēmumos 2025.</w:t>
      </w:r>
      <w:r>
        <w:rPr>
          <w:rFonts w:eastAsia="Calibri" w:cs="Times New Roman"/>
          <w:b/>
          <w:bCs/>
          <w:i/>
          <w:iCs/>
          <w:szCs w:val="24"/>
        </w:rPr>
        <w:t xml:space="preserve"> </w:t>
      </w:r>
      <w:r w:rsidRPr="00251B61">
        <w:rPr>
          <w:rFonts w:eastAsia="Calibri" w:cs="Times New Roman"/>
          <w:b/>
          <w:bCs/>
          <w:i/>
          <w:iCs/>
          <w:szCs w:val="24"/>
        </w:rPr>
        <w:t>gadā, %</w:t>
      </w:r>
    </w:p>
    <w:p w14:paraId="37B95DFF" w14:textId="4AE23B28"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2025. gadā tiešo nodokļu ieņēmumu īpatsvars IKP tiek prognozēts 19,4%, kas ir par 0,1 </w:t>
      </w:r>
      <w:proofErr w:type="spellStart"/>
      <w:r w:rsidRPr="00251B61">
        <w:rPr>
          <w:rFonts w:eastAsia="Times New Roman" w:cs="Times New Roman"/>
          <w:color w:val="000000"/>
          <w:szCs w:val="24"/>
        </w:rPr>
        <w:t>p</w:t>
      </w:r>
      <w:r>
        <w:rPr>
          <w:rFonts w:eastAsia="Times New Roman" w:cs="Times New Roman"/>
          <w:color w:val="000000"/>
          <w:szCs w:val="24"/>
        </w:rPr>
        <w:t>p</w:t>
      </w:r>
      <w:proofErr w:type="spellEnd"/>
      <w:r w:rsidRPr="00251B61">
        <w:rPr>
          <w:rFonts w:eastAsia="Times New Roman" w:cs="Times New Roman"/>
          <w:color w:val="000000"/>
          <w:szCs w:val="24"/>
        </w:rPr>
        <w:t xml:space="preserve"> mazāk nekā </w:t>
      </w:r>
      <w:r w:rsidR="00D20A18" w:rsidRPr="00D83C9B">
        <w:rPr>
          <w:rFonts w:eastAsia="Times New Roman" w:cs="Times New Roman"/>
          <w:color w:val="000000"/>
          <w:szCs w:val="24"/>
        </w:rPr>
        <w:t>2024</w:t>
      </w:r>
      <w:r w:rsidRPr="00D83C9B">
        <w:rPr>
          <w:rFonts w:eastAsia="Times New Roman" w:cs="Times New Roman"/>
          <w:color w:val="000000"/>
          <w:szCs w:val="24"/>
        </w:rPr>
        <w:t>. gadā. Īpatsvara</w:t>
      </w:r>
      <w:r w:rsidRPr="00251B61">
        <w:rPr>
          <w:rFonts w:eastAsia="Times New Roman" w:cs="Times New Roman"/>
          <w:color w:val="000000"/>
          <w:szCs w:val="24"/>
        </w:rPr>
        <w:t xml:space="preserve"> samazinājums vērojams IIN un UIN kategorijās.</w:t>
      </w:r>
    </w:p>
    <w:p w14:paraId="5D57C7B7" w14:textId="77777777"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 xml:space="preserve">Saskaņā ar </w:t>
      </w:r>
      <w:r w:rsidRPr="00251B61">
        <w:rPr>
          <w:rFonts w:eastAsia="Calibri" w:cs="Times New Roman"/>
          <w:szCs w:val="24"/>
        </w:rPr>
        <w:t>likumprojektu</w:t>
      </w:r>
      <w:r w:rsidRPr="00251B61">
        <w:rPr>
          <w:rFonts w:eastAsia="Times New Roman" w:cs="Times New Roman"/>
          <w:color w:val="000000"/>
          <w:szCs w:val="24"/>
        </w:rPr>
        <w:t xml:space="preserve"> “Par valsts budžetu 2025. gadam un budžeta ietvaru 2025., 2026. un 2027. gadam” 2025. gadā tiešo nodokļu ieņēmumi tiek plānoti 8 623,7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2026. gadā 9 110,9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un 2027. gadā 9 524,4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apmērā (skat. 3.4. tabulu).</w:t>
      </w:r>
    </w:p>
    <w:p w14:paraId="0B95ADA5" w14:textId="77777777" w:rsidR="008349F0" w:rsidRPr="00251B61" w:rsidRDefault="008349F0" w:rsidP="008349F0">
      <w:pPr>
        <w:keepNext/>
        <w:keepLines/>
        <w:spacing w:before="240" w:after="0"/>
        <w:ind w:firstLine="0"/>
        <w:jc w:val="right"/>
        <w:rPr>
          <w:rFonts w:eastAsia="Calibri" w:cs="Times New Roman"/>
          <w:b/>
          <w:i/>
          <w:szCs w:val="24"/>
        </w:rPr>
      </w:pPr>
      <w:r w:rsidRPr="00251B61">
        <w:rPr>
          <w:rFonts w:eastAsia="Calibri" w:cs="Times New Roman"/>
          <w:b/>
          <w:i/>
          <w:szCs w:val="24"/>
        </w:rPr>
        <w:t>3.4. tabula. Tiešo nodokļu ieņēmumi, milj. </w:t>
      </w:r>
      <w:proofErr w:type="spellStart"/>
      <w:r w:rsidRPr="00251B61">
        <w:rPr>
          <w:rFonts w:eastAsia="Calibri" w:cs="Times New Roman"/>
          <w:b/>
          <w:i/>
          <w:szCs w:val="24"/>
        </w:rPr>
        <w:t>euro</w:t>
      </w:r>
      <w:proofErr w:type="spellEnd"/>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4"/>
        <w:gridCol w:w="851"/>
        <w:gridCol w:w="851"/>
        <w:gridCol w:w="851"/>
        <w:gridCol w:w="847"/>
      </w:tblGrid>
      <w:tr w:rsidR="008349F0" w:rsidRPr="00251B61" w14:paraId="67BE93A3" w14:textId="77777777" w:rsidTr="008D3722">
        <w:trPr>
          <w:cantSplit/>
          <w:trHeight w:hRule="exact" w:val="227"/>
          <w:jc w:val="center"/>
        </w:trPr>
        <w:tc>
          <w:tcPr>
            <w:tcW w:w="3114" w:type="pct"/>
            <w:shd w:val="clear" w:color="auto" w:fill="8EAADB"/>
            <w:vAlign w:val="center"/>
          </w:tcPr>
          <w:p w14:paraId="08335794" w14:textId="77777777" w:rsidR="008349F0" w:rsidRPr="00251B61" w:rsidRDefault="008349F0" w:rsidP="008349F0">
            <w:pPr>
              <w:keepNext/>
              <w:keepLines/>
              <w:spacing w:after="0"/>
              <w:ind w:firstLine="0"/>
              <w:contextualSpacing/>
              <w:jc w:val="center"/>
              <w:rPr>
                <w:rFonts w:eastAsia="Times New Roman" w:cs="Times New Roman"/>
                <w:b/>
                <w:bCs/>
                <w:sz w:val="18"/>
                <w:szCs w:val="18"/>
              </w:rPr>
            </w:pPr>
          </w:p>
        </w:tc>
        <w:tc>
          <w:tcPr>
            <w:tcW w:w="472" w:type="pct"/>
            <w:shd w:val="clear" w:color="auto" w:fill="8EAADB"/>
            <w:vAlign w:val="center"/>
          </w:tcPr>
          <w:p w14:paraId="34B38AEE" w14:textId="77777777" w:rsidR="008349F0" w:rsidRPr="00251B61" w:rsidRDefault="008349F0" w:rsidP="008349F0">
            <w:pPr>
              <w:keepNext/>
              <w:keepLines/>
              <w:spacing w:after="0"/>
              <w:ind w:firstLine="0"/>
              <w:contextualSpacing/>
              <w:jc w:val="center"/>
              <w:rPr>
                <w:rFonts w:eastAsia="Times New Roman" w:cs="Times New Roman"/>
                <w:b/>
                <w:bCs/>
                <w:sz w:val="18"/>
                <w:szCs w:val="18"/>
              </w:rPr>
            </w:pPr>
            <w:r w:rsidRPr="00251B61">
              <w:rPr>
                <w:rFonts w:eastAsia="Times New Roman" w:cs="Times New Roman"/>
                <w:b/>
                <w:bCs/>
                <w:sz w:val="18"/>
                <w:szCs w:val="18"/>
              </w:rPr>
              <w:t>2024</w:t>
            </w:r>
          </w:p>
        </w:tc>
        <w:tc>
          <w:tcPr>
            <w:tcW w:w="472" w:type="pct"/>
            <w:tcBorders>
              <w:bottom w:val="single" w:sz="4" w:space="0" w:color="auto"/>
            </w:tcBorders>
            <w:shd w:val="clear" w:color="auto" w:fill="8EAADB"/>
            <w:vAlign w:val="center"/>
          </w:tcPr>
          <w:p w14:paraId="66E58ED8" w14:textId="77777777" w:rsidR="008349F0" w:rsidRPr="00251B61" w:rsidRDefault="008349F0" w:rsidP="008349F0">
            <w:pPr>
              <w:keepNext/>
              <w:keepLines/>
              <w:spacing w:after="0"/>
              <w:ind w:firstLine="0"/>
              <w:contextualSpacing/>
              <w:jc w:val="center"/>
              <w:rPr>
                <w:rFonts w:eastAsia="Times New Roman" w:cs="Times New Roman"/>
                <w:b/>
                <w:bCs/>
                <w:sz w:val="18"/>
                <w:szCs w:val="18"/>
              </w:rPr>
            </w:pPr>
            <w:r w:rsidRPr="00251B61">
              <w:rPr>
                <w:rFonts w:eastAsia="Times New Roman" w:cs="Times New Roman"/>
                <w:b/>
                <w:bCs/>
                <w:sz w:val="18"/>
                <w:szCs w:val="18"/>
              </w:rPr>
              <w:t>2025</w:t>
            </w:r>
          </w:p>
        </w:tc>
        <w:tc>
          <w:tcPr>
            <w:tcW w:w="472" w:type="pct"/>
            <w:tcBorders>
              <w:bottom w:val="single" w:sz="4" w:space="0" w:color="auto"/>
            </w:tcBorders>
            <w:shd w:val="clear" w:color="auto" w:fill="8EAADB"/>
            <w:vAlign w:val="center"/>
          </w:tcPr>
          <w:p w14:paraId="0FA5F220" w14:textId="77777777" w:rsidR="008349F0" w:rsidRPr="00251B61" w:rsidRDefault="008349F0" w:rsidP="008349F0">
            <w:pPr>
              <w:keepNext/>
              <w:keepLines/>
              <w:spacing w:after="0"/>
              <w:ind w:firstLine="0"/>
              <w:contextualSpacing/>
              <w:jc w:val="center"/>
              <w:rPr>
                <w:rFonts w:eastAsia="Times New Roman" w:cs="Times New Roman"/>
                <w:b/>
                <w:bCs/>
                <w:sz w:val="18"/>
                <w:szCs w:val="18"/>
              </w:rPr>
            </w:pPr>
            <w:r w:rsidRPr="00251B61">
              <w:rPr>
                <w:rFonts w:eastAsia="Times New Roman" w:cs="Times New Roman"/>
                <w:b/>
                <w:bCs/>
                <w:sz w:val="18"/>
                <w:szCs w:val="18"/>
              </w:rPr>
              <w:t>2026</w:t>
            </w:r>
          </w:p>
        </w:tc>
        <w:tc>
          <w:tcPr>
            <w:tcW w:w="470" w:type="pct"/>
            <w:tcBorders>
              <w:bottom w:val="single" w:sz="4" w:space="0" w:color="auto"/>
            </w:tcBorders>
            <w:shd w:val="clear" w:color="auto" w:fill="8EAADB"/>
            <w:vAlign w:val="center"/>
          </w:tcPr>
          <w:p w14:paraId="6C46808D" w14:textId="77777777" w:rsidR="008349F0" w:rsidRPr="00251B61" w:rsidRDefault="008349F0" w:rsidP="008349F0">
            <w:pPr>
              <w:keepNext/>
              <w:keepLines/>
              <w:spacing w:after="0"/>
              <w:ind w:firstLine="0"/>
              <w:contextualSpacing/>
              <w:jc w:val="center"/>
              <w:rPr>
                <w:rFonts w:eastAsia="Times New Roman" w:cs="Times New Roman"/>
                <w:b/>
                <w:bCs/>
                <w:sz w:val="18"/>
                <w:szCs w:val="18"/>
              </w:rPr>
            </w:pPr>
            <w:r w:rsidRPr="00251B61">
              <w:rPr>
                <w:rFonts w:eastAsia="Times New Roman" w:cs="Times New Roman"/>
                <w:b/>
                <w:bCs/>
                <w:sz w:val="18"/>
                <w:szCs w:val="18"/>
              </w:rPr>
              <w:t>2027</w:t>
            </w:r>
          </w:p>
        </w:tc>
      </w:tr>
      <w:tr w:rsidR="008349F0" w:rsidRPr="00251B61" w14:paraId="3BB69961" w14:textId="77777777" w:rsidTr="008D3722">
        <w:trPr>
          <w:cantSplit/>
          <w:trHeight w:hRule="exact" w:val="454"/>
          <w:jc w:val="center"/>
        </w:trPr>
        <w:tc>
          <w:tcPr>
            <w:tcW w:w="3114" w:type="pct"/>
          </w:tcPr>
          <w:p w14:paraId="1532BC25" w14:textId="77777777" w:rsidR="008349F0" w:rsidRPr="00251B61" w:rsidRDefault="008349F0" w:rsidP="008349F0">
            <w:pPr>
              <w:keepNext/>
              <w:keepLines/>
              <w:spacing w:after="0"/>
              <w:ind w:firstLine="0"/>
              <w:contextualSpacing/>
              <w:jc w:val="left"/>
              <w:rPr>
                <w:rFonts w:eastAsia="Times New Roman" w:cs="Times New Roman"/>
                <w:i/>
                <w:sz w:val="18"/>
                <w:szCs w:val="18"/>
              </w:rPr>
            </w:pPr>
            <w:r w:rsidRPr="00251B61">
              <w:rPr>
                <w:rFonts w:cs="Times New Roman"/>
                <w:sz w:val="18"/>
                <w:szCs w:val="18"/>
              </w:rPr>
              <w:t xml:space="preserve">Saskaņā ar likumprojektu “Par valsts budžetu 2025. gadam un budžeta ietvaru 2025., 2026. un 2027. gadam”, milj. </w:t>
            </w:r>
            <w:proofErr w:type="spellStart"/>
            <w:r w:rsidRPr="008349F0">
              <w:rPr>
                <w:rFonts w:cs="Times New Roman"/>
                <w:i/>
                <w:iCs/>
                <w:sz w:val="18"/>
                <w:szCs w:val="18"/>
              </w:rPr>
              <w:t>euro</w:t>
            </w:r>
            <w:proofErr w:type="spellEnd"/>
          </w:p>
        </w:tc>
        <w:tc>
          <w:tcPr>
            <w:tcW w:w="472" w:type="pct"/>
            <w:tcBorders>
              <w:bottom w:val="single" w:sz="4" w:space="0" w:color="auto"/>
            </w:tcBorders>
            <w:vAlign w:val="center"/>
          </w:tcPr>
          <w:p w14:paraId="56688872" w14:textId="77777777" w:rsidR="008349F0" w:rsidRPr="00251B61" w:rsidRDefault="008349F0" w:rsidP="008349F0">
            <w:pPr>
              <w:keepNext/>
              <w:keepLines/>
              <w:spacing w:after="0"/>
              <w:ind w:firstLine="0"/>
              <w:contextualSpacing/>
              <w:jc w:val="center"/>
              <w:rPr>
                <w:rFonts w:eastAsia="Times New Roman" w:cs="Times New Roman"/>
                <w:sz w:val="18"/>
                <w:szCs w:val="18"/>
                <w:vertAlign w:val="superscript"/>
              </w:rPr>
            </w:pPr>
            <w:r w:rsidRPr="00251B61">
              <w:rPr>
                <w:rFonts w:cs="Times New Roman"/>
                <w:sz w:val="18"/>
                <w:szCs w:val="18"/>
              </w:rPr>
              <w:t>8 181,4</w:t>
            </w:r>
            <w:r w:rsidRPr="00251B61">
              <w:rPr>
                <w:rFonts w:cs="Times New Roman"/>
                <w:sz w:val="18"/>
                <w:szCs w:val="18"/>
                <w:vertAlign w:val="superscript"/>
              </w:rPr>
              <w:t>1</w:t>
            </w:r>
          </w:p>
        </w:tc>
        <w:tc>
          <w:tcPr>
            <w:tcW w:w="472" w:type="pct"/>
            <w:tcBorders>
              <w:top w:val="single" w:sz="4" w:space="0" w:color="auto"/>
              <w:left w:val="nil"/>
              <w:bottom w:val="single" w:sz="4" w:space="0" w:color="auto"/>
              <w:right w:val="single" w:sz="4" w:space="0" w:color="auto"/>
            </w:tcBorders>
            <w:shd w:val="clear" w:color="auto" w:fill="auto"/>
            <w:vAlign w:val="center"/>
          </w:tcPr>
          <w:p w14:paraId="03474F51" w14:textId="6404499E" w:rsidR="008349F0" w:rsidRPr="00251B61" w:rsidRDefault="008349F0" w:rsidP="008349F0">
            <w:pPr>
              <w:keepNext/>
              <w:keepLines/>
              <w:spacing w:after="0"/>
              <w:ind w:firstLine="0"/>
              <w:contextualSpacing/>
              <w:jc w:val="center"/>
              <w:rPr>
                <w:rFonts w:eastAsia="Times New Roman" w:cs="Times New Roman"/>
                <w:sz w:val="18"/>
                <w:szCs w:val="18"/>
              </w:rPr>
            </w:pPr>
            <w:r w:rsidRPr="00251B61">
              <w:rPr>
                <w:rFonts w:cs="Times New Roman"/>
                <w:sz w:val="18"/>
                <w:szCs w:val="18"/>
              </w:rPr>
              <w:t>8 623,7</w:t>
            </w:r>
            <w:r w:rsidR="00D83C9B" w:rsidRPr="00D83C9B">
              <w:rPr>
                <w:rFonts w:eastAsia="Times New Roman" w:cs="Times New Roman"/>
                <w:sz w:val="18"/>
                <w:szCs w:val="24"/>
                <w:vertAlign w:val="superscript"/>
              </w:rPr>
              <w:t>1</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61BA77FE" w14:textId="1389154F" w:rsidR="008349F0" w:rsidRPr="00251B61" w:rsidRDefault="008349F0" w:rsidP="008349F0">
            <w:pPr>
              <w:keepNext/>
              <w:keepLines/>
              <w:spacing w:after="0"/>
              <w:ind w:firstLine="0"/>
              <w:contextualSpacing/>
              <w:jc w:val="center"/>
              <w:rPr>
                <w:rFonts w:eastAsia="Times New Roman" w:cs="Times New Roman"/>
                <w:sz w:val="18"/>
                <w:szCs w:val="18"/>
              </w:rPr>
            </w:pPr>
            <w:r w:rsidRPr="00251B61">
              <w:rPr>
                <w:rFonts w:cs="Times New Roman"/>
                <w:sz w:val="18"/>
                <w:szCs w:val="18"/>
              </w:rPr>
              <w:t>9 110,9</w:t>
            </w:r>
            <w:r w:rsidR="00D83C9B" w:rsidRPr="00D83C9B">
              <w:rPr>
                <w:rFonts w:eastAsia="Times New Roman" w:cs="Times New Roman"/>
                <w:sz w:val="18"/>
                <w:szCs w:val="24"/>
                <w:vertAlign w:val="superscript"/>
              </w:rPr>
              <w:t>1</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499A3380" w14:textId="0D032230" w:rsidR="008349F0" w:rsidRPr="00251B61" w:rsidRDefault="008349F0" w:rsidP="008349F0">
            <w:pPr>
              <w:keepNext/>
              <w:keepLines/>
              <w:spacing w:after="0"/>
              <w:ind w:firstLine="0"/>
              <w:contextualSpacing/>
              <w:jc w:val="center"/>
              <w:rPr>
                <w:rFonts w:eastAsia="Times New Roman" w:cs="Times New Roman"/>
                <w:sz w:val="18"/>
                <w:szCs w:val="18"/>
              </w:rPr>
            </w:pPr>
            <w:r w:rsidRPr="00251B61">
              <w:rPr>
                <w:rFonts w:cs="Times New Roman"/>
                <w:sz w:val="18"/>
                <w:szCs w:val="18"/>
              </w:rPr>
              <w:t>9 524,4</w:t>
            </w:r>
            <w:r w:rsidR="00D83C9B" w:rsidRPr="00D83C9B">
              <w:rPr>
                <w:rFonts w:eastAsia="Times New Roman" w:cs="Times New Roman"/>
                <w:sz w:val="18"/>
                <w:szCs w:val="24"/>
                <w:vertAlign w:val="superscript"/>
              </w:rPr>
              <w:t>1</w:t>
            </w:r>
          </w:p>
        </w:tc>
      </w:tr>
      <w:tr w:rsidR="008349F0" w:rsidRPr="00251B61" w14:paraId="0E2D4C71" w14:textId="77777777" w:rsidTr="008D3722">
        <w:trPr>
          <w:cantSplit/>
          <w:trHeight w:hRule="exact" w:val="227"/>
          <w:jc w:val="center"/>
        </w:trPr>
        <w:tc>
          <w:tcPr>
            <w:tcW w:w="3114" w:type="pct"/>
          </w:tcPr>
          <w:p w14:paraId="6726FCF2" w14:textId="77777777" w:rsidR="008349F0" w:rsidRPr="00251B61" w:rsidRDefault="008349F0" w:rsidP="008349F0">
            <w:pPr>
              <w:keepNext/>
              <w:keepLines/>
              <w:spacing w:after="0"/>
              <w:ind w:left="720" w:firstLine="0"/>
              <w:contextualSpacing/>
              <w:rPr>
                <w:rFonts w:eastAsia="Times New Roman" w:cs="Times New Roman"/>
                <w:i/>
                <w:iCs/>
                <w:sz w:val="18"/>
                <w:szCs w:val="18"/>
              </w:rPr>
            </w:pPr>
            <w:r w:rsidRPr="00251B61">
              <w:rPr>
                <w:rFonts w:cs="Times New Roman"/>
                <w:sz w:val="18"/>
                <w:szCs w:val="18"/>
              </w:rPr>
              <w:t>pret IKP, %</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5DC2C088" w14:textId="77777777" w:rsidR="008349F0" w:rsidRPr="00D83C9B" w:rsidRDefault="008349F0" w:rsidP="008349F0">
            <w:pPr>
              <w:keepNext/>
              <w:keepLines/>
              <w:spacing w:after="0"/>
              <w:ind w:firstLine="0"/>
              <w:contextualSpacing/>
              <w:jc w:val="right"/>
              <w:rPr>
                <w:rFonts w:eastAsia="Times New Roman" w:cs="Times New Roman"/>
                <w:i/>
                <w:iCs/>
                <w:color w:val="000000"/>
                <w:sz w:val="18"/>
                <w:szCs w:val="18"/>
              </w:rPr>
            </w:pPr>
            <w:r w:rsidRPr="00D83C9B">
              <w:rPr>
                <w:rFonts w:cs="Times New Roman"/>
                <w:i/>
                <w:iCs/>
                <w:sz w:val="18"/>
                <w:szCs w:val="18"/>
              </w:rPr>
              <w:t>19,5%</w:t>
            </w:r>
          </w:p>
        </w:tc>
        <w:tc>
          <w:tcPr>
            <w:tcW w:w="472" w:type="pct"/>
            <w:tcBorders>
              <w:top w:val="single" w:sz="4" w:space="0" w:color="auto"/>
              <w:left w:val="nil"/>
              <w:bottom w:val="single" w:sz="4" w:space="0" w:color="auto"/>
              <w:right w:val="single" w:sz="4" w:space="0" w:color="auto"/>
            </w:tcBorders>
            <w:shd w:val="clear" w:color="auto" w:fill="auto"/>
            <w:vAlign w:val="center"/>
          </w:tcPr>
          <w:p w14:paraId="1360FB79" w14:textId="77777777" w:rsidR="008349F0" w:rsidRPr="00D83C9B" w:rsidRDefault="008349F0" w:rsidP="008349F0">
            <w:pPr>
              <w:keepNext/>
              <w:keepLines/>
              <w:spacing w:after="0"/>
              <w:ind w:firstLine="0"/>
              <w:contextualSpacing/>
              <w:jc w:val="right"/>
              <w:rPr>
                <w:rFonts w:eastAsia="Times New Roman" w:cs="Times New Roman"/>
                <w:i/>
                <w:iCs/>
                <w:sz w:val="18"/>
                <w:szCs w:val="18"/>
              </w:rPr>
            </w:pPr>
            <w:r w:rsidRPr="00D83C9B">
              <w:rPr>
                <w:rFonts w:cs="Times New Roman"/>
                <w:i/>
                <w:iCs/>
                <w:sz w:val="18"/>
                <w:szCs w:val="18"/>
              </w:rPr>
              <w:t>19,4%</w:t>
            </w:r>
          </w:p>
        </w:tc>
        <w:tc>
          <w:tcPr>
            <w:tcW w:w="472" w:type="pct"/>
            <w:tcBorders>
              <w:top w:val="single" w:sz="4" w:space="0" w:color="auto"/>
              <w:left w:val="nil"/>
              <w:bottom w:val="single" w:sz="4" w:space="0" w:color="auto"/>
              <w:right w:val="single" w:sz="4" w:space="0" w:color="auto"/>
            </w:tcBorders>
            <w:shd w:val="clear" w:color="auto" w:fill="auto"/>
            <w:vAlign w:val="center"/>
          </w:tcPr>
          <w:p w14:paraId="0A9C112D"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19,5%</w:t>
            </w:r>
          </w:p>
        </w:tc>
        <w:tc>
          <w:tcPr>
            <w:tcW w:w="470" w:type="pct"/>
            <w:tcBorders>
              <w:top w:val="single" w:sz="4" w:space="0" w:color="auto"/>
              <w:left w:val="nil"/>
              <w:bottom w:val="single" w:sz="4" w:space="0" w:color="auto"/>
              <w:right w:val="single" w:sz="4" w:space="0" w:color="auto"/>
            </w:tcBorders>
            <w:shd w:val="clear" w:color="auto" w:fill="auto"/>
            <w:vAlign w:val="center"/>
          </w:tcPr>
          <w:p w14:paraId="204B9203"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19,3%</w:t>
            </w:r>
          </w:p>
        </w:tc>
      </w:tr>
      <w:tr w:rsidR="008349F0" w:rsidRPr="00251B61" w14:paraId="6A7B2024" w14:textId="77777777" w:rsidTr="008D3722">
        <w:trPr>
          <w:cantSplit/>
          <w:trHeight w:hRule="exact" w:val="454"/>
          <w:jc w:val="center"/>
        </w:trPr>
        <w:tc>
          <w:tcPr>
            <w:tcW w:w="3114" w:type="pct"/>
          </w:tcPr>
          <w:p w14:paraId="7ADA4C3C" w14:textId="77777777" w:rsidR="008349F0" w:rsidRPr="00251B61" w:rsidRDefault="008349F0" w:rsidP="008349F0">
            <w:pPr>
              <w:keepNext/>
              <w:keepLines/>
              <w:spacing w:after="0"/>
              <w:ind w:firstLine="0"/>
              <w:contextualSpacing/>
              <w:rPr>
                <w:rFonts w:eastAsia="Times New Roman" w:cs="Times New Roman"/>
                <w:sz w:val="18"/>
                <w:szCs w:val="18"/>
              </w:rPr>
            </w:pPr>
            <w:r w:rsidRPr="00251B61">
              <w:rPr>
                <w:rFonts w:cs="Times New Roman"/>
                <w:sz w:val="18"/>
                <w:szCs w:val="18"/>
              </w:rPr>
              <w:t xml:space="preserve">Salīdzinājumā ar likumu “Par valsts budžetu 2024. gadam un budžeta ietvaru 2024., 2025. un 2026. gadam”, milj. </w:t>
            </w:r>
            <w:proofErr w:type="spellStart"/>
            <w:r w:rsidRPr="008349F0">
              <w:rPr>
                <w:rFonts w:cs="Times New Roman"/>
                <w:i/>
                <w:iCs/>
                <w:sz w:val="18"/>
                <w:szCs w:val="18"/>
              </w:rPr>
              <w:t>euro</w:t>
            </w:r>
            <w:proofErr w:type="spellEnd"/>
          </w:p>
        </w:tc>
        <w:tc>
          <w:tcPr>
            <w:tcW w:w="472" w:type="pct"/>
            <w:tcBorders>
              <w:top w:val="single" w:sz="4" w:space="0" w:color="auto"/>
              <w:left w:val="nil"/>
              <w:bottom w:val="single" w:sz="4" w:space="0" w:color="auto"/>
              <w:right w:val="single" w:sz="4" w:space="0" w:color="auto"/>
            </w:tcBorders>
            <w:shd w:val="clear" w:color="auto" w:fill="auto"/>
            <w:vAlign w:val="center"/>
          </w:tcPr>
          <w:p w14:paraId="23AB9B0D" w14:textId="77777777" w:rsidR="008349F0" w:rsidRPr="00251B61" w:rsidRDefault="008349F0" w:rsidP="008349F0">
            <w:pPr>
              <w:keepNext/>
              <w:keepLines/>
              <w:spacing w:after="0"/>
              <w:ind w:firstLine="0"/>
              <w:contextualSpacing/>
              <w:jc w:val="right"/>
              <w:rPr>
                <w:rFonts w:cs="Times New Roman"/>
                <w:i/>
                <w:iCs/>
                <w:sz w:val="18"/>
                <w:szCs w:val="18"/>
              </w:rPr>
            </w:pPr>
            <w:r w:rsidRPr="00251B61">
              <w:rPr>
                <w:rFonts w:cs="Times New Roman"/>
                <w:i/>
                <w:iCs/>
                <w:sz w:val="18"/>
                <w:szCs w:val="18"/>
              </w:rPr>
              <w:t>66,7</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096801F1" w14:textId="77777777" w:rsidR="008349F0" w:rsidRPr="00251B61" w:rsidRDefault="008349F0" w:rsidP="008349F0">
            <w:pPr>
              <w:keepNext/>
              <w:keepLines/>
              <w:spacing w:after="0"/>
              <w:ind w:firstLine="0"/>
              <w:contextualSpacing/>
              <w:jc w:val="right"/>
              <w:rPr>
                <w:rFonts w:cs="Times New Roman"/>
                <w:i/>
                <w:iCs/>
                <w:sz w:val="18"/>
                <w:szCs w:val="18"/>
              </w:rPr>
            </w:pPr>
            <w:r w:rsidRPr="00251B61">
              <w:rPr>
                <w:rFonts w:cs="Times New Roman"/>
                <w:i/>
                <w:iCs/>
                <w:sz w:val="18"/>
                <w:szCs w:val="18"/>
              </w:rPr>
              <w:t>86,7</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761F2136" w14:textId="77777777" w:rsidR="008349F0" w:rsidRPr="00251B61" w:rsidRDefault="008349F0" w:rsidP="008349F0">
            <w:pPr>
              <w:keepNext/>
              <w:keepLines/>
              <w:spacing w:after="0"/>
              <w:ind w:firstLine="0"/>
              <w:contextualSpacing/>
              <w:jc w:val="right"/>
              <w:rPr>
                <w:rFonts w:cs="Times New Roman"/>
                <w:i/>
                <w:iCs/>
                <w:sz w:val="18"/>
                <w:szCs w:val="18"/>
              </w:rPr>
            </w:pPr>
            <w:r w:rsidRPr="00251B61">
              <w:rPr>
                <w:rFonts w:cs="Times New Roman"/>
                <w:i/>
                <w:iCs/>
                <w:sz w:val="18"/>
                <w:szCs w:val="18"/>
              </w:rPr>
              <w:t>67,0</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234A0A55" w14:textId="77777777" w:rsidR="008349F0" w:rsidRPr="00251B61" w:rsidRDefault="008349F0" w:rsidP="008349F0">
            <w:pPr>
              <w:keepNext/>
              <w:keepLines/>
              <w:spacing w:after="0"/>
              <w:ind w:firstLine="0"/>
              <w:contextualSpacing/>
              <w:jc w:val="right"/>
              <w:rPr>
                <w:rFonts w:cs="Times New Roman"/>
                <w:i/>
                <w:iCs/>
                <w:sz w:val="18"/>
                <w:szCs w:val="18"/>
              </w:rPr>
            </w:pPr>
            <w:r w:rsidRPr="00251B61">
              <w:rPr>
                <w:rFonts w:cs="Times New Roman"/>
                <w:i/>
                <w:iCs/>
                <w:sz w:val="18"/>
                <w:szCs w:val="18"/>
              </w:rPr>
              <w:t>—</w:t>
            </w:r>
          </w:p>
        </w:tc>
      </w:tr>
      <w:tr w:rsidR="008349F0" w:rsidRPr="00251B61" w14:paraId="14F2DF8E" w14:textId="77777777" w:rsidTr="008D3722">
        <w:trPr>
          <w:cantSplit/>
          <w:trHeight w:hRule="exact" w:val="454"/>
          <w:jc w:val="center"/>
        </w:trPr>
        <w:tc>
          <w:tcPr>
            <w:tcW w:w="3114" w:type="pct"/>
          </w:tcPr>
          <w:p w14:paraId="108CE6F0" w14:textId="77777777" w:rsidR="008349F0" w:rsidRPr="00251B61" w:rsidRDefault="008349F0" w:rsidP="008349F0">
            <w:pPr>
              <w:keepNext/>
              <w:keepLines/>
              <w:spacing w:after="0"/>
              <w:ind w:firstLine="0"/>
              <w:contextualSpacing/>
              <w:rPr>
                <w:rFonts w:eastAsia="Times New Roman" w:cs="Times New Roman"/>
                <w:sz w:val="18"/>
                <w:szCs w:val="18"/>
              </w:rPr>
            </w:pPr>
            <w:r w:rsidRPr="00251B61">
              <w:rPr>
                <w:rFonts w:cs="Times New Roman"/>
                <w:sz w:val="18"/>
                <w:szCs w:val="18"/>
              </w:rPr>
              <w:t>Salīdzinājumā ar likumu “Par valsts budžetu 2024. gadam un budžeta ietvaru 2024., 2025. un 2026. gadam”, %</w:t>
            </w:r>
          </w:p>
        </w:tc>
        <w:tc>
          <w:tcPr>
            <w:tcW w:w="472" w:type="pct"/>
            <w:tcBorders>
              <w:top w:val="single" w:sz="4" w:space="0" w:color="auto"/>
              <w:left w:val="nil"/>
              <w:bottom w:val="single" w:sz="4" w:space="0" w:color="auto"/>
              <w:right w:val="single" w:sz="4" w:space="0" w:color="auto"/>
            </w:tcBorders>
            <w:shd w:val="clear" w:color="auto" w:fill="auto"/>
            <w:vAlign w:val="center"/>
          </w:tcPr>
          <w:p w14:paraId="08844135" w14:textId="77777777" w:rsidR="008349F0" w:rsidRPr="00251B61" w:rsidRDefault="008349F0" w:rsidP="008349F0">
            <w:pPr>
              <w:keepNext/>
              <w:keepLines/>
              <w:spacing w:after="0"/>
              <w:ind w:firstLine="0"/>
              <w:contextualSpacing/>
              <w:jc w:val="right"/>
              <w:rPr>
                <w:rFonts w:cs="Times New Roman"/>
                <w:i/>
                <w:iCs/>
                <w:sz w:val="18"/>
                <w:szCs w:val="18"/>
              </w:rPr>
            </w:pPr>
            <w:r w:rsidRPr="00251B61">
              <w:rPr>
                <w:rFonts w:cs="Times New Roman"/>
                <w:i/>
                <w:iCs/>
                <w:sz w:val="18"/>
                <w:szCs w:val="18"/>
              </w:rPr>
              <w:t>0,8</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54C654B0" w14:textId="77777777" w:rsidR="008349F0" w:rsidRPr="00251B61" w:rsidRDefault="008349F0" w:rsidP="008349F0">
            <w:pPr>
              <w:keepNext/>
              <w:keepLines/>
              <w:spacing w:after="0"/>
              <w:ind w:firstLine="0"/>
              <w:contextualSpacing/>
              <w:jc w:val="right"/>
              <w:rPr>
                <w:rFonts w:cs="Times New Roman"/>
                <w:i/>
                <w:iCs/>
                <w:sz w:val="18"/>
                <w:szCs w:val="18"/>
              </w:rPr>
            </w:pPr>
            <w:r w:rsidRPr="00251B61">
              <w:rPr>
                <w:rFonts w:cs="Times New Roman"/>
                <w:i/>
                <w:iCs/>
                <w:sz w:val="18"/>
                <w:szCs w:val="18"/>
              </w:rPr>
              <w:t>1,0</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57ABB3E3" w14:textId="77777777" w:rsidR="008349F0" w:rsidRPr="00251B61" w:rsidRDefault="008349F0" w:rsidP="008349F0">
            <w:pPr>
              <w:keepNext/>
              <w:keepLines/>
              <w:spacing w:after="0"/>
              <w:ind w:firstLine="0"/>
              <w:contextualSpacing/>
              <w:jc w:val="right"/>
              <w:rPr>
                <w:rFonts w:cs="Times New Roman"/>
                <w:i/>
                <w:iCs/>
                <w:sz w:val="18"/>
                <w:szCs w:val="18"/>
              </w:rPr>
            </w:pPr>
            <w:r w:rsidRPr="00251B61">
              <w:rPr>
                <w:rFonts w:cs="Times New Roman"/>
                <w:i/>
                <w:iCs/>
                <w:sz w:val="18"/>
                <w:szCs w:val="18"/>
              </w:rPr>
              <w:t>0,7</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7120DE08" w14:textId="77777777" w:rsidR="008349F0" w:rsidRPr="00251B61" w:rsidRDefault="008349F0" w:rsidP="008349F0">
            <w:pPr>
              <w:keepNext/>
              <w:keepLines/>
              <w:spacing w:after="0"/>
              <w:ind w:firstLine="0"/>
              <w:contextualSpacing/>
              <w:jc w:val="right"/>
              <w:rPr>
                <w:rFonts w:cs="Times New Roman"/>
                <w:i/>
                <w:iCs/>
                <w:sz w:val="18"/>
                <w:szCs w:val="18"/>
              </w:rPr>
            </w:pPr>
            <w:r w:rsidRPr="00251B61">
              <w:rPr>
                <w:rFonts w:cs="Times New Roman"/>
                <w:i/>
                <w:iCs/>
                <w:sz w:val="18"/>
                <w:szCs w:val="18"/>
              </w:rPr>
              <w:t>—</w:t>
            </w:r>
          </w:p>
        </w:tc>
      </w:tr>
    </w:tbl>
    <w:p w14:paraId="44770DCC" w14:textId="77777777" w:rsidR="008349F0" w:rsidRPr="00251B61" w:rsidRDefault="008349F0" w:rsidP="008349F0">
      <w:pPr>
        <w:spacing w:after="240"/>
        <w:ind w:left="391" w:firstLine="0"/>
        <w:contextualSpacing/>
        <w:rPr>
          <w:rFonts w:eastAsia="Calibri" w:cs="Times New Roman"/>
          <w:sz w:val="16"/>
          <w:szCs w:val="16"/>
          <w:lang w:eastAsia="en-US"/>
        </w:rPr>
      </w:pPr>
      <w:r w:rsidRPr="00251B61">
        <w:rPr>
          <w:rFonts w:eastAsia="Calibri" w:cs="Times New Roman"/>
          <w:sz w:val="18"/>
          <w:szCs w:val="18"/>
          <w:vertAlign w:val="superscript"/>
          <w:lang w:eastAsia="en-US"/>
        </w:rPr>
        <w:t>1</w:t>
      </w:r>
      <w:r w:rsidRPr="00251B61">
        <w:rPr>
          <w:rFonts w:eastAsia="Calibri" w:cs="Times New Roman"/>
          <w:sz w:val="18"/>
          <w:szCs w:val="18"/>
          <w:lang w:eastAsia="en-US"/>
        </w:rPr>
        <w:t> Prognoze</w:t>
      </w:r>
    </w:p>
    <w:p w14:paraId="26592254" w14:textId="77777777" w:rsidR="008349F0" w:rsidRPr="00251B61" w:rsidRDefault="008349F0" w:rsidP="008349F0">
      <w:pPr>
        <w:spacing w:after="0"/>
        <w:ind w:left="425" w:firstLine="0"/>
        <w:contextualSpacing/>
        <w:rPr>
          <w:rFonts w:eastAsia="Calibri" w:cs="Times New Roman"/>
          <w:sz w:val="18"/>
          <w:szCs w:val="18"/>
        </w:rPr>
      </w:pPr>
    </w:p>
    <w:p w14:paraId="4486B47A" w14:textId="77777777" w:rsidR="008349F0" w:rsidRPr="00251B61" w:rsidRDefault="008349F0" w:rsidP="008349F0">
      <w:pPr>
        <w:keepNext/>
        <w:keepLines/>
        <w:spacing w:before="240" w:after="240"/>
        <w:ind w:firstLine="0"/>
        <w:jc w:val="center"/>
        <w:outlineLvl w:val="3"/>
        <w:rPr>
          <w:rFonts w:eastAsia="Times New Roman" w:cs="Times New Roman"/>
          <w:b/>
          <w:sz w:val="28"/>
          <w:lang w:eastAsia="en-US"/>
        </w:rPr>
      </w:pPr>
      <w:r w:rsidRPr="00251B61">
        <w:rPr>
          <w:rFonts w:eastAsia="Times New Roman" w:cs="Times New Roman"/>
          <w:b/>
          <w:sz w:val="28"/>
          <w:lang w:eastAsia="en-US"/>
        </w:rPr>
        <w:t>Iedzīvotāju ienākuma nodoklis</w:t>
      </w:r>
    </w:p>
    <w:p w14:paraId="7EC67C7D" w14:textId="33479F09"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IIN ieņēmumus galvenokārt ietekmē tautsaimniecībā nodarbināto skaits, nodarbināto ienākumi, atvieglojumu apmērs, kā arī minimālā darba alga. Kopējie IIN ieņēmumi 2024. gada 1. pusgadā bija 1 227,0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par 134,8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12,3% vairāk kā 2023. gada attiecīgajā periodā. Ieņēmumu pieaugums pret iepriekšējo gadu pamatā saistās ar darba samaksas fonda pieaugumu, vienlaikus samazinoties ietekmei no diferencētā neapliekamā minimuma piemērošanas, pieaugot darba ienākumiem augstākās atalgojuma kategorijās. Nodarbināto skaits pēc informācijas no darba devēju ziņojumiem ir nedaudz zem 2023. gada 1. pusgada līmeņa (samazinājums par 0,8%), bet ir vērojams darba samaksas fonda apmēra pieaugums par 9,3</w:t>
      </w:r>
      <w:r w:rsidR="002F2A16">
        <w:rPr>
          <w:rFonts w:eastAsia="Times New Roman" w:cs="Times New Roman"/>
          <w:color w:val="000000"/>
          <w:szCs w:val="24"/>
        </w:rPr>
        <w:t>%</w:t>
      </w:r>
      <w:r w:rsidRPr="00251B61">
        <w:rPr>
          <w:rFonts w:eastAsia="Times New Roman" w:cs="Times New Roman"/>
          <w:color w:val="000000"/>
          <w:szCs w:val="24"/>
        </w:rPr>
        <w:t>. Savukārt pusgada plāns ir pārpildīts par 67,5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5,8%, ko lielākoties ietekmēja straujāks darba algu pieaugums, nekā tika plānots (īpaši gada pirmajos mēnešos).</w:t>
      </w:r>
    </w:p>
    <w:p w14:paraId="1FA2D540" w14:textId="41BAEA75"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Pēc CSP datiem 2024. gada 2. ceturksnī strādājošo mēneša vidējā bruto darba samaksa bija 1 671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par 9,6% lielāka nekā 2023. gada 2. ceturksnī. Saskaņā ar NVA informāciju reģistrētā bezdarba līmenis 2024. gada jūnijā bija 5,1%, kas salīdzinājumā ar 2023. gada jūniju ir par 0,4 </w:t>
      </w:r>
      <w:proofErr w:type="spellStart"/>
      <w:r>
        <w:rPr>
          <w:rFonts w:eastAsia="Times New Roman" w:cs="Times New Roman"/>
          <w:color w:val="000000"/>
          <w:szCs w:val="24"/>
        </w:rPr>
        <w:t>pp</w:t>
      </w:r>
      <w:proofErr w:type="spellEnd"/>
      <w:r w:rsidRPr="00251B61">
        <w:rPr>
          <w:rFonts w:eastAsia="Times New Roman" w:cs="Times New Roman"/>
          <w:color w:val="000000"/>
          <w:szCs w:val="24"/>
        </w:rPr>
        <w:t xml:space="preserve"> mazāk. Pēc informācijas iesniegtajos darba devēju ziņojumos par VSAOI un IIN, </w:t>
      </w:r>
      <w:r w:rsidRPr="00251B61">
        <w:rPr>
          <w:rFonts w:eastAsia="Times New Roman" w:cs="Times New Roman"/>
          <w:color w:val="000000"/>
          <w:szCs w:val="24"/>
        </w:rPr>
        <w:lastRenderedPageBreak/>
        <w:t>2024. gada jūnijā ienākumus virs valstī noteiktās minimālās darba algas saņēma 77,5% darba ņēmēju un to īpatsvars, salīdzinot ar 2023. gada jūniju, ir palielinājies par 4,6 </w:t>
      </w:r>
      <w:proofErr w:type="spellStart"/>
      <w:r>
        <w:rPr>
          <w:rFonts w:eastAsia="Times New Roman" w:cs="Times New Roman"/>
          <w:color w:val="000000"/>
          <w:szCs w:val="24"/>
        </w:rPr>
        <w:t>pp</w:t>
      </w:r>
      <w:proofErr w:type="spellEnd"/>
      <w:r w:rsidRPr="00251B61">
        <w:rPr>
          <w:rFonts w:eastAsia="Times New Roman" w:cs="Times New Roman"/>
          <w:color w:val="000000"/>
          <w:szCs w:val="24"/>
        </w:rPr>
        <w:t xml:space="preserve"> (2023. gadā minimālā darba alga bija 620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bet 2024. gadā 700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mēnesī).</w:t>
      </w:r>
    </w:p>
    <w:p w14:paraId="44DBCC3F" w14:textId="77777777"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 xml:space="preserve">Saskaņā ar </w:t>
      </w:r>
      <w:r w:rsidRPr="00251B61">
        <w:rPr>
          <w:rFonts w:eastAsia="Calibri" w:cs="Times New Roman"/>
          <w:szCs w:val="24"/>
        </w:rPr>
        <w:t>likumprojektu</w:t>
      </w:r>
      <w:r w:rsidRPr="00251B61">
        <w:rPr>
          <w:rFonts w:eastAsia="Times New Roman" w:cs="Times New Roman"/>
          <w:color w:val="000000"/>
          <w:szCs w:val="24"/>
        </w:rPr>
        <w:t xml:space="preserve"> “Par valsts budžetu 2025. gadam un budžeta ietvaru 2025., 2026. un 2027. gadam” 2025. gadā IIN ieņēmumi tiek plānoti 2 735,9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2026. gadā 2 844,5 milj. </w:t>
      </w:r>
      <w:proofErr w:type="spellStart"/>
      <w:r w:rsidRPr="00251B61">
        <w:rPr>
          <w:rFonts w:eastAsia="Times New Roman" w:cs="Times New Roman"/>
          <w:i/>
          <w:iCs/>
          <w:color w:val="000000"/>
          <w:szCs w:val="24"/>
        </w:rPr>
        <w:t>euro</w:t>
      </w:r>
      <w:proofErr w:type="spellEnd"/>
      <w:r w:rsidRPr="00251B61">
        <w:rPr>
          <w:rFonts w:eastAsia="Times New Roman" w:cs="Times New Roman"/>
          <w:i/>
          <w:iCs/>
          <w:color w:val="000000"/>
          <w:szCs w:val="24"/>
        </w:rPr>
        <w:t xml:space="preserve"> </w:t>
      </w:r>
      <w:r w:rsidRPr="00251B61">
        <w:rPr>
          <w:rFonts w:eastAsia="Times New Roman" w:cs="Times New Roman"/>
          <w:color w:val="000000"/>
          <w:szCs w:val="24"/>
        </w:rPr>
        <w:t>un 2027. gadā 2 972,0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apmērā (skat. 3.5. tabulu).</w:t>
      </w:r>
    </w:p>
    <w:p w14:paraId="3F37581D" w14:textId="77777777"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 xml:space="preserve">IIN ieņēmumu plānu vidējā termiņā ietekmēs prognozētais darba samaksas fonda pieauguma temps, </w:t>
      </w:r>
      <w:r w:rsidRPr="00251B61">
        <w:rPr>
          <w:rFonts w:eastAsia="Calibri" w:cs="Times New Roman"/>
          <w:szCs w:val="24"/>
        </w:rPr>
        <w:t>2024. gadā sagaidāmā izpilde</w:t>
      </w:r>
      <w:r w:rsidRPr="00251B61">
        <w:rPr>
          <w:rFonts w:eastAsia="Times New Roman" w:cs="Times New Roman"/>
          <w:color w:val="000000"/>
          <w:szCs w:val="24"/>
        </w:rPr>
        <w:t>, kā arī 3.1. sadaļā minētie pasākumi.</w:t>
      </w:r>
    </w:p>
    <w:p w14:paraId="493C3876" w14:textId="77777777" w:rsidR="008349F0" w:rsidRPr="00251B61" w:rsidRDefault="008349F0" w:rsidP="008349F0">
      <w:pPr>
        <w:keepNext/>
        <w:keepLines/>
        <w:spacing w:before="240" w:after="0"/>
        <w:ind w:left="360" w:firstLine="0"/>
        <w:jc w:val="right"/>
        <w:rPr>
          <w:rFonts w:eastAsia="Calibri" w:cs="Times New Roman"/>
          <w:b/>
          <w:i/>
          <w:szCs w:val="24"/>
        </w:rPr>
      </w:pPr>
      <w:bookmarkStart w:id="80" w:name="_Hlk125622836"/>
      <w:bookmarkStart w:id="81" w:name="_Toc84756423"/>
      <w:r w:rsidRPr="00251B61">
        <w:rPr>
          <w:rFonts w:eastAsia="Calibri" w:cs="Times New Roman"/>
          <w:b/>
          <w:i/>
          <w:szCs w:val="24"/>
        </w:rPr>
        <w:t>3.5. tabula. IIN ieņēmumi</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0"/>
        <w:gridCol w:w="850"/>
        <w:gridCol w:w="850"/>
        <w:gridCol w:w="850"/>
        <w:gridCol w:w="845"/>
      </w:tblGrid>
      <w:tr w:rsidR="008349F0" w:rsidRPr="00251B61" w14:paraId="1C3E48D0" w14:textId="77777777" w:rsidTr="008D3722">
        <w:trPr>
          <w:cantSplit/>
          <w:trHeight w:hRule="exact" w:val="227"/>
          <w:jc w:val="center"/>
        </w:trPr>
        <w:tc>
          <w:tcPr>
            <w:tcW w:w="3115" w:type="pct"/>
            <w:shd w:val="clear" w:color="auto" w:fill="8EAADB"/>
            <w:vAlign w:val="center"/>
          </w:tcPr>
          <w:p w14:paraId="264EDE3C" w14:textId="77777777" w:rsidR="008349F0" w:rsidRPr="00251B61" w:rsidRDefault="008349F0" w:rsidP="008349F0">
            <w:pPr>
              <w:keepNext/>
              <w:keepLines/>
              <w:spacing w:after="0"/>
              <w:ind w:left="360" w:firstLine="0"/>
              <w:jc w:val="center"/>
              <w:rPr>
                <w:rFonts w:eastAsia="Times New Roman" w:cs="Times New Roman"/>
                <w:b/>
                <w:bCs/>
                <w:sz w:val="18"/>
                <w:szCs w:val="18"/>
              </w:rPr>
            </w:pPr>
          </w:p>
        </w:tc>
        <w:tc>
          <w:tcPr>
            <w:tcW w:w="472" w:type="pct"/>
            <w:shd w:val="clear" w:color="auto" w:fill="8EAADB"/>
            <w:vAlign w:val="center"/>
          </w:tcPr>
          <w:p w14:paraId="3AB075B2" w14:textId="77777777" w:rsidR="008349F0" w:rsidRPr="00251B61" w:rsidRDefault="008349F0" w:rsidP="008349F0">
            <w:pPr>
              <w:keepNext/>
              <w:keepLines/>
              <w:spacing w:after="0"/>
              <w:ind w:firstLine="0"/>
              <w:jc w:val="center"/>
              <w:rPr>
                <w:rFonts w:eastAsia="Times New Roman" w:cs="Times New Roman"/>
                <w:b/>
                <w:bCs/>
                <w:sz w:val="18"/>
                <w:szCs w:val="18"/>
              </w:rPr>
            </w:pPr>
            <w:r w:rsidRPr="00251B61">
              <w:rPr>
                <w:rFonts w:eastAsia="Times New Roman" w:cs="Times New Roman"/>
                <w:b/>
                <w:bCs/>
                <w:sz w:val="18"/>
                <w:szCs w:val="18"/>
              </w:rPr>
              <w:t>2024</w:t>
            </w:r>
          </w:p>
        </w:tc>
        <w:tc>
          <w:tcPr>
            <w:tcW w:w="472" w:type="pct"/>
            <w:tcBorders>
              <w:bottom w:val="single" w:sz="4" w:space="0" w:color="auto"/>
            </w:tcBorders>
            <w:shd w:val="clear" w:color="auto" w:fill="8EAADB"/>
            <w:vAlign w:val="center"/>
          </w:tcPr>
          <w:p w14:paraId="1E9FF599" w14:textId="77777777" w:rsidR="008349F0" w:rsidRPr="00251B61" w:rsidRDefault="008349F0" w:rsidP="008349F0">
            <w:pPr>
              <w:keepNext/>
              <w:keepLines/>
              <w:spacing w:after="0"/>
              <w:ind w:firstLine="0"/>
              <w:jc w:val="center"/>
              <w:rPr>
                <w:rFonts w:eastAsia="Times New Roman" w:cs="Times New Roman"/>
                <w:b/>
                <w:bCs/>
                <w:sz w:val="18"/>
                <w:szCs w:val="18"/>
              </w:rPr>
            </w:pPr>
            <w:r w:rsidRPr="00251B61">
              <w:rPr>
                <w:rFonts w:eastAsia="Times New Roman" w:cs="Times New Roman"/>
                <w:b/>
                <w:bCs/>
                <w:sz w:val="18"/>
                <w:szCs w:val="18"/>
              </w:rPr>
              <w:t>2025</w:t>
            </w:r>
          </w:p>
        </w:tc>
        <w:tc>
          <w:tcPr>
            <w:tcW w:w="472" w:type="pct"/>
            <w:tcBorders>
              <w:bottom w:val="single" w:sz="4" w:space="0" w:color="auto"/>
            </w:tcBorders>
            <w:shd w:val="clear" w:color="auto" w:fill="8EAADB"/>
            <w:vAlign w:val="center"/>
          </w:tcPr>
          <w:p w14:paraId="799DB071" w14:textId="77777777" w:rsidR="008349F0" w:rsidRPr="00251B61" w:rsidRDefault="008349F0" w:rsidP="008349F0">
            <w:pPr>
              <w:keepNext/>
              <w:keepLines/>
              <w:spacing w:after="0"/>
              <w:ind w:firstLine="0"/>
              <w:jc w:val="center"/>
              <w:rPr>
                <w:rFonts w:eastAsia="Times New Roman" w:cs="Times New Roman"/>
                <w:b/>
                <w:bCs/>
                <w:sz w:val="18"/>
                <w:szCs w:val="18"/>
              </w:rPr>
            </w:pPr>
            <w:r w:rsidRPr="00251B61">
              <w:rPr>
                <w:rFonts w:eastAsia="Times New Roman" w:cs="Times New Roman"/>
                <w:b/>
                <w:bCs/>
                <w:sz w:val="18"/>
                <w:szCs w:val="18"/>
              </w:rPr>
              <w:t>2026</w:t>
            </w:r>
          </w:p>
        </w:tc>
        <w:tc>
          <w:tcPr>
            <w:tcW w:w="469" w:type="pct"/>
            <w:tcBorders>
              <w:bottom w:val="single" w:sz="4" w:space="0" w:color="auto"/>
            </w:tcBorders>
            <w:shd w:val="clear" w:color="auto" w:fill="8EAADB"/>
            <w:vAlign w:val="center"/>
          </w:tcPr>
          <w:p w14:paraId="3186D24B" w14:textId="77777777" w:rsidR="008349F0" w:rsidRPr="00251B61" w:rsidRDefault="008349F0" w:rsidP="008349F0">
            <w:pPr>
              <w:keepNext/>
              <w:keepLines/>
              <w:spacing w:after="0"/>
              <w:ind w:firstLine="0"/>
              <w:jc w:val="center"/>
              <w:rPr>
                <w:rFonts w:eastAsia="Times New Roman" w:cs="Times New Roman"/>
                <w:b/>
                <w:bCs/>
                <w:sz w:val="18"/>
                <w:szCs w:val="18"/>
              </w:rPr>
            </w:pPr>
            <w:r w:rsidRPr="00251B61">
              <w:rPr>
                <w:rFonts w:eastAsia="Times New Roman" w:cs="Times New Roman"/>
                <w:b/>
                <w:bCs/>
                <w:sz w:val="18"/>
                <w:szCs w:val="18"/>
              </w:rPr>
              <w:t>2027</w:t>
            </w:r>
          </w:p>
        </w:tc>
      </w:tr>
      <w:tr w:rsidR="008349F0" w:rsidRPr="00251B61" w14:paraId="4EFA1138" w14:textId="77777777" w:rsidTr="008D3722">
        <w:trPr>
          <w:cantSplit/>
          <w:trHeight w:hRule="exact" w:val="454"/>
          <w:jc w:val="center"/>
        </w:trPr>
        <w:tc>
          <w:tcPr>
            <w:tcW w:w="3115" w:type="pct"/>
          </w:tcPr>
          <w:p w14:paraId="1C7C0491" w14:textId="77777777" w:rsidR="008349F0" w:rsidRPr="00251B61" w:rsidRDefault="008349F0" w:rsidP="008349F0">
            <w:pPr>
              <w:keepNext/>
              <w:keepLines/>
              <w:spacing w:after="0"/>
              <w:ind w:firstLine="0"/>
              <w:contextualSpacing/>
              <w:jc w:val="left"/>
              <w:rPr>
                <w:rFonts w:eastAsia="Times New Roman" w:cs="Times New Roman"/>
                <w:i/>
                <w:sz w:val="18"/>
                <w:szCs w:val="18"/>
              </w:rPr>
            </w:pPr>
            <w:r w:rsidRPr="00251B61">
              <w:rPr>
                <w:rFonts w:cs="Times New Roman"/>
                <w:sz w:val="18"/>
                <w:szCs w:val="18"/>
              </w:rPr>
              <w:t xml:space="preserve">Saskaņā ar likumprojektu “Par valsts budžetu 2025. gadam un budžeta ietvaru 2025., 2026. un 2027. gadam”, milj. </w:t>
            </w:r>
            <w:proofErr w:type="spellStart"/>
            <w:r w:rsidRPr="008349F0">
              <w:rPr>
                <w:rFonts w:cs="Times New Roman"/>
                <w:i/>
                <w:iCs/>
                <w:sz w:val="18"/>
                <w:szCs w:val="18"/>
              </w:rPr>
              <w:t>euro</w:t>
            </w:r>
            <w:proofErr w:type="spellEnd"/>
          </w:p>
        </w:tc>
        <w:tc>
          <w:tcPr>
            <w:tcW w:w="472" w:type="pct"/>
            <w:tcBorders>
              <w:bottom w:val="single" w:sz="4" w:space="0" w:color="auto"/>
            </w:tcBorders>
            <w:vAlign w:val="center"/>
          </w:tcPr>
          <w:p w14:paraId="5CC80092" w14:textId="77777777" w:rsidR="008349F0" w:rsidRPr="00251B61" w:rsidRDefault="008349F0" w:rsidP="008349F0">
            <w:pPr>
              <w:keepNext/>
              <w:keepLines/>
              <w:spacing w:after="0"/>
              <w:ind w:firstLine="0"/>
              <w:contextualSpacing/>
              <w:jc w:val="center"/>
              <w:rPr>
                <w:rFonts w:eastAsia="Times New Roman" w:cs="Times New Roman"/>
                <w:sz w:val="18"/>
                <w:szCs w:val="18"/>
                <w:vertAlign w:val="superscript"/>
              </w:rPr>
            </w:pPr>
            <w:r w:rsidRPr="00251B61">
              <w:rPr>
                <w:rFonts w:cs="Times New Roman"/>
                <w:sz w:val="18"/>
                <w:szCs w:val="18"/>
              </w:rPr>
              <w:t>2 771,0</w:t>
            </w:r>
            <w:r w:rsidRPr="00251B61">
              <w:rPr>
                <w:rFonts w:cs="Times New Roman"/>
                <w:sz w:val="18"/>
                <w:szCs w:val="18"/>
                <w:vertAlign w:val="superscript"/>
              </w:rPr>
              <w:t>1</w:t>
            </w:r>
          </w:p>
        </w:tc>
        <w:tc>
          <w:tcPr>
            <w:tcW w:w="472" w:type="pct"/>
            <w:tcBorders>
              <w:top w:val="single" w:sz="4" w:space="0" w:color="auto"/>
              <w:left w:val="nil"/>
              <w:bottom w:val="single" w:sz="4" w:space="0" w:color="auto"/>
              <w:right w:val="single" w:sz="4" w:space="0" w:color="auto"/>
            </w:tcBorders>
            <w:shd w:val="clear" w:color="auto" w:fill="auto"/>
            <w:vAlign w:val="center"/>
          </w:tcPr>
          <w:p w14:paraId="7FCACF54" w14:textId="4C433E8A" w:rsidR="008349F0" w:rsidRPr="00251B61" w:rsidRDefault="008349F0" w:rsidP="008349F0">
            <w:pPr>
              <w:keepNext/>
              <w:keepLines/>
              <w:spacing w:after="0"/>
              <w:ind w:firstLine="0"/>
              <w:contextualSpacing/>
              <w:jc w:val="center"/>
              <w:rPr>
                <w:rFonts w:eastAsia="Times New Roman" w:cs="Times New Roman"/>
                <w:sz w:val="18"/>
                <w:szCs w:val="18"/>
              </w:rPr>
            </w:pPr>
            <w:r w:rsidRPr="00251B61">
              <w:rPr>
                <w:rFonts w:cs="Times New Roman"/>
                <w:sz w:val="18"/>
                <w:szCs w:val="18"/>
              </w:rPr>
              <w:t>2 735,9</w:t>
            </w:r>
            <w:r w:rsidR="00D83C9B" w:rsidRPr="00D83C9B">
              <w:rPr>
                <w:rFonts w:eastAsia="Times New Roman" w:cs="Times New Roman"/>
                <w:sz w:val="18"/>
                <w:szCs w:val="24"/>
                <w:vertAlign w:val="superscript"/>
              </w:rPr>
              <w:t>1</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2280D81B" w14:textId="4AC30953" w:rsidR="008349F0" w:rsidRPr="00251B61" w:rsidRDefault="008349F0" w:rsidP="008349F0">
            <w:pPr>
              <w:keepNext/>
              <w:keepLines/>
              <w:spacing w:after="0"/>
              <w:ind w:firstLine="0"/>
              <w:contextualSpacing/>
              <w:jc w:val="center"/>
              <w:rPr>
                <w:rFonts w:eastAsia="Times New Roman" w:cs="Times New Roman"/>
                <w:sz w:val="18"/>
                <w:szCs w:val="18"/>
              </w:rPr>
            </w:pPr>
            <w:r w:rsidRPr="00251B61">
              <w:rPr>
                <w:rFonts w:cs="Times New Roman"/>
                <w:sz w:val="18"/>
                <w:szCs w:val="18"/>
              </w:rPr>
              <w:t>2 844,5</w:t>
            </w:r>
            <w:r w:rsidR="00D83C9B" w:rsidRPr="00D83C9B">
              <w:rPr>
                <w:rFonts w:eastAsia="Times New Roman" w:cs="Times New Roman"/>
                <w:sz w:val="18"/>
                <w:szCs w:val="24"/>
                <w:vertAlign w:val="superscript"/>
              </w:rPr>
              <w:t>1</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43EF50C3" w14:textId="3749A326" w:rsidR="008349F0" w:rsidRPr="00251B61" w:rsidRDefault="008349F0" w:rsidP="008349F0">
            <w:pPr>
              <w:keepNext/>
              <w:keepLines/>
              <w:spacing w:after="0"/>
              <w:ind w:firstLine="0"/>
              <w:contextualSpacing/>
              <w:jc w:val="center"/>
              <w:rPr>
                <w:rFonts w:eastAsia="Times New Roman" w:cs="Times New Roman"/>
                <w:sz w:val="18"/>
                <w:szCs w:val="18"/>
              </w:rPr>
            </w:pPr>
            <w:r w:rsidRPr="00251B61">
              <w:rPr>
                <w:rFonts w:cs="Times New Roman"/>
                <w:sz w:val="18"/>
                <w:szCs w:val="18"/>
              </w:rPr>
              <w:t>2 972,0</w:t>
            </w:r>
            <w:r w:rsidR="00D83C9B" w:rsidRPr="00D83C9B">
              <w:rPr>
                <w:rFonts w:eastAsia="Times New Roman" w:cs="Times New Roman"/>
                <w:sz w:val="18"/>
                <w:szCs w:val="24"/>
                <w:vertAlign w:val="superscript"/>
              </w:rPr>
              <w:t>1</w:t>
            </w:r>
          </w:p>
        </w:tc>
      </w:tr>
      <w:tr w:rsidR="008349F0" w:rsidRPr="00251B61" w14:paraId="33375124" w14:textId="77777777" w:rsidTr="008D3722">
        <w:trPr>
          <w:cantSplit/>
          <w:trHeight w:hRule="exact" w:val="227"/>
          <w:jc w:val="center"/>
        </w:trPr>
        <w:tc>
          <w:tcPr>
            <w:tcW w:w="3115" w:type="pct"/>
          </w:tcPr>
          <w:p w14:paraId="6A737D03" w14:textId="77777777" w:rsidR="008349F0" w:rsidRPr="00251B61" w:rsidRDefault="008349F0" w:rsidP="008349F0">
            <w:pPr>
              <w:keepNext/>
              <w:keepLines/>
              <w:spacing w:after="0"/>
              <w:ind w:left="360" w:firstLine="0"/>
              <w:contextualSpacing/>
              <w:jc w:val="left"/>
              <w:rPr>
                <w:rFonts w:eastAsia="Times New Roman" w:cs="Times New Roman"/>
                <w:i/>
                <w:iCs/>
                <w:sz w:val="18"/>
                <w:szCs w:val="18"/>
              </w:rPr>
            </w:pPr>
            <w:r w:rsidRPr="00251B61">
              <w:rPr>
                <w:rFonts w:cs="Times New Roman"/>
                <w:sz w:val="18"/>
                <w:szCs w:val="18"/>
              </w:rPr>
              <w:t>pret IKP, %</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6B8FDCF7" w14:textId="77777777" w:rsidR="008349F0" w:rsidRPr="00251B61" w:rsidRDefault="008349F0" w:rsidP="008349F0">
            <w:pPr>
              <w:keepNext/>
              <w:keepLines/>
              <w:spacing w:after="0"/>
              <w:ind w:firstLine="0"/>
              <w:contextualSpacing/>
              <w:jc w:val="right"/>
              <w:rPr>
                <w:rFonts w:eastAsia="Times New Roman" w:cs="Times New Roman"/>
                <w:i/>
                <w:iCs/>
                <w:color w:val="000000"/>
                <w:sz w:val="18"/>
                <w:szCs w:val="18"/>
              </w:rPr>
            </w:pPr>
            <w:r w:rsidRPr="00251B61">
              <w:rPr>
                <w:rFonts w:cs="Times New Roman"/>
                <w:i/>
                <w:iCs/>
                <w:sz w:val="18"/>
                <w:szCs w:val="18"/>
              </w:rPr>
              <w:t>6,6%</w:t>
            </w:r>
          </w:p>
        </w:tc>
        <w:tc>
          <w:tcPr>
            <w:tcW w:w="472" w:type="pct"/>
            <w:tcBorders>
              <w:top w:val="single" w:sz="4" w:space="0" w:color="auto"/>
              <w:left w:val="nil"/>
              <w:bottom w:val="single" w:sz="4" w:space="0" w:color="auto"/>
              <w:right w:val="single" w:sz="4" w:space="0" w:color="auto"/>
            </w:tcBorders>
            <w:shd w:val="clear" w:color="auto" w:fill="auto"/>
            <w:vAlign w:val="center"/>
          </w:tcPr>
          <w:p w14:paraId="091CD9C2"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6,2%</w:t>
            </w:r>
          </w:p>
        </w:tc>
        <w:tc>
          <w:tcPr>
            <w:tcW w:w="472" w:type="pct"/>
            <w:tcBorders>
              <w:top w:val="single" w:sz="4" w:space="0" w:color="auto"/>
              <w:left w:val="nil"/>
              <w:bottom w:val="single" w:sz="4" w:space="0" w:color="auto"/>
              <w:right w:val="single" w:sz="4" w:space="0" w:color="auto"/>
            </w:tcBorders>
            <w:shd w:val="clear" w:color="auto" w:fill="auto"/>
            <w:vAlign w:val="center"/>
          </w:tcPr>
          <w:p w14:paraId="32DA9BDA"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6,1%</w:t>
            </w:r>
          </w:p>
        </w:tc>
        <w:tc>
          <w:tcPr>
            <w:tcW w:w="469" w:type="pct"/>
            <w:tcBorders>
              <w:top w:val="single" w:sz="4" w:space="0" w:color="auto"/>
              <w:left w:val="nil"/>
              <w:bottom w:val="single" w:sz="4" w:space="0" w:color="auto"/>
              <w:right w:val="single" w:sz="4" w:space="0" w:color="auto"/>
            </w:tcBorders>
            <w:shd w:val="clear" w:color="auto" w:fill="auto"/>
            <w:vAlign w:val="center"/>
          </w:tcPr>
          <w:p w14:paraId="0799D2C4"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6,0%</w:t>
            </w:r>
          </w:p>
        </w:tc>
      </w:tr>
      <w:tr w:rsidR="008349F0" w:rsidRPr="00251B61" w14:paraId="6EBF2DBA" w14:textId="77777777" w:rsidTr="008D3722">
        <w:trPr>
          <w:cantSplit/>
          <w:trHeight w:hRule="exact" w:val="454"/>
          <w:jc w:val="center"/>
        </w:trPr>
        <w:tc>
          <w:tcPr>
            <w:tcW w:w="3115" w:type="pct"/>
          </w:tcPr>
          <w:p w14:paraId="6C30A4CC" w14:textId="77777777" w:rsidR="008349F0" w:rsidRPr="00251B61" w:rsidRDefault="008349F0" w:rsidP="008349F0">
            <w:pPr>
              <w:keepNext/>
              <w:keepLines/>
              <w:spacing w:after="0"/>
              <w:ind w:firstLine="0"/>
              <w:contextualSpacing/>
              <w:jc w:val="left"/>
              <w:rPr>
                <w:rFonts w:eastAsia="Times New Roman" w:cs="Times New Roman"/>
                <w:sz w:val="18"/>
                <w:szCs w:val="18"/>
              </w:rPr>
            </w:pPr>
            <w:r w:rsidRPr="00251B61">
              <w:rPr>
                <w:rFonts w:cs="Times New Roman"/>
                <w:sz w:val="18"/>
                <w:szCs w:val="18"/>
              </w:rPr>
              <w:t xml:space="preserve">Salīdzinājumā ar likumu “Par valsts budžetu 2024. gadam un budžeta ietvaru 2024., 2025. un 2026. gadam”, milj. </w:t>
            </w:r>
            <w:proofErr w:type="spellStart"/>
            <w:r w:rsidRPr="008349F0">
              <w:rPr>
                <w:rFonts w:cs="Times New Roman"/>
                <w:i/>
                <w:iCs/>
                <w:sz w:val="18"/>
                <w:szCs w:val="18"/>
              </w:rPr>
              <w:t>euro</w:t>
            </w:r>
            <w:proofErr w:type="spellEnd"/>
          </w:p>
        </w:tc>
        <w:tc>
          <w:tcPr>
            <w:tcW w:w="472" w:type="pct"/>
            <w:tcBorders>
              <w:top w:val="single" w:sz="4" w:space="0" w:color="auto"/>
              <w:left w:val="nil"/>
              <w:bottom w:val="single" w:sz="4" w:space="0" w:color="auto"/>
              <w:right w:val="single" w:sz="4" w:space="0" w:color="auto"/>
            </w:tcBorders>
            <w:shd w:val="clear" w:color="auto" w:fill="auto"/>
            <w:vAlign w:val="center"/>
          </w:tcPr>
          <w:p w14:paraId="212F1455"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136,3</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262BBBD9"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-70,0</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76D24BCB"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-161,3</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7CB2B463"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w:t>
            </w:r>
          </w:p>
        </w:tc>
      </w:tr>
      <w:tr w:rsidR="008349F0" w:rsidRPr="00251B61" w14:paraId="57AC2715" w14:textId="77777777" w:rsidTr="008D3722">
        <w:trPr>
          <w:cantSplit/>
          <w:trHeight w:hRule="exact" w:val="454"/>
          <w:jc w:val="center"/>
        </w:trPr>
        <w:tc>
          <w:tcPr>
            <w:tcW w:w="3115" w:type="pct"/>
          </w:tcPr>
          <w:p w14:paraId="374A2AD6" w14:textId="77777777" w:rsidR="008349F0" w:rsidRPr="00251B61" w:rsidRDefault="008349F0" w:rsidP="008349F0">
            <w:pPr>
              <w:keepNext/>
              <w:keepLines/>
              <w:spacing w:after="0"/>
              <w:ind w:firstLine="0"/>
              <w:contextualSpacing/>
              <w:jc w:val="left"/>
              <w:rPr>
                <w:rFonts w:eastAsia="Times New Roman" w:cs="Times New Roman"/>
                <w:sz w:val="18"/>
                <w:szCs w:val="18"/>
              </w:rPr>
            </w:pPr>
            <w:r w:rsidRPr="00251B61">
              <w:rPr>
                <w:rFonts w:cs="Times New Roman"/>
                <w:sz w:val="18"/>
                <w:szCs w:val="18"/>
              </w:rPr>
              <w:t>Salīdzinājumā ar likumu “Par valsts budžetu 2024. gadam un budžeta ietvaru 2024., 2025. un 2026. gadam”, %</w:t>
            </w:r>
          </w:p>
        </w:tc>
        <w:tc>
          <w:tcPr>
            <w:tcW w:w="472" w:type="pct"/>
            <w:tcBorders>
              <w:top w:val="single" w:sz="4" w:space="0" w:color="auto"/>
              <w:left w:val="nil"/>
              <w:bottom w:val="single" w:sz="4" w:space="0" w:color="auto"/>
              <w:right w:val="single" w:sz="4" w:space="0" w:color="auto"/>
            </w:tcBorders>
            <w:shd w:val="clear" w:color="auto" w:fill="auto"/>
            <w:vAlign w:val="center"/>
          </w:tcPr>
          <w:p w14:paraId="335A2DBB"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5,2</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25993E8B"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-2,5</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03012BA6"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-5,4</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tcPr>
          <w:p w14:paraId="5EF427EA"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w:t>
            </w:r>
          </w:p>
        </w:tc>
      </w:tr>
    </w:tbl>
    <w:p w14:paraId="026430C4" w14:textId="77777777" w:rsidR="008349F0" w:rsidRPr="00251B61" w:rsidRDefault="008349F0" w:rsidP="008349F0">
      <w:pPr>
        <w:spacing w:after="240"/>
        <w:ind w:left="397" w:firstLine="0"/>
        <w:rPr>
          <w:rFonts w:eastAsia="Calibri" w:cs="Times New Roman"/>
          <w:sz w:val="18"/>
          <w:szCs w:val="18"/>
          <w:lang w:eastAsia="en-US"/>
        </w:rPr>
      </w:pPr>
      <w:r w:rsidRPr="00251B61">
        <w:rPr>
          <w:rFonts w:eastAsia="Calibri" w:cs="Times New Roman"/>
          <w:sz w:val="18"/>
          <w:szCs w:val="18"/>
          <w:vertAlign w:val="superscript"/>
          <w:lang w:eastAsia="en-US"/>
        </w:rPr>
        <w:t>1</w:t>
      </w:r>
      <w:r w:rsidRPr="00251B61">
        <w:rPr>
          <w:rFonts w:eastAsia="Calibri" w:cs="Times New Roman"/>
          <w:sz w:val="18"/>
          <w:szCs w:val="18"/>
          <w:lang w:eastAsia="en-US"/>
        </w:rPr>
        <w:t> Prognoze</w:t>
      </w:r>
    </w:p>
    <w:p w14:paraId="58AF8467" w14:textId="7A8E9E88"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Ar 2025.</w:t>
      </w:r>
      <w:r w:rsidR="002F2A16">
        <w:rPr>
          <w:rFonts w:eastAsia="Times New Roman" w:cs="Times New Roman"/>
          <w:color w:val="000000"/>
          <w:szCs w:val="24"/>
        </w:rPr>
        <w:t xml:space="preserve"> </w:t>
      </w:r>
      <w:r w:rsidRPr="00251B61">
        <w:rPr>
          <w:rFonts w:eastAsia="Times New Roman" w:cs="Times New Roman"/>
          <w:color w:val="000000"/>
          <w:szCs w:val="24"/>
        </w:rPr>
        <w:t>gadu tiek mainīts IIN sadalījums starp valsts un pašvaldību budžetiem no 25% un 75% uz 22% un 78</w:t>
      </w:r>
      <w:r w:rsidR="002F2A16">
        <w:rPr>
          <w:rFonts w:eastAsia="Times New Roman" w:cs="Times New Roman"/>
          <w:color w:val="000000"/>
          <w:szCs w:val="24"/>
        </w:rPr>
        <w:t>%</w:t>
      </w:r>
      <w:r w:rsidRPr="00251B61">
        <w:rPr>
          <w:rFonts w:eastAsia="Times New Roman" w:cs="Times New Roman"/>
          <w:color w:val="000000"/>
          <w:szCs w:val="24"/>
        </w:rPr>
        <w:t>. Kopējā fiskālā ietekme ir neitrāla, mainoties vien ieņēmumiem starp valsts un pašvaldību budžetiem.</w:t>
      </w:r>
    </w:p>
    <w:p w14:paraId="60773BE9" w14:textId="77777777" w:rsidR="008349F0" w:rsidRPr="00251B61" w:rsidRDefault="008349F0" w:rsidP="008349F0">
      <w:pPr>
        <w:keepNext/>
        <w:keepLines/>
        <w:spacing w:before="240" w:after="240"/>
        <w:ind w:firstLine="0"/>
        <w:jc w:val="center"/>
        <w:outlineLvl w:val="3"/>
        <w:rPr>
          <w:rFonts w:eastAsia="Times New Roman" w:cs="Times New Roman"/>
          <w:b/>
          <w:sz w:val="28"/>
          <w:lang w:eastAsia="en-US"/>
        </w:rPr>
      </w:pPr>
      <w:r w:rsidRPr="00251B61">
        <w:rPr>
          <w:rFonts w:eastAsia="Times New Roman" w:cs="Times New Roman"/>
          <w:b/>
          <w:sz w:val="28"/>
          <w:lang w:eastAsia="en-US"/>
        </w:rPr>
        <w:t>Valsts sociālās apdrošināšanas obligātās iemaksas</w:t>
      </w:r>
      <w:bookmarkEnd w:id="80"/>
      <w:r w:rsidRPr="00251B61">
        <w:rPr>
          <w:rFonts w:eastAsia="Times New Roman" w:cs="Times New Roman"/>
          <w:b/>
          <w:sz w:val="28"/>
          <w:vertAlign w:val="superscript"/>
          <w:lang w:eastAsia="en-US"/>
        </w:rPr>
        <w:footnoteReference w:id="34"/>
      </w:r>
      <w:bookmarkEnd w:id="81"/>
      <w:r w:rsidRPr="00251B61">
        <w:rPr>
          <w:rFonts w:eastAsia="Times New Roman" w:cs="Times New Roman"/>
          <w:b/>
          <w:sz w:val="28"/>
          <w:lang w:eastAsia="en-US"/>
        </w:rPr>
        <w:t xml:space="preserve"> </w:t>
      </w:r>
    </w:p>
    <w:p w14:paraId="594237FA" w14:textId="277B5DEB" w:rsidR="008349F0" w:rsidRPr="00251B61" w:rsidRDefault="008349F0" w:rsidP="008349F0">
      <w:pPr>
        <w:rPr>
          <w:rFonts w:eastAsia="Times New Roman" w:cs="Times New Roman"/>
          <w:color w:val="000000"/>
          <w:szCs w:val="24"/>
        </w:rPr>
      </w:pPr>
      <w:bookmarkStart w:id="82" w:name="_Hlk125622826"/>
      <w:bookmarkStart w:id="83" w:name="_Toc84756424"/>
      <w:r w:rsidRPr="00251B61">
        <w:rPr>
          <w:rFonts w:eastAsia="Times New Roman" w:cs="Times New Roman"/>
          <w:color w:val="000000"/>
          <w:szCs w:val="24"/>
        </w:rPr>
        <w:t>VSAOI galvenokārt ietekmē tautsaimniecībā nodarbināto skaits, nodarbināto ienākumi un minimālā darba alga. VSAOI ieņēmumi 2024. gada 1. pusgadā bija 2 183,0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par 228,1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11,7% vairāk kā 2023. gada attiecīgajā periodā, palielinoties darba samaksas fondam. 2024. gada 1. pusgadā VSAOI valsts pamatbudžetā veselības finansēšanai bija 76,2 milj. </w:t>
      </w:r>
      <w:proofErr w:type="spellStart"/>
      <w:r w:rsidRPr="00251B61">
        <w:rPr>
          <w:rFonts w:eastAsia="Times New Roman" w:cs="Times New Roman"/>
          <w:i/>
          <w:iCs/>
          <w:color w:val="000000"/>
          <w:szCs w:val="24"/>
        </w:rPr>
        <w:t>euro</w:t>
      </w:r>
      <w:proofErr w:type="spellEnd"/>
      <w:r w:rsidRPr="00251B61">
        <w:rPr>
          <w:rFonts w:eastAsia="Times New Roman" w:cs="Times New Roman"/>
          <w:i/>
          <w:iCs/>
          <w:color w:val="000000"/>
          <w:szCs w:val="24"/>
        </w:rPr>
        <w:t>,</w:t>
      </w:r>
      <w:r w:rsidRPr="00251B61">
        <w:rPr>
          <w:rFonts w:eastAsia="Times New Roman" w:cs="Times New Roman"/>
          <w:color w:val="000000"/>
          <w:szCs w:val="24"/>
        </w:rPr>
        <w:t xml:space="preserve"> kas ir par 8,3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12,3% vairāk nekā pērn. </w:t>
      </w:r>
    </w:p>
    <w:bookmarkEnd w:id="82"/>
    <w:p w14:paraId="5C6A65F5" w14:textId="77777777"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2024. gada 1. pusgadā VSAOI plānu pārsniedza par 9,6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plāna izpilde bija 100,4 %, ko ietekmēja gada sākumā būtiski augstākais darba samaksas fonda pieauguma temps.</w:t>
      </w:r>
    </w:p>
    <w:p w14:paraId="78D656AB" w14:textId="2EE63B62"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 xml:space="preserve">Saskaņā ar </w:t>
      </w:r>
      <w:r w:rsidRPr="00251B61">
        <w:rPr>
          <w:rFonts w:eastAsia="Calibri" w:cs="Times New Roman"/>
          <w:szCs w:val="24"/>
        </w:rPr>
        <w:t>likumprojektu</w:t>
      </w:r>
      <w:r w:rsidRPr="00251B61">
        <w:rPr>
          <w:rFonts w:eastAsia="Times New Roman" w:cs="Times New Roman"/>
          <w:color w:val="000000"/>
          <w:szCs w:val="24"/>
        </w:rPr>
        <w:t xml:space="preserve"> “Par valsts budžetu 2025. gadam un budžeta ietvaru 2025., 2026. un 2027. gadam” 2025. gadā VSAOI ieņēmumi tiek plānoti 4 862,9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2026. gadā 5 228,6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un 2027. gadā 5 504,4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apmērā (skat. 3.6. tabulu). VSAOI ieņēmumu plānu ietekmēs prognozētais darba samaksas fonda pieauguma temps, VSAOI griestu noteikšana 105 300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apmērā no 2025.</w:t>
      </w:r>
      <w:r w:rsidR="002F2A16">
        <w:rPr>
          <w:rFonts w:eastAsia="Times New Roman" w:cs="Times New Roman"/>
          <w:color w:val="000000"/>
          <w:szCs w:val="24"/>
        </w:rPr>
        <w:t xml:space="preserve"> </w:t>
      </w:r>
      <w:r w:rsidRPr="00251B61">
        <w:rPr>
          <w:rFonts w:eastAsia="Times New Roman" w:cs="Times New Roman"/>
          <w:color w:val="000000"/>
          <w:szCs w:val="24"/>
        </w:rPr>
        <w:t xml:space="preserve">gada, </w:t>
      </w:r>
      <w:r w:rsidRPr="00251B61">
        <w:rPr>
          <w:rFonts w:eastAsia="Calibri" w:cs="Times New Roman"/>
          <w:szCs w:val="24"/>
        </w:rPr>
        <w:t>2024. gadā sagaidāmā izpilde</w:t>
      </w:r>
      <w:r w:rsidRPr="00251B61">
        <w:rPr>
          <w:rFonts w:eastAsia="Times New Roman" w:cs="Times New Roman"/>
          <w:color w:val="000000"/>
          <w:szCs w:val="24"/>
        </w:rPr>
        <w:t>, kā arī 3.1. sadaļā minētie pasākumi.</w:t>
      </w:r>
    </w:p>
    <w:p w14:paraId="51C7E930" w14:textId="77777777" w:rsidR="008349F0" w:rsidRPr="00251B61" w:rsidRDefault="008349F0" w:rsidP="008349F0">
      <w:pPr>
        <w:keepNext/>
        <w:keepLines/>
        <w:spacing w:before="240" w:after="0"/>
        <w:ind w:left="360" w:firstLine="0"/>
        <w:jc w:val="right"/>
        <w:rPr>
          <w:rFonts w:eastAsia="Calibri" w:cs="Times New Roman"/>
          <w:b/>
          <w:i/>
          <w:szCs w:val="24"/>
        </w:rPr>
      </w:pPr>
      <w:r w:rsidRPr="00251B61">
        <w:rPr>
          <w:rFonts w:eastAsia="Calibri" w:cs="Times New Roman"/>
          <w:b/>
          <w:i/>
          <w:szCs w:val="24"/>
        </w:rPr>
        <w:lastRenderedPageBreak/>
        <w:t>3.6. tabula. VSAOI</w:t>
      </w:r>
      <w:r w:rsidRPr="00251B61">
        <w:rPr>
          <w:rFonts w:eastAsia="Calibri" w:cs="Times New Roman"/>
          <w:b/>
          <w:i/>
          <w:szCs w:val="24"/>
          <w:vertAlign w:val="superscript"/>
        </w:rPr>
        <w:t>1</w:t>
      </w:r>
      <w:r w:rsidRPr="00251B61">
        <w:rPr>
          <w:rFonts w:eastAsia="Calibri" w:cs="Times New Roman"/>
          <w:b/>
          <w:i/>
          <w:szCs w:val="24"/>
        </w:rPr>
        <w:t xml:space="preserve"> ieņēmumi</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14"/>
        <w:gridCol w:w="851"/>
        <w:gridCol w:w="851"/>
        <w:gridCol w:w="851"/>
        <w:gridCol w:w="847"/>
      </w:tblGrid>
      <w:tr w:rsidR="008349F0" w:rsidRPr="00251B61" w14:paraId="4293A7CD" w14:textId="77777777" w:rsidTr="008D3722">
        <w:trPr>
          <w:cantSplit/>
          <w:trHeight w:hRule="exact" w:val="227"/>
          <w:jc w:val="center"/>
        </w:trPr>
        <w:tc>
          <w:tcPr>
            <w:tcW w:w="3114" w:type="pct"/>
            <w:shd w:val="clear" w:color="auto" w:fill="8EAADB"/>
            <w:vAlign w:val="center"/>
          </w:tcPr>
          <w:p w14:paraId="7D49B512" w14:textId="77777777" w:rsidR="008349F0" w:rsidRPr="00251B61" w:rsidRDefault="008349F0" w:rsidP="008349F0">
            <w:pPr>
              <w:keepNext/>
              <w:keepLines/>
              <w:spacing w:before="100" w:beforeAutospacing="1" w:after="100" w:afterAutospacing="1"/>
              <w:ind w:firstLine="0"/>
              <w:contextualSpacing/>
              <w:jc w:val="left"/>
              <w:rPr>
                <w:rFonts w:eastAsia="Times New Roman" w:cs="Times New Roman"/>
                <w:sz w:val="18"/>
                <w:szCs w:val="24"/>
              </w:rPr>
            </w:pPr>
          </w:p>
          <w:p w14:paraId="0FB45D31" w14:textId="77777777" w:rsidR="008349F0" w:rsidRPr="00251B61" w:rsidRDefault="008349F0" w:rsidP="008349F0">
            <w:pPr>
              <w:keepNext/>
              <w:keepLines/>
              <w:spacing w:before="100" w:beforeAutospacing="1" w:after="100" w:afterAutospacing="1"/>
              <w:ind w:firstLine="0"/>
              <w:contextualSpacing/>
              <w:jc w:val="left"/>
              <w:rPr>
                <w:rFonts w:eastAsia="Times New Roman" w:cs="Times New Roman"/>
                <w:sz w:val="18"/>
                <w:szCs w:val="24"/>
              </w:rPr>
            </w:pPr>
          </w:p>
        </w:tc>
        <w:tc>
          <w:tcPr>
            <w:tcW w:w="472" w:type="pct"/>
            <w:shd w:val="clear" w:color="auto" w:fill="8EAADB"/>
            <w:vAlign w:val="center"/>
          </w:tcPr>
          <w:p w14:paraId="1567D8C6" w14:textId="77777777" w:rsidR="008349F0" w:rsidRPr="00251B61" w:rsidRDefault="008349F0" w:rsidP="008349F0">
            <w:pPr>
              <w:keepNext/>
              <w:keepLines/>
              <w:spacing w:before="100" w:beforeAutospacing="1" w:after="100" w:afterAutospacing="1"/>
              <w:ind w:firstLine="0"/>
              <w:contextualSpacing/>
              <w:jc w:val="center"/>
              <w:rPr>
                <w:rFonts w:eastAsia="Times New Roman" w:cs="Times New Roman"/>
                <w:b/>
                <w:bCs/>
                <w:sz w:val="18"/>
                <w:szCs w:val="24"/>
              </w:rPr>
            </w:pPr>
            <w:r w:rsidRPr="00251B61">
              <w:rPr>
                <w:rFonts w:eastAsia="Times New Roman" w:cs="Times New Roman"/>
                <w:b/>
                <w:bCs/>
                <w:sz w:val="18"/>
                <w:szCs w:val="18"/>
              </w:rPr>
              <w:t>2024</w:t>
            </w:r>
          </w:p>
        </w:tc>
        <w:tc>
          <w:tcPr>
            <w:tcW w:w="472" w:type="pct"/>
            <w:tcBorders>
              <w:bottom w:val="single" w:sz="4" w:space="0" w:color="auto"/>
            </w:tcBorders>
            <w:shd w:val="clear" w:color="auto" w:fill="8EAADB"/>
            <w:vAlign w:val="center"/>
          </w:tcPr>
          <w:p w14:paraId="4BF3F1B4" w14:textId="77777777" w:rsidR="008349F0" w:rsidRPr="00251B61" w:rsidRDefault="008349F0" w:rsidP="008349F0">
            <w:pPr>
              <w:keepNext/>
              <w:keepLines/>
              <w:spacing w:before="100" w:beforeAutospacing="1" w:after="100" w:afterAutospacing="1"/>
              <w:ind w:firstLine="0"/>
              <w:contextualSpacing/>
              <w:jc w:val="center"/>
              <w:rPr>
                <w:rFonts w:eastAsia="Times New Roman" w:cs="Times New Roman"/>
                <w:b/>
                <w:bCs/>
                <w:sz w:val="18"/>
                <w:szCs w:val="24"/>
              </w:rPr>
            </w:pPr>
            <w:r w:rsidRPr="00251B61">
              <w:rPr>
                <w:rFonts w:eastAsia="Times New Roman" w:cs="Times New Roman"/>
                <w:b/>
                <w:bCs/>
                <w:sz w:val="18"/>
                <w:szCs w:val="18"/>
              </w:rPr>
              <w:t>2025</w:t>
            </w:r>
          </w:p>
        </w:tc>
        <w:tc>
          <w:tcPr>
            <w:tcW w:w="472" w:type="pct"/>
            <w:tcBorders>
              <w:bottom w:val="single" w:sz="4" w:space="0" w:color="auto"/>
            </w:tcBorders>
            <w:shd w:val="clear" w:color="auto" w:fill="8EAADB"/>
            <w:vAlign w:val="center"/>
          </w:tcPr>
          <w:p w14:paraId="688C750F" w14:textId="77777777" w:rsidR="008349F0" w:rsidRPr="00251B61" w:rsidRDefault="008349F0" w:rsidP="008349F0">
            <w:pPr>
              <w:keepNext/>
              <w:keepLines/>
              <w:spacing w:before="100" w:beforeAutospacing="1" w:after="100" w:afterAutospacing="1"/>
              <w:ind w:firstLine="0"/>
              <w:contextualSpacing/>
              <w:jc w:val="center"/>
              <w:rPr>
                <w:rFonts w:eastAsia="Times New Roman" w:cs="Times New Roman"/>
                <w:b/>
                <w:bCs/>
                <w:sz w:val="18"/>
                <w:szCs w:val="24"/>
              </w:rPr>
            </w:pPr>
            <w:r w:rsidRPr="00251B61">
              <w:rPr>
                <w:rFonts w:eastAsia="Times New Roman" w:cs="Times New Roman"/>
                <w:b/>
                <w:bCs/>
                <w:sz w:val="18"/>
                <w:szCs w:val="18"/>
              </w:rPr>
              <w:t>2026</w:t>
            </w:r>
          </w:p>
        </w:tc>
        <w:tc>
          <w:tcPr>
            <w:tcW w:w="470" w:type="pct"/>
            <w:tcBorders>
              <w:bottom w:val="single" w:sz="4" w:space="0" w:color="auto"/>
            </w:tcBorders>
            <w:shd w:val="clear" w:color="auto" w:fill="8EAADB"/>
            <w:vAlign w:val="center"/>
          </w:tcPr>
          <w:p w14:paraId="6F73A526" w14:textId="77777777" w:rsidR="008349F0" w:rsidRPr="00251B61" w:rsidRDefault="008349F0" w:rsidP="008349F0">
            <w:pPr>
              <w:keepNext/>
              <w:keepLines/>
              <w:spacing w:before="100" w:beforeAutospacing="1" w:after="100" w:afterAutospacing="1"/>
              <w:ind w:firstLine="0"/>
              <w:contextualSpacing/>
              <w:jc w:val="center"/>
              <w:rPr>
                <w:rFonts w:eastAsia="Times New Roman" w:cs="Times New Roman"/>
                <w:b/>
                <w:bCs/>
                <w:sz w:val="18"/>
                <w:szCs w:val="24"/>
              </w:rPr>
            </w:pPr>
            <w:r w:rsidRPr="00251B61">
              <w:rPr>
                <w:rFonts w:eastAsia="Times New Roman" w:cs="Times New Roman"/>
                <w:b/>
                <w:bCs/>
                <w:sz w:val="18"/>
                <w:szCs w:val="18"/>
              </w:rPr>
              <w:t>2027</w:t>
            </w:r>
          </w:p>
        </w:tc>
      </w:tr>
      <w:tr w:rsidR="008349F0" w:rsidRPr="00251B61" w14:paraId="764FE03B" w14:textId="77777777" w:rsidTr="008D3722">
        <w:trPr>
          <w:cantSplit/>
          <w:trHeight w:hRule="exact" w:val="454"/>
          <w:jc w:val="center"/>
        </w:trPr>
        <w:tc>
          <w:tcPr>
            <w:tcW w:w="3114" w:type="pct"/>
          </w:tcPr>
          <w:p w14:paraId="35994D33" w14:textId="77777777" w:rsidR="008349F0" w:rsidRPr="00251B61" w:rsidRDefault="008349F0" w:rsidP="008349F0">
            <w:pPr>
              <w:keepNext/>
              <w:keepLines/>
              <w:spacing w:before="100" w:beforeAutospacing="1" w:after="100" w:afterAutospacing="1"/>
              <w:ind w:firstLine="0"/>
              <w:contextualSpacing/>
              <w:jc w:val="left"/>
              <w:rPr>
                <w:rFonts w:eastAsia="Times New Roman" w:cs="Times New Roman"/>
                <w:sz w:val="18"/>
                <w:szCs w:val="18"/>
              </w:rPr>
            </w:pPr>
            <w:r w:rsidRPr="00251B61">
              <w:rPr>
                <w:rFonts w:cs="Times New Roman"/>
                <w:sz w:val="18"/>
                <w:szCs w:val="18"/>
              </w:rPr>
              <w:t xml:space="preserve">Saskaņā ar likumprojektu “Par valsts budžetu 2025. gadam un budžeta ietvaru 2025., 2026. un 2027. gadam”, milj. </w:t>
            </w:r>
            <w:proofErr w:type="spellStart"/>
            <w:r w:rsidRPr="005F1378">
              <w:rPr>
                <w:rFonts w:cs="Times New Roman"/>
                <w:i/>
                <w:iCs/>
                <w:sz w:val="18"/>
                <w:szCs w:val="18"/>
              </w:rPr>
              <w:t>euro</w:t>
            </w:r>
            <w:proofErr w:type="spellEnd"/>
          </w:p>
        </w:tc>
        <w:tc>
          <w:tcPr>
            <w:tcW w:w="472" w:type="pct"/>
            <w:tcBorders>
              <w:bottom w:val="single" w:sz="4" w:space="0" w:color="auto"/>
            </w:tcBorders>
            <w:vAlign w:val="center"/>
          </w:tcPr>
          <w:p w14:paraId="55335C51" w14:textId="77777777" w:rsidR="008349F0" w:rsidRPr="00251B61" w:rsidRDefault="008349F0" w:rsidP="008349F0">
            <w:pPr>
              <w:keepNext/>
              <w:keepLines/>
              <w:spacing w:after="0"/>
              <w:ind w:firstLine="0"/>
              <w:contextualSpacing/>
              <w:jc w:val="center"/>
              <w:rPr>
                <w:rFonts w:cs="Times New Roman"/>
                <w:sz w:val="18"/>
                <w:szCs w:val="18"/>
                <w:vertAlign w:val="superscript"/>
              </w:rPr>
            </w:pPr>
            <w:r w:rsidRPr="00251B61">
              <w:rPr>
                <w:rFonts w:cs="Times New Roman"/>
                <w:sz w:val="18"/>
                <w:szCs w:val="18"/>
              </w:rPr>
              <w:t>4 471,5</w:t>
            </w:r>
            <w:r w:rsidRPr="00251B61">
              <w:rPr>
                <w:rFonts w:cs="Times New Roman"/>
                <w:sz w:val="18"/>
                <w:szCs w:val="18"/>
                <w:vertAlign w:val="superscript"/>
              </w:rPr>
              <w:t>2</w:t>
            </w:r>
          </w:p>
        </w:tc>
        <w:tc>
          <w:tcPr>
            <w:tcW w:w="472" w:type="pct"/>
            <w:tcBorders>
              <w:top w:val="single" w:sz="4" w:space="0" w:color="auto"/>
              <w:left w:val="nil"/>
              <w:bottom w:val="single" w:sz="4" w:space="0" w:color="auto"/>
              <w:right w:val="single" w:sz="4" w:space="0" w:color="auto"/>
            </w:tcBorders>
            <w:shd w:val="clear" w:color="auto" w:fill="auto"/>
            <w:vAlign w:val="center"/>
          </w:tcPr>
          <w:p w14:paraId="2E697182" w14:textId="1F04B529" w:rsidR="008349F0" w:rsidRPr="00251B61" w:rsidRDefault="008349F0" w:rsidP="008349F0">
            <w:pPr>
              <w:keepNext/>
              <w:keepLines/>
              <w:spacing w:after="0"/>
              <w:ind w:firstLine="0"/>
              <w:contextualSpacing/>
              <w:jc w:val="center"/>
              <w:rPr>
                <w:rFonts w:eastAsia="Times New Roman" w:cs="Times New Roman"/>
                <w:sz w:val="18"/>
                <w:szCs w:val="18"/>
              </w:rPr>
            </w:pPr>
            <w:r w:rsidRPr="00251B61">
              <w:rPr>
                <w:rFonts w:cs="Times New Roman"/>
                <w:sz w:val="18"/>
                <w:szCs w:val="18"/>
              </w:rPr>
              <w:t>4 862,9</w:t>
            </w:r>
            <w:r w:rsidR="00D83C9B" w:rsidRPr="00D83C9B">
              <w:rPr>
                <w:rFonts w:cs="Times New Roman"/>
                <w:sz w:val="18"/>
                <w:szCs w:val="18"/>
                <w:vertAlign w:val="superscript"/>
              </w:rPr>
              <w:t>2</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1E345927" w14:textId="01AC8C54" w:rsidR="008349F0" w:rsidRPr="00251B61" w:rsidRDefault="008349F0" w:rsidP="008349F0">
            <w:pPr>
              <w:keepNext/>
              <w:keepLines/>
              <w:spacing w:after="0"/>
              <w:ind w:firstLine="0"/>
              <w:contextualSpacing/>
              <w:jc w:val="center"/>
              <w:rPr>
                <w:rFonts w:eastAsia="Times New Roman" w:cs="Times New Roman"/>
                <w:sz w:val="18"/>
                <w:szCs w:val="18"/>
              </w:rPr>
            </w:pPr>
            <w:r w:rsidRPr="00251B61">
              <w:rPr>
                <w:rFonts w:cs="Times New Roman"/>
                <w:sz w:val="18"/>
                <w:szCs w:val="18"/>
              </w:rPr>
              <w:t>5 228,6</w:t>
            </w:r>
            <w:r w:rsidR="00D83C9B" w:rsidRPr="00D83C9B">
              <w:rPr>
                <w:rFonts w:cs="Times New Roman"/>
                <w:sz w:val="18"/>
                <w:szCs w:val="18"/>
                <w:vertAlign w:val="superscript"/>
              </w:rPr>
              <w:t>2</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594CE73C" w14:textId="53902BFC" w:rsidR="008349F0" w:rsidRPr="00251B61" w:rsidRDefault="008349F0" w:rsidP="008349F0">
            <w:pPr>
              <w:keepNext/>
              <w:keepLines/>
              <w:spacing w:after="0"/>
              <w:ind w:firstLine="0"/>
              <w:contextualSpacing/>
              <w:jc w:val="center"/>
              <w:rPr>
                <w:rFonts w:eastAsia="Times New Roman" w:cs="Times New Roman"/>
                <w:sz w:val="18"/>
                <w:szCs w:val="18"/>
              </w:rPr>
            </w:pPr>
            <w:r w:rsidRPr="00251B61">
              <w:rPr>
                <w:rFonts w:cs="Times New Roman"/>
                <w:sz w:val="18"/>
                <w:szCs w:val="18"/>
              </w:rPr>
              <w:t>5 504,4</w:t>
            </w:r>
            <w:r w:rsidR="00D83C9B" w:rsidRPr="00D83C9B">
              <w:rPr>
                <w:rFonts w:cs="Times New Roman"/>
                <w:sz w:val="18"/>
                <w:szCs w:val="18"/>
                <w:vertAlign w:val="superscript"/>
              </w:rPr>
              <w:t>2</w:t>
            </w:r>
          </w:p>
        </w:tc>
      </w:tr>
      <w:tr w:rsidR="008349F0" w:rsidRPr="00251B61" w14:paraId="7D621EBE" w14:textId="77777777" w:rsidTr="008D3722">
        <w:trPr>
          <w:cantSplit/>
          <w:trHeight w:hRule="exact" w:val="227"/>
          <w:jc w:val="center"/>
        </w:trPr>
        <w:tc>
          <w:tcPr>
            <w:tcW w:w="3114" w:type="pct"/>
          </w:tcPr>
          <w:p w14:paraId="715A25CD" w14:textId="77777777" w:rsidR="008349F0" w:rsidRPr="00251B61" w:rsidRDefault="008349F0" w:rsidP="008349F0">
            <w:pPr>
              <w:keepNext/>
              <w:keepLines/>
              <w:spacing w:before="100" w:beforeAutospacing="1" w:after="100" w:afterAutospacing="1"/>
              <w:ind w:left="357" w:firstLine="0"/>
              <w:contextualSpacing/>
              <w:jc w:val="left"/>
              <w:rPr>
                <w:rFonts w:eastAsia="Times New Roman" w:cs="Times New Roman"/>
                <w:i/>
                <w:iCs/>
                <w:sz w:val="18"/>
                <w:szCs w:val="18"/>
              </w:rPr>
            </w:pPr>
            <w:r w:rsidRPr="00251B61">
              <w:rPr>
                <w:rFonts w:cs="Times New Roman"/>
                <w:sz w:val="18"/>
                <w:szCs w:val="18"/>
              </w:rPr>
              <w:t>pret IKP, %</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2A6918BE"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10,7%</w:t>
            </w:r>
          </w:p>
        </w:tc>
        <w:tc>
          <w:tcPr>
            <w:tcW w:w="472" w:type="pct"/>
            <w:tcBorders>
              <w:top w:val="single" w:sz="4" w:space="0" w:color="auto"/>
              <w:left w:val="nil"/>
              <w:bottom w:val="single" w:sz="4" w:space="0" w:color="auto"/>
              <w:right w:val="single" w:sz="4" w:space="0" w:color="auto"/>
            </w:tcBorders>
            <w:shd w:val="clear" w:color="auto" w:fill="auto"/>
            <w:vAlign w:val="center"/>
          </w:tcPr>
          <w:p w14:paraId="1CE700D3"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11,0%</w:t>
            </w:r>
          </w:p>
        </w:tc>
        <w:tc>
          <w:tcPr>
            <w:tcW w:w="472" w:type="pct"/>
            <w:tcBorders>
              <w:top w:val="single" w:sz="4" w:space="0" w:color="auto"/>
              <w:left w:val="nil"/>
              <w:bottom w:val="single" w:sz="4" w:space="0" w:color="auto"/>
              <w:right w:val="single" w:sz="4" w:space="0" w:color="auto"/>
            </w:tcBorders>
            <w:shd w:val="clear" w:color="auto" w:fill="auto"/>
            <w:vAlign w:val="center"/>
          </w:tcPr>
          <w:p w14:paraId="65176349"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11,2%</w:t>
            </w:r>
          </w:p>
        </w:tc>
        <w:tc>
          <w:tcPr>
            <w:tcW w:w="470" w:type="pct"/>
            <w:tcBorders>
              <w:top w:val="single" w:sz="4" w:space="0" w:color="auto"/>
              <w:left w:val="nil"/>
              <w:bottom w:val="single" w:sz="4" w:space="0" w:color="auto"/>
              <w:right w:val="single" w:sz="4" w:space="0" w:color="auto"/>
            </w:tcBorders>
            <w:shd w:val="clear" w:color="auto" w:fill="auto"/>
            <w:vAlign w:val="center"/>
          </w:tcPr>
          <w:p w14:paraId="4D48D00B"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11,2%</w:t>
            </w:r>
          </w:p>
        </w:tc>
      </w:tr>
      <w:tr w:rsidR="008349F0" w:rsidRPr="00251B61" w14:paraId="0D34AA67" w14:textId="77777777" w:rsidTr="008D3722">
        <w:trPr>
          <w:cantSplit/>
          <w:trHeight w:hRule="exact" w:val="454"/>
          <w:jc w:val="center"/>
        </w:trPr>
        <w:tc>
          <w:tcPr>
            <w:tcW w:w="3114" w:type="pct"/>
          </w:tcPr>
          <w:p w14:paraId="38425CAE" w14:textId="77777777" w:rsidR="008349F0" w:rsidRPr="00251B61" w:rsidRDefault="008349F0" w:rsidP="008349F0">
            <w:pPr>
              <w:keepNext/>
              <w:keepLines/>
              <w:spacing w:before="100" w:beforeAutospacing="1" w:after="100" w:afterAutospacing="1"/>
              <w:ind w:firstLine="0"/>
              <w:contextualSpacing/>
              <w:jc w:val="left"/>
              <w:rPr>
                <w:rFonts w:eastAsia="Times New Roman" w:cs="Times New Roman"/>
                <w:sz w:val="18"/>
                <w:szCs w:val="18"/>
              </w:rPr>
            </w:pPr>
            <w:r w:rsidRPr="00251B61">
              <w:rPr>
                <w:rFonts w:cs="Times New Roman"/>
                <w:sz w:val="18"/>
                <w:szCs w:val="18"/>
              </w:rPr>
              <w:t xml:space="preserve">Salīdzinājumā ar likumu “Par valsts budžetu 2024. gadam un budžeta ietvaru 2024., 2025. un 2026. gadam”, milj. </w:t>
            </w:r>
            <w:proofErr w:type="spellStart"/>
            <w:r w:rsidRPr="005F1378">
              <w:rPr>
                <w:rFonts w:cs="Times New Roman"/>
                <w:i/>
                <w:iCs/>
                <w:sz w:val="18"/>
                <w:szCs w:val="18"/>
              </w:rPr>
              <w:t>euro</w:t>
            </w:r>
            <w:proofErr w:type="spellEnd"/>
          </w:p>
        </w:tc>
        <w:tc>
          <w:tcPr>
            <w:tcW w:w="472" w:type="pct"/>
            <w:tcBorders>
              <w:top w:val="single" w:sz="4" w:space="0" w:color="auto"/>
              <w:left w:val="nil"/>
              <w:bottom w:val="single" w:sz="4" w:space="0" w:color="auto"/>
              <w:right w:val="single" w:sz="4" w:space="0" w:color="auto"/>
            </w:tcBorders>
            <w:shd w:val="clear" w:color="auto" w:fill="auto"/>
            <w:vAlign w:val="center"/>
          </w:tcPr>
          <w:p w14:paraId="64EA4A36"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-73,3</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0B2DF301"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30,5</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7CD02ABA"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99,6</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590418B5"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w:t>
            </w:r>
          </w:p>
        </w:tc>
      </w:tr>
      <w:tr w:rsidR="008349F0" w:rsidRPr="00251B61" w14:paraId="0273D144" w14:textId="77777777" w:rsidTr="008D3722">
        <w:trPr>
          <w:cantSplit/>
          <w:trHeight w:hRule="exact" w:val="454"/>
          <w:jc w:val="center"/>
        </w:trPr>
        <w:tc>
          <w:tcPr>
            <w:tcW w:w="3114" w:type="pct"/>
          </w:tcPr>
          <w:p w14:paraId="3879F24F" w14:textId="77777777" w:rsidR="008349F0" w:rsidRPr="00251B61" w:rsidRDefault="008349F0" w:rsidP="008349F0">
            <w:pPr>
              <w:keepNext/>
              <w:keepLines/>
              <w:spacing w:before="100" w:beforeAutospacing="1" w:after="100" w:afterAutospacing="1"/>
              <w:ind w:firstLine="0"/>
              <w:contextualSpacing/>
              <w:jc w:val="left"/>
              <w:rPr>
                <w:rFonts w:eastAsia="Times New Roman" w:cs="Times New Roman"/>
                <w:sz w:val="18"/>
                <w:szCs w:val="18"/>
              </w:rPr>
            </w:pPr>
            <w:r w:rsidRPr="00251B61">
              <w:rPr>
                <w:rFonts w:cs="Times New Roman"/>
                <w:sz w:val="18"/>
                <w:szCs w:val="18"/>
              </w:rPr>
              <w:t>Salīdzinājumā ar likumu “Par valsts budžetu 2024. gadam un budžeta ietvaru 2024., 2025. un 2026. gadam”, %</w:t>
            </w:r>
          </w:p>
        </w:tc>
        <w:tc>
          <w:tcPr>
            <w:tcW w:w="472" w:type="pct"/>
            <w:tcBorders>
              <w:top w:val="single" w:sz="4" w:space="0" w:color="auto"/>
              <w:left w:val="nil"/>
              <w:bottom w:val="single" w:sz="4" w:space="0" w:color="auto"/>
              <w:right w:val="single" w:sz="4" w:space="0" w:color="auto"/>
            </w:tcBorders>
            <w:shd w:val="clear" w:color="auto" w:fill="auto"/>
            <w:vAlign w:val="center"/>
          </w:tcPr>
          <w:p w14:paraId="39517FB7"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-1,6</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069D601B"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0,6</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5E7CB05E"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1,9</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7086E7B4" w14:textId="77777777" w:rsidR="008349F0" w:rsidRPr="00251B61" w:rsidRDefault="008349F0" w:rsidP="008349F0">
            <w:pPr>
              <w:keepNext/>
              <w:keepLines/>
              <w:spacing w:after="0"/>
              <w:ind w:firstLine="0"/>
              <w:contextualSpacing/>
              <w:jc w:val="right"/>
              <w:rPr>
                <w:rFonts w:eastAsia="Times New Roman" w:cs="Times New Roman"/>
                <w:i/>
                <w:iCs/>
                <w:sz w:val="18"/>
                <w:szCs w:val="18"/>
              </w:rPr>
            </w:pPr>
            <w:r w:rsidRPr="00251B61">
              <w:rPr>
                <w:rFonts w:cs="Times New Roman"/>
                <w:i/>
                <w:iCs/>
                <w:sz w:val="18"/>
                <w:szCs w:val="18"/>
              </w:rPr>
              <w:t>—</w:t>
            </w:r>
          </w:p>
        </w:tc>
      </w:tr>
    </w:tbl>
    <w:p w14:paraId="302FCE55" w14:textId="77777777" w:rsidR="008349F0" w:rsidRPr="00251B61" w:rsidRDefault="008349F0" w:rsidP="008349F0">
      <w:pPr>
        <w:keepNext/>
        <w:keepLines/>
        <w:spacing w:after="0"/>
        <w:ind w:left="397" w:firstLine="0"/>
        <w:rPr>
          <w:rFonts w:eastAsia="Calibri" w:cs="Times New Roman"/>
          <w:sz w:val="18"/>
          <w:szCs w:val="18"/>
          <w:lang w:eastAsia="en-US"/>
        </w:rPr>
      </w:pPr>
      <w:r w:rsidRPr="00251B61">
        <w:rPr>
          <w:rFonts w:eastAsia="Calibri" w:cs="Times New Roman"/>
          <w:sz w:val="18"/>
          <w:szCs w:val="18"/>
          <w:vertAlign w:val="superscript"/>
          <w:lang w:eastAsia="en-US"/>
        </w:rPr>
        <w:t>1</w:t>
      </w:r>
      <w:r w:rsidRPr="00251B61">
        <w:rPr>
          <w:rFonts w:eastAsia="Calibri" w:cs="Times New Roman"/>
          <w:sz w:val="18"/>
          <w:szCs w:val="18"/>
          <w:lang w:eastAsia="en-US"/>
        </w:rPr>
        <w:t xml:space="preserve"> Neieskaitot iemaksas valsts </w:t>
      </w:r>
      <w:proofErr w:type="spellStart"/>
      <w:r w:rsidRPr="00251B61">
        <w:rPr>
          <w:rFonts w:eastAsia="Calibri" w:cs="Times New Roman"/>
          <w:sz w:val="18"/>
          <w:szCs w:val="18"/>
          <w:lang w:eastAsia="en-US"/>
        </w:rPr>
        <w:t>fondēto</w:t>
      </w:r>
      <w:proofErr w:type="spellEnd"/>
      <w:r w:rsidRPr="00251B61">
        <w:rPr>
          <w:rFonts w:eastAsia="Calibri" w:cs="Times New Roman"/>
          <w:sz w:val="18"/>
          <w:szCs w:val="18"/>
          <w:lang w:eastAsia="en-US"/>
        </w:rPr>
        <w:t xml:space="preserve"> pensiju shēmā.</w:t>
      </w:r>
    </w:p>
    <w:p w14:paraId="350B684D" w14:textId="77777777" w:rsidR="008349F0" w:rsidRPr="00251B61" w:rsidRDefault="008349F0" w:rsidP="008349F0">
      <w:pPr>
        <w:spacing w:after="240"/>
        <w:ind w:left="397" w:firstLine="0"/>
        <w:rPr>
          <w:rFonts w:eastAsia="Calibri" w:cs="Times New Roman"/>
          <w:sz w:val="18"/>
          <w:szCs w:val="18"/>
          <w:lang w:eastAsia="en-US"/>
        </w:rPr>
      </w:pPr>
      <w:r w:rsidRPr="00251B61">
        <w:rPr>
          <w:rFonts w:eastAsia="Calibri" w:cs="Times New Roman"/>
          <w:sz w:val="18"/>
          <w:szCs w:val="18"/>
          <w:vertAlign w:val="superscript"/>
          <w:lang w:eastAsia="en-US"/>
        </w:rPr>
        <w:t>2</w:t>
      </w:r>
      <w:r w:rsidRPr="00251B61">
        <w:rPr>
          <w:rFonts w:eastAsia="Calibri" w:cs="Times New Roman"/>
          <w:sz w:val="18"/>
          <w:szCs w:val="18"/>
          <w:lang w:eastAsia="en-US"/>
        </w:rPr>
        <w:t> Prognoze</w:t>
      </w:r>
    </w:p>
    <w:p w14:paraId="11AD1F27" w14:textId="77777777"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VSAOI pamatbudžetā veselības finansēšanai 2025. gadā tiek plānotas 165,8 milj. </w:t>
      </w:r>
      <w:proofErr w:type="spellStart"/>
      <w:r w:rsidRPr="00251B61">
        <w:rPr>
          <w:rFonts w:eastAsia="Times New Roman" w:cs="Times New Roman"/>
          <w:i/>
          <w:color w:val="000000"/>
          <w:szCs w:val="24"/>
        </w:rPr>
        <w:t>euro</w:t>
      </w:r>
      <w:proofErr w:type="spellEnd"/>
      <w:r w:rsidRPr="00251B61">
        <w:rPr>
          <w:rFonts w:eastAsia="Times New Roman" w:cs="Times New Roman"/>
          <w:color w:val="000000"/>
          <w:szCs w:val="24"/>
        </w:rPr>
        <w:t xml:space="preserve"> apmērā, 2026. gadā 176,5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un 2027. gadā 185,7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w:t>
      </w:r>
    </w:p>
    <w:p w14:paraId="3990D217" w14:textId="77777777" w:rsidR="008349F0" w:rsidRPr="00251B61" w:rsidRDefault="008349F0" w:rsidP="008349F0">
      <w:pPr>
        <w:keepNext/>
        <w:keepLines/>
        <w:spacing w:before="240" w:after="240"/>
        <w:ind w:firstLine="0"/>
        <w:jc w:val="center"/>
        <w:outlineLvl w:val="3"/>
        <w:rPr>
          <w:rFonts w:eastAsia="Times New Roman" w:cs="Times New Roman"/>
          <w:b/>
          <w:sz w:val="28"/>
          <w:lang w:eastAsia="en-US"/>
        </w:rPr>
      </w:pPr>
      <w:r w:rsidRPr="00251B61">
        <w:rPr>
          <w:rFonts w:eastAsia="Times New Roman" w:cs="Times New Roman"/>
          <w:b/>
          <w:sz w:val="28"/>
          <w:lang w:eastAsia="en-US"/>
        </w:rPr>
        <w:t>Uzņēmumu ienākuma nodoklis</w:t>
      </w:r>
      <w:bookmarkEnd w:id="83"/>
    </w:p>
    <w:p w14:paraId="03D89BAB" w14:textId="72718C2D"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UIN ieņēmumi 2024. gada 1. pusgadā bija 450,3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kas salīdzinājumā ar 2023. gada attiecīgo periodu ir palielinājušies par 118,4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par 35,7 </w:t>
      </w:r>
      <w:r w:rsidR="002F2A16">
        <w:rPr>
          <w:rFonts w:eastAsia="Times New Roman" w:cs="Times New Roman"/>
          <w:color w:val="000000"/>
          <w:szCs w:val="24"/>
        </w:rPr>
        <w:t>%</w:t>
      </w:r>
      <w:r w:rsidRPr="00251B61">
        <w:rPr>
          <w:rFonts w:eastAsia="Times New Roman" w:cs="Times New Roman"/>
          <w:color w:val="000000"/>
          <w:szCs w:val="24"/>
        </w:rPr>
        <w:t>. Ieņēmumu palielinājums skaidrojams ar nodokļa piemaksas kredītiestādēm un patērētāju kreditēšanas pakalpojumu sniedzējiem ieviešanu. 2024. gada 1. pusgada plāns pārpildīts par 25,0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jeb 5,9 %, kā iemeslu minot atsevišķu banku veikto peļņas sadali. </w:t>
      </w:r>
    </w:p>
    <w:p w14:paraId="27D8A466" w14:textId="77777777"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Kopš 2018. gada UIN piedzīvoja būtiskas pārmaiņas – nodoklis tiek maksāts peļņas sadales un tai pielīdzināmos gadījumos. 2024. gada 1. pusgadā visvairāk deklarētas dividendes vai dividendēm pielīdzinātas izmaksas 2 394,1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bet nosacīti sadalītā peļņa 53,2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apmērā.</w:t>
      </w:r>
    </w:p>
    <w:p w14:paraId="3D279627" w14:textId="77777777" w:rsidR="008349F0" w:rsidRPr="00251B61" w:rsidRDefault="008349F0" w:rsidP="008349F0">
      <w:pPr>
        <w:rPr>
          <w:rFonts w:eastAsia="Times New Roman" w:cs="Times New Roman"/>
          <w:color w:val="000000"/>
          <w:szCs w:val="24"/>
        </w:rPr>
      </w:pPr>
      <w:r w:rsidRPr="00251B61">
        <w:rPr>
          <w:rFonts w:eastAsia="Times New Roman" w:cs="Times New Roman"/>
          <w:color w:val="000000"/>
          <w:szCs w:val="24"/>
        </w:rPr>
        <w:t xml:space="preserve">Saskaņā ar </w:t>
      </w:r>
      <w:r w:rsidRPr="00251B61">
        <w:rPr>
          <w:rFonts w:eastAsia="Calibri" w:cs="Times New Roman"/>
          <w:szCs w:val="24"/>
        </w:rPr>
        <w:t>likumprojektu</w:t>
      </w:r>
      <w:r w:rsidRPr="00251B61">
        <w:rPr>
          <w:rFonts w:eastAsia="Times New Roman" w:cs="Times New Roman"/>
          <w:color w:val="000000"/>
          <w:szCs w:val="24"/>
        </w:rPr>
        <w:t xml:space="preserve"> “Par valsts budžetu 2025. gadam un budžeta ietvaru 2025., 2026. un 2027. gadam” 2025. gadā UIN ieņēmumi tiek plānoti 690,7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2026. gadā 687,9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un 2027. gadā 695,3 milj. </w:t>
      </w:r>
      <w:proofErr w:type="spellStart"/>
      <w:r w:rsidRPr="00251B61">
        <w:rPr>
          <w:rFonts w:eastAsia="Times New Roman" w:cs="Times New Roman"/>
          <w:i/>
          <w:iCs/>
          <w:color w:val="000000"/>
          <w:szCs w:val="24"/>
        </w:rPr>
        <w:t>euro</w:t>
      </w:r>
      <w:proofErr w:type="spellEnd"/>
      <w:r w:rsidRPr="00251B61">
        <w:rPr>
          <w:rFonts w:eastAsia="Times New Roman" w:cs="Times New Roman"/>
          <w:color w:val="000000"/>
          <w:szCs w:val="24"/>
        </w:rPr>
        <w:t xml:space="preserve"> apmērā (skat. 3.7. tabulu). UIN ieņēmumu plānu vidējā termiņā galvenokārt ietekmēs nodokļa apmēra par peļņas sadali pieauguma tendences, kredītiestāžu peļņas apmēri turpmākajos gados, </w:t>
      </w:r>
      <w:r w:rsidRPr="00251B61">
        <w:rPr>
          <w:rFonts w:eastAsia="Calibri" w:cs="Times New Roman"/>
          <w:szCs w:val="24"/>
        </w:rPr>
        <w:t>2024. gadā sagaidāmā izpilde</w:t>
      </w:r>
      <w:r w:rsidRPr="00251B61">
        <w:rPr>
          <w:rFonts w:eastAsia="Times New Roman" w:cs="Times New Roman"/>
          <w:color w:val="000000"/>
          <w:szCs w:val="24"/>
        </w:rPr>
        <w:t>, kā arī 3.1. sadaļā minētie pasākumi.</w:t>
      </w:r>
    </w:p>
    <w:p w14:paraId="32B81961" w14:textId="77777777" w:rsidR="008349F0" w:rsidRPr="00251B61" w:rsidRDefault="008349F0" w:rsidP="008349F0">
      <w:pPr>
        <w:widowControl w:val="0"/>
        <w:jc w:val="right"/>
        <w:rPr>
          <w:rFonts w:eastAsia="Times New Roman" w:cs="Times New Roman"/>
          <w:b/>
          <w:i/>
          <w:color w:val="000000"/>
        </w:rPr>
      </w:pPr>
      <w:r w:rsidRPr="00251B61">
        <w:rPr>
          <w:rFonts w:eastAsia="Times New Roman" w:cs="Times New Roman"/>
          <w:b/>
          <w:i/>
          <w:color w:val="000000"/>
        </w:rPr>
        <w:t>3.7. tabula. UIN ieņēmumi</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56"/>
        <w:gridCol w:w="851"/>
        <w:gridCol w:w="851"/>
        <w:gridCol w:w="851"/>
        <w:gridCol w:w="847"/>
      </w:tblGrid>
      <w:tr w:rsidR="008349F0" w:rsidRPr="00251B61" w14:paraId="1D6389AB" w14:textId="77777777" w:rsidTr="008D3722">
        <w:trPr>
          <w:cantSplit/>
          <w:trHeight w:hRule="exact" w:val="227"/>
          <w:jc w:val="center"/>
        </w:trPr>
        <w:tc>
          <w:tcPr>
            <w:tcW w:w="3102" w:type="pct"/>
            <w:shd w:val="clear" w:color="auto" w:fill="8EAADB"/>
            <w:vAlign w:val="center"/>
          </w:tcPr>
          <w:p w14:paraId="5BB27574" w14:textId="77777777" w:rsidR="008349F0" w:rsidRPr="00251B61" w:rsidRDefault="008349F0" w:rsidP="008349F0">
            <w:pPr>
              <w:pStyle w:val="Tabulasgalvenesrinda"/>
            </w:pPr>
          </w:p>
        </w:tc>
        <w:tc>
          <w:tcPr>
            <w:tcW w:w="475" w:type="pct"/>
            <w:shd w:val="clear" w:color="auto" w:fill="8EAADB"/>
            <w:vAlign w:val="center"/>
          </w:tcPr>
          <w:p w14:paraId="6850CD76" w14:textId="77777777" w:rsidR="008349F0" w:rsidRPr="00251B61" w:rsidRDefault="008349F0" w:rsidP="008349F0">
            <w:pPr>
              <w:pStyle w:val="Tabulasgalvenesrinda"/>
            </w:pPr>
            <w:r w:rsidRPr="00251B61">
              <w:rPr>
                <w:sz w:val="18"/>
                <w:szCs w:val="18"/>
              </w:rPr>
              <w:t>2024</w:t>
            </w:r>
          </w:p>
        </w:tc>
        <w:tc>
          <w:tcPr>
            <w:tcW w:w="475" w:type="pct"/>
            <w:tcBorders>
              <w:bottom w:val="single" w:sz="4" w:space="0" w:color="auto"/>
            </w:tcBorders>
            <w:shd w:val="clear" w:color="auto" w:fill="8EAADB"/>
            <w:vAlign w:val="center"/>
          </w:tcPr>
          <w:p w14:paraId="7EE71E66" w14:textId="77777777" w:rsidR="008349F0" w:rsidRPr="00251B61" w:rsidRDefault="008349F0" w:rsidP="008349F0">
            <w:pPr>
              <w:pStyle w:val="Tabulasgalvenesrinda"/>
            </w:pPr>
            <w:r w:rsidRPr="00251B61">
              <w:rPr>
                <w:sz w:val="18"/>
                <w:szCs w:val="18"/>
              </w:rPr>
              <w:t>2025</w:t>
            </w:r>
          </w:p>
        </w:tc>
        <w:tc>
          <w:tcPr>
            <w:tcW w:w="475" w:type="pct"/>
            <w:tcBorders>
              <w:bottom w:val="single" w:sz="4" w:space="0" w:color="auto"/>
            </w:tcBorders>
            <w:shd w:val="clear" w:color="auto" w:fill="8EAADB"/>
            <w:vAlign w:val="center"/>
          </w:tcPr>
          <w:p w14:paraId="03863CE6" w14:textId="77777777" w:rsidR="008349F0" w:rsidRPr="00251B61" w:rsidRDefault="008349F0" w:rsidP="008349F0">
            <w:pPr>
              <w:pStyle w:val="Tabulasgalvenesrinda"/>
            </w:pPr>
            <w:r w:rsidRPr="00251B61">
              <w:rPr>
                <w:sz w:val="18"/>
                <w:szCs w:val="18"/>
              </w:rPr>
              <w:t>2026</w:t>
            </w:r>
          </w:p>
        </w:tc>
        <w:tc>
          <w:tcPr>
            <w:tcW w:w="473" w:type="pct"/>
            <w:tcBorders>
              <w:bottom w:val="single" w:sz="4" w:space="0" w:color="auto"/>
            </w:tcBorders>
            <w:shd w:val="clear" w:color="auto" w:fill="8EAADB"/>
            <w:vAlign w:val="center"/>
          </w:tcPr>
          <w:p w14:paraId="4FDAF12F" w14:textId="77777777" w:rsidR="008349F0" w:rsidRPr="00251B61" w:rsidRDefault="008349F0" w:rsidP="008349F0">
            <w:pPr>
              <w:pStyle w:val="Tabulasgalvenesrinda"/>
            </w:pPr>
            <w:r w:rsidRPr="00251B61">
              <w:rPr>
                <w:sz w:val="18"/>
                <w:szCs w:val="18"/>
              </w:rPr>
              <w:t>2027</w:t>
            </w:r>
          </w:p>
        </w:tc>
      </w:tr>
      <w:tr w:rsidR="008349F0" w:rsidRPr="00251B61" w14:paraId="54A1A2F3" w14:textId="77777777" w:rsidTr="008D3722">
        <w:trPr>
          <w:cantSplit/>
          <w:trHeight w:hRule="exact" w:val="454"/>
          <w:jc w:val="center"/>
        </w:trPr>
        <w:tc>
          <w:tcPr>
            <w:tcW w:w="3102" w:type="pct"/>
            <w:vAlign w:val="center"/>
          </w:tcPr>
          <w:p w14:paraId="0EA526B0" w14:textId="77777777" w:rsidR="008349F0" w:rsidRPr="00251B61" w:rsidRDefault="008349F0" w:rsidP="008349F0">
            <w:pPr>
              <w:pStyle w:val="Tabulasteksts"/>
              <w:ind w:left="0"/>
              <w:rPr>
                <w:i/>
                <w:szCs w:val="18"/>
              </w:rPr>
            </w:pPr>
            <w:r w:rsidRPr="00251B61">
              <w:t>Saskaņā ar likumprojektu “Par valsts budžetu 2025. gadam un budžeta ietvaru 2025., 2026. un 2027. gadam”, milj.</w:t>
            </w:r>
            <w:r w:rsidRPr="00251B61">
              <w:rPr>
                <w:i/>
              </w:rPr>
              <w:t> euro</w:t>
            </w:r>
          </w:p>
        </w:tc>
        <w:tc>
          <w:tcPr>
            <w:tcW w:w="475" w:type="pct"/>
            <w:tcBorders>
              <w:bottom w:val="single" w:sz="4" w:space="0" w:color="auto"/>
            </w:tcBorders>
            <w:vAlign w:val="center"/>
          </w:tcPr>
          <w:p w14:paraId="70C9DEF0" w14:textId="77777777" w:rsidR="008349F0" w:rsidRPr="00251B61" w:rsidRDefault="008349F0" w:rsidP="008349F0">
            <w:pPr>
              <w:pStyle w:val="Tabulascipari"/>
              <w:keepNext/>
              <w:keepLines/>
              <w:ind w:left="0"/>
              <w:jc w:val="center"/>
              <w:rPr>
                <w:szCs w:val="18"/>
                <w:vertAlign w:val="superscript"/>
              </w:rPr>
            </w:pPr>
            <w:r w:rsidRPr="00251B61">
              <w:t>700,0</w:t>
            </w:r>
            <w:r w:rsidRPr="00251B61">
              <w:rPr>
                <w:vertAlign w:val="superscript"/>
              </w:rPr>
              <w:t>1</w:t>
            </w:r>
          </w:p>
        </w:tc>
        <w:tc>
          <w:tcPr>
            <w:tcW w:w="475" w:type="pct"/>
            <w:tcBorders>
              <w:top w:val="single" w:sz="4" w:space="0" w:color="auto"/>
              <w:left w:val="nil"/>
              <w:bottom w:val="single" w:sz="4" w:space="0" w:color="auto"/>
              <w:right w:val="single" w:sz="4" w:space="0" w:color="auto"/>
            </w:tcBorders>
            <w:shd w:val="clear" w:color="auto" w:fill="auto"/>
            <w:vAlign w:val="center"/>
          </w:tcPr>
          <w:p w14:paraId="0B7A9573" w14:textId="52810861" w:rsidR="008349F0" w:rsidRPr="00251B61" w:rsidRDefault="008349F0" w:rsidP="008349F0">
            <w:pPr>
              <w:pStyle w:val="Tabulascipari"/>
              <w:keepNext/>
              <w:keepLines/>
              <w:ind w:left="0"/>
              <w:jc w:val="center"/>
              <w:rPr>
                <w:szCs w:val="18"/>
              </w:rPr>
            </w:pPr>
            <w:r w:rsidRPr="00251B61">
              <w:t>690,7</w:t>
            </w:r>
            <w:r w:rsidR="008826A2" w:rsidRPr="008826A2">
              <w:rPr>
                <w:vertAlign w:val="superscript"/>
              </w:rPr>
              <w:t>1</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8C424C8" w14:textId="0986DF7D" w:rsidR="008349F0" w:rsidRPr="00251B61" w:rsidRDefault="008349F0" w:rsidP="008349F0">
            <w:pPr>
              <w:pStyle w:val="Tabulascipari"/>
              <w:keepNext/>
              <w:keepLines/>
              <w:ind w:left="0"/>
              <w:jc w:val="center"/>
              <w:rPr>
                <w:szCs w:val="18"/>
              </w:rPr>
            </w:pPr>
            <w:r w:rsidRPr="00251B61">
              <w:t>687,9</w:t>
            </w:r>
            <w:r w:rsidR="008826A2" w:rsidRPr="008826A2">
              <w:rPr>
                <w:vertAlign w:val="superscript"/>
              </w:rPr>
              <w:t>1</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14:paraId="17C3FBDA" w14:textId="16388200" w:rsidR="008349F0" w:rsidRPr="00251B61" w:rsidRDefault="008349F0" w:rsidP="008349F0">
            <w:pPr>
              <w:pStyle w:val="Tabulascipari"/>
              <w:keepNext/>
              <w:keepLines/>
              <w:ind w:left="0"/>
              <w:jc w:val="center"/>
              <w:rPr>
                <w:szCs w:val="18"/>
              </w:rPr>
            </w:pPr>
            <w:r w:rsidRPr="00251B61">
              <w:t>695,3</w:t>
            </w:r>
            <w:r w:rsidR="008826A2" w:rsidRPr="008826A2">
              <w:rPr>
                <w:vertAlign w:val="superscript"/>
              </w:rPr>
              <w:t>1</w:t>
            </w:r>
          </w:p>
        </w:tc>
      </w:tr>
      <w:tr w:rsidR="008349F0" w:rsidRPr="00251B61" w14:paraId="6816C9E8" w14:textId="77777777" w:rsidTr="008D3722">
        <w:trPr>
          <w:cantSplit/>
          <w:trHeight w:hRule="exact" w:val="227"/>
          <w:jc w:val="center"/>
        </w:trPr>
        <w:tc>
          <w:tcPr>
            <w:tcW w:w="3102" w:type="pct"/>
            <w:vAlign w:val="center"/>
          </w:tcPr>
          <w:p w14:paraId="57F52C6D" w14:textId="77777777" w:rsidR="008349F0" w:rsidRPr="00251B61" w:rsidRDefault="008349F0" w:rsidP="008349F0">
            <w:pPr>
              <w:pStyle w:val="Tabulasteksts"/>
              <w:rPr>
                <w:i/>
                <w:iCs/>
                <w:szCs w:val="18"/>
              </w:rPr>
            </w:pPr>
            <w:r w:rsidRPr="00251B61">
              <w:rPr>
                <w:i/>
                <w:iCs/>
                <w:szCs w:val="18"/>
              </w:rPr>
              <w:t>pret IKP, %</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3B63DDE" w14:textId="77777777" w:rsidR="008349F0" w:rsidRPr="00251B61" w:rsidRDefault="008349F0" w:rsidP="008349F0">
            <w:pPr>
              <w:pStyle w:val="Tabulascipari"/>
              <w:keepNext/>
              <w:keepLines/>
              <w:ind w:left="0"/>
              <w:rPr>
                <w:i/>
                <w:iCs/>
                <w:color w:val="000000"/>
                <w:szCs w:val="18"/>
              </w:rPr>
            </w:pPr>
            <w:r w:rsidRPr="00251B61">
              <w:rPr>
                <w:i/>
                <w:iCs/>
              </w:rPr>
              <w:t>1,7%</w:t>
            </w:r>
          </w:p>
        </w:tc>
        <w:tc>
          <w:tcPr>
            <w:tcW w:w="475" w:type="pct"/>
            <w:tcBorders>
              <w:top w:val="single" w:sz="4" w:space="0" w:color="auto"/>
              <w:left w:val="nil"/>
              <w:bottom w:val="single" w:sz="4" w:space="0" w:color="auto"/>
              <w:right w:val="single" w:sz="4" w:space="0" w:color="auto"/>
            </w:tcBorders>
            <w:shd w:val="clear" w:color="auto" w:fill="auto"/>
            <w:vAlign w:val="center"/>
          </w:tcPr>
          <w:p w14:paraId="3170598C" w14:textId="77777777" w:rsidR="008349F0" w:rsidRPr="00251B61" w:rsidRDefault="008349F0" w:rsidP="008349F0">
            <w:pPr>
              <w:pStyle w:val="Tabulascipari"/>
              <w:keepNext/>
              <w:keepLines/>
              <w:ind w:left="0"/>
              <w:rPr>
                <w:i/>
                <w:iCs/>
                <w:szCs w:val="18"/>
              </w:rPr>
            </w:pPr>
            <w:r w:rsidRPr="00251B61">
              <w:rPr>
                <w:i/>
                <w:iCs/>
              </w:rPr>
              <w:t>1,6%</w:t>
            </w:r>
          </w:p>
        </w:tc>
        <w:tc>
          <w:tcPr>
            <w:tcW w:w="475" w:type="pct"/>
            <w:tcBorders>
              <w:top w:val="single" w:sz="4" w:space="0" w:color="auto"/>
              <w:left w:val="nil"/>
              <w:bottom w:val="single" w:sz="4" w:space="0" w:color="auto"/>
              <w:right w:val="single" w:sz="4" w:space="0" w:color="auto"/>
            </w:tcBorders>
            <w:shd w:val="clear" w:color="auto" w:fill="auto"/>
            <w:vAlign w:val="center"/>
          </w:tcPr>
          <w:p w14:paraId="3E2818EA" w14:textId="77777777" w:rsidR="008349F0" w:rsidRPr="00251B61" w:rsidRDefault="008349F0" w:rsidP="008349F0">
            <w:pPr>
              <w:pStyle w:val="Tabulascipari"/>
              <w:keepNext/>
              <w:keepLines/>
              <w:ind w:left="0"/>
              <w:rPr>
                <w:i/>
                <w:iCs/>
                <w:szCs w:val="18"/>
              </w:rPr>
            </w:pPr>
            <w:r w:rsidRPr="00251B61">
              <w:rPr>
                <w:i/>
                <w:iCs/>
              </w:rPr>
              <w:t>1,5%</w:t>
            </w:r>
          </w:p>
        </w:tc>
        <w:tc>
          <w:tcPr>
            <w:tcW w:w="473" w:type="pct"/>
            <w:tcBorders>
              <w:top w:val="single" w:sz="4" w:space="0" w:color="auto"/>
              <w:left w:val="nil"/>
              <w:bottom w:val="single" w:sz="4" w:space="0" w:color="auto"/>
              <w:right w:val="single" w:sz="4" w:space="0" w:color="auto"/>
            </w:tcBorders>
            <w:shd w:val="clear" w:color="auto" w:fill="auto"/>
            <w:vAlign w:val="center"/>
          </w:tcPr>
          <w:p w14:paraId="2350A6AC" w14:textId="77777777" w:rsidR="008349F0" w:rsidRPr="00251B61" w:rsidRDefault="008349F0" w:rsidP="008349F0">
            <w:pPr>
              <w:pStyle w:val="Tabulascipari"/>
              <w:keepNext/>
              <w:keepLines/>
              <w:ind w:left="0"/>
              <w:rPr>
                <w:i/>
                <w:iCs/>
                <w:szCs w:val="18"/>
              </w:rPr>
            </w:pPr>
            <w:r w:rsidRPr="00251B61">
              <w:rPr>
                <w:i/>
                <w:iCs/>
              </w:rPr>
              <w:t>1,4%</w:t>
            </w:r>
          </w:p>
        </w:tc>
      </w:tr>
      <w:tr w:rsidR="008349F0" w:rsidRPr="00251B61" w14:paraId="436DF349" w14:textId="77777777" w:rsidTr="008D3722">
        <w:trPr>
          <w:cantSplit/>
          <w:trHeight w:hRule="exact" w:val="454"/>
          <w:jc w:val="center"/>
        </w:trPr>
        <w:tc>
          <w:tcPr>
            <w:tcW w:w="3102" w:type="pct"/>
            <w:vAlign w:val="center"/>
          </w:tcPr>
          <w:p w14:paraId="4D4CB6AD" w14:textId="77777777" w:rsidR="008349F0" w:rsidRPr="00251B61" w:rsidRDefault="008349F0" w:rsidP="008349F0">
            <w:pPr>
              <w:pStyle w:val="Tabulasteksts"/>
              <w:ind w:left="0"/>
              <w:rPr>
                <w:szCs w:val="18"/>
              </w:rPr>
            </w:pPr>
            <w:r w:rsidRPr="00251B61">
              <w:rPr>
                <w:szCs w:val="18"/>
              </w:rPr>
              <w:t>Salīdzinājumā ar likumu “Par valsts budžetu 2024. gadam un budžeta ietvaru 2024., 2025. un 2026. gadam”, milj. </w:t>
            </w:r>
            <w:r w:rsidRPr="00251B61">
              <w:rPr>
                <w:i/>
                <w:iCs/>
                <w:szCs w:val="18"/>
              </w:rPr>
              <w:t>euro</w:t>
            </w:r>
          </w:p>
        </w:tc>
        <w:tc>
          <w:tcPr>
            <w:tcW w:w="475" w:type="pct"/>
            <w:tcBorders>
              <w:top w:val="single" w:sz="4" w:space="0" w:color="auto"/>
              <w:left w:val="nil"/>
              <w:bottom w:val="single" w:sz="4" w:space="0" w:color="auto"/>
              <w:right w:val="single" w:sz="4" w:space="0" w:color="auto"/>
            </w:tcBorders>
            <w:shd w:val="clear" w:color="auto" w:fill="auto"/>
            <w:vAlign w:val="center"/>
          </w:tcPr>
          <w:p w14:paraId="1308EC2F" w14:textId="77777777" w:rsidR="008349F0" w:rsidRPr="00251B61" w:rsidRDefault="008349F0" w:rsidP="008349F0">
            <w:pPr>
              <w:pStyle w:val="Tabulascipari"/>
              <w:keepNext/>
              <w:keepLines/>
              <w:ind w:left="0"/>
              <w:rPr>
                <w:i/>
                <w:iCs/>
                <w:szCs w:val="18"/>
              </w:rPr>
            </w:pPr>
            <w:r w:rsidRPr="00251B61">
              <w:rPr>
                <w:i/>
                <w:iCs/>
              </w:rPr>
              <w:t>2,2</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585978AD" w14:textId="77777777" w:rsidR="008349F0" w:rsidRPr="00251B61" w:rsidRDefault="008349F0" w:rsidP="008349F0">
            <w:pPr>
              <w:pStyle w:val="Tabulascipari"/>
              <w:keepNext/>
              <w:keepLines/>
              <w:ind w:left="0"/>
              <w:rPr>
                <w:i/>
                <w:iCs/>
                <w:szCs w:val="18"/>
              </w:rPr>
            </w:pPr>
            <w:r w:rsidRPr="00251B61">
              <w:rPr>
                <w:i/>
                <w:iCs/>
              </w:rPr>
              <w:t>31,7</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7B776820" w14:textId="77777777" w:rsidR="008349F0" w:rsidRPr="00251B61" w:rsidRDefault="008349F0" w:rsidP="008349F0">
            <w:pPr>
              <w:pStyle w:val="Tabulascipari"/>
              <w:keepNext/>
              <w:keepLines/>
              <w:ind w:left="0"/>
              <w:rPr>
                <w:i/>
                <w:iCs/>
                <w:szCs w:val="18"/>
              </w:rPr>
            </w:pPr>
            <w:r w:rsidRPr="00251B61">
              <w:rPr>
                <w:i/>
                <w:iCs/>
              </w:rPr>
              <w:t>20,9</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14:paraId="2EE28751" w14:textId="77777777" w:rsidR="008349F0" w:rsidRPr="00251B61" w:rsidRDefault="008349F0" w:rsidP="008349F0">
            <w:pPr>
              <w:pStyle w:val="Tabulascipari"/>
              <w:keepNext/>
              <w:keepLines/>
              <w:ind w:left="0"/>
              <w:rPr>
                <w:i/>
                <w:iCs/>
                <w:szCs w:val="18"/>
              </w:rPr>
            </w:pPr>
            <w:r w:rsidRPr="00251B61">
              <w:rPr>
                <w:i/>
                <w:iCs/>
              </w:rPr>
              <w:t>—</w:t>
            </w:r>
          </w:p>
        </w:tc>
      </w:tr>
      <w:tr w:rsidR="008349F0" w:rsidRPr="00251B61" w14:paraId="083752D9" w14:textId="77777777" w:rsidTr="008D3722">
        <w:trPr>
          <w:cantSplit/>
          <w:trHeight w:hRule="exact" w:val="454"/>
          <w:jc w:val="center"/>
        </w:trPr>
        <w:tc>
          <w:tcPr>
            <w:tcW w:w="3102" w:type="pct"/>
            <w:vAlign w:val="center"/>
          </w:tcPr>
          <w:p w14:paraId="6C1B0E95" w14:textId="77777777" w:rsidR="008349F0" w:rsidRPr="00251B61" w:rsidRDefault="008349F0" w:rsidP="008349F0">
            <w:pPr>
              <w:pStyle w:val="Tabulasteksts"/>
              <w:ind w:left="0"/>
              <w:rPr>
                <w:szCs w:val="18"/>
              </w:rPr>
            </w:pPr>
            <w:r w:rsidRPr="00251B61">
              <w:rPr>
                <w:szCs w:val="18"/>
              </w:rPr>
              <w:t>Salīdzinājumā ar likumu “Par valsts budžetu 2024. gadam un budžeta ietvaru 2024., 2025. un 2026. gadam”, %</w:t>
            </w:r>
          </w:p>
        </w:tc>
        <w:tc>
          <w:tcPr>
            <w:tcW w:w="475" w:type="pct"/>
            <w:tcBorders>
              <w:top w:val="single" w:sz="4" w:space="0" w:color="auto"/>
              <w:left w:val="nil"/>
              <w:bottom w:val="single" w:sz="4" w:space="0" w:color="auto"/>
              <w:right w:val="single" w:sz="4" w:space="0" w:color="auto"/>
            </w:tcBorders>
            <w:shd w:val="clear" w:color="auto" w:fill="auto"/>
            <w:vAlign w:val="center"/>
          </w:tcPr>
          <w:p w14:paraId="650B6CE0" w14:textId="77777777" w:rsidR="008349F0" w:rsidRPr="00251B61" w:rsidRDefault="008349F0" w:rsidP="008349F0">
            <w:pPr>
              <w:pStyle w:val="Tabulascipari"/>
              <w:keepNext/>
              <w:keepLines/>
              <w:ind w:left="0"/>
              <w:rPr>
                <w:i/>
                <w:iCs/>
                <w:szCs w:val="18"/>
              </w:rPr>
            </w:pPr>
            <w:r w:rsidRPr="00251B61">
              <w:rPr>
                <w:i/>
                <w:iCs/>
              </w:rPr>
              <w:t>0,3</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025CCC3C" w14:textId="77777777" w:rsidR="008349F0" w:rsidRPr="00251B61" w:rsidRDefault="008349F0" w:rsidP="008349F0">
            <w:pPr>
              <w:pStyle w:val="Tabulascipari"/>
              <w:keepNext/>
              <w:keepLines/>
              <w:ind w:left="0"/>
              <w:rPr>
                <w:i/>
                <w:iCs/>
                <w:szCs w:val="18"/>
              </w:rPr>
            </w:pPr>
            <w:r w:rsidRPr="00251B61">
              <w:rPr>
                <w:i/>
                <w:iCs/>
              </w:rPr>
              <w:t>4,8</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14:paraId="3D13BAC4" w14:textId="77777777" w:rsidR="008349F0" w:rsidRPr="00251B61" w:rsidRDefault="008349F0" w:rsidP="008349F0">
            <w:pPr>
              <w:pStyle w:val="Tabulascipari"/>
              <w:keepNext/>
              <w:keepLines/>
              <w:ind w:left="0"/>
              <w:rPr>
                <w:i/>
                <w:iCs/>
                <w:szCs w:val="18"/>
              </w:rPr>
            </w:pPr>
            <w:r w:rsidRPr="00251B61">
              <w:rPr>
                <w:i/>
                <w:iCs/>
              </w:rPr>
              <w:t>3,1</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14:paraId="38F0C80C" w14:textId="77777777" w:rsidR="008349F0" w:rsidRPr="00251B61" w:rsidRDefault="008349F0" w:rsidP="008349F0">
            <w:pPr>
              <w:pStyle w:val="Tabulascipari"/>
              <w:keepNext/>
              <w:keepLines/>
              <w:ind w:left="0"/>
              <w:rPr>
                <w:i/>
                <w:iCs/>
                <w:szCs w:val="18"/>
              </w:rPr>
            </w:pPr>
            <w:r w:rsidRPr="00251B61">
              <w:rPr>
                <w:i/>
                <w:iCs/>
              </w:rPr>
              <w:t>—</w:t>
            </w:r>
          </w:p>
        </w:tc>
      </w:tr>
    </w:tbl>
    <w:p w14:paraId="4D72042E" w14:textId="77777777" w:rsidR="008349F0" w:rsidRPr="00251B61" w:rsidRDefault="008349F0" w:rsidP="008349F0">
      <w:pPr>
        <w:pStyle w:val="Piezme"/>
      </w:pPr>
      <w:r w:rsidRPr="00251B61">
        <w:rPr>
          <w:vertAlign w:val="superscript"/>
        </w:rPr>
        <w:t>1</w:t>
      </w:r>
      <w:r w:rsidRPr="00251B61">
        <w:t> Prognoze</w:t>
      </w:r>
    </w:p>
    <w:p w14:paraId="2A173F24" w14:textId="77777777" w:rsidR="008349F0" w:rsidRPr="00251B61" w:rsidRDefault="008349F0" w:rsidP="008349F0">
      <w:pPr>
        <w:keepNext/>
        <w:keepLines/>
        <w:spacing w:before="240" w:after="240"/>
        <w:ind w:firstLine="0"/>
        <w:jc w:val="center"/>
        <w:outlineLvl w:val="3"/>
        <w:rPr>
          <w:rFonts w:eastAsia="Times New Roman" w:cs="Times New Roman"/>
          <w:b/>
          <w:sz w:val="28"/>
          <w:lang w:eastAsia="en-US"/>
        </w:rPr>
      </w:pPr>
      <w:r w:rsidRPr="00251B61">
        <w:rPr>
          <w:rFonts w:eastAsia="Times New Roman" w:cs="Times New Roman"/>
          <w:b/>
          <w:sz w:val="28"/>
          <w:lang w:eastAsia="en-US"/>
        </w:rPr>
        <w:t>Nekustamā īpašuma nodoklis</w:t>
      </w:r>
    </w:p>
    <w:p w14:paraId="58DE072B" w14:textId="77777777" w:rsidR="008349F0" w:rsidRPr="00251B61" w:rsidRDefault="008349F0" w:rsidP="008349F0">
      <w:pPr>
        <w:rPr>
          <w:rFonts w:cs="Times New Roman"/>
        </w:rPr>
      </w:pPr>
      <w:r w:rsidRPr="00251B61">
        <w:rPr>
          <w:rFonts w:cs="Times New Roman"/>
        </w:rPr>
        <w:t>Nekustamā īpašuma nodokļa ieņēmumi 2024.</w:t>
      </w:r>
      <w:r w:rsidRPr="00251B61">
        <w:rPr>
          <w:rFonts w:cs="Times New Roman"/>
          <w:b/>
          <w:i/>
        </w:rPr>
        <w:t> </w:t>
      </w:r>
      <w:r w:rsidRPr="00251B61">
        <w:rPr>
          <w:rFonts w:cs="Times New Roman"/>
        </w:rPr>
        <w:t>gada 1.</w:t>
      </w:r>
      <w:r w:rsidRPr="00251B61">
        <w:rPr>
          <w:rFonts w:cs="Times New Roman"/>
          <w:b/>
          <w:i/>
        </w:rPr>
        <w:t> </w:t>
      </w:r>
      <w:r w:rsidRPr="00251B61">
        <w:rPr>
          <w:rFonts w:cs="Times New Roman"/>
        </w:rPr>
        <w:t>pusgadā bija 156,2</w:t>
      </w:r>
      <w:r w:rsidRPr="00251B61">
        <w:rPr>
          <w:rFonts w:cs="Times New Roman"/>
          <w:b/>
          <w:i/>
        </w:rPr>
        <w:t> </w:t>
      </w:r>
      <w:r w:rsidRPr="00251B61">
        <w:rPr>
          <w:rFonts w:cs="Times New Roman"/>
        </w:rPr>
        <w:t>milj.</w:t>
      </w:r>
      <w:r w:rsidRPr="00251B61">
        <w:rPr>
          <w:rFonts w:cs="Times New Roman"/>
          <w:b/>
          <w:i/>
        </w:rPr>
        <w:t> </w:t>
      </w:r>
      <w:proofErr w:type="spellStart"/>
      <w:r w:rsidRPr="00251B61">
        <w:rPr>
          <w:rFonts w:cs="Times New Roman"/>
          <w:i/>
          <w:iCs/>
        </w:rPr>
        <w:t>euro</w:t>
      </w:r>
      <w:proofErr w:type="spellEnd"/>
      <w:r w:rsidRPr="00251B61">
        <w:rPr>
          <w:rFonts w:cs="Times New Roman"/>
        </w:rPr>
        <w:t>, kas, salīdzinot ar plānoto, ir par 5,9</w:t>
      </w:r>
      <w:r w:rsidRPr="00251B61">
        <w:rPr>
          <w:rFonts w:cs="Times New Roman"/>
          <w:b/>
          <w:i/>
        </w:rPr>
        <w:t> </w:t>
      </w:r>
      <w:r w:rsidRPr="00251B61">
        <w:rPr>
          <w:rFonts w:cs="Times New Roman"/>
        </w:rPr>
        <w:t xml:space="preserve">milj. </w:t>
      </w:r>
      <w:proofErr w:type="spellStart"/>
      <w:r w:rsidRPr="002F2A16">
        <w:rPr>
          <w:rFonts w:cs="Times New Roman"/>
          <w:i/>
          <w:iCs/>
        </w:rPr>
        <w:t>euro</w:t>
      </w:r>
      <w:proofErr w:type="spellEnd"/>
      <w:r w:rsidRPr="00251B61">
        <w:rPr>
          <w:rFonts w:cs="Times New Roman"/>
        </w:rPr>
        <w:t xml:space="preserve"> jeb 3,9</w:t>
      </w:r>
      <w:r w:rsidRPr="00251B61">
        <w:rPr>
          <w:rFonts w:cs="Times New Roman"/>
          <w:b/>
          <w:i/>
        </w:rPr>
        <w:t> </w:t>
      </w:r>
      <w:r w:rsidRPr="00251B61">
        <w:rPr>
          <w:rFonts w:cs="Times New Roman"/>
        </w:rPr>
        <w:t>% vairāk. Salīdzinot ar 2023.</w:t>
      </w:r>
      <w:r w:rsidRPr="00251B61">
        <w:rPr>
          <w:rFonts w:cs="Times New Roman"/>
          <w:b/>
          <w:i/>
        </w:rPr>
        <w:t> </w:t>
      </w:r>
      <w:r w:rsidRPr="00251B61">
        <w:rPr>
          <w:rFonts w:cs="Times New Roman"/>
        </w:rPr>
        <w:t>gada 1.</w:t>
      </w:r>
      <w:r w:rsidRPr="00251B61">
        <w:rPr>
          <w:rFonts w:cs="Times New Roman"/>
          <w:b/>
          <w:i/>
        </w:rPr>
        <w:t> </w:t>
      </w:r>
      <w:r w:rsidRPr="00251B61">
        <w:rPr>
          <w:rFonts w:cs="Times New Roman"/>
        </w:rPr>
        <w:t xml:space="preserve">pusgadu, nekustamā īpašuma nodoklis iekasēts  par 0,1 milj. </w:t>
      </w:r>
      <w:proofErr w:type="spellStart"/>
      <w:r w:rsidRPr="002F2A16">
        <w:rPr>
          <w:rFonts w:cs="Times New Roman"/>
          <w:i/>
          <w:iCs/>
        </w:rPr>
        <w:t>euro</w:t>
      </w:r>
      <w:proofErr w:type="spellEnd"/>
      <w:r w:rsidRPr="00251B61">
        <w:rPr>
          <w:rFonts w:cs="Times New Roman"/>
        </w:rPr>
        <w:t xml:space="preserve">  jeb 0,1% vairāk  (t.sk., par mājokļiem par +1,2</w:t>
      </w:r>
      <w:r w:rsidRPr="00251B61">
        <w:rPr>
          <w:rFonts w:cs="Times New Roman"/>
          <w:b/>
          <w:i/>
        </w:rPr>
        <w:t> </w:t>
      </w:r>
      <w:r w:rsidRPr="00251B61">
        <w:rPr>
          <w:rFonts w:cs="Times New Roman"/>
        </w:rPr>
        <w:t>milj.</w:t>
      </w:r>
      <w:r w:rsidRPr="00251B61">
        <w:rPr>
          <w:rFonts w:cs="Times New Roman"/>
          <w:b/>
          <w:i/>
          <w:iCs/>
        </w:rPr>
        <w:t> </w:t>
      </w:r>
      <w:proofErr w:type="spellStart"/>
      <w:r w:rsidRPr="00251B61">
        <w:rPr>
          <w:rFonts w:cs="Times New Roman"/>
          <w:i/>
          <w:iCs/>
        </w:rPr>
        <w:t>euro</w:t>
      </w:r>
      <w:proofErr w:type="spellEnd"/>
      <w:r w:rsidRPr="00251B61">
        <w:rPr>
          <w:rFonts w:cs="Times New Roman"/>
          <w:i/>
          <w:iCs/>
        </w:rPr>
        <w:t>,</w:t>
      </w:r>
      <w:r w:rsidRPr="00251B61">
        <w:rPr>
          <w:rFonts w:cs="Times New Roman"/>
        </w:rPr>
        <w:t xml:space="preserve"> par zemi par -1,1</w:t>
      </w:r>
      <w:r w:rsidRPr="00251B61">
        <w:rPr>
          <w:rFonts w:cs="Times New Roman"/>
          <w:b/>
          <w:i/>
        </w:rPr>
        <w:t> </w:t>
      </w:r>
      <w:r w:rsidRPr="00251B61">
        <w:rPr>
          <w:rFonts w:cs="Times New Roman"/>
        </w:rPr>
        <w:t>milj.</w:t>
      </w:r>
      <w:r w:rsidRPr="00251B61">
        <w:rPr>
          <w:rFonts w:cs="Times New Roman"/>
          <w:b/>
          <w:i/>
        </w:rPr>
        <w:t> </w:t>
      </w:r>
      <w:proofErr w:type="spellStart"/>
      <w:r w:rsidRPr="00251B61">
        <w:rPr>
          <w:rFonts w:cs="Times New Roman"/>
          <w:i/>
          <w:iCs/>
        </w:rPr>
        <w:t>euro</w:t>
      </w:r>
      <w:proofErr w:type="spellEnd"/>
      <w:r w:rsidRPr="00251B61">
        <w:rPr>
          <w:rFonts w:cs="Times New Roman"/>
          <w:i/>
          <w:iCs/>
        </w:rPr>
        <w:t xml:space="preserve">, </w:t>
      </w:r>
      <w:r w:rsidRPr="00251B61">
        <w:rPr>
          <w:rFonts w:cs="Times New Roman"/>
        </w:rPr>
        <w:t>bet</w:t>
      </w:r>
      <w:r w:rsidRPr="00251B61">
        <w:rPr>
          <w:rFonts w:cs="Times New Roman"/>
          <w:i/>
          <w:iCs/>
        </w:rPr>
        <w:t xml:space="preserve"> </w:t>
      </w:r>
      <w:r w:rsidRPr="00251B61">
        <w:rPr>
          <w:rFonts w:cs="Times New Roman"/>
        </w:rPr>
        <w:t xml:space="preserve">par ēkām saglabājušies iepriekšējā gada līmenī). </w:t>
      </w:r>
    </w:p>
    <w:p w14:paraId="58C5D436" w14:textId="1294D914" w:rsidR="008349F0" w:rsidRPr="00251B61" w:rsidRDefault="008349F0" w:rsidP="008349F0">
      <w:pPr>
        <w:rPr>
          <w:rFonts w:cs="Times New Roman"/>
        </w:rPr>
      </w:pPr>
      <w:r w:rsidRPr="00251B61">
        <w:rPr>
          <w:rFonts w:cs="Times New Roman"/>
        </w:rPr>
        <w:t xml:space="preserve">Saskaņā ar Valsts zemes dienesta informāciju 2024. gadā kadastrālo vērtību kopsumma pieaugusi vien inženierbūvēm (par 4,9%), ēkām (t.sk. mājokļi) tā samazinājās par 6,1%, bet zemei </w:t>
      </w:r>
      <w:r w:rsidR="00A82E56">
        <w:rPr>
          <w:rFonts w:cs="Times New Roman"/>
        </w:rPr>
        <w:t xml:space="preserve">– </w:t>
      </w:r>
      <w:r w:rsidRPr="00251B61">
        <w:rPr>
          <w:rFonts w:cs="Times New Roman"/>
        </w:rPr>
        <w:t>par 0,6</w:t>
      </w:r>
      <w:r w:rsidR="002F2A16">
        <w:rPr>
          <w:rFonts w:cs="Times New Roman"/>
        </w:rPr>
        <w:t>%</w:t>
      </w:r>
      <w:r w:rsidRPr="00251B61">
        <w:rPr>
          <w:rFonts w:cs="Times New Roman"/>
        </w:rPr>
        <w:t xml:space="preserve">. </w:t>
      </w:r>
    </w:p>
    <w:p w14:paraId="386B026B" w14:textId="77777777" w:rsidR="008349F0" w:rsidRPr="00251B61" w:rsidRDefault="008349F0" w:rsidP="008349F0">
      <w:pPr>
        <w:rPr>
          <w:rFonts w:cs="Times New Roman"/>
        </w:rPr>
      </w:pPr>
      <w:r w:rsidRPr="00251B61">
        <w:rPr>
          <w:rFonts w:cs="Times New Roman"/>
        </w:rPr>
        <w:lastRenderedPageBreak/>
        <w:t xml:space="preserve">Lai arī kadastrālo vērtību bāze ir “iesaldēta”, tās ir mainījušās, jo Kadastra informācijas sistēmā reģistrēti gan jauni nekustamā īpašuma objekti, gan veiktas izmaiņas objektu raksturojošos datos. Piemēram, zemei pašvaldība mainījusi lietošanas mērķi vai kadastrālās uzmērīšanas rezultātā mainījušies apgrūtinājumi vai pēc meža inventarizācijas noteikti citi meža zemes saimnieciskās darbības ierobežojumi u.tml. </w:t>
      </w:r>
    </w:p>
    <w:p w14:paraId="7C48A4CD" w14:textId="77777777" w:rsidR="008349F0" w:rsidRPr="00251B61" w:rsidRDefault="008349F0" w:rsidP="008349F0">
      <w:pPr>
        <w:rPr>
          <w:rFonts w:cs="Times New Roman"/>
        </w:rPr>
      </w:pPr>
      <w:r w:rsidRPr="00251B61">
        <w:rPr>
          <w:rFonts w:cs="Times New Roman"/>
        </w:rPr>
        <w:t>Saskaņā ar likumprojektu “Par valsts budžetu 2025. gadam un budžeta ietvaru 2025., 2026. un 2027. gadam” 2025. gadā nekustamā īpašuma nodokļa ieņēmumi tiek plānoti 241,2 milj. </w:t>
      </w:r>
      <w:proofErr w:type="spellStart"/>
      <w:r w:rsidRPr="00251B61">
        <w:rPr>
          <w:rFonts w:cs="Times New Roman"/>
          <w:i/>
          <w:iCs/>
        </w:rPr>
        <w:t>euro</w:t>
      </w:r>
      <w:proofErr w:type="spellEnd"/>
      <w:r w:rsidRPr="00251B61">
        <w:rPr>
          <w:rFonts w:cs="Times New Roman"/>
        </w:rPr>
        <w:t>, 2026. gadā 243,6 milj. </w:t>
      </w:r>
      <w:proofErr w:type="spellStart"/>
      <w:r w:rsidRPr="00251B61">
        <w:rPr>
          <w:rFonts w:cs="Times New Roman"/>
          <w:i/>
          <w:iCs/>
        </w:rPr>
        <w:t>euro</w:t>
      </w:r>
      <w:proofErr w:type="spellEnd"/>
      <w:r w:rsidRPr="00251B61">
        <w:rPr>
          <w:rFonts w:cs="Times New Roman"/>
        </w:rPr>
        <w:t xml:space="preserve"> un 2027. gadā 246,0 milj. </w:t>
      </w:r>
      <w:proofErr w:type="spellStart"/>
      <w:r w:rsidRPr="00251B61">
        <w:rPr>
          <w:rFonts w:cs="Times New Roman"/>
          <w:i/>
          <w:iCs/>
        </w:rPr>
        <w:t>euro</w:t>
      </w:r>
      <w:proofErr w:type="spellEnd"/>
      <w:r w:rsidRPr="00251B61">
        <w:rPr>
          <w:rFonts w:cs="Times New Roman"/>
        </w:rPr>
        <w:t xml:space="preserve"> apmērā (skat. 3.8. tabulu). Nekustamā īpašuma nodokļa ieņēmumu plānā ņemta vērā 2024. gada sagaidāmā izpilde, pašvaldību prognozes un prognozētie nekustamā īpašuma nodokļa parādu maksājumi.</w:t>
      </w:r>
    </w:p>
    <w:p w14:paraId="09E735D3" w14:textId="77777777" w:rsidR="008349F0" w:rsidRPr="00251B61" w:rsidRDefault="008349F0" w:rsidP="008349F0">
      <w:pPr>
        <w:pStyle w:val="Tabulasnosaukums"/>
      </w:pPr>
      <w:r w:rsidRPr="00251B61">
        <w:t>3.8. tabula. Nekustamā īpašuma nodokļa ieņēmumi</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4"/>
        <w:gridCol w:w="851"/>
        <w:gridCol w:w="851"/>
        <w:gridCol w:w="851"/>
        <w:gridCol w:w="847"/>
      </w:tblGrid>
      <w:tr w:rsidR="008349F0" w:rsidRPr="00251B61" w14:paraId="30AAABD8" w14:textId="77777777" w:rsidTr="008D3722">
        <w:trPr>
          <w:cantSplit/>
          <w:trHeight w:hRule="exact" w:val="227"/>
          <w:jc w:val="center"/>
        </w:trPr>
        <w:tc>
          <w:tcPr>
            <w:tcW w:w="3114" w:type="pct"/>
            <w:shd w:val="clear" w:color="auto" w:fill="8EAADB"/>
            <w:vAlign w:val="center"/>
          </w:tcPr>
          <w:p w14:paraId="0608A21E" w14:textId="77777777" w:rsidR="008349F0" w:rsidRPr="00251B61" w:rsidRDefault="008349F0" w:rsidP="008349F0">
            <w:pPr>
              <w:pStyle w:val="Tabulasgalvenesrinda"/>
            </w:pPr>
          </w:p>
        </w:tc>
        <w:tc>
          <w:tcPr>
            <w:tcW w:w="472" w:type="pct"/>
            <w:shd w:val="clear" w:color="auto" w:fill="8EAADB"/>
            <w:vAlign w:val="center"/>
          </w:tcPr>
          <w:p w14:paraId="144010CC" w14:textId="77777777" w:rsidR="008349F0" w:rsidRPr="00251B61" w:rsidRDefault="008349F0" w:rsidP="008349F0">
            <w:pPr>
              <w:pStyle w:val="Tabulasgalvenesrinda"/>
            </w:pPr>
            <w:r w:rsidRPr="00251B61">
              <w:t>2024</w:t>
            </w:r>
          </w:p>
        </w:tc>
        <w:tc>
          <w:tcPr>
            <w:tcW w:w="472" w:type="pct"/>
            <w:tcBorders>
              <w:bottom w:val="single" w:sz="4" w:space="0" w:color="auto"/>
            </w:tcBorders>
            <w:shd w:val="clear" w:color="auto" w:fill="8EAADB"/>
            <w:vAlign w:val="center"/>
          </w:tcPr>
          <w:p w14:paraId="78D128EA" w14:textId="77777777" w:rsidR="008349F0" w:rsidRPr="00251B61" w:rsidRDefault="008349F0" w:rsidP="008349F0">
            <w:pPr>
              <w:pStyle w:val="Tabulasgalvenesrinda"/>
            </w:pPr>
            <w:r w:rsidRPr="00251B61">
              <w:t>2025</w:t>
            </w:r>
          </w:p>
        </w:tc>
        <w:tc>
          <w:tcPr>
            <w:tcW w:w="472" w:type="pct"/>
            <w:tcBorders>
              <w:bottom w:val="single" w:sz="4" w:space="0" w:color="auto"/>
            </w:tcBorders>
            <w:shd w:val="clear" w:color="auto" w:fill="8EAADB"/>
            <w:vAlign w:val="center"/>
          </w:tcPr>
          <w:p w14:paraId="0B1B8BCD" w14:textId="77777777" w:rsidR="008349F0" w:rsidRPr="00251B61" w:rsidRDefault="008349F0" w:rsidP="008349F0">
            <w:pPr>
              <w:pStyle w:val="Tabulasgalvenesrinda"/>
            </w:pPr>
            <w:r w:rsidRPr="00251B61">
              <w:t>2026</w:t>
            </w:r>
          </w:p>
        </w:tc>
        <w:tc>
          <w:tcPr>
            <w:tcW w:w="470" w:type="pct"/>
            <w:tcBorders>
              <w:bottom w:val="single" w:sz="4" w:space="0" w:color="auto"/>
            </w:tcBorders>
            <w:shd w:val="clear" w:color="auto" w:fill="8EAADB"/>
            <w:vAlign w:val="center"/>
          </w:tcPr>
          <w:p w14:paraId="3ACEF570" w14:textId="77777777" w:rsidR="008349F0" w:rsidRPr="00251B61" w:rsidRDefault="008349F0" w:rsidP="008349F0">
            <w:pPr>
              <w:pStyle w:val="Tabulasgalvenesrinda"/>
            </w:pPr>
            <w:r w:rsidRPr="00251B61">
              <w:t>2027</w:t>
            </w:r>
          </w:p>
        </w:tc>
      </w:tr>
      <w:tr w:rsidR="008349F0" w:rsidRPr="00251B61" w14:paraId="66C36B76" w14:textId="77777777" w:rsidTr="008D3722">
        <w:trPr>
          <w:cantSplit/>
          <w:trHeight w:hRule="exact" w:val="454"/>
          <w:jc w:val="center"/>
        </w:trPr>
        <w:tc>
          <w:tcPr>
            <w:tcW w:w="3114" w:type="pct"/>
            <w:vAlign w:val="center"/>
          </w:tcPr>
          <w:p w14:paraId="1E8F555D" w14:textId="77777777" w:rsidR="008349F0" w:rsidRPr="00251B61" w:rsidRDefault="008349F0" w:rsidP="008349F0">
            <w:pPr>
              <w:pStyle w:val="Tabulasteksts"/>
              <w:ind w:left="0"/>
              <w:rPr>
                <w:i/>
              </w:rPr>
            </w:pPr>
            <w:r w:rsidRPr="00251B61">
              <w:t>Saskaņā ar likumprojektu “Par valsts budžetu 2025. gadam un budžeta ietvaru 2025., 2026. un 2027. gadam”, milj.</w:t>
            </w:r>
            <w:r w:rsidRPr="00251B61">
              <w:rPr>
                <w:i/>
              </w:rPr>
              <w:t> euro</w:t>
            </w:r>
          </w:p>
        </w:tc>
        <w:tc>
          <w:tcPr>
            <w:tcW w:w="472" w:type="pct"/>
            <w:tcBorders>
              <w:bottom w:val="single" w:sz="4" w:space="0" w:color="auto"/>
            </w:tcBorders>
            <w:vAlign w:val="center"/>
          </w:tcPr>
          <w:p w14:paraId="7BCA86BB" w14:textId="77777777" w:rsidR="008349F0" w:rsidRPr="00251B61" w:rsidRDefault="008349F0" w:rsidP="008349F0">
            <w:pPr>
              <w:pStyle w:val="Tabulascipari"/>
              <w:keepNext/>
              <w:keepLines/>
              <w:spacing w:after="0"/>
              <w:ind w:left="0"/>
              <w:jc w:val="center"/>
            </w:pPr>
            <w:r w:rsidRPr="00251B61">
              <w:t>238,9</w:t>
            </w:r>
            <w:r w:rsidRPr="00251B61">
              <w:rPr>
                <w:vertAlign w:val="superscript"/>
              </w:rPr>
              <w:t>1</w:t>
            </w:r>
          </w:p>
        </w:tc>
        <w:tc>
          <w:tcPr>
            <w:tcW w:w="472" w:type="pct"/>
            <w:tcBorders>
              <w:top w:val="single" w:sz="4" w:space="0" w:color="auto"/>
              <w:left w:val="nil"/>
              <w:bottom w:val="single" w:sz="4" w:space="0" w:color="auto"/>
              <w:right w:val="single" w:sz="4" w:space="0" w:color="auto"/>
            </w:tcBorders>
            <w:shd w:val="clear" w:color="auto" w:fill="auto"/>
            <w:vAlign w:val="center"/>
          </w:tcPr>
          <w:p w14:paraId="239FABBF" w14:textId="10DFE756" w:rsidR="008349F0" w:rsidRPr="00251B61" w:rsidRDefault="008349F0" w:rsidP="008349F0">
            <w:pPr>
              <w:pStyle w:val="Tabulascipari"/>
              <w:keepNext/>
              <w:keepLines/>
              <w:spacing w:after="0"/>
              <w:ind w:left="0"/>
              <w:jc w:val="center"/>
            </w:pPr>
            <w:r w:rsidRPr="00251B61">
              <w:t>241,2</w:t>
            </w:r>
            <w:r w:rsidR="008826A2" w:rsidRPr="008826A2">
              <w:rPr>
                <w:vertAlign w:val="superscript"/>
              </w:rPr>
              <w:t>1</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3F8C82F2" w14:textId="78BA7D98" w:rsidR="008349F0" w:rsidRPr="00251B61" w:rsidRDefault="008349F0" w:rsidP="008349F0">
            <w:pPr>
              <w:pStyle w:val="Tabulascipari"/>
              <w:keepNext/>
              <w:keepLines/>
              <w:spacing w:after="0"/>
              <w:ind w:left="0"/>
              <w:jc w:val="center"/>
            </w:pPr>
            <w:r w:rsidRPr="00251B61">
              <w:t>243,6</w:t>
            </w:r>
            <w:r w:rsidR="008826A2" w:rsidRPr="008826A2">
              <w:rPr>
                <w:vertAlign w:val="superscript"/>
              </w:rPr>
              <w:t>1</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14:paraId="0C885F79" w14:textId="257128A1" w:rsidR="008349F0" w:rsidRPr="00251B61" w:rsidRDefault="008349F0" w:rsidP="008349F0">
            <w:pPr>
              <w:pStyle w:val="Tabulascipari"/>
              <w:keepNext/>
              <w:keepLines/>
              <w:spacing w:after="0"/>
              <w:ind w:left="0"/>
              <w:jc w:val="center"/>
            </w:pPr>
            <w:r w:rsidRPr="00251B61">
              <w:t>246,0</w:t>
            </w:r>
            <w:r w:rsidR="008826A2" w:rsidRPr="008826A2">
              <w:rPr>
                <w:vertAlign w:val="superscript"/>
              </w:rPr>
              <w:t>1</w:t>
            </w:r>
          </w:p>
        </w:tc>
      </w:tr>
      <w:tr w:rsidR="008349F0" w:rsidRPr="00251B61" w14:paraId="744ED284" w14:textId="77777777" w:rsidTr="008D3722">
        <w:trPr>
          <w:cantSplit/>
          <w:trHeight w:hRule="exact" w:val="227"/>
          <w:jc w:val="center"/>
        </w:trPr>
        <w:tc>
          <w:tcPr>
            <w:tcW w:w="3114" w:type="pct"/>
            <w:vAlign w:val="center"/>
          </w:tcPr>
          <w:p w14:paraId="71FE8B25" w14:textId="77777777" w:rsidR="008349F0" w:rsidRPr="00251B61" w:rsidRDefault="008349F0" w:rsidP="008349F0">
            <w:pPr>
              <w:pStyle w:val="Tabulasteksts"/>
              <w:rPr>
                <w:i/>
                <w:iCs/>
              </w:rPr>
            </w:pPr>
            <w:r w:rsidRPr="00251B61">
              <w:rPr>
                <w:i/>
                <w:iCs/>
                <w:sz w:val="16"/>
                <w:szCs w:val="16"/>
              </w:rPr>
              <w:t>pret IKP, %</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4D2CFF41"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0,57</w:t>
            </w:r>
          </w:p>
        </w:tc>
        <w:tc>
          <w:tcPr>
            <w:tcW w:w="472" w:type="pct"/>
            <w:tcBorders>
              <w:top w:val="single" w:sz="4" w:space="0" w:color="auto"/>
              <w:left w:val="nil"/>
              <w:bottom w:val="single" w:sz="4" w:space="0" w:color="auto"/>
              <w:right w:val="single" w:sz="4" w:space="0" w:color="auto"/>
            </w:tcBorders>
            <w:shd w:val="clear" w:color="auto" w:fill="auto"/>
          </w:tcPr>
          <w:p w14:paraId="52494158"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0,54</w:t>
            </w:r>
          </w:p>
        </w:tc>
        <w:tc>
          <w:tcPr>
            <w:tcW w:w="472" w:type="pct"/>
            <w:tcBorders>
              <w:top w:val="single" w:sz="4" w:space="0" w:color="auto"/>
              <w:left w:val="nil"/>
              <w:bottom w:val="single" w:sz="4" w:space="0" w:color="auto"/>
              <w:right w:val="single" w:sz="4" w:space="0" w:color="auto"/>
            </w:tcBorders>
            <w:shd w:val="clear" w:color="auto" w:fill="auto"/>
          </w:tcPr>
          <w:p w14:paraId="5F5CB9EA"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0,52</w:t>
            </w:r>
          </w:p>
        </w:tc>
        <w:tc>
          <w:tcPr>
            <w:tcW w:w="470" w:type="pct"/>
            <w:tcBorders>
              <w:top w:val="single" w:sz="4" w:space="0" w:color="auto"/>
              <w:left w:val="nil"/>
              <w:bottom w:val="single" w:sz="4" w:space="0" w:color="auto"/>
              <w:right w:val="single" w:sz="4" w:space="0" w:color="auto"/>
            </w:tcBorders>
            <w:shd w:val="clear" w:color="auto" w:fill="auto"/>
          </w:tcPr>
          <w:p w14:paraId="035523E6"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0,50</w:t>
            </w:r>
          </w:p>
        </w:tc>
      </w:tr>
      <w:tr w:rsidR="008349F0" w:rsidRPr="00251B61" w14:paraId="5A708156" w14:textId="77777777" w:rsidTr="008D3722">
        <w:trPr>
          <w:cantSplit/>
          <w:trHeight w:hRule="exact" w:val="454"/>
          <w:jc w:val="center"/>
        </w:trPr>
        <w:tc>
          <w:tcPr>
            <w:tcW w:w="3114" w:type="pct"/>
            <w:vAlign w:val="center"/>
          </w:tcPr>
          <w:p w14:paraId="0EEF195B" w14:textId="77777777" w:rsidR="008349F0" w:rsidRPr="00251B61" w:rsidRDefault="008349F0" w:rsidP="008349F0">
            <w:pPr>
              <w:pStyle w:val="Tabulasteksts"/>
              <w:ind w:left="0"/>
            </w:pPr>
            <w:r w:rsidRPr="00251B61">
              <w:t>Salīdzinājumā ar likumu “Par valsts budžetu 2024. gadam un budžeta ietvaru 2024., 2025. un 2026. gadam”, milj. </w:t>
            </w:r>
            <w:r w:rsidRPr="00251B61">
              <w:rPr>
                <w:i/>
                <w:iCs/>
              </w:rPr>
              <w:t>euro</w:t>
            </w:r>
          </w:p>
        </w:tc>
        <w:tc>
          <w:tcPr>
            <w:tcW w:w="472" w:type="pct"/>
            <w:tcBorders>
              <w:top w:val="single" w:sz="4" w:space="0" w:color="auto"/>
              <w:left w:val="nil"/>
              <w:bottom w:val="single" w:sz="4" w:space="0" w:color="auto"/>
              <w:right w:val="single" w:sz="4" w:space="0" w:color="auto"/>
            </w:tcBorders>
            <w:shd w:val="clear" w:color="auto" w:fill="auto"/>
          </w:tcPr>
          <w:p w14:paraId="05AC64CB"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+1,5</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41A38415"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+1,5</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390EE648"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+1,5</w:t>
            </w:r>
          </w:p>
        </w:tc>
        <w:tc>
          <w:tcPr>
            <w:tcW w:w="470" w:type="pct"/>
            <w:tcBorders>
              <w:top w:val="single" w:sz="4" w:space="0" w:color="auto"/>
              <w:left w:val="single" w:sz="4" w:space="0" w:color="auto"/>
              <w:bottom w:val="single" w:sz="4" w:space="0" w:color="auto"/>
              <w:right w:val="single" w:sz="4" w:space="0" w:color="auto"/>
            </w:tcBorders>
            <w:shd w:val="clear" w:color="auto" w:fill="auto"/>
          </w:tcPr>
          <w:p w14:paraId="0BA52B08"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w:t>
            </w:r>
          </w:p>
        </w:tc>
      </w:tr>
      <w:tr w:rsidR="008349F0" w:rsidRPr="00251B61" w14:paraId="5AB92679" w14:textId="77777777" w:rsidTr="008D3722">
        <w:trPr>
          <w:cantSplit/>
          <w:trHeight w:hRule="exact" w:val="454"/>
          <w:jc w:val="center"/>
        </w:trPr>
        <w:tc>
          <w:tcPr>
            <w:tcW w:w="3114" w:type="pct"/>
            <w:vAlign w:val="center"/>
          </w:tcPr>
          <w:p w14:paraId="291E9942" w14:textId="77777777" w:rsidR="008349F0" w:rsidRPr="00251B61" w:rsidRDefault="008349F0" w:rsidP="008349F0">
            <w:pPr>
              <w:pStyle w:val="Tabulasteksts"/>
              <w:ind w:left="0"/>
            </w:pPr>
            <w:r w:rsidRPr="00251B61">
              <w:t>Salīdzinājumā ar likumu “Par valsts budžetu 2024. gadam un budžeta ietvaru 2024., 2025. un 2026. gadam”, %</w:t>
            </w:r>
          </w:p>
        </w:tc>
        <w:tc>
          <w:tcPr>
            <w:tcW w:w="472" w:type="pct"/>
            <w:tcBorders>
              <w:top w:val="single" w:sz="4" w:space="0" w:color="auto"/>
              <w:left w:val="nil"/>
              <w:bottom w:val="single" w:sz="4" w:space="0" w:color="auto"/>
              <w:right w:val="single" w:sz="4" w:space="0" w:color="auto"/>
            </w:tcBorders>
            <w:shd w:val="clear" w:color="auto" w:fill="auto"/>
          </w:tcPr>
          <w:p w14:paraId="15EA4ABA"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+0,6</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58417B90"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+0,6</w:t>
            </w:r>
          </w:p>
        </w:tc>
        <w:tc>
          <w:tcPr>
            <w:tcW w:w="472" w:type="pct"/>
            <w:tcBorders>
              <w:top w:val="single" w:sz="4" w:space="0" w:color="auto"/>
              <w:left w:val="single" w:sz="4" w:space="0" w:color="auto"/>
              <w:bottom w:val="single" w:sz="4" w:space="0" w:color="auto"/>
              <w:right w:val="single" w:sz="4" w:space="0" w:color="auto"/>
            </w:tcBorders>
            <w:shd w:val="clear" w:color="auto" w:fill="auto"/>
          </w:tcPr>
          <w:p w14:paraId="632E33C7"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+0,6</w:t>
            </w:r>
          </w:p>
        </w:tc>
        <w:tc>
          <w:tcPr>
            <w:tcW w:w="470" w:type="pct"/>
            <w:tcBorders>
              <w:top w:val="single" w:sz="4" w:space="0" w:color="auto"/>
              <w:left w:val="single" w:sz="4" w:space="0" w:color="auto"/>
              <w:bottom w:val="single" w:sz="4" w:space="0" w:color="auto"/>
              <w:right w:val="single" w:sz="4" w:space="0" w:color="auto"/>
            </w:tcBorders>
            <w:shd w:val="clear" w:color="auto" w:fill="auto"/>
          </w:tcPr>
          <w:p w14:paraId="7E854BC8" w14:textId="77777777" w:rsidR="008349F0" w:rsidRPr="00251B61" w:rsidRDefault="008349F0" w:rsidP="008349F0">
            <w:pPr>
              <w:pStyle w:val="Tabulascipari"/>
              <w:keepNext/>
              <w:keepLines/>
              <w:spacing w:after="0"/>
              <w:ind w:left="0"/>
              <w:rPr>
                <w:i/>
                <w:iCs/>
                <w:sz w:val="16"/>
                <w:szCs w:val="16"/>
              </w:rPr>
            </w:pPr>
            <w:r w:rsidRPr="00251B61">
              <w:rPr>
                <w:i/>
                <w:iCs/>
                <w:sz w:val="16"/>
                <w:szCs w:val="16"/>
              </w:rPr>
              <w:t>—</w:t>
            </w:r>
          </w:p>
        </w:tc>
      </w:tr>
    </w:tbl>
    <w:p w14:paraId="0C05E2AD" w14:textId="77777777" w:rsidR="008349F0" w:rsidRPr="00251B61" w:rsidRDefault="008349F0" w:rsidP="008349F0">
      <w:pPr>
        <w:pStyle w:val="Piezme"/>
      </w:pPr>
      <w:r w:rsidRPr="00251B61">
        <w:rPr>
          <w:vertAlign w:val="superscript"/>
        </w:rPr>
        <w:t>1</w:t>
      </w:r>
      <w:r w:rsidRPr="00251B61">
        <w:t> Prognoze</w:t>
      </w:r>
    </w:p>
    <w:p w14:paraId="249921BF" w14:textId="72FA2A7D" w:rsidR="006C567F" w:rsidRPr="0003379A" w:rsidRDefault="006C567F" w:rsidP="008349F0">
      <w:pPr>
        <w:pStyle w:val="Heading3"/>
        <w:numPr>
          <w:ilvl w:val="0"/>
          <w:numId w:val="0"/>
        </w:numPr>
      </w:pPr>
      <w:bookmarkStart w:id="84" w:name="_Toc179356100"/>
      <w:r w:rsidRPr="0003379A">
        <w:t>3.2.2. Netiešie nodokļi</w:t>
      </w:r>
      <w:bookmarkEnd w:id="84"/>
    </w:p>
    <w:p w14:paraId="76C60633" w14:textId="3660CAED" w:rsidR="0003379A" w:rsidRPr="0003379A" w:rsidRDefault="0003379A" w:rsidP="0003379A">
      <w:pPr>
        <w:rPr>
          <w:rFonts w:eastAsia="Calibri" w:cs="Times New Roman"/>
          <w:szCs w:val="24"/>
        </w:rPr>
      </w:pPr>
      <w:r w:rsidRPr="0003379A">
        <w:rPr>
          <w:rFonts w:eastAsia="Times New Roman" w:cs="Times New Roman"/>
          <w:color w:val="000000"/>
          <w:szCs w:val="24"/>
        </w:rPr>
        <w:t xml:space="preserve">2024. gada 1. pusgadā </w:t>
      </w:r>
      <w:r w:rsidRPr="0003379A">
        <w:rPr>
          <w:rFonts w:eastAsia="Calibri" w:cs="Times New Roman"/>
          <w:szCs w:val="24"/>
        </w:rPr>
        <w:t>netiešo nodokļu ieņēmumi bija 2 534,6 milj. </w:t>
      </w:r>
      <w:proofErr w:type="spellStart"/>
      <w:r w:rsidRPr="0003379A">
        <w:rPr>
          <w:rFonts w:eastAsia="Calibri" w:cs="Times New Roman"/>
          <w:i/>
          <w:iCs/>
          <w:szCs w:val="24"/>
        </w:rPr>
        <w:t>euro</w:t>
      </w:r>
      <w:proofErr w:type="spellEnd"/>
      <w:r w:rsidRPr="0003379A">
        <w:rPr>
          <w:rFonts w:eastAsia="Calibri" w:cs="Times New Roman"/>
          <w:szCs w:val="24"/>
        </w:rPr>
        <w:t>, kas salīdzinot ar plānu, ir par 138,0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5,2% mazāk, kur lielākā neizpilde bija PVN ieņēmumiem. Salīdzinot ar 2023. gada attiecīgo periodu, netiešie nodokļi tika iekasēti par 81,5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3,1% mazāk. </w:t>
      </w:r>
    </w:p>
    <w:p w14:paraId="25E8D834" w14:textId="42CED4F7" w:rsidR="0003379A" w:rsidRPr="0003379A" w:rsidRDefault="0003379A" w:rsidP="0003379A">
      <w:pPr>
        <w:rPr>
          <w:rFonts w:eastAsia="Calibri" w:cs="Times New Roman"/>
          <w:szCs w:val="24"/>
        </w:rPr>
      </w:pPr>
      <w:r w:rsidRPr="0003379A">
        <w:rPr>
          <w:rFonts w:eastAsia="Calibri" w:cs="Times New Roman"/>
          <w:szCs w:val="24"/>
        </w:rPr>
        <w:t>Saskaņā ar likumprojektu “Par valsts budžetu 2025. gadam un budžeta ietvaru 2025., 2026. un 2027. gadam” tiek plānots, ka 2025. gadā netiešo nodokļu ieņēmumi veidos 39,7% no visiem kopbudžeta nodokļiem, kas ir par 0,4 </w:t>
      </w:r>
      <w:proofErr w:type="spellStart"/>
      <w:r w:rsidRPr="0003379A">
        <w:rPr>
          <w:rFonts w:eastAsia="Calibri" w:cs="Times New Roman"/>
          <w:szCs w:val="24"/>
        </w:rPr>
        <w:t>p</w:t>
      </w:r>
      <w:r w:rsidR="00004069">
        <w:rPr>
          <w:rFonts w:eastAsia="Calibri" w:cs="Times New Roman"/>
          <w:szCs w:val="24"/>
        </w:rPr>
        <w:t>p</w:t>
      </w:r>
      <w:proofErr w:type="spellEnd"/>
      <w:r w:rsidRPr="0003379A">
        <w:rPr>
          <w:rFonts w:eastAsia="Calibri" w:cs="Times New Roman"/>
          <w:szCs w:val="24"/>
        </w:rPr>
        <w:t xml:space="preserve"> vairāk nekā 2024. gadā, pieaugot akcīzes nodokļa un TEN īpatsvaram. Informācija par tiešo nodokļu sadalījumu ir sniegta 3.2. attēlā.</w:t>
      </w:r>
    </w:p>
    <w:p w14:paraId="70BAF829" w14:textId="77777777" w:rsidR="0003379A" w:rsidRPr="0003379A" w:rsidRDefault="0003379A" w:rsidP="0003379A">
      <w:pPr>
        <w:spacing w:after="0"/>
        <w:ind w:left="425" w:firstLine="295"/>
        <w:rPr>
          <w:rFonts w:eastAsia="Calibri" w:cs="Times New Roman"/>
          <w:szCs w:val="24"/>
        </w:rPr>
      </w:pPr>
      <w:r w:rsidRPr="0003379A">
        <w:rPr>
          <w:rFonts w:eastAsia="Calibri" w:cs="Times New Roman"/>
          <w:noProof/>
          <w:szCs w:val="24"/>
        </w:rPr>
        <w:drawing>
          <wp:inline distT="0" distB="0" distL="0" distR="0" wp14:anchorId="07204C82" wp14:editId="4718F198">
            <wp:extent cx="4862308" cy="2707200"/>
            <wp:effectExtent l="0" t="0" r="0" b="0"/>
            <wp:docPr id="1730000765" name="Picture 2" descr="A pie char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00765" name="Picture 2" descr="A pie chart with numbers and tex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82853" cy="2718639"/>
                    </a:xfrm>
                    <a:prstGeom prst="rect">
                      <a:avLst/>
                    </a:prstGeom>
                    <a:noFill/>
                  </pic:spPr>
                </pic:pic>
              </a:graphicData>
            </a:graphic>
          </wp:inline>
        </w:drawing>
      </w:r>
    </w:p>
    <w:p w14:paraId="4FCF42B7" w14:textId="77777777" w:rsidR="0003379A" w:rsidRPr="0003379A" w:rsidRDefault="0003379A" w:rsidP="0003379A">
      <w:pPr>
        <w:ind w:left="425" w:firstLine="0"/>
        <w:jc w:val="center"/>
        <w:rPr>
          <w:rFonts w:eastAsia="Calibri" w:cs="Times New Roman"/>
          <w:b/>
          <w:i/>
          <w:szCs w:val="24"/>
          <w:lang w:eastAsia="en-US"/>
        </w:rPr>
      </w:pPr>
      <w:r w:rsidRPr="0003379A">
        <w:rPr>
          <w:rFonts w:eastAsia="Calibri" w:cs="Times New Roman"/>
          <w:b/>
          <w:i/>
          <w:szCs w:val="24"/>
          <w:lang w:eastAsia="en-US"/>
        </w:rPr>
        <w:t>3.2. att. Netiešo nodokļu sadalījums kopbudžeta nodokļu ieņēmumos 2025. gadā, %</w:t>
      </w:r>
    </w:p>
    <w:p w14:paraId="527273B3" w14:textId="77777777" w:rsidR="00004069" w:rsidRDefault="00004069" w:rsidP="00004069">
      <w:pPr>
        <w:spacing w:after="0"/>
        <w:rPr>
          <w:rFonts w:eastAsia="Calibri" w:cs="Times New Roman"/>
          <w:szCs w:val="24"/>
        </w:rPr>
      </w:pPr>
    </w:p>
    <w:p w14:paraId="5D3F5034" w14:textId="0B9446F2" w:rsidR="0003379A" w:rsidRPr="0003379A" w:rsidRDefault="0003379A" w:rsidP="0003379A">
      <w:pPr>
        <w:rPr>
          <w:rFonts w:eastAsia="Calibri" w:cs="Times New Roman"/>
          <w:szCs w:val="24"/>
        </w:rPr>
      </w:pPr>
      <w:r w:rsidRPr="0003379A">
        <w:rPr>
          <w:rFonts w:eastAsia="Calibri" w:cs="Times New Roman"/>
          <w:szCs w:val="24"/>
        </w:rPr>
        <w:t>2025. gadā netiešo nodokļu ieņēmumu īpatsvars IKP tiek prognozēts 13,0%, kas ir par 0,1 </w:t>
      </w:r>
      <w:proofErr w:type="spellStart"/>
      <w:r w:rsidRPr="0003379A">
        <w:rPr>
          <w:rFonts w:eastAsia="Calibri" w:cs="Times New Roman"/>
          <w:szCs w:val="24"/>
        </w:rPr>
        <w:t>p</w:t>
      </w:r>
      <w:r w:rsidR="00004069">
        <w:rPr>
          <w:rFonts w:eastAsia="Calibri" w:cs="Times New Roman"/>
          <w:szCs w:val="24"/>
        </w:rPr>
        <w:t>p</w:t>
      </w:r>
      <w:proofErr w:type="spellEnd"/>
      <w:r w:rsidRPr="0003379A">
        <w:rPr>
          <w:rFonts w:eastAsia="Calibri" w:cs="Times New Roman"/>
          <w:szCs w:val="24"/>
        </w:rPr>
        <w:t xml:space="preserve"> vairāk nekā 2024. gadā.</w:t>
      </w:r>
    </w:p>
    <w:p w14:paraId="60F4C00B" w14:textId="77777777" w:rsidR="0003379A" w:rsidRPr="0003379A" w:rsidRDefault="0003379A" w:rsidP="0003379A">
      <w:pPr>
        <w:rPr>
          <w:rFonts w:eastAsia="Calibri" w:cs="Times New Roman"/>
          <w:szCs w:val="24"/>
        </w:rPr>
      </w:pPr>
      <w:r w:rsidRPr="0003379A">
        <w:rPr>
          <w:rFonts w:eastAsia="Calibri" w:cs="Times New Roman"/>
          <w:szCs w:val="24"/>
        </w:rPr>
        <w:lastRenderedPageBreak/>
        <w:t>Saskaņā ar likumprojektu “Par valsts budžetu 2025. gadam un budžeta ietvaru 2025., 2026. un 2027. gadam” 2025. gadā netiešo nodokļu ieņēmumi tiek plānoti 5 776,3 milj. </w:t>
      </w:r>
      <w:proofErr w:type="spellStart"/>
      <w:r w:rsidRPr="0003379A">
        <w:rPr>
          <w:rFonts w:eastAsia="Calibri" w:cs="Times New Roman"/>
          <w:i/>
          <w:iCs/>
          <w:szCs w:val="24"/>
        </w:rPr>
        <w:t>euro</w:t>
      </w:r>
      <w:proofErr w:type="spellEnd"/>
      <w:r w:rsidRPr="0003379A">
        <w:rPr>
          <w:rFonts w:eastAsia="Calibri" w:cs="Times New Roman"/>
          <w:szCs w:val="24"/>
        </w:rPr>
        <w:t>, 2026. gadā 6 075,6 milj. </w:t>
      </w:r>
      <w:proofErr w:type="spellStart"/>
      <w:r w:rsidRPr="0003379A">
        <w:rPr>
          <w:rFonts w:eastAsia="Calibri" w:cs="Times New Roman"/>
          <w:i/>
          <w:iCs/>
          <w:szCs w:val="24"/>
        </w:rPr>
        <w:t>euro</w:t>
      </w:r>
      <w:proofErr w:type="spellEnd"/>
      <w:r w:rsidRPr="0003379A">
        <w:rPr>
          <w:rFonts w:eastAsia="Calibri" w:cs="Times New Roman"/>
          <w:szCs w:val="24"/>
        </w:rPr>
        <w:t xml:space="preserve"> un 2027. gadā 6 292,8 milj. </w:t>
      </w:r>
      <w:proofErr w:type="spellStart"/>
      <w:r w:rsidRPr="0003379A">
        <w:rPr>
          <w:rFonts w:eastAsia="Calibri" w:cs="Times New Roman"/>
          <w:i/>
          <w:iCs/>
          <w:szCs w:val="24"/>
        </w:rPr>
        <w:t>euro</w:t>
      </w:r>
      <w:proofErr w:type="spellEnd"/>
      <w:r w:rsidRPr="0003379A">
        <w:rPr>
          <w:rFonts w:eastAsia="Calibri" w:cs="Times New Roman"/>
          <w:szCs w:val="24"/>
        </w:rPr>
        <w:t xml:space="preserve"> apmērā (skat. 3.9. tabulu).</w:t>
      </w:r>
    </w:p>
    <w:p w14:paraId="28784814" w14:textId="77777777" w:rsidR="0003379A" w:rsidRPr="0003379A" w:rsidRDefault="0003379A" w:rsidP="0003379A">
      <w:pPr>
        <w:keepNext/>
        <w:keepLines/>
        <w:spacing w:before="240" w:after="0"/>
        <w:ind w:firstLine="0"/>
        <w:jc w:val="right"/>
        <w:rPr>
          <w:rFonts w:eastAsia="Calibri" w:cs="Times New Roman"/>
          <w:b/>
          <w:i/>
          <w:szCs w:val="24"/>
        </w:rPr>
      </w:pPr>
      <w:r w:rsidRPr="0003379A">
        <w:rPr>
          <w:rFonts w:eastAsia="Calibri" w:cs="Times New Roman"/>
          <w:b/>
          <w:i/>
          <w:szCs w:val="24"/>
        </w:rPr>
        <w:t>3.9. tabula. Netiešo nodokļu ieņēmumi, milj. </w:t>
      </w:r>
      <w:proofErr w:type="spellStart"/>
      <w:r w:rsidRPr="0003379A">
        <w:rPr>
          <w:rFonts w:eastAsia="Calibri" w:cs="Times New Roman"/>
          <w:b/>
          <w:i/>
          <w:szCs w:val="24"/>
        </w:rPr>
        <w:t>euro</w:t>
      </w:r>
      <w:proofErr w:type="spellEnd"/>
    </w:p>
    <w:tbl>
      <w:tblPr>
        <w:tblW w:w="49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82"/>
        <w:gridCol w:w="851"/>
        <w:gridCol w:w="993"/>
        <w:gridCol w:w="937"/>
        <w:gridCol w:w="849"/>
      </w:tblGrid>
      <w:tr w:rsidR="0003379A" w:rsidRPr="0003379A" w14:paraId="6887B522" w14:textId="77777777" w:rsidTr="008826A2">
        <w:trPr>
          <w:cantSplit/>
          <w:trHeight w:hRule="exact" w:val="227"/>
          <w:jc w:val="center"/>
        </w:trPr>
        <w:tc>
          <w:tcPr>
            <w:tcW w:w="2985" w:type="pct"/>
            <w:shd w:val="clear" w:color="auto" w:fill="8EAADB" w:themeFill="accent5" w:themeFillTint="99"/>
            <w:vAlign w:val="center"/>
          </w:tcPr>
          <w:p w14:paraId="2971F831"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p>
        </w:tc>
        <w:tc>
          <w:tcPr>
            <w:tcW w:w="472" w:type="pct"/>
            <w:shd w:val="clear" w:color="auto" w:fill="8EAADB"/>
            <w:vAlign w:val="center"/>
          </w:tcPr>
          <w:p w14:paraId="144B29E0"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2024</w:t>
            </w:r>
          </w:p>
        </w:tc>
        <w:tc>
          <w:tcPr>
            <w:tcW w:w="551" w:type="pct"/>
            <w:tcBorders>
              <w:bottom w:val="single" w:sz="4" w:space="0" w:color="auto"/>
            </w:tcBorders>
            <w:shd w:val="clear" w:color="auto" w:fill="8EAADB"/>
            <w:vAlign w:val="center"/>
          </w:tcPr>
          <w:p w14:paraId="22922116"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2025</w:t>
            </w:r>
          </w:p>
        </w:tc>
        <w:tc>
          <w:tcPr>
            <w:tcW w:w="520" w:type="pct"/>
            <w:tcBorders>
              <w:bottom w:val="single" w:sz="4" w:space="0" w:color="auto"/>
            </w:tcBorders>
            <w:shd w:val="clear" w:color="auto" w:fill="8EAADB"/>
            <w:vAlign w:val="center"/>
          </w:tcPr>
          <w:p w14:paraId="5B0C10FF"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2026</w:t>
            </w:r>
          </w:p>
        </w:tc>
        <w:tc>
          <w:tcPr>
            <w:tcW w:w="471" w:type="pct"/>
            <w:tcBorders>
              <w:bottom w:val="single" w:sz="4" w:space="0" w:color="auto"/>
            </w:tcBorders>
            <w:shd w:val="clear" w:color="auto" w:fill="8EAADB"/>
            <w:vAlign w:val="center"/>
          </w:tcPr>
          <w:p w14:paraId="78F4F5D4"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2027</w:t>
            </w:r>
          </w:p>
        </w:tc>
      </w:tr>
      <w:tr w:rsidR="0003379A" w:rsidRPr="0003379A" w14:paraId="656F4D2A" w14:textId="77777777" w:rsidTr="008826A2">
        <w:trPr>
          <w:cantSplit/>
          <w:trHeight w:hRule="exact" w:val="454"/>
          <w:jc w:val="center"/>
        </w:trPr>
        <w:tc>
          <w:tcPr>
            <w:tcW w:w="2985" w:type="pct"/>
            <w:vAlign w:val="center"/>
          </w:tcPr>
          <w:p w14:paraId="393CC194" w14:textId="77777777" w:rsidR="0003379A" w:rsidRPr="0003379A" w:rsidRDefault="0003379A" w:rsidP="0003379A">
            <w:pPr>
              <w:keepNext/>
              <w:keepLines/>
              <w:spacing w:after="0"/>
              <w:ind w:firstLine="0"/>
              <w:jc w:val="left"/>
              <w:rPr>
                <w:rFonts w:cs="Times New Roman"/>
                <w:i/>
                <w:noProof/>
                <w:sz w:val="18"/>
                <w:szCs w:val="18"/>
              </w:rPr>
            </w:pPr>
            <w:r w:rsidRPr="0003379A">
              <w:rPr>
                <w:rFonts w:cs="Times New Roman"/>
                <w:noProof/>
                <w:sz w:val="18"/>
                <w:szCs w:val="24"/>
              </w:rPr>
              <w:t>Saskaņā ar likumprojektu “Par valsts budžetu 2025. gadam un budžeta ietvaru 2025., 2026. un 2027. gadam”, milj.</w:t>
            </w:r>
            <w:r w:rsidRPr="0003379A">
              <w:rPr>
                <w:rFonts w:cs="Times New Roman"/>
                <w:i/>
                <w:noProof/>
                <w:sz w:val="18"/>
                <w:szCs w:val="24"/>
              </w:rPr>
              <w:t> euro</w:t>
            </w:r>
          </w:p>
        </w:tc>
        <w:tc>
          <w:tcPr>
            <w:tcW w:w="472" w:type="pct"/>
            <w:tcBorders>
              <w:bottom w:val="single" w:sz="4" w:space="0" w:color="auto"/>
            </w:tcBorders>
            <w:vAlign w:val="center"/>
          </w:tcPr>
          <w:p w14:paraId="6ADB17A4" w14:textId="77777777" w:rsidR="0003379A" w:rsidRPr="0003379A" w:rsidRDefault="0003379A" w:rsidP="0003379A">
            <w:pPr>
              <w:keepNext/>
              <w:keepLines/>
              <w:spacing w:after="0"/>
              <w:ind w:firstLine="0"/>
              <w:jc w:val="center"/>
              <w:rPr>
                <w:rFonts w:cs="Times New Roman"/>
                <w:noProof/>
                <w:sz w:val="18"/>
                <w:szCs w:val="18"/>
                <w:vertAlign w:val="superscript"/>
              </w:rPr>
            </w:pPr>
            <w:r w:rsidRPr="0003379A">
              <w:rPr>
                <w:rFonts w:cs="Times New Roman"/>
                <w:noProof/>
                <w:sz w:val="18"/>
                <w:szCs w:val="24"/>
              </w:rPr>
              <w:t>5 390,3</w:t>
            </w:r>
            <w:r w:rsidRPr="0003379A">
              <w:rPr>
                <w:rFonts w:cs="Times New Roman"/>
                <w:noProof/>
                <w:sz w:val="18"/>
                <w:szCs w:val="24"/>
                <w:vertAlign w:val="superscript"/>
              </w:rPr>
              <w:t>1</w:t>
            </w:r>
          </w:p>
        </w:tc>
        <w:tc>
          <w:tcPr>
            <w:tcW w:w="551" w:type="pct"/>
            <w:tcBorders>
              <w:top w:val="single" w:sz="4" w:space="0" w:color="auto"/>
              <w:left w:val="nil"/>
              <w:bottom w:val="single" w:sz="4" w:space="0" w:color="auto"/>
              <w:right w:val="single" w:sz="4" w:space="0" w:color="auto"/>
            </w:tcBorders>
            <w:shd w:val="clear" w:color="auto" w:fill="auto"/>
            <w:vAlign w:val="center"/>
          </w:tcPr>
          <w:p w14:paraId="7226D65A" w14:textId="01307E6F" w:rsidR="0003379A" w:rsidRPr="0003379A" w:rsidRDefault="0003379A" w:rsidP="0003379A">
            <w:pPr>
              <w:keepNext/>
              <w:keepLines/>
              <w:spacing w:after="0"/>
              <w:ind w:firstLine="0"/>
              <w:jc w:val="center"/>
              <w:rPr>
                <w:rFonts w:cs="Times New Roman"/>
                <w:noProof/>
                <w:sz w:val="18"/>
                <w:szCs w:val="18"/>
              </w:rPr>
            </w:pPr>
            <w:r w:rsidRPr="0003379A">
              <w:rPr>
                <w:rFonts w:cs="Times New Roman"/>
                <w:noProof/>
                <w:sz w:val="18"/>
                <w:szCs w:val="24"/>
              </w:rPr>
              <w:t>5 776,3</w:t>
            </w:r>
            <w:r w:rsidR="008826A2" w:rsidRPr="008826A2">
              <w:rPr>
                <w:sz w:val="18"/>
                <w:szCs w:val="18"/>
                <w:vertAlign w:val="superscript"/>
              </w:rPr>
              <w:t>1</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14:paraId="56FA2A90" w14:textId="3E5541C0" w:rsidR="0003379A" w:rsidRPr="0003379A" w:rsidRDefault="0003379A" w:rsidP="0003379A">
            <w:pPr>
              <w:keepNext/>
              <w:keepLines/>
              <w:spacing w:after="0"/>
              <w:ind w:firstLine="0"/>
              <w:jc w:val="center"/>
              <w:rPr>
                <w:rFonts w:cs="Times New Roman"/>
                <w:noProof/>
                <w:sz w:val="18"/>
                <w:szCs w:val="18"/>
              </w:rPr>
            </w:pPr>
            <w:r w:rsidRPr="0003379A">
              <w:rPr>
                <w:rFonts w:cs="Times New Roman"/>
                <w:noProof/>
                <w:sz w:val="18"/>
                <w:szCs w:val="24"/>
              </w:rPr>
              <w:t>6 075,6</w:t>
            </w:r>
            <w:r w:rsidR="008826A2" w:rsidRPr="008826A2">
              <w:rPr>
                <w:sz w:val="18"/>
                <w:szCs w:val="18"/>
                <w:vertAlign w:val="superscript"/>
              </w:rPr>
              <w:t>1</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63FB77E" w14:textId="67C83073" w:rsidR="0003379A" w:rsidRPr="0003379A" w:rsidRDefault="0003379A" w:rsidP="0003379A">
            <w:pPr>
              <w:keepNext/>
              <w:keepLines/>
              <w:spacing w:after="0"/>
              <w:ind w:firstLine="0"/>
              <w:jc w:val="center"/>
              <w:rPr>
                <w:rFonts w:cs="Times New Roman"/>
                <w:noProof/>
                <w:sz w:val="18"/>
                <w:szCs w:val="18"/>
              </w:rPr>
            </w:pPr>
            <w:r w:rsidRPr="0003379A">
              <w:rPr>
                <w:rFonts w:cs="Times New Roman"/>
                <w:noProof/>
                <w:sz w:val="18"/>
                <w:szCs w:val="24"/>
              </w:rPr>
              <w:t>6 292,8</w:t>
            </w:r>
            <w:r w:rsidR="008826A2" w:rsidRPr="008826A2">
              <w:rPr>
                <w:sz w:val="18"/>
                <w:szCs w:val="18"/>
                <w:vertAlign w:val="superscript"/>
              </w:rPr>
              <w:t>1</w:t>
            </w:r>
          </w:p>
        </w:tc>
      </w:tr>
      <w:tr w:rsidR="0003379A" w:rsidRPr="0003379A" w14:paraId="29A43C38" w14:textId="77777777" w:rsidTr="008826A2">
        <w:trPr>
          <w:cantSplit/>
          <w:trHeight w:hRule="exact" w:val="227"/>
          <w:jc w:val="center"/>
        </w:trPr>
        <w:tc>
          <w:tcPr>
            <w:tcW w:w="2985" w:type="pct"/>
            <w:vAlign w:val="center"/>
          </w:tcPr>
          <w:p w14:paraId="79F02FC7" w14:textId="77777777" w:rsidR="0003379A" w:rsidRPr="0003379A" w:rsidRDefault="0003379A" w:rsidP="0003379A">
            <w:pPr>
              <w:keepNext/>
              <w:keepLines/>
              <w:spacing w:after="0"/>
              <w:ind w:left="391" w:firstLine="0"/>
              <w:jc w:val="left"/>
              <w:rPr>
                <w:rFonts w:cs="Times New Roman"/>
                <w:i/>
                <w:iCs/>
                <w:noProof/>
                <w:sz w:val="18"/>
                <w:szCs w:val="18"/>
              </w:rPr>
            </w:pPr>
            <w:r w:rsidRPr="0003379A">
              <w:rPr>
                <w:rFonts w:cs="Times New Roman"/>
                <w:i/>
                <w:iCs/>
                <w:noProof/>
                <w:sz w:val="18"/>
                <w:szCs w:val="18"/>
              </w:rPr>
              <w:t>pret IKP, %</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14:paraId="0E65D83D" w14:textId="77777777" w:rsidR="0003379A" w:rsidRPr="0003379A" w:rsidRDefault="0003379A" w:rsidP="0003379A">
            <w:pPr>
              <w:keepNext/>
              <w:keepLines/>
              <w:spacing w:after="0"/>
              <w:ind w:firstLine="0"/>
              <w:jc w:val="right"/>
              <w:rPr>
                <w:rFonts w:cs="Times New Roman"/>
                <w:i/>
                <w:iCs/>
                <w:noProof/>
                <w:color w:val="000000"/>
                <w:sz w:val="18"/>
                <w:szCs w:val="18"/>
              </w:rPr>
            </w:pPr>
            <w:r w:rsidRPr="0003379A">
              <w:rPr>
                <w:rFonts w:cs="Times New Roman"/>
                <w:i/>
                <w:iCs/>
                <w:noProof/>
                <w:sz w:val="18"/>
                <w:szCs w:val="24"/>
              </w:rPr>
              <w:t>12,9%</w:t>
            </w:r>
          </w:p>
        </w:tc>
        <w:tc>
          <w:tcPr>
            <w:tcW w:w="551" w:type="pct"/>
            <w:tcBorders>
              <w:top w:val="single" w:sz="4" w:space="0" w:color="auto"/>
              <w:left w:val="nil"/>
              <w:bottom w:val="single" w:sz="4" w:space="0" w:color="auto"/>
              <w:right w:val="single" w:sz="4" w:space="0" w:color="auto"/>
            </w:tcBorders>
            <w:shd w:val="clear" w:color="auto" w:fill="auto"/>
            <w:vAlign w:val="center"/>
          </w:tcPr>
          <w:p w14:paraId="742541D9"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13,0%</w:t>
            </w:r>
          </w:p>
        </w:tc>
        <w:tc>
          <w:tcPr>
            <w:tcW w:w="520" w:type="pct"/>
            <w:tcBorders>
              <w:top w:val="single" w:sz="4" w:space="0" w:color="auto"/>
              <w:left w:val="nil"/>
              <w:bottom w:val="single" w:sz="4" w:space="0" w:color="auto"/>
              <w:right w:val="single" w:sz="4" w:space="0" w:color="auto"/>
            </w:tcBorders>
            <w:shd w:val="clear" w:color="auto" w:fill="auto"/>
            <w:vAlign w:val="center"/>
          </w:tcPr>
          <w:p w14:paraId="545C09AF"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13,0%</w:t>
            </w:r>
          </w:p>
        </w:tc>
        <w:tc>
          <w:tcPr>
            <w:tcW w:w="471" w:type="pct"/>
            <w:tcBorders>
              <w:top w:val="single" w:sz="4" w:space="0" w:color="auto"/>
              <w:left w:val="nil"/>
              <w:bottom w:val="single" w:sz="4" w:space="0" w:color="auto"/>
              <w:right w:val="single" w:sz="4" w:space="0" w:color="auto"/>
            </w:tcBorders>
            <w:shd w:val="clear" w:color="auto" w:fill="auto"/>
            <w:vAlign w:val="center"/>
          </w:tcPr>
          <w:p w14:paraId="69EC4F1F"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12,8%</w:t>
            </w:r>
          </w:p>
        </w:tc>
      </w:tr>
      <w:tr w:rsidR="0003379A" w:rsidRPr="0003379A" w14:paraId="4D0461B6" w14:textId="77777777" w:rsidTr="008826A2">
        <w:trPr>
          <w:cantSplit/>
          <w:trHeight w:hRule="exact" w:val="454"/>
          <w:jc w:val="center"/>
        </w:trPr>
        <w:tc>
          <w:tcPr>
            <w:tcW w:w="2985" w:type="pct"/>
            <w:vAlign w:val="center"/>
          </w:tcPr>
          <w:p w14:paraId="1CA6EFA9"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milj. </w:t>
            </w:r>
            <w:r w:rsidRPr="0003379A">
              <w:rPr>
                <w:rFonts w:cs="Times New Roman"/>
                <w:i/>
                <w:iCs/>
                <w:noProof/>
                <w:sz w:val="18"/>
                <w:szCs w:val="18"/>
              </w:rPr>
              <w:t>euro</w:t>
            </w:r>
          </w:p>
        </w:tc>
        <w:tc>
          <w:tcPr>
            <w:tcW w:w="472" w:type="pct"/>
            <w:tcBorders>
              <w:top w:val="single" w:sz="4" w:space="0" w:color="auto"/>
              <w:left w:val="nil"/>
              <w:bottom w:val="single" w:sz="4" w:space="0" w:color="auto"/>
              <w:right w:val="single" w:sz="4" w:space="0" w:color="auto"/>
            </w:tcBorders>
            <w:shd w:val="clear" w:color="auto" w:fill="auto"/>
            <w:vAlign w:val="center"/>
          </w:tcPr>
          <w:p w14:paraId="4B44EC87"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-168,4</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2E32D17C"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-131,6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14:paraId="6E9B3EBC"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-176,3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4C2B772"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w:t>
            </w:r>
          </w:p>
        </w:tc>
      </w:tr>
      <w:tr w:rsidR="0003379A" w:rsidRPr="0003379A" w14:paraId="79DB32F0" w14:textId="77777777" w:rsidTr="008826A2">
        <w:trPr>
          <w:cantSplit/>
          <w:trHeight w:hRule="exact" w:val="454"/>
          <w:jc w:val="center"/>
        </w:trPr>
        <w:tc>
          <w:tcPr>
            <w:tcW w:w="2985" w:type="pct"/>
            <w:vAlign w:val="center"/>
          </w:tcPr>
          <w:p w14:paraId="3C256007"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w:t>
            </w:r>
          </w:p>
        </w:tc>
        <w:tc>
          <w:tcPr>
            <w:tcW w:w="472" w:type="pct"/>
            <w:tcBorders>
              <w:top w:val="single" w:sz="4" w:space="0" w:color="auto"/>
              <w:left w:val="nil"/>
              <w:bottom w:val="single" w:sz="4" w:space="0" w:color="auto"/>
              <w:right w:val="single" w:sz="4" w:space="0" w:color="auto"/>
            </w:tcBorders>
            <w:shd w:val="clear" w:color="auto" w:fill="auto"/>
            <w:vAlign w:val="center"/>
          </w:tcPr>
          <w:p w14:paraId="00E1CF61"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-3,0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71DD5FC0"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-2,2</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14:paraId="54AF4CB3"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-2,8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41E4F75"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24"/>
              </w:rPr>
              <w:t>—</w:t>
            </w:r>
          </w:p>
        </w:tc>
      </w:tr>
    </w:tbl>
    <w:p w14:paraId="693E0F8E" w14:textId="77777777" w:rsidR="0003379A" w:rsidRPr="0003379A" w:rsidRDefault="0003379A" w:rsidP="0003379A">
      <w:pPr>
        <w:spacing w:after="0"/>
        <w:ind w:left="425" w:firstLine="0"/>
        <w:rPr>
          <w:rFonts w:eastAsia="Calibri" w:cs="Times New Roman"/>
          <w:sz w:val="18"/>
          <w:szCs w:val="18"/>
          <w:lang w:eastAsia="en-US"/>
        </w:rPr>
      </w:pPr>
      <w:r w:rsidRPr="0003379A">
        <w:rPr>
          <w:rFonts w:eastAsia="Calibri" w:cs="Times New Roman"/>
          <w:sz w:val="18"/>
          <w:szCs w:val="18"/>
          <w:vertAlign w:val="superscript"/>
          <w:lang w:eastAsia="en-US"/>
        </w:rPr>
        <w:t>1</w:t>
      </w:r>
      <w:r w:rsidRPr="0003379A">
        <w:rPr>
          <w:rFonts w:eastAsia="Calibri" w:cs="Times New Roman"/>
          <w:sz w:val="18"/>
          <w:szCs w:val="18"/>
          <w:lang w:eastAsia="en-US"/>
        </w:rPr>
        <w:t> Prognoze</w:t>
      </w:r>
    </w:p>
    <w:p w14:paraId="0CE7A9DC" w14:textId="77777777" w:rsidR="0003379A" w:rsidRPr="0003379A" w:rsidRDefault="0003379A" w:rsidP="0003379A">
      <w:pPr>
        <w:keepNext/>
        <w:keepLines/>
        <w:spacing w:before="240" w:after="240"/>
        <w:ind w:firstLine="0"/>
        <w:jc w:val="center"/>
        <w:outlineLvl w:val="3"/>
        <w:rPr>
          <w:rFonts w:eastAsia="Times New Roman" w:cs="Times New Roman"/>
          <w:b/>
          <w:sz w:val="28"/>
          <w:lang w:eastAsia="en-US"/>
        </w:rPr>
      </w:pPr>
      <w:bookmarkStart w:id="85" w:name="_Toc84756426"/>
      <w:bookmarkStart w:id="86" w:name="_Hlk82805101"/>
      <w:r w:rsidRPr="0003379A">
        <w:rPr>
          <w:rFonts w:eastAsia="Times New Roman" w:cs="Times New Roman"/>
          <w:b/>
          <w:sz w:val="28"/>
          <w:lang w:eastAsia="en-US"/>
        </w:rPr>
        <w:t>Pievienotās vērtības nodoklis</w:t>
      </w:r>
    </w:p>
    <w:p w14:paraId="2E6C0649" w14:textId="59577E2D" w:rsidR="0003379A" w:rsidRPr="0003379A" w:rsidRDefault="0003379A" w:rsidP="0003379A">
      <w:pPr>
        <w:rPr>
          <w:rFonts w:eastAsia="Calibri" w:cs="Times New Roman"/>
          <w:szCs w:val="24"/>
        </w:rPr>
      </w:pPr>
      <w:r w:rsidRPr="0003379A">
        <w:rPr>
          <w:rFonts w:eastAsia="Calibri" w:cs="Times New Roman"/>
          <w:szCs w:val="24"/>
        </w:rPr>
        <w:t xml:space="preserve">PVN ir patēriņa nodoklis, ko faktiski maksā gala patērētājs, iegādājoties preces vai </w:t>
      </w:r>
      <w:r w:rsidRPr="00D20A18">
        <w:rPr>
          <w:rFonts w:eastAsia="Calibri" w:cs="Times New Roman"/>
          <w:szCs w:val="24"/>
        </w:rPr>
        <w:t>saņemot pakalpojumus, un ir lielākais valsts pamatbudžeta nodokļu ieņēmumu avots (2023. gadā PVN neto ieņēmumi veidoja 30,7% no valsts kopbudžeta nodokļu ieņēmumiem jeb 3 879,5 milj.</w:t>
      </w:r>
      <w:r w:rsidRPr="0003379A">
        <w:rPr>
          <w:rFonts w:eastAsia="Calibri" w:cs="Times New Roman"/>
          <w:szCs w:val="24"/>
        </w:rPr>
        <w:t> </w:t>
      </w:r>
      <w:proofErr w:type="spellStart"/>
      <w:r w:rsidRPr="0003379A">
        <w:rPr>
          <w:rFonts w:eastAsia="Calibri" w:cs="Times New Roman"/>
          <w:i/>
          <w:iCs/>
          <w:szCs w:val="24"/>
        </w:rPr>
        <w:t>euro</w:t>
      </w:r>
      <w:proofErr w:type="spellEnd"/>
      <w:r w:rsidRPr="0003379A">
        <w:rPr>
          <w:rFonts w:eastAsia="Calibri" w:cs="Times New Roman"/>
          <w:szCs w:val="24"/>
        </w:rPr>
        <w:t xml:space="preserve">). </w:t>
      </w:r>
    </w:p>
    <w:p w14:paraId="0139DC31" w14:textId="59D9558B" w:rsidR="0003379A" w:rsidRPr="0003379A" w:rsidRDefault="0003379A" w:rsidP="0003379A">
      <w:pPr>
        <w:rPr>
          <w:rFonts w:eastAsia="Calibri" w:cs="Times New Roman"/>
          <w:szCs w:val="24"/>
        </w:rPr>
      </w:pPr>
      <w:r w:rsidRPr="0003379A">
        <w:rPr>
          <w:rFonts w:eastAsia="Calibri" w:cs="Times New Roman"/>
          <w:szCs w:val="24"/>
        </w:rPr>
        <w:t>PVN neto ieņēmumi 2024. gada 1. pusgadā bija 1 856,4 milj. </w:t>
      </w:r>
      <w:proofErr w:type="spellStart"/>
      <w:r w:rsidRPr="0003379A">
        <w:rPr>
          <w:rFonts w:eastAsia="Calibri" w:cs="Times New Roman"/>
          <w:i/>
          <w:iCs/>
          <w:szCs w:val="24"/>
        </w:rPr>
        <w:t>euro</w:t>
      </w:r>
      <w:proofErr w:type="spellEnd"/>
      <w:r w:rsidRPr="0003379A">
        <w:rPr>
          <w:rFonts w:eastAsia="Calibri" w:cs="Times New Roman"/>
          <w:szCs w:val="24"/>
        </w:rPr>
        <w:t>, kas ir par 90,2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4,5% mazāk nekā pērnā gada attiecīgajā periodā. PVN neto ieņēmumi 2024. gada 1. pusgadā bija par 112,8 milj. </w:t>
      </w:r>
      <w:proofErr w:type="spellStart"/>
      <w:r w:rsidRPr="0003379A">
        <w:rPr>
          <w:rFonts w:eastAsia="Calibri" w:cs="Times New Roman"/>
          <w:i/>
          <w:szCs w:val="24"/>
        </w:rPr>
        <w:t>euro</w:t>
      </w:r>
      <w:proofErr w:type="spellEnd"/>
      <w:r w:rsidRPr="0003379A">
        <w:rPr>
          <w:rFonts w:eastAsia="Calibri" w:cs="Times New Roman"/>
          <w:szCs w:val="24"/>
        </w:rPr>
        <w:t xml:space="preserve"> jeb par 5,7% mazāki nekā iepriekš tika plānots. PVN ieņēmumu neizpilde saistīta galvenokārt ar zemākām cenām un vājāku iekšzemes pieprasījuma attīstību nekā iepriekš tika prognozēts.</w:t>
      </w:r>
    </w:p>
    <w:p w14:paraId="23C0E3B9" w14:textId="77777777" w:rsidR="0003379A" w:rsidRPr="0003379A" w:rsidRDefault="0003379A" w:rsidP="0003379A">
      <w:pPr>
        <w:rPr>
          <w:rFonts w:eastAsia="Calibri" w:cs="Times New Roman"/>
          <w:szCs w:val="24"/>
        </w:rPr>
      </w:pPr>
      <w:r w:rsidRPr="0003379A">
        <w:rPr>
          <w:rFonts w:eastAsia="Calibri" w:cs="Times New Roman"/>
          <w:szCs w:val="24"/>
        </w:rPr>
        <w:t>Saskaņā ar likumprojektu “Par valsts budžetu 2025. gadam un budžeta ietvaru 2025., 2026. un 2027. gadam” PVN neto ieņēmumi tiek prognozēti šādos apmēros: 2025. gadā – 4 245,5 milj. </w:t>
      </w:r>
      <w:proofErr w:type="spellStart"/>
      <w:r w:rsidRPr="0003379A">
        <w:rPr>
          <w:rFonts w:eastAsia="Calibri" w:cs="Times New Roman"/>
          <w:i/>
          <w:iCs/>
          <w:szCs w:val="24"/>
        </w:rPr>
        <w:t>euro</w:t>
      </w:r>
      <w:proofErr w:type="spellEnd"/>
      <w:r w:rsidRPr="0003379A">
        <w:rPr>
          <w:rFonts w:eastAsia="Calibri" w:cs="Times New Roman"/>
          <w:szCs w:val="24"/>
        </w:rPr>
        <w:t>, 2026. gadā – 4 441,4 milj. </w:t>
      </w:r>
      <w:proofErr w:type="spellStart"/>
      <w:r w:rsidRPr="0003379A">
        <w:rPr>
          <w:rFonts w:eastAsia="Calibri" w:cs="Times New Roman"/>
          <w:i/>
          <w:iCs/>
          <w:szCs w:val="24"/>
        </w:rPr>
        <w:t>euro</w:t>
      </w:r>
      <w:proofErr w:type="spellEnd"/>
      <w:r w:rsidRPr="0003379A">
        <w:rPr>
          <w:rFonts w:eastAsia="Calibri" w:cs="Times New Roman"/>
          <w:szCs w:val="24"/>
        </w:rPr>
        <w:t xml:space="preserve"> un 2027. gadā – 4 634,4 milj. </w:t>
      </w:r>
      <w:proofErr w:type="spellStart"/>
      <w:r w:rsidRPr="0003379A">
        <w:rPr>
          <w:rFonts w:eastAsia="Calibri" w:cs="Times New Roman"/>
          <w:i/>
          <w:iCs/>
          <w:szCs w:val="24"/>
        </w:rPr>
        <w:t>euro</w:t>
      </w:r>
      <w:proofErr w:type="spellEnd"/>
      <w:r w:rsidRPr="0003379A">
        <w:rPr>
          <w:rFonts w:eastAsia="Calibri" w:cs="Times New Roman"/>
          <w:szCs w:val="24"/>
        </w:rPr>
        <w:t xml:space="preserve"> (skat. 3.10. tabulu). PVN neto ieņēmumu prognozi vidējā termiņā galvenokārt nosaka prognozētā </w:t>
      </w:r>
      <w:proofErr w:type="spellStart"/>
      <w:r w:rsidRPr="0003379A">
        <w:rPr>
          <w:rFonts w:eastAsia="Calibri" w:cs="Times New Roman"/>
          <w:szCs w:val="24"/>
        </w:rPr>
        <w:t>galapatēriņa</w:t>
      </w:r>
      <w:proofErr w:type="spellEnd"/>
      <w:r w:rsidRPr="0003379A">
        <w:rPr>
          <w:rFonts w:eastAsia="Calibri" w:cs="Times New Roman"/>
          <w:szCs w:val="24"/>
        </w:rPr>
        <w:t xml:space="preserve"> izdevumu dinamika faktiskajās cenās un prognozētie 2024. gada PVN neto ieņēmumi, kā arī 3.1. sadaļā minētie pasākumi.</w:t>
      </w:r>
    </w:p>
    <w:p w14:paraId="39ECF239" w14:textId="77777777" w:rsidR="0003379A" w:rsidRPr="0003379A" w:rsidRDefault="0003379A" w:rsidP="0003379A">
      <w:pPr>
        <w:keepNext/>
        <w:keepLines/>
        <w:spacing w:before="240" w:after="0"/>
        <w:ind w:firstLine="0"/>
        <w:jc w:val="right"/>
        <w:rPr>
          <w:rFonts w:eastAsia="Calibri" w:cs="Times New Roman"/>
          <w:b/>
          <w:i/>
          <w:szCs w:val="24"/>
        </w:rPr>
      </w:pPr>
      <w:r w:rsidRPr="0003379A">
        <w:rPr>
          <w:rFonts w:eastAsia="Calibri" w:cs="Times New Roman"/>
          <w:b/>
          <w:i/>
          <w:szCs w:val="24"/>
        </w:rPr>
        <w:t>3.10. tabula. PVN neto ieņēmumi</w:t>
      </w: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67"/>
        <w:gridCol w:w="851"/>
        <w:gridCol w:w="851"/>
        <w:gridCol w:w="851"/>
        <w:gridCol w:w="852"/>
      </w:tblGrid>
      <w:tr w:rsidR="0003379A" w:rsidRPr="0003379A" w14:paraId="3698C4D4" w14:textId="77777777" w:rsidTr="008E1E6C">
        <w:trPr>
          <w:cantSplit/>
          <w:trHeight w:hRule="exact" w:val="227"/>
          <w:jc w:val="center"/>
        </w:trPr>
        <w:tc>
          <w:tcPr>
            <w:tcW w:w="5670" w:type="dxa"/>
            <w:shd w:val="clear" w:color="auto" w:fill="8EAADB" w:themeFill="accent5" w:themeFillTint="99"/>
            <w:noWrap/>
            <w:tcMar>
              <w:left w:w="28" w:type="dxa"/>
              <w:right w:w="28" w:type="dxa"/>
            </w:tcMar>
            <w:vAlign w:val="center"/>
            <w:hideMark/>
          </w:tcPr>
          <w:p w14:paraId="521534A8"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p>
        </w:tc>
        <w:tc>
          <w:tcPr>
            <w:tcW w:w="851" w:type="dxa"/>
            <w:shd w:val="clear" w:color="auto" w:fill="8EAADB" w:themeFill="accent5" w:themeFillTint="99"/>
            <w:tcMar>
              <w:left w:w="28" w:type="dxa"/>
              <w:right w:w="28" w:type="dxa"/>
            </w:tcMar>
            <w:vAlign w:val="center"/>
          </w:tcPr>
          <w:p w14:paraId="1291FF2E"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2024</w:t>
            </w:r>
          </w:p>
        </w:tc>
        <w:tc>
          <w:tcPr>
            <w:tcW w:w="851" w:type="dxa"/>
            <w:shd w:val="clear" w:color="auto" w:fill="8EAADB" w:themeFill="accent5" w:themeFillTint="99"/>
            <w:tcMar>
              <w:left w:w="28" w:type="dxa"/>
              <w:right w:w="28" w:type="dxa"/>
            </w:tcMar>
            <w:vAlign w:val="center"/>
          </w:tcPr>
          <w:p w14:paraId="05F73BA4"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2025</w:t>
            </w:r>
          </w:p>
        </w:tc>
        <w:tc>
          <w:tcPr>
            <w:tcW w:w="851" w:type="dxa"/>
            <w:shd w:val="clear" w:color="auto" w:fill="8EAADB" w:themeFill="accent5" w:themeFillTint="99"/>
            <w:noWrap/>
            <w:tcMar>
              <w:left w:w="28" w:type="dxa"/>
              <w:right w:w="28" w:type="dxa"/>
            </w:tcMar>
            <w:vAlign w:val="center"/>
            <w:hideMark/>
          </w:tcPr>
          <w:p w14:paraId="78B7B155"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2026</w:t>
            </w:r>
          </w:p>
        </w:tc>
        <w:tc>
          <w:tcPr>
            <w:tcW w:w="852" w:type="dxa"/>
            <w:shd w:val="clear" w:color="auto" w:fill="8EAADB" w:themeFill="accent5" w:themeFillTint="99"/>
            <w:tcMar>
              <w:left w:w="28" w:type="dxa"/>
              <w:right w:w="28" w:type="dxa"/>
            </w:tcMar>
            <w:vAlign w:val="center"/>
          </w:tcPr>
          <w:p w14:paraId="3A1AF0E8"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2027</w:t>
            </w:r>
          </w:p>
        </w:tc>
      </w:tr>
      <w:tr w:rsidR="0003379A" w:rsidRPr="0003379A" w14:paraId="5446461F" w14:textId="77777777" w:rsidTr="00723ACD">
        <w:trPr>
          <w:cantSplit/>
          <w:trHeight w:hRule="exact" w:val="454"/>
          <w:jc w:val="center"/>
        </w:trPr>
        <w:tc>
          <w:tcPr>
            <w:tcW w:w="5670" w:type="dxa"/>
            <w:shd w:val="clear" w:color="auto" w:fill="auto"/>
            <w:tcMar>
              <w:left w:w="28" w:type="dxa"/>
              <w:right w:w="28" w:type="dxa"/>
            </w:tcMar>
            <w:vAlign w:val="center"/>
            <w:hideMark/>
          </w:tcPr>
          <w:p w14:paraId="1DC3DCF9" w14:textId="77777777" w:rsidR="0003379A" w:rsidRPr="0003379A" w:rsidRDefault="0003379A" w:rsidP="0003379A">
            <w:pPr>
              <w:keepNext/>
              <w:keepLines/>
              <w:ind w:firstLine="0"/>
              <w:jc w:val="left"/>
              <w:rPr>
                <w:rFonts w:cs="Times New Roman"/>
                <w:noProof/>
                <w:sz w:val="18"/>
                <w:szCs w:val="18"/>
              </w:rPr>
            </w:pPr>
            <w:r w:rsidRPr="0003379A">
              <w:rPr>
                <w:rFonts w:cs="Times New Roman"/>
                <w:noProof/>
                <w:sz w:val="18"/>
                <w:szCs w:val="18"/>
              </w:rPr>
              <w:t>Saskaņā ar likumprojektu “Par valsts budžetu 2025. gadam un budžeta ietvaru 2025., 2026. un 2027. gadam”, milj.</w:t>
            </w:r>
            <w:r w:rsidRPr="0003379A">
              <w:rPr>
                <w:rFonts w:cs="Times New Roman"/>
                <w:i/>
                <w:noProof/>
                <w:sz w:val="18"/>
                <w:szCs w:val="18"/>
              </w:rPr>
              <w:t> euro</w:t>
            </w:r>
          </w:p>
        </w:tc>
        <w:tc>
          <w:tcPr>
            <w:tcW w:w="851" w:type="dxa"/>
            <w:shd w:val="clear" w:color="auto" w:fill="auto"/>
            <w:noWrap/>
            <w:tcMar>
              <w:left w:w="28" w:type="dxa"/>
              <w:right w:w="28" w:type="dxa"/>
            </w:tcMar>
            <w:vAlign w:val="center"/>
          </w:tcPr>
          <w:p w14:paraId="7E00FBC5" w14:textId="77777777" w:rsidR="0003379A" w:rsidRPr="0003379A" w:rsidRDefault="0003379A" w:rsidP="0003379A">
            <w:pPr>
              <w:keepNext/>
              <w:keepLines/>
              <w:tabs>
                <w:tab w:val="decimal" w:pos="510"/>
              </w:tabs>
              <w:spacing w:after="0"/>
              <w:ind w:firstLine="0"/>
              <w:jc w:val="left"/>
              <w:rPr>
                <w:rFonts w:cs="Times New Roman"/>
                <w:noProof/>
                <w:sz w:val="18"/>
                <w:szCs w:val="18"/>
              </w:rPr>
            </w:pPr>
            <w:r w:rsidRPr="00D20A18">
              <w:rPr>
                <w:rFonts w:cs="Times New Roman"/>
                <w:noProof/>
                <w:sz w:val="18"/>
                <w:szCs w:val="18"/>
              </w:rPr>
              <w:t>3 984,7</w:t>
            </w:r>
            <w:r w:rsidRPr="00D20A18">
              <w:rPr>
                <w:rFonts w:cs="Times New Roman"/>
                <w:noProof/>
                <w:sz w:val="18"/>
                <w:szCs w:val="18"/>
                <w:vertAlign w:val="superscript"/>
              </w:rPr>
              <w:t>1</w:t>
            </w:r>
          </w:p>
        </w:tc>
        <w:tc>
          <w:tcPr>
            <w:tcW w:w="851" w:type="dxa"/>
            <w:shd w:val="clear" w:color="auto" w:fill="auto"/>
            <w:noWrap/>
            <w:tcMar>
              <w:left w:w="28" w:type="dxa"/>
              <w:right w:w="28" w:type="dxa"/>
            </w:tcMar>
            <w:vAlign w:val="center"/>
          </w:tcPr>
          <w:p w14:paraId="06C7A111" w14:textId="50D66216" w:rsidR="0003379A" w:rsidRPr="0003379A" w:rsidRDefault="0003379A" w:rsidP="0003379A">
            <w:pPr>
              <w:keepNext/>
              <w:keepLines/>
              <w:tabs>
                <w:tab w:val="decimal" w:pos="510"/>
              </w:tabs>
              <w:spacing w:after="0"/>
              <w:ind w:firstLine="0"/>
              <w:jc w:val="left"/>
              <w:rPr>
                <w:rFonts w:cs="Times New Roman"/>
                <w:noProof/>
                <w:sz w:val="18"/>
                <w:szCs w:val="18"/>
              </w:rPr>
            </w:pPr>
            <w:r w:rsidRPr="0003379A">
              <w:rPr>
                <w:rFonts w:cs="Times New Roman"/>
                <w:noProof/>
                <w:sz w:val="18"/>
                <w:szCs w:val="18"/>
              </w:rPr>
              <w:t>4 245,5</w:t>
            </w:r>
            <w:r w:rsidR="008826A2" w:rsidRPr="008826A2">
              <w:rPr>
                <w:sz w:val="18"/>
                <w:szCs w:val="18"/>
                <w:vertAlign w:val="superscript"/>
              </w:rPr>
              <w:t>1</w:t>
            </w:r>
          </w:p>
        </w:tc>
        <w:tc>
          <w:tcPr>
            <w:tcW w:w="851" w:type="dxa"/>
            <w:shd w:val="clear" w:color="auto" w:fill="auto"/>
            <w:noWrap/>
            <w:tcMar>
              <w:left w:w="28" w:type="dxa"/>
              <w:right w:w="28" w:type="dxa"/>
            </w:tcMar>
            <w:vAlign w:val="center"/>
          </w:tcPr>
          <w:p w14:paraId="337ABD41" w14:textId="4B7DD496" w:rsidR="0003379A" w:rsidRPr="0003379A" w:rsidRDefault="0003379A" w:rsidP="0003379A">
            <w:pPr>
              <w:keepNext/>
              <w:keepLines/>
              <w:tabs>
                <w:tab w:val="decimal" w:pos="510"/>
              </w:tabs>
              <w:spacing w:after="0"/>
              <w:ind w:firstLine="0"/>
              <w:jc w:val="left"/>
              <w:rPr>
                <w:rFonts w:cs="Times New Roman"/>
                <w:noProof/>
                <w:sz w:val="18"/>
                <w:szCs w:val="18"/>
              </w:rPr>
            </w:pPr>
            <w:r w:rsidRPr="0003379A">
              <w:rPr>
                <w:rFonts w:cs="Times New Roman"/>
                <w:noProof/>
                <w:sz w:val="18"/>
                <w:szCs w:val="18"/>
              </w:rPr>
              <w:t>4 441,4</w:t>
            </w:r>
            <w:r w:rsidR="008826A2" w:rsidRPr="008826A2">
              <w:rPr>
                <w:sz w:val="18"/>
                <w:szCs w:val="18"/>
                <w:vertAlign w:val="superscript"/>
              </w:rPr>
              <w:t>1</w:t>
            </w:r>
          </w:p>
        </w:tc>
        <w:tc>
          <w:tcPr>
            <w:tcW w:w="852" w:type="dxa"/>
            <w:tcMar>
              <w:left w:w="28" w:type="dxa"/>
              <w:right w:w="28" w:type="dxa"/>
            </w:tcMar>
            <w:vAlign w:val="center"/>
          </w:tcPr>
          <w:p w14:paraId="06BB234F" w14:textId="35515C3A" w:rsidR="0003379A" w:rsidRPr="0003379A" w:rsidRDefault="0003379A" w:rsidP="0003379A">
            <w:pPr>
              <w:keepNext/>
              <w:keepLines/>
              <w:tabs>
                <w:tab w:val="decimal" w:pos="510"/>
              </w:tabs>
              <w:spacing w:after="0"/>
              <w:ind w:firstLine="0"/>
              <w:jc w:val="left"/>
              <w:rPr>
                <w:rFonts w:cs="Times New Roman"/>
                <w:noProof/>
                <w:sz w:val="18"/>
                <w:szCs w:val="18"/>
              </w:rPr>
            </w:pPr>
            <w:r w:rsidRPr="0003379A">
              <w:rPr>
                <w:rFonts w:cs="Times New Roman"/>
                <w:noProof/>
                <w:sz w:val="18"/>
                <w:szCs w:val="18"/>
              </w:rPr>
              <w:t>4 634,4</w:t>
            </w:r>
            <w:r w:rsidR="008826A2" w:rsidRPr="008826A2">
              <w:rPr>
                <w:sz w:val="18"/>
                <w:szCs w:val="18"/>
                <w:vertAlign w:val="superscript"/>
              </w:rPr>
              <w:t>1</w:t>
            </w:r>
          </w:p>
        </w:tc>
      </w:tr>
      <w:tr w:rsidR="0003379A" w:rsidRPr="0003379A" w14:paraId="6F5E7FD5" w14:textId="77777777" w:rsidTr="00723ACD">
        <w:trPr>
          <w:cantSplit/>
          <w:trHeight w:hRule="exact" w:val="227"/>
          <w:jc w:val="center"/>
        </w:trPr>
        <w:tc>
          <w:tcPr>
            <w:tcW w:w="5670" w:type="dxa"/>
            <w:shd w:val="clear" w:color="auto" w:fill="auto"/>
            <w:noWrap/>
            <w:tcMar>
              <w:left w:w="28" w:type="dxa"/>
              <w:right w:w="28" w:type="dxa"/>
            </w:tcMar>
            <w:vAlign w:val="center"/>
            <w:hideMark/>
          </w:tcPr>
          <w:p w14:paraId="26FCE47C" w14:textId="77777777" w:rsidR="0003379A" w:rsidRPr="0003379A" w:rsidRDefault="0003379A" w:rsidP="0003379A">
            <w:pPr>
              <w:keepNext/>
              <w:keepLines/>
              <w:ind w:left="425" w:firstLine="0"/>
              <w:jc w:val="left"/>
              <w:rPr>
                <w:rFonts w:cs="Times New Roman"/>
                <w:i/>
                <w:iCs/>
                <w:noProof/>
                <w:sz w:val="18"/>
                <w:szCs w:val="18"/>
              </w:rPr>
            </w:pPr>
            <w:r w:rsidRPr="0003379A">
              <w:rPr>
                <w:rFonts w:cs="Times New Roman"/>
                <w:i/>
                <w:iCs/>
                <w:noProof/>
                <w:sz w:val="18"/>
                <w:szCs w:val="18"/>
              </w:rPr>
              <w:t>pret IKP, %</w:t>
            </w:r>
          </w:p>
        </w:tc>
        <w:tc>
          <w:tcPr>
            <w:tcW w:w="851" w:type="dxa"/>
            <w:shd w:val="clear" w:color="auto" w:fill="auto"/>
            <w:noWrap/>
            <w:tcMar>
              <w:left w:w="28" w:type="dxa"/>
              <w:right w:w="28" w:type="dxa"/>
            </w:tcMar>
          </w:tcPr>
          <w:p w14:paraId="4ED63EFD"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9,5</w:t>
            </w:r>
          </w:p>
        </w:tc>
        <w:tc>
          <w:tcPr>
            <w:tcW w:w="851" w:type="dxa"/>
            <w:shd w:val="clear" w:color="auto" w:fill="auto"/>
            <w:noWrap/>
            <w:tcMar>
              <w:left w:w="28" w:type="dxa"/>
              <w:right w:w="28" w:type="dxa"/>
            </w:tcMar>
          </w:tcPr>
          <w:p w14:paraId="0C3B56DD"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9,6</w:t>
            </w:r>
          </w:p>
        </w:tc>
        <w:tc>
          <w:tcPr>
            <w:tcW w:w="851" w:type="dxa"/>
            <w:shd w:val="clear" w:color="auto" w:fill="auto"/>
            <w:noWrap/>
            <w:tcMar>
              <w:left w:w="28" w:type="dxa"/>
              <w:right w:w="28" w:type="dxa"/>
            </w:tcMar>
          </w:tcPr>
          <w:p w14:paraId="5B8025CA"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9,5</w:t>
            </w:r>
          </w:p>
        </w:tc>
        <w:tc>
          <w:tcPr>
            <w:tcW w:w="852" w:type="dxa"/>
            <w:tcMar>
              <w:left w:w="28" w:type="dxa"/>
              <w:right w:w="28" w:type="dxa"/>
            </w:tcMar>
          </w:tcPr>
          <w:p w14:paraId="5E36977D"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9,4</w:t>
            </w:r>
          </w:p>
        </w:tc>
      </w:tr>
      <w:tr w:rsidR="0003379A" w:rsidRPr="0003379A" w14:paraId="26A0AD4F" w14:textId="77777777" w:rsidTr="00723ACD">
        <w:trPr>
          <w:cantSplit/>
          <w:trHeight w:hRule="exact" w:val="454"/>
          <w:jc w:val="center"/>
        </w:trPr>
        <w:tc>
          <w:tcPr>
            <w:tcW w:w="5670" w:type="dxa"/>
            <w:shd w:val="clear" w:color="auto" w:fill="auto"/>
            <w:tcMar>
              <w:left w:w="28" w:type="dxa"/>
              <w:right w:w="28" w:type="dxa"/>
            </w:tcMar>
            <w:vAlign w:val="center"/>
            <w:hideMark/>
          </w:tcPr>
          <w:p w14:paraId="175AFE06" w14:textId="77777777" w:rsidR="0003379A" w:rsidRPr="0003379A" w:rsidRDefault="0003379A" w:rsidP="0003379A">
            <w:pPr>
              <w:keepNext/>
              <w:keepLines/>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milj.</w:t>
            </w:r>
            <w:r w:rsidRPr="0003379A">
              <w:rPr>
                <w:rFonts w:cs="Times New Roman"/>
                <w:i/>
                <w:noProof/>
                <w:sz w:val="18"/>
                <w:szCs w:val="18"/>
              </w:rPr>
              <w:t> euro</w:t>
            </w:r>
          </w:p>
        </w:tc>
        <w:tc>
          <w:tcPr>
            <w:tcW w:w="851" w:type="dxa"/>
            <w:shd w:val="clear" w:color="auto" w:fill="auto"/>
            <w:noWrap/>
            <w:tcMar>
              <w:left w:w="28" w:type="dxa"/>
              <w:right w:w="28" w:type="dxa"/>
            </w:tcMar>
            <w:vAlign w:val="center"/>
          </w:tcPr>
          <w:p w14:paraId="18CFF889"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-112,0</w:t>
            </w:r>
          </w:p>
        </w:tc>
        <w:tc>
          <w:tcPr>
            <w:tcW w:w="851" w:type="dxa"/>
            <w:shd w:val="clear" w:color="auto" w:fill="auto"/>
            <w:noWrap/>
            <w:tcMar>
              <w:left w:w="28" w:type="dxa"/>
              <w:right w:w="28" w:type="dxa"/>
            </w:tcMar>
            <w:vAlign w:val="center"/>
          </w:tcPr>
          <w:p w14:paraId="7D7E56C3"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-123,8</w:t>
            </w:r>
          </w:p>
        </w:tc>
        <w:tc>
          <w:tcPr>
            <w:tcW w:w="851" w:type="dxa"/>
            <w:shd w:val="clear" w:color="auto" w:fill="auto"/>
            <w:noWrap/>
            <w:tcMar>
              <w:left w:w="28" w:type="dxa"/>
              <w:right w:w="28" w:type="dxa"/>
            </w:tcMar>
            <w:vAlign w:val="center"/>
          </w:tcPr>
          <w:p w14:paraId="72D3837A"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-191,6</w:t>
            </w:r>
          </w:p>
        </w:tc>
        <w:tc>
          <w:tcPr>
            <w:tcW w:w="852" w:type="dxa"/>
            <w:shd w:val="clear" w:color="auto" w:fill="auto"/>
            <w:tcMar>
              <w:left w:w="28" w:type="dxa"/>
              <w:right w:w="28" w:type="dxa"/>
            </w:tcMar>
            <w:vAlign w:val="center"/>
          </w:tcPr>
          <w:p w14:paraId="3767DD47"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w:t>
            </w:r>
          </w:p>
        </w:tc>
      </w:tr>
      <w:tr w:rsidR="0003379A" w:rsidRPr="0003379A" w14:paraId="5EFAAA23" w14:textId="77777777" w:rsidTr="00723ACD">
        <w:trPr>
          <w:cantSplit/>
          <w:trHeight w:hRule="exact" w:val="454"/>
          <w:jc w:val="center"/>
        </w:trPr>
        <w:tc>
          <w:tcPr>
            <w:tcW w:w="5670" w:type="dxa"/>
            <w:shd w:val="clear" w:color="auto" w:fill="auto"/>
            <w:tcMar>
              <w:left w:w="28" w:type="dxa"/>
              <w:right w:w="28" w:type="dxa"/>
            </w:tcMar>
            <w:vAlign w:val="center"/>
            <w:hideMark/>
          </w:tcPr>
          <w:p w14:paraId="7D25723B" w14:textId="77777777" w:rsidR="0003379A" w:rsidRPr="0003379A" w:rsidRDefault="0003379A" w:rsidP="0003379A">
            <w:pPr>
              <w:keepNext/>
              <w:keepLines/>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w:t>
            </w:r>
          </w:p>
        </w:tc>
        <w:tc>
          <w:tcPr>
            <w:tcW w:w="851" w:type="dxa"/>
            <w:shd w:val="clear" w:color="auto" w:fill="auto"/>
            <w:noWrap/>
            <w:tcMar>
              <w:left w:w="28" w:type="dxa"/>
              <w:right w:w="28" w:type="dxa"/>
            </w:tcMar>
            <w:vAlign w:val="center"/>
          </w:tcPr>
          <w:p w14:paraId="209C4D07"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-2,7</w:t>
            </w:r>
          </w:p>
        </w:tc>
        <w:tc>
          <w:tcPr>
            <w:tcW w:w="851" w:type="dxa"/>
            <w:shd w:val="clear" w:color="auto" w:fill="auto"/>
            <w:noWrap/>
            <w:tcMar>
              <w:left w:w="28" w:type="dxa"/>
              <w:right w:w="28" w:type="dxa"/>
            </w:tcMar>
            <w:vAlign w:val="center"/>
          </w:tcPr>
          <w:p w14:paraId="2743C84E"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-2,8</w:t>
            </w:r>
          </w:p>
        </w:tc>
        <w:tc>
          <w:tcPr>
            <w:tcW w:w="851" w:type="dxa"/>
            <w:shd w:val="clear" w:color="auto" w:fill="auto"/>
            <w:noWrap/>
            <w:tcMar>
              <w:left w:w="28" w:type="dxa"/>
              <w:right w:w="28" w:type="dxa"/>
            </w:tcMar>
            <w:vAlign w:val="center"/>
          </w:tcPr>
          <w:p w14:paraId="6E682C1A"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-4,1</w:t>
            </w:r>
          </w:p>
        </w:tc>
        <w:tc>
          <w:tcPr>
            <w:tcW w:w="852" w:type="dxa"/>
            <w:shd w:val="clear" w:color="auto" w:fill="auto"/>
            <w:tcMar>
              <w:left w:w="28" w:type="dxa"/>
              <w:right w:w="28" w:type="dxa"/>
            </w:tcMar>
            <w:vAlign w:val="center"/>
          </w:tcPr>
          <w:p w14:paraId="2D70E47F"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w:t>
            </w:r>
          </w:p>
        </w:tc>
      </w:tr>
    </w:tbl>
    <w:p w14:paraId="515DDDED" w14:textId="77777777" w:rsidR="0003379A" w:rsidRPr="0003379A" w:rsidRDefault="0003379A" w:rsidP="0003379A">
      <w:pPr>
        <w:spacing w:after="0"/>
        <w:ind w:left="425" w:firstLine="0"/>
        <w:rPr>
          <w:rFonts w:eastAsia="Calibri" w:cs="Times New Roman"/>
          <w:sz w:val="18"/>
          <w:szCs w:val="18"/>
          <w:lang w:eastAsia="en-US"/>
        </w:rPr>
      </w:pPr>
      <w:r w:rsidRPr="0003379A">
        <w:rPr>
          <w:rFonts w:eastAsia="Calibri" w:cs="Times New Roman"/>
          <w:sz w:val="18"/>
          <w:szCs w:val="18"/>
          <w:vertAlign w:val="superscript"/>
          <w:lang w:eastAsia="en-US"/>
        </w:rPr>
        <w:t>1</w:t>
      </w:r>
      <w:r w:rsidRPr="0003379A">
        <w:rPr>
          <w:rFonts w:eastAsia="Calibri" w:cs="Times New Roman"/>
          <w:sz w:val="18"/>
          <w:szCs w:val="18"/>
          <w:lang w:eastAsia="en-US"/>
        </w:rPr>
        <w:t> Prognoze</w:t>
      </w:r>
    </w:p>
    <w:p w14:paraId="1917A571" w14:textId="77777777" w:rsidR="0003379A" w:rsidRPr="0003379A" w:rsidRDefault="0003379A" w:rsidP="0003379A">
      <w:pPr>
        <w:keepNext/>
        <w:keepLines/>
        <w:spacing w:before="240" w:after="240"/>
        <w:ind w:firstLine="0"/>
        <w:jc w:val="center"/>
        <w:outlineLvl w:val="3"/>
        <w:rPr>
          <w:rFonts w:eastAsia="Times New Roman" w:cs="Times New Roman"/>
          <w:b/>
          <w:sz w:val="28"/>
          <w:lang w:eastAsia="en-US"/>
        </w:rPr>
      </w:pPr>
      <w:r w:rsidRPr="0003379A">
        <w:rPr>
          <w:rFonts w:eastAsia="Times New Roman" w:cs="Times New Roman"/>
          <w:b/>
          <w:sz w:val="28"/>
          <w:lang w:eastAsia="en-US"/>
        </w:rPr>
        <w:t>Akcīzes nodoklis</w:t>
      </w:r>
      <w:bookmarkEnd w:id="85"/>
    </w:p>
    <w:p w14:paraId="3B329972" w14:textId="26CA5271" w:rsidR="0003379A" w:rsidRPr="0003379A" w:rsidRDefault="0003379A" w:rsidP="0003379A">
      <w:pPr>
        <w:rPr>
          <w:rFonts w:eastAsia="Calibri" w:cs="Times New Roman"/>
          <w:szCs w:val="24"/>
        </w:rPr>
      </w:pPr>
      <w:bookmarkStart w:id="87" w:name="_Toc150840178"/>
      <w:bookmarkStart w:id="88" w:name="_Toc150941368"/>
      <w:bookmarkStart w:id="89" w:name="_Toc150840180"/>
      <w:bookmarkStart w:id="90" w:name="_Toc150941370"/>
      <w:bookmarkEnd w:id="86"/>
      <w:r w:rsidRPr="0003379A">
        <w:rPr>
          <w:rFonts w:eastAsia="Calibri" w:cs="Times New Roman"/>
          <w:szCs w:val="24"/>
        </w:rPr>
        <w:t>2024. gada 1. pusgadā kopējie akcīzes nodokļa ieņēmumi bija 578,3 milj. </w:t>
      </w:r>
      <w:proofErr w:type="spellStart"/>
      <w:r w:rsidRPr="0003379A">
        <w:rPr>
          <w:rFonts w:eastAsia="Calibri" w:cs="Times New Roman"/>
          <w:i/>
          <w:szCs w:val="24"/>
        </w:rPr>
        <w:t>euro</w:t>
      </w:r>
      <w:proofErr w:type="spellEnd"/>
      <w:r w:rsidRPr="0003379A">
        <w:rPr>
          <w:rFonts w:eastAsia="Calibri" w:cs="Times New Roman"/>
          <w:szCs w:val="24"/>
        </w:rPr>
        <w:t>. Salīdzinājumā ar 2023. gada 1. pusgadu akcīzes nodokļa ieņēmumi palielinājās par 5,8 milj. </w:t>
      </w:r>
      <w:proofErr w:type="spellStart"/>
      <w:r w:rsidRPr="0003379A">
        <w:rPr>
          <w:rFonts w:eastAsia="Calibri" w:cs="Times New Roman"/>
          <w:i/>
          <w:szCs w:val="24"/>
        </w:rPr>
        <w:t>euro</w:t>
      </w:r>
      <w:proofErr w:type="spellEnd"/>
      <w:r w:rsidRPr="0003379A">
        <w:rPr>
          <w:rFonts w:eastAsia="Calibri" w:cs="Times New Roman"/>
          <w:szCs w:val="24"/>
        </w:rPr>
        <w:t xml:space="preserve"> jeb 1,0%, savukārt, salīdzinot ar plānoto, tika iekasēts par 21,9 milj. </w:t>
      </w:r>
      <w:proofErr w:type="spellStart"/>
      <w:r w:rsidRPr="0003379A">
        <w:rPr>
          <w:rFonts w:eastAsia="Calibri" w:cs="Times New Roman"/>
          <w:i/>
          <w:szCs w:val="24"/>
        </w:rPr>
        <w:t>euro</w:t>
      </w:r>
      <w:proofErr w:type="spellEnd"/>
      <w:r w:rsidRPr="0003379A">
        <w:rPr>
          <w:rFonts w:eastAsia="Calibri" w:cs="Times New Roman"/>
          <w:szCs w:val="24"/>
        </w:rPr>
        <w:t xml:space="preserve"> jeb 3,6% mazāk, ko noteica akcīzes nodokļa plāna neizpilde naftas produktiem (- 20,5 milj. </w:t>
      </w:r>
      <w:proofErr w:type="spellStart"/>
      <w:r w:rsidRPr="0003379A">
        <w:rPr>
          <w:rFonts w:eastAsia="Calibri" w:cs="Times New Roman"/>
          <w:i/>
          <w:szCs w:val="24"/>
        </w:rPr>
        <w:t>euro</w:t>
      </w:r>
      <w:proofErr w:type="spellEnd"/>
      <w:r w:rsidRPr="0003379A">
        <w:rPr>
          <w:rFonts w:eastAsia="Calibri" w:cs="Times New Roman"/>
          <w:szCs w:val="24"/>
        </w:rPr>
        <w:t xml:space="preserve"> jeb -6,8%) un alkoholiskajiem dzērieniem (-3,0 milj. </w:t>
      </w:r>
      <w:proofErr w:type="spellStart"/>
      <w:r w:rsidRPr="0003379A">
        <w:rPr>
          <w:rFonts w:eastAsia="Calibri" w:cs="Times New Roman"/>
          <w:i/>
          <w:szCs w:val="24"/>
        </w:rPr>
        <w:t>euro</w:t>
      </w:r>
      <w:proofErr w:type="spellEnd"/>
      <w:r w:rsidRPr="0003379A">
        <w:rPr>
          <w:rFonts w:eastAsia="Calibri" w:cs="Times New Roman"/>
          <w:szCs w:val="24"/>
        </w:rPr>
        <w:t xml:space="preserve"> jeb -2,7 %).</w:t>
      </w:r>
    </w:p>
    <w:p w14:paraId="1F358980" w14:textId="77777777" w:rsidR="0003379A" w:rsidRPr="0003379A" w:rsidRDefault="0003379A" w:rsidP="0003379A">
      <w:pPr>
        <w:rPr>
          <w:rFonts w:eastAsia="Calibri" w:cs="Times New Roman"/>
          <w:szCs w:val="24"/>
        </w:rPr>
      </w:pPr>
      <w:r w:rsidRPr="0003379A">
        <w:rPr>
          <w:rFonts w:eastAsia="Calibri" w:cs="Times New Roman"/>
          <w:szCs w:val="24"/>
        </w:rPr>
        <w:t xml:space="preserve">Sagatavojot 2025.–2027. gada akcīzes nodokļa ieņēmumu prognozes, tika ņemts vērā prognozētais IKP, darba samaksas un privātā patēriņa pieauguma temps, sagaidāmā 2024. gada izpilde, plānotie grozījumi normatīvajos aktos (skat. 3.1. sadaļu), piešķirtie termiņu </w:t>
      </w:r>
      <w:r w:rsidRPr="0003379A">
        <w:rPr>
          <w:rFonts w:eastAsia="Calibri" w:cs="Times New Roman"/>
          <w:szCs w:val="24"/>
        </w:rPr>
        <w:lastRenderedPageBreak/>
        <w:t>pagarinājumi, kā arī akcīzes nodokļa politika Baltijas valstīs un prognozētā akcīzes preču patēriņa dinamika.</w:t>
      </w:r>
    </w:p>
    <w:p w14:paraId="63E8BA3B" w14:textId="77777777" w:rsidR="0003379A" w:rsidRPr="0003379A" w:rsidRDefault="0003379A" w:rsidP="0003379A">
      <w:pPr>
        <w:rPr>
          <w:rFonts w:eastAsia="Calibri" w:cs="Times New Roman"/>
          <w:szCs w:val="24"/>
        </w:rPr>
      </w:pPr>
      <w:r w:rsidRPr="0003379A">
        <w:rPr>
          <w:rFonts w:eastAsia="Calibri" w:cs="Times New Roman"/>
          <w:szCs w:val="24"/>
        </w:rPr>
        <w:t>Saskaņā ar likumprojektu “Par valsts budžetu 2025. gadam un budžeta ietvaru 2025., 2026. un 2027. gadam” kopējie akcīzes nodokļa ieņēmumi 2025. gadā tiek plānoti 1 314,0 milj. </w:t>
      </w:r>
      <w:proofErr w:type="spellStart"/>
      <w:r w:rsidRPr="0003379A">
        <w:rPr>
          <w:rFonts w:eastAsia="Calibri" w:cs="Times New Roman"/>
          <w:i/>
          <w:szCs w:val="24"/>
        </w:rPr>
        <w:t>euro</w:t>
      </w:r>
      <w:proofErr w:type="spellEnd"/>
      <w:r w:rsidRPr="0003379A">
        <w:rPr>
          <w:rFonts w:eastAsia="Calibri" w:cs="Times New Roman"/>
          <w:szCs w:val="24"/>
        </w:rPr>
        <w:t>, 2026. gadā 1 407,4 milj. </w:t>
      </w:r>
      <w:proofErr w:type="spellStart"/>
      <w:r w:rsidRPr="0003379A">
        <w:rPr>
          <w:rFonts w:eastAsia="Calibri" w:cs="Times New Roman"/>
          <w:i/>
          <w:szCs w:val="24"/>
        </w:rPr>
        <w:t>euro</w:t>
      </w:r>
      <w:proofErr w:type="spellEnd"/>
      <w:r w:rsidRPr="0003379A">
        <w:rPr>
          <w:rFonts w:eastAsia="Calibri" w:cs="Times New Roman"/>
          <w:szCs w:val="24"/>
        </w:rPr>
        <w:t>, bet 2027. gadā 1 423,1 milj. </w:t>
      </w:r>
      <w:proofErr w:type="spellStart"/>
      <w:r w:rsidRPr="0003379A">
        <w:rPr>
          <w:rFonts w:eastAsia="Calibri" w:cs="Times New Roman"/>
          <w:i/>
          <w:szCs w:val="24"/>
        </w:rPr>
        <w:t>euro</w:t>
      </w:r>
      <w:proofErr w:type="spellEnd"/>
      <w:r w:rsidRPr="0003379A">
        <w:rPr>
          <w:rFonts w:eastAsia="Calibri" w:cs="Times New Roman"/>
          <w:szCs w:val="24"/>
        </w:rPr>
        <w:t xml:space="preserve"> apmērā (skat. 3.11. tabulu).</w:t>
      </w:r>
    </w:p>
    <w:p w14:paraId="723D5541" w14:textId="77777777" w:rsidR="0003379A" w:rsidRPr="0003379A" w:rsidRDefault="0003379A" w:rsidP="0003379A">
      <w:pPr>
        <w:keepNext/>
        <w:keepLines/>
        <w:spacing w:before="240" w:after="0"/>
        <w:ind w:firstLine="0"/>
        <w:jc w:val="right"/>
        <w:rPr>
          <w:rFonts w:eastAsia="Calibri" w:cs="Times New Roman"/>
          <w:b/>
          <w:i/>
          <w:szCs w:val="24"/>
        </w:rPr>
      </w:pPr>
      <w:bookmarkStart w:id="91" w:name="_Hlk178865425"/>
      <w:r w:rsidRPr="0003379A">
        <w:rPr>
          <w:rFonts w:eastAsia="Calibri" w:cs="Times New Roman"/>
          <w:b/>
          <w:i/>
          <w:szCs w:val="24"/>
        </w:rPr>
        <w:t>3.11. tabula. Akcīzes nodokļa ieņēmumi</w:t>
      </w:r>
    </w:p>
    <w:bookmarkEnd w:id="91"/>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75"/>
        <w:gridCol w:w="976"/>
        <w:gridCol w:w="910"/>
        <w:gridCol w:w="1205"/>
        <w:gridCol w:w="890"/>
      </w:tblGrid>
      <w:tr w:rsidR="0003379A" w:rsidRPr="0003379A" w14:paraId="468B4DE4" w14:textId="77777777" w:rsidTr="00723ACD">
        <w:trPr>
          <w:cantSplit/>
          <w:trHeight w:hRule="exact" w:val="227"/>
          <w:jc w:val="center"/>
        </w:trPr>
        <w:tc>
          <w:tcPr>
            <w:tcW w:w="2776" w:type="pct"/>
            <w:shd w:val="clear" w:color="auto" w:fill="8EAADB"/>
            <w:vAlign w:val="center"/>
          </w:tcPr>
          <w:p w14:paraId="35FC8710"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p>
        </w:tc>
        <w:tc>
          <w:tcPr>
            <w:tcW w:w="545" w:type="pct"/>
            <w:shd w:val="clear" w:color="auto" w:fill="8EAADB"/>
            <w:vAlign w:val="center"/>
          </w:tcPr>
          <w:p w14:paraId="33D652BF"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2024</w:t>
            </w:r>
          </w:p>
        </w:tc>
        <w:tc>
          <w:tcPr>
            <w:tcW w:w="508" w:type="pct"/>
            <w:shd w:val="clear" w:color="auto" w:fill="8EAADB"/>
            <w:vAlign w:val="center"/>
          </w:tcPr>
          <w:p w14:paraId="40312C5F"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2025</w:t>
            </w:r>
          </w:p>
        </w:tc>
        <w:tc>
          <w:tcPr>
            <w:tcW w:w="673" w:type="pct"/>
            <w:shd w:val="clear" w:color="auto" w:fill="8EAADB"/>
            <w:vAlign w:val="center"/>
          </w:tcPr>
          <w:p w14:paraId="39802130"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2026</w:t>
            </w:r>
          </w:p>
        </w:tc>
        <w:tc>
          <w:tcPr>
            <w:tcW w:w="497" w:type="pct"/>
            <w:shd w:val="clear" w:color="auto" w:fill="8EAADB"/>
            <w:vAlign w:val="center"/>
          </w:tcPr>
          <w:p w14:paraId="0385FEC4"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2027</w:t>
            </w:r>
          </w:p>
        </w:tc>
      </w:tr>
      <w:tr w:rsidR="0003379A" w:rsidRPr="0003379A" w14:paraId="4638DADE" w14:textId="77777777" w:rsidTr="00723ACD">
        <w:trPr>
          <w:cantSplit/>
          <w:trHeight w:hRule="exact" w:val="454"/>
          <w:jc w:val="center"/>
        </w:trPr>
        <w:tc>
          <w:tcPr>
            <w:tcW w:w="2776" w:type="pct"/>
            <w:vAlign w:val="center"/>
          </w:tcPr>
          <w:p w14:paraId="6937EF81" w14:textId="77777777" w:rsidR="0003379A" w:rsidRPr="0003379A" w:rsidRDefault="0003379A" w:rsidP="0003379A">
            <w:pPr>
              <w:keepNext/>
              <w:keepLines/>
              <w:spacing w:after="0"/>
              <w:ind w:firstLine="0"/>
              <w:jc w:val="left"/>
              <w:rPr>
                <w:rFonts w:cs="Times New Roman"/>
                <w:i/>
                <w:noProof/>
                <w:sz w:val="18"/>
                <w:szCs w:val="18"/>
              </w:rPr>
            </w:pPr>
            <w:r w:rsidRPr="0003379A">
              <w:rPr>
                <w:rFonts w:cs="Times New Roman"/>
                <w:noProof/>
                <w:sz w:val="18"/>
                <w:szCs w:val="18"/>
              </w:rPr>
              <w:t>Saskaņā ar likumprojektu “Par valsts budžetu 2025. gadam un budžeta ietvaru 2025., 2026. un 2027. gadam”, milj.</w:t>
            </w:r>
            <w:r w:rsidRPr="0003379A">
              <w:rPr>
                <w:rFonts w:cs="Times New Roman"/>
                <w:i/>
                <w:noProof/>
                <w:sz w:val="18"/>
                <w:szCs w:val="18"/>
              </w:rPr>
              <w:t> euro</w:t>
            </w:r>
          </w:p>
        </w:tc>
        <w:tc>
          <w:tcPr>
            <w:tcW w:w="545" w:type="pct"/>
            <w:vAlign w:val="center"/>
          </w:tcPr>
          <w:p w14:paraId="21EC133D" w14:textId="77777777" w:rsidR="0003379A" w:rsidRPr="0003379A" w:rsidRDefault="0003379A" w:rsidP="0003379A">
            <w:pPr>
              <w:keepNext/>
              <w:keepLines/>
              <w:spacing w:after="0"/>
              <w:ind w:firstLine="0"/>
              <w:jc w:val="center"/>
              <w:rPr>
                <w:rFonts w:cs="Times New Roman"/>
                <w:noProof/>
                <w:sz w:val="18"/>
                <w:szCs w:val="18"/>
              </w:rPr>
            </w:pPr>
            <w:r w:rsidRPr="0003379A">
              <w:rPr>
                <w:rFonts w:cs="Times New Roman"/>
                <w:noProof/>
                <w:sz w:val="18"/>
                <w:szCs w:val="18"/>
              </w:rPr>
              <w:t>1 207,7</w:t>
            </w:r>
            <w:r w:rsidRPr="0003379A">
              <w:rPr>
                <w:rFonts w:cs="Times New Roman"/>
                <w:noProof/>
                <w:sz w:val="18"/>
                <w:szCs w:val="18"/>
                <w:vertAlign w:val="superscript"/>
              </w:rPr>
              <w:t>1</w:t>
            </w:r>
          </w:p>
        </w:tc>
        <w:tc>
          <w:tcPr>
            <w:tcW w:w="508" w:type="pct"/>
            <w:vAlign w:val="center"/>
          </w:tcPr>
          <w:p w14:paraId="78AAC9CC" w14:textId="1DBF4906" w:rsidR="0003379A" w:rsidRPr="0003379A" w:rsidRDefault="0003379A" w:rsidP="0003379A">
            <w:pPr>
              <w:keepNext/>
              <w:keepLines/>
              <w:spacing w:after="0"/>
              <w:ind w:firstLine="0"/>
              <w:jc w:val="center"/>
              <w:rPr>
                <w:rFonts w:cs="Times New Roman"/>
                <w:noProof/>
                <w:sz w:val="18"/>
                <w:szCs w:val="18"/>
              </w:rPr>
            </w:pPr>
            <w:r w:rsidRPr="0003379A">
              <w:rPr>
                <w:rFonts w:cs="Times New Roman"/>
                <w:noProof/>
                <w:sz w:val="18"/>
                <w:szCs w:val="18"/>
              </w:rPr>
              <w:t>1 314,0</w:t>
            </w:r>
            <w:r w:rsidR="00264454" w:rsidRPr="008826A2">
              <w:rPr>
                <w:sz w:val="18"/>
                <w:szCs w:val="18"/>
                <w:vertAlign w:val="superscript"/>
              </w:rPr>
              <w:t>1</w:t>
            </w:r>
          </w:p>
        </w:tc>
        <w:tc>
          <w:tcPr>
            <w:tcW w:w="673" w:type="pct"/>
            <w:vAlign w:val="center"/>
          </w:tcPr>
          <w:p w14:paraId="4B0C919E" w14:textId="4E611B22" w:rsidR="0003379A" w:rsidRPr="0003379A" w:rsidRDefault="0003379A" w:rsidP="0003379A">
            <w:pPr>
              <w:keepNext/>
              <w:keepLines/>
              <w:spacing w:after="0"/>
              <w:ind w:firstLine="0"/>
              <w:jc w:val="center"/>
              <w:rPr>
                <w:rFonts w:cs="Times New Roman"/>
                <w:noProof/>
                <w:sz w:val="18"/>
                <w:szCs w:val="18"/>
              </w:rPr>
            </w:pPr>
            <w:r w:rsidRPr="0003379A">
              <w:rPr>
                <w:rFonts w:cs="Times New Roman"/>
                <w:noProof/>
                <w:sz w:val="18"/>
                <w:szCs w:val="18"/>
              </w:rPr>
              <w:t>1 407,4</w:t>
            </w:r>
            <w:r w:rsidR="00264454" w:rsidRPr="008826A2">
              <w:rPr>
                <w:sz w:val="18"/>
                <w:szCs w:val="18"/>
                <w:vertAlign w:val="superscript"/>
              </w:rPr>
              <w:t>1</w:t>
            </w:r>
          </w:p>
        </w:tc>
        <w:tc>
          <w:tcPr>
            <w:tcW w:w="497" w:type="pct"/>
            <w:vAlign w:val="center"/>
          </w:tcPr>
          <w:p w14:paraId="3C3B33A3" w14:textId="7E5ACAC7" w:rsidR="0003379A" w:rsidRPr="0003379A" w:rsidRDefault="0003379A" w:rsidP="0003379A">
            <w:pPr>
              <w:keepNext/>
              <w:keepLines/>
              <w:spacing w:after="0"/>
              <w:ind w:firstLine="0"/>
              <w:jc w:val="center"/>
              <w:rPr>
                <w:rFonts w:cs="Times New Roman"/>
                <w:noProof/>
                <w:sz w:val="18"/>
                <w:szCs w:val="18"/>
              </w:rPr>
            </w:pPr>
            <w:r w:rsidRPr="0003379A">
              <w:rPr>
                <w:rFonts w:cs="Times New Roman"/>
                <w:noProof/>
                <w:sz w:val="18"/>
                <w:szCs w:val="18"/>
              </w:rPr>
              <w:t>1 423,1</w:t>
            </w:r>
            <w:r w:rsidR="00264454" w:rsidRPr="008826A2">
              <w:rPr>
                <w:sz w:val="18"/>
                <w:szCs w:val="18"/>
                <w:vertAlign w:val="superscript"/>
              </w:rPr>
              <w:t>1</w:t>
            </w:r>
          </w:p>
        </w:tc>
      </w:tr>
      <w:tr w:rsidR="0003379A" w:rsidRPr="0003379A" w14:paraId="1AECE207" w14:textId="77777777" w:rsidTr="00723ACD">
        <w:trPr>
          <w:cantSplit/>
          <w:trHeight w:hRule="exact" w:val="227"/>
          <w:jc w:val="center"/>
        </w:trPr>
        <w:tc>
          <w:tcPr>
            <w:tcW w:w="2776" w:type="pct"/>
            <w:vAlign w:val="center"/>
          </w:tcPr>
          <w:p w14:paraId="0E314AA5" w14:textId="77777777" w:rsidR="0003379A" w:rsidRPr="0003379A" w:rsidRDefault="0003379A" w:rsidP="0003379A">
            <w:pPr>
              <w:keepNext/>
              <w:keepLines/>
              <w:spacing w:after="0"/>
              <w:ind w:firstLine="0"/>
              <w:jc w:val="left"/>
              <w:rPr>
                <w:rFonts w:cs="Times New Roman"/>
                <w:i/>
                <w:iCs/>
                <w:noProof/>
                <w:sz w:val="18"/>
                <w:szCs w:val="18"/>
              </w:rPr>
            </w:pPr>
            <w:r w:rsidRPr="0003379A">
              <w:rPr>
                <w:rFonts w:cs="Times New Roman"/>
                <w:i/>
                <w:iCs/>
                <w:noProof/>
                <w:sz w:val="18"/>
                <w:szCs w:val="18"/>
              </w:rPr>
              <w:t>pret IKP, %</w:t>
            </w:r>
          </w:p>
        </w:tc>
        <w:tc>
          <w:tcPr>
            <w:tcW w:w="545" w:type="pct"/>
            <w:tcBorders>
              <w:top w:val="single" w:sz="4" w:space="0" w:color="auto"/>
              <w:left w:val="single" w:sz="4" w:space="0" w:color="auto"/>
              <w:bottom w:val="single" w:sz="4" w:space="0" w:color="auto"/>
              <w:right w:val="single" w:sz="4" w:space="0" w:color="auto"/>
            </w:tcBorders>
            <w:shd w:val="clear" w:color="auto" w:fill="auto"/>
          </w:tcPr>
          <w:p w14:paraId="1409672C"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2,9</w:t>
            </w:r>
          </w:p>
        </w:tc>
        <w:tc>
          <w:tcPr>
            <w:tcW w:w="508" w:type="pct"/>
            <w:tcBorders>
              <w:top w:val="single" w:sz="4" w:space="0" w:color="auto"/>
              <w:left w:val="nil"/>
              <w:bottom w:val="single" w:sz="4" w:space="0" w:color="auto"/>
              <w:right w:val="single" w:sz="4" w:space="0" w:color="auto"/>
            </w:tcBorders>
            <w:shd w:val="clear" w:color="auto" w:fill="auto"/>
          </w:tcPr>
          <w:p w14:paraId="47C7C48C"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3,0</w:t>
            </w:r>
          </w:p>
        </w:tc>
        <w:tc>
          <w:tcPr>
            <w:tcW w:w="673" w:type="pct"/>
            <w:tcBorders>
              <w:top w:val="single" w:sz="4" w:space="0" w:color="auto"/>
              <w:left w:val="nil"/>
              <w:bottom w:val="single" w:sz="4" w:space="0" w:color="auto"/>
              <w:right w:val="single" w:sz="4" w:space="0" w:color="auto"/>
            </w:tcBorders>
            <w:shd w:val="clear" w:color="auto" w:fill="auto"/>
          </w:tcPr>
          <w:p w14:paraId="55CC063A"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3,0</w:t>
            </w:r>
          </w:p>
        </w:tc>
        <w:tc>
          <w:tcPr>
            <w:tcW w:w="497" w:type="pct"/>
            <w:tcBorders>
              <w:top w:val="single" w:sz="4" w:space="0" w:color="auto"/>
              <w:left w:val="nil"/>
              <w:bottom w:val="single" w:sz="4" w:space="0" w:color="auto"/>
              <w:right w:val="single" w:sz="4" w:space="0" w:color="auto"/>
            </w:tcBorders>
            <w:shd w:val="clear" w:color="auto" w:fill="auto"/>
          </w:tcPr>
          <w:p w14:paraId="0F17B0F8"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2,9</w:t>
            </w:r>
          </w:p>
        </w:tc>
      </w:tr>
      <w:tr w:rsidR="0003379A" w:rsidRPr="0003379A" w14:paraId="19F4A5AC" w14:textId="77777777" w:rsidTr="00723ACD">
        <w:trPr>
          <w:cantSplit/>
          <w:trHeight w:hRule="exact" w:val="454"/>
          <w:jc w:val="center"/>
        </w:trPr>
        <w:tc>
          <w:tcPr>
            <w:tcW w:w="2776" w:type="pct"/>
            <w:vAlign w:val="center"/>
          </w:tcPr>
          <w:p w14:paraId="0CA7E869" w14:textId="1844DA84"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w:t>
            </w:r>
            <w:r w:rsidR="00A82E56">
              <w:rPr>
                <w:rFonts w:cs="Times New Roman"/>
                <w:noProof/>
                <w:sz w:val="18"/>
                <w:szCs w:val="18"/>
              </w:rPr>
              <w:t>4</w:t>
            </w:r>
            <w:r w:rsidRPr="0003379A">
              <w:rPr>
                <w:rFonts w:cs="Times New Roman"/>
                <w:noProof/>
                <w:sz w:val="18"/>
                <w:szCs w:val="18"/>
              </w:rPr>
              <w:t>., 202</w:t>
            </w:r>
            <w:r w:rsidR="00A82E56">
              <w:rPr>
                <w:rFonts w:cs="Times New Roman"/>
                <w:noProof/>
                <w:sz w:val="18"/>
                <w:szCs w:val="18"/>
              </w:rPr>
              <w:t>5</w:t>
            </w:r>
            <w:r w:rsidRPr="0003379A">
              <w:rPr>
                <w:rFonts w:cs="Times New Roman"/>
                <w:noProof/>
                <w:sz w:val="18"/>
                <w:szCs w:val="18"/>
              </w:rPr>
              <w:t>. un 202</w:t>
            </w:r>
            <w:r w:rsidR="00A82E56">
              <w:rPr>
                <w:rFonts w:cs="Times New Roman"/>
                <w:noProof/>
                <w:sz w:val="18"/>
                <w:szCs w:val="18"/>
              </w:rPr>
              <w:t>6</w:t>
            </w:r>
            <w:r w:rsidRPr="0003379A">
              <w:rPr>
                <w:rFonts w:cs="Times New Roman"/>
                <w:noProof/>
                <w:sz w:val="18"/>
                <w:szCs w:val="18"/>
              </w:rPr>
              <w:t>. gadam”, milj. </w:t>
            </w:r>
            <w:r w:rsidRPr="0003379A">
              <w:rPr>
                <w:rFonts w:cs="Times New Roman"/>
                <w:i/>
                <w:iCs/>
                <w:noProof/>
                <w:sz w:val="18"/>
                <w:szCs w:val="18"/>
              </w:rPr>
              <w:t>euro</w:t>
            </w:r>
          </w:p>
        </w:tc>
        <w:tc>
          <w:tcPr>
            <w:tcW w:w="545" w:type="pct"/>
          </w:tcPr>
          <w:p w14:paraId="208BAAA9"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-47,3</w:t>
            </w:r>
          </w:p>
        </w:tc>
        <w:tc>
          <w:tcPr>
            <w:tcW w:w="508" w:type="pct"/>
          </w:tcPr>
          <w:p w14:paraId="291ED6CF"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-10,4</w:t>
            </w:r>
          </w:p>
        </w:tc>
        <w:tc>
          <w:tcPr>
            <w:tcW w:w="673" w:type="pct"/>
          </w:tcPr>
          <w:p w14:paraId="1F238CA2"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+11,3</w:t>
            </w:r>
          </w:p>
        </w:tc>
        <w:tc>
          <w:tcPr>
            <w:tcW w:w="497" w:type="pct"/>
          </w:tcPr>
          <w:p w14:paraId="31D6D6A1"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w:t>
            </w:r>
          </w:p>
        </w:tc>
      </w:tr>
      <w:tr w:rsidR="0003379A" w:rsidRPr="0003379A" w14:paraId="06F261FE" w14:textId="77777777" w:rsidTr="00723ACD">
        <w:trPr>
          <w:cantSplit/>
          <w:trHeight w:hRule="exact" w:val="454"/>
          <w:jc w:val="center"/>
        </w:trPr>
        <w:tc>
          <w:tcPr>
            <w:tcW w:w="2776" w:type="pct"/>
            <w:vAlign w:val="center"/>
          </w:tcPr>
          <w:p w14:paraId="59848063"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w:t>
            </w:r>
          </w:p>
        </w:tc>
        <w:tc>
          <w:tcPr>
            <w:tcW w:w="545" w:type="pct"/>
          </w:tcPr>
          <w:p w14:paraId="4B3E4C0D"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-3,8</w:t>
            </w:r>
          </w:p>
        </w:tc>
        <w:tc>
          <w:tcPr>
            <w:tcW w:w="508" w:type="pct"/>
          </w:tcPr>
          <w:p w14:paraId="2FF872C1"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-0,8</w:t>
            </w:r>
          </w:p>
        </w:tc>
        <w:tc>
          <w:tcPr>
            <w:tcW w:w="673" w:type="pct"/>
          </w:tcPr>
          <w:p w14:paraId="69571C65"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+0,8</w:t>
            </w:r>
          </w:p>
        </w:tc>
        <w:tc>
          <w:tcPr>
            <w:tcW w:w="497" w:type="pct"/>
          </w:tcPr>
          <w:p w14:paraId="4DE93711" w14:textId="77777777" w:rsidR="0003379A" w:rsidRPr="0003379A" w:rsidRDefault="0003379A" w:rsidP="0003379A">
            <w:pPr>
              <w:keepNext/>
              <w:keepLines/>
              <w:spacing w:after="0"/>
              <w:ind w:firstLine="0"/>
              <w:jc w:val="right"/>
              <w:rPr>
                <w:rFonts w:cs="Times New Roman"/>
                <w:i/>
                <w:iCs/>
                <w:noProof/>
                <w:sz w:val="18"/>
                <w:szCs w:val="18"/>
              </w:rPr>
            </w:pPr>
            <w:r w:rsidRPr="0003379A">
              <w:rPr>
                <w:rFonts w:cs="Times New Roman"/>
                <w:i/>
                <w:iCs/>
                <w:noProof/>
                <w:sz w:val="18"/>
                <w:szCs w:val="18"/>
              </w:rPr>
              <w:t>—</w:t>
            </w:r>
          </w:p>
        </w:tc>
      </w:tr>
    </w:tbl>
    <w:p w14:paraId="1BA60672" w14:textId="77777777" w:rsidR="0003379A" w:rsidRPr="0003379A" w:rsidRDefault="0003379A" w:rsidP="0003379A">
      <w:pPr>
        <w:spacing w:after="0"/>
        <w:ind w:left="425" w:firstLine="0"/>
        <w:rPr>
          <w:rFonts w:eastAsia="Calibri" w:cs="Times New Roman"/>
          <w:sz w:val="18"/>
          <w:szCs w:val="18"/>
          <w:lang w:eastAsia="en-US"/>
        </w:rPr>
      </w:pPr>
      <w:r w:rsidRPr="0003379A">
        <w:rPr>
          <w:rFonts w:eastAsia="Calibri" w:cs="Times New Roman"/>
          <w:sz w:val="18"/>
          <w:szCs w:val="18"/>
          <w:vertAlign w:val="superscript"/>
          <w:lang w:eastAsia="en-US"/>
        </w:rPr>
        <w:t>1</w:t>
      </w:r>
      <w:r w:rsidRPr="0003379A">
        <w:rPr>
          <w:rFonts w:eastAsia="Calibri" w:cs="Times New Roman"/>
          <w:sz w:val="18"/>
          <w:szCs w:val="18"/>
          <w:lang w:eastAsia="en-US"/>
        </w:rPr>
        <w:t> Prognoze</w:t>
      </w:r>
    </w:p>
    <w:p w14:paraId="4B520D98" w14:textId="77777777" w:rsidR="0003379A" w:rsidRPr="0003379A" w:rsidRDefault="0003379A" w:rsidP="0003379A">
      <w:pPr>
        <w:keepNext/>
        <w:keepLines/>
        <w:spacing w:before="240" w:after="240"/>
        <w:ind w:firstLine="0"/>
        <w:jc w:val="center"/>
        <w:outlineLvl w:val="4"/>
        <w:rPr>
          <w:rFonts w:eastAsia="Calibri" w:cs="Times New Roman"/>
          <w:b/>
          <w:bCs/>
          <w:noProof/>
          <w:szCs w:val="24"/>
          <w:lang w:eastAsia="en-US"/>
        </w:rPr>
      </w:pPr>
      <w:r w:rsidRPr="0003379A">
        <w:rPr>
          <w:rFonts w:eastAsia="Calibri" w:cs="Times New Roman"/>
          <w:b/>
          <w:bCs/>
          <w:noProof/>
          <w:szCs w:val="24"/>
          <w:lang w:eastAsia="en-US"/>
        </w:rPr>
        <w:t>Akcīzes nodoklis naftas produktiem</w:t>
      </w:r>
    </w:p>
    <w:p w14:paraId="25E05351" w14:textId="6ACA2CB0" w:rsidR="0003379A" w:rsidRPr="0003379A" w:rsidRDefault="0003379A" w:rsidP="0003379A">
      <w:pPr>
        <w:rPr>
          <w:rFonts w:cs="Times New Roman"/>
        </w:rPr>
      </w:pPr>
      <w:r w:rsidRPr="0003379A">
        <w:rPr>
          <w:rFonts w:cs="Times New Roman"/>
        </w:rPr>
        <w:t>2024. gada 1. pusgadā akcīzes nodokļa naftas produktiem ieņēmumi bija 281,2 milj. </w:t>
      </w:r>
      <w:proofErr w:type="spellStart"/>
      <w:r w:rsidRPr="0003379A">
        <w:rPr>
          <w:rFonts w:cs="Times New Roman"/>
          <w:i/>
        </w:rPr>
        <w:t>euro</w:t>
      </w:r>
      <w:proofErr w:type="spellEnd"/>
      <w:r w:rsidRPr="0003379A">
        <w:rPr>
          <w:rFonts w:cs="Times New Roman"/>
        </w:rPr>
        <w:t>. Salīdzinot ar 2023. gada 1. pusgadu, tie samazinājās par 13,9 milj. </w:t>
      </w:r>
      <w:proofErr w:type="spellStart"/>
      <w:r w:rsidRPr="0003379A">
        <w:rPr>
          <w:rFonts w:cs="Times New Roman"/>
          <w:i/>
        </w:rPr>
        <w:t>euro</w:t>
      </w:r>
      <w:proofErr w:type="spellEnd"/>
      <w:r w:rsidRPr="0003379A">
        <w:rPr>
          <w:rFonts w:cs="Times New Roman"/>
        </w:rPr>
        <w:t xml:space="preserve"> jeb 4,7 %, bet, salīdzinot ar plānoto, iekasēts par 20,5 milj. </w:t>
      </w:r>
      <w:proofErr w:type="spellStart"/>
      <w:r w:rsidRPr="0003379A">
        <w:rPr>
          <w:rFonts w:cs="Times New Roman"/>
          <w:i/>
        </w:rPr>
        <w:t>euro</w:t>
      </w:r>
      <w:proofErr w:type="spellEnd"/>
      <w:r w:rsidRPr="0003379A">
        <w:rPr>
          <w:rFonts w:cs="Times New Roman"/>
        </w:rPr>
        <w:t xml:space="preserve"> jeb 6,8 % mazāk. Ieņēmumu samazinājums skaidrojams ar patēriņam nodoto naftas produktu kritumu. Saskaņā ar VID informāciju </w:t>
      </w:r>
      <w:bookmarkStart w:id="92" w:name="_Hlk148433258"/>
      <w:r w:rsidRPr="0003379A">
        <w:rPr>
          <w:rFonts w:cs="Times New Roman"/>
        </w:rPr>
        <w:t xml:space="preserve">naftas produktu kopējais patēriņa apjoms </w:t>
      </w:r>
      <w:bookmarkEnd w:id="92"/>
      <w:r w:rsidRPr="0003379A">
        <w:rPr>
          <w:rFonts w:eastAsia="Calibri" w:cs="Times New Roman"/>
          <w:szCs w:val="24"/>
        </w:rPr>
        <w:t>2023. gada decembrī un 2024. gada piecos mēnešos</w:t>
      </w:r>
      <w:r w:rsidRPr="0003379A" w:rsidDel="006A7EA4">
        <w:rPr>
          <w:rFonts w:cs="Times New Roman"/>
        </w:rPr>
        <w:t xml:space="preserve"> </w:t>
      </w:r>
      <w:r w:rsidRPr="0003379A">
        <w:rPr>
          <w:rFonts w:cs="Times New Roman"/>
        </w:rPr>
        <w:t>salīdzinājumā ar 2022. un 2023. gada attiecīgo periodu samazinājās par 5,0%, t.sk. dīzeļdegvielas patēriņš samazinājās par 6,0%, sašķidrinātās naftas gāzes patēriņš samazinājās par 4,4%, bet benzīna patēriņš pieauga par 0,1%. Degvieleļļas patēriņš samazinājās par 51,7%, bet petrolejas patēriņš – par 26,9</w:t>
      </w:r>
      <w:r w:rsidR="00004069">
        <w:rPr>
          <w:rFonts w:cs="Times New Roman"/>
        </w:rPr>
        <w:t>%</w:t>
      </w:r>
      <w:r w:rsidRPr="0003379A">
        <w:rPr>
          <w:rFonts w:cs="Times New Roman"/>
        </w:rPr>
        <w:t>.</w:t>
      </w:r>
    </w:p>
    <w:p w14:paraId="29E90EC3" w14:textId="0A03A510" w:rsidR="0003379A" w:rsidRPr="0003379A" w:rsidRDefault="0003379A" w:rsidP="0003379A">
      <w:pPr>
        <w:rPr>
          <w:rFonts w:cs="Times New Roman"/>
          <w:szCs w:val="24"/>
        </w:rPr>
      </w:pPr>
      <w:r w:rsidRPr="0003379A">
        <w:rPr>
          <w:rFonts w:cs="Times New Roman"/>
        </w:rPr>
        <w:t>Atbilstoši Ceļu satiksmes drošības direkcijas informācijai 2024. gada 1. jūlijā, salīdzinot ar 2023. gada 1. jūliju, kopējais reģistrēto transportlīdzekļu skaits palielinājās par 1,2%, t.sk. transportlīdzekļu, kas patērē dīzeļdegvielu, īpatsvars kopējā transportlīdzekļu skaitā pieauga no 69,5% līdz 69,8% un to skaits bija 625 627, benzīnu patērējošo transportlīdzekļu īpatsvars samazinājās no 25,3% līdz 25,0% un to skaits bija 224 </w:t>
      </w:r>
      <w:r w:rsidRPr="0003379A">
        <w:rPr>
          <w:rFonts w:cs="Times New Roman"/>
          <w:szCs w:val="24"/>
        </w:rPr>
        <w:t>427.</w:t>
      </w:r>
    </w:p>
    <w:p w14:paraId="1F7383A5" w14:textId="22F9207F" w:rsidR="0003379A" w:rsidRPr="0003379A" w:rsidRDefault="0003379A" w:rsidP="0003379A">
      <w:pPr>
        <w:rPr>
          <w:rFonts w:eastAsia="Calibri" w:cs="Times New Roman"/>
          <w:szCs w:val="24"/>
        </w:rPr>
      </w:pPr>
      <w:r w:rsidRPr="0003379A">
        <w:rPr>
          <w:rFonts w:cs="Times New Roman"/>
        </w:rPr>
        <w:t xml:space="preserve">Saskaņā ar likumprojektu “Par valsts budžetu 2025. gadam un budžeta ietvaru 2025., 2026. un 2027. gadam” akcīzes nodokļa naftas produktiem ieņēmumi 2025. gadā tiek plānoti 640,8 </w:t>
      </w:r>
      <w:proofErr w:type="spellStart"/>
      <w:r w:rsidRPr="0003379A">
        <w:rPr>
          <w:rFonts w:cs="Times New Roman"/>
          <w:i/>
        </w:rPr>
        <w:t>euro</w:t>
      </w:r>
      <w:proofErr w:type="spellEnd"/>
      <w:r w:rsidRPr="0003379A">
        <w:rPr>
          <w:rFonts w:cs="Times New Roman"/>
        </w:rPr>
        <w:t xml:space="preserve">, 2026. gadā 691,5 milj. </w:t>
      </w:r>
      <w:proofErr w:type="spellStart"/>
      <w:r w:rsidRPr="0003379A">
        <w:rPr>
          <w:rFonts w:cs="Times New Roman"/>
          <w:i/>
        </w:rPr>
        <w:t>euro</w:t>
      </w:r>
      <w:proofErr w:type="spellEnd"/>
      <w:r w:rsidRPr="0003379A">
        <w:rPr>
          <w:rFonts w:cs="Times New Roman"/>
        </w:rPr>
        <w:t xml:space="preserve">, bet 2027. gadā 678,4 milj. </w:t>
      </w:r>
      <w:proofErr w:type="spellStart"/>
      <w:r w:rsidRPr="0003379A">
        <w:rPr>
          <w:rFonts w:cs="Times New Roman"/>
          <w:i/>
        </w:rPr>
        <w:t>euro</w:t>
      </w:r>
      <w:proofErr w:type="spellEnd"/>
      <w:r w:rsidRPr="0003379A">
        <w:rPr>
          <w:rFonts w:cs="Times New Roman"/>
        </w:rPr>
        <w:t xml:space="preserve"> apmērā. I</w:t>
      </w:r>
      <w:r w:rsidRPr="0003379A">
        <w:rPr>
          <w:rFonts w:eastAsia="Calibri" w:cs="Times New Roman"/>
          <w:szCs w:val="24"/>
        </w:rPr>
        <w:t>eņēmumu prognozi vidējā termiņā galvenokārt nosaka prognozētā naftas produktu patēriņa dinamika un 3.1. sadaļā minētie pasākumi. Prognozēs ņemta vērā akcīzes nodokļa naftas produktiem politika Lietuvā un Igaunijā.</w:t>
      </w:r>
    </w:p>
    <w:p w14:paraId="2D8E26E3" w14:textId="77777777" w:rsidR="0003379A" w:rsidRPr="0003379A" w:rsidRDefault="0003379A" w:rsidP="0003379A">
      <w:pPr>
        <w:keepNext/>
        <w:keepLines/>
        <w:spacing w:before="240" w:after="240"/>
        <w:ind w:firstLine="0"/>
        <w:jc w:val="center"/>
        <w:outlineLvl w:val="4"/>
        <w:rPr>
          <w:rFonts w:eastAsia="Times New Roman" w:cs="Times New Roman"/>
          <w:b/>
          <w:iCs/>
          <w:szCs w:val="18"/>
          <w:lang w:eastAsia="en-US"/>
        </w:rPr>
      </w:pPr>
      <w:bookmarkStart w:id="93" w:name="_Hlk125024981"/>
      <w:r w:rsidRPr="0003379A">
        <w:rPr>
          <w:rFonts w:eastAsia="Times New Roman" w:cs="Times New Roman"/>
          <w:b/>
          <w:iCs/>
          <w:szCs w:val="18"/>
          <w:lang w:eastAsia="en-US"/>
        </w:rPr>
        <w:t>Akcīzes nodoklis alkoholiskajiem dzērieniem un alum</w:t>
      </w:r>
    </w:p>
    <w:p w14:paraId="4176930E" w14:textId="07CC87CB" w:rsidR="0003379A" w:rsidRPr="0003379A" w:rsidRDefault="0003379A" w:rsidP="0003379A">
      <w:pPr>
        <w:rPr>
          <w:rFonts w:eastAsia="Calibri" w:cs="Times New Roman"/>
          <w:szCs w:val="24"/>
        </w:rPr>
      </w:pPr>
      <w:r w:rsidRPr="0003379A">
        <w:rPr>
          <w:rFonts w:eastAsia="Calibri" w:cs="Times New Roman"/>
          <w:szCs w:val="24"/>
        </w:rPr>
        <w:t>2024. gada 1. pusgadā akcīzes nodokļa alkoholiskajiem dzērieniem un alum ieņēmumi bija 132,1 milj. </w:t>
      </w:r>
      <w:proofErr w:type="spellStart"/>
      <w:r w:rsidRPr="0003379A">
        <w:rPr>
          <w:rFonts w:eastAsia="Calibri" w:cs="Times New Roman"/>
          <w:i/>
          <w:iCs/>
          <w:szCs w:val="24"/>
        </w:rPr>
        <w:t>euro</w:t>
      </w:r>
      <w:proofErr w:type="spellEnd"/>
      <w:r w:rsidRPr="0003379A">
        <w:rPr>
          <w:rFonts w:eastAsia="Calibri" w:cs="Times New Roman"/>
          <w:szCs w:val="24"/>
        </w:rPr>
        <w:t>. Salīdzinot ar 2023. gada 1. pusgadu, tie pieauga par 9,1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7,4%, bet, salīdzinot ar plānoto, iekasēts par 3,7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2,7% mazāk. Ieņēmumu pieaugumu ietekmēja 2023. gada 7. decembrī pieņemtie grozījumi likumā “Par akcīzes nodokli”, ar kuriem noteikts akcīzes nodokļa alkoholiskajiem dzērieniem un alum likmju paaugstinājums 2024., 2025. un 2026. gadā. </w:t>
      </w:r>
    </w:p>
    <w:p w14:paraId="7CF44996" w14:textId="21578D4B" w:rsidR="0003379A" w:rsidRPr="0003379A" w:rsidRDefault="0003379A" w:rsidP="0003379A">
      <w:pPr>
        <w:spacing w:before="120"/>
        <w:rPr>
          <w:rFonts w:eastAsia="Calibri" w:cs="Times New Roman"/>
          <w:szCs w:val="24"/>
        </w:rPr>
      </w:pPr>
      <w:r w:rsidRPr="0003379A">
        <w:rPr>
          <w:rFonts w:eastAsia="Calibri" w:cs="Times New Roman"/>
          <w:szCs w:val="24"/>
        </w:rPr>
        <w:t xml:space="preserve">Saskaņā ar VID informāciju 2023. gada decembrī un 2024. gada piecos mēnešos, salīdzinot ar 2022. un 2023. gada attiecīgo periodu, patēriņam (dekalitros) nodots par 1,3 % mazāk alkoholisko dzērienu (neskaitot alu). Pārējo alkoholisko dzērienu patēriņš samazinājās </w:t>
      </w:r>
      <w:r w:rsidRPr="0003379A">
        <w:rPr>
          <w:rFonts w:eastAsia="Calibri" w:cs="Times New Roman"/>
          <w:szCs w:val="24"/>
        </w:rPr>
        <w:lastRenderedPageBreak/>
        <w:t>par 1,4 %, starpproduktu – par 6,8</w:t>
      </w:r>
      <w:r w:rsidR="00004069">
        <w:rPr>
          <w:rFonts w:eastAsia="Calibri" w:cs="Times New Roman"/>
          <w:szCs w:val="24"/>
        </w:rPr>
        <w:t>%</w:t>
      </w:r>
      <w:r w:rsidRPr="0003379A">
        <w:rPr>
          <w:rFonts w:eastAsia="Calibri" w:cs="Times New Roman"/>
          <w:szCs w:val="24"/>
        </w:rPr>
        <w:t>, bet vīna un raudzēto dzērienu patēriņš palielinājās par 0,3 %. Savukārt alus patēriņš minētajā periodā palielinājies par 2,7</w:t>
      </w:r>
      <w:r w:rsidR="00004069">
        <w:rPr>
          <w:rFonts w:eastAsia="Calibri" w:cs="Times New Roman"/>
          <w:szCs w:val="24"/>
        </w:rPr>
        <w:t>%</w:t>
      </w:r>
      <w:r w:rsidRPr="0003379A">
        <w:rPr>
          <w:rFonts w:eastAsia="Calibri" w:cs="Times New Roman"/>
          <w:szCs w:val="24"/>
        </w:rPr>
        <w:t xml:space="preserve">. </w:t>
      </w:r>
    </w:p>
    <w:p w14:paraId="42B806F6" w14:textId="77777777" w:rsidR="0003379A" w:rsidRPr="0003379A" w:rsidRDefault="0003379A" w:rsidP="0003379A">
      <w:pPr>
        <w:rPr>
          <w:rFonts w:eastAsia="Calibri" w:cs="Times New Roman"/>
          <w:szCs w:val="24"/>
        </w:rPr>
      </w:pPr>
      <w:r w:rsidRPr="0003379A">
        <w:rPr>
          <w:rFonts w:cs="Times New Roman"/>
        </w:rPr>
        <w:t xml:space="preserve">Saskaņā ar likumprojektu “Par valsts budžetu 2025. gadam un budžeta ietvaru 2025., 2026. un 2027. gadam” </w:t>
      </w:r>
      <w:r w:rsidRPr="0003379A">
        <w:rPr>
          <w:rFonts w:eastAsia="Calibri" w:cs="Times New Roman"/>
          <w:szCs w:val="24"/>
        </w:rPr>
        <w:t>akcīzes nodokļa alkoholiskajiem dzērieniem un alum ieņēmumi 2025. gadā tiek plānoti 294,3 milj. </w:t>
      </w:r>
      <w:proofErr w:type="spellStart"/>
      <w:r w:rsidRPr="0003379A">
        <w:rPr>
          <w:rFonts w:eastAsia="Calibri" w:cs="Times New Roman"/>
          <w:i/>
          <w:iCs/>
          <w:szCs w:val="24"/>
        </w:rPr>
        <w:t>euro</w:t>
      </w:r>
      <w:proofErr w:type="spellEnd"/>
      <w:r w:rsidRPr="0003379A">
        <w:rPr>
          <w:rFonts w:eastAsia="Calibri" w:cs="Times New Roman"/>
          <w:szCs w:val="24"/>
        </w:rPr>
        <w:t>, 2026. gadā 318,8 milj. </w:t>
      </w:r>
      <w:proofErr w:type="spellStart"/>
      <w:r w:rsidRPr="0003379A">
        <w:rPr>
          <w:rFonts w:eastAsia="Calibri" w:cs="Times New Roman"/>
          <w:i/>
          <w:iCs/>
          <w:szCs w:val="24"/>
        </w:rPr>
        <w:t>euro</w:t>
      </w:r>
      <w:proofErr w:type="spellEnd"/>
      <w:r w:rsidRPr="0003379A">
        <w:rPr>
          <w:rFonts w:eastAsia="Calibri" w:cs="Times New Roman"/>
          <w:szCs w:val="24"/>
        </w:rPr>
        <w:t>, bet 2027. gadā 334,6 milj. </w:t>
      </w:r>
      <w:proofErr w:type="spellStart"/>
      <w:r w:rsidRPr="0003379A">
        <w:rPr>
          <w:rFonts w:eastAsia="Calibri" w:cs="Times New Roman"/>
          <w:i/>
          <w:iCs/>
          <w:szCs w:val="24"/>
        </w:rPr>
        <w:t>euro</w:t>
      </w:r>
      <w:proofErr w:type="spellEnd"/>
      <w:r w:rsidRPr="0003379A">
        <w:rPr>
          <w:rFonts w:eastAsia="Calibri" w:cs="Times New Roman"/>
          <w:szCs w:val="24"/>
        </w:rPr>
        <w:t xml:space="preserve"> apmērā. </w:t>
      </w:r>
      <w:r w:rsidRPr="0003379A">
        <w:rPr>
          <w:rFonts w:cs="Times New Roman"/>
        </w:rPr>
        <w:t>I</w:t>
      </w:r>
      <w:r w:rsidRPr="0003379A">
        <w:rPr>
          <w:rFonts w:eastAsia="Calibri" w:cs="Times New Roman"/>
          <w:szCs w:val="24"/>
        </w:rPr>
        <w:t>eņēmumu prognozi vidējā termiņā galvenokārt nosaka prognozētā alkoholisko dzērienu un alus patēriņa dinamika un 3.1. sadaļā minētie pasākumi. Prognozēs ņemtas vērā Lietuvā un Igaunijā plānotās akcīzes nodokļa likmes.</w:t>
      </w:r>
    </w:p>
    <w:bookmarkEnd w:id="93"/>
    <w:p w14:paraId="28EFF4CB" w14:textId="77777777" w:rsidR="0003379A" w:rsidRPr="0003379A" w:rsidRDefault="0003379A" w:rsidP="0003379A">
      <w:pPr>
        <w:keepNext/>
        <w:keepLines/>
        <w:spacing w:before="240" w:after="240"/>
        <w:ind w:firstLine="0"/>
        <w:jc w:val="center"/>
        <w:outlineLvl w:val="4"/>
        <w:rPr>
          <w:rFonts w:eastAsia="Times New Roman" w:cs="Times New Roman"/>
          <w:b/>
          <w:iCs/>
          <w:szCs w:val="18"/>
          <w:lang w:eastAsia="en-US"/>
        </w:rPr>
      </w:pPr>
      <w:r w:rsidRPr="0003379A">
        <w:rPr>
          <w:rFonts w:eastAsia="Times New Roman" w:cs="Times New Roman"/>
          <w:b/>
          <w:iCs/>
          <w:szCs w:val="18"/>
          <w:lang w:eastAsia="en-US"/>
        </w:rPr>
        <w:t>Akcīzes nodoklis tabakas izstrādājumiem</w:t>
      </w:r>
    </w:p>
    <w:p w14:paraId="188ED907" w14:textId="4C821E3C" w:rsidR="0003379A" w:rsidRPr="0003379A" w:rsidRDefault="0003379A" w:rsidP="0003379A">
      <w:pPr>
        <w:spacing w:before="120"/>
        <w:rPr>
          <w:rFonts w:eastAsia="Calibri" w:cs="Times New Roman"/>
          <w:szCs w:val="24"/>
        </w:rPr>
      </w:pPr>
      <w:r w:rsidRPr="0003379A">
        <w:rPr>
          <w:rFonts w:eastAsia="Calibri" w:cs="Times New Roman"/>
          <w:szCs w:val="24"/>
        </w:rPr>
        <w:t>Akcīzes nodokļa tabakas izstrādājumiem ieņēmumi 2024. gada 1. pusgadā bija 135,3 milj. </w:t>
      </w:r>
      <w:proofErr w:type="spellStart"/>
      <w:r w:rsidRPr="0003379A">
        <w:rPr>
          <w:rFonts w:eastAsia="Calibri" w:cs="Times New Roman"/>
          <w:i/>
          <w:iCs/>
          <w:szCs w:val="24"/>
        </w:rPr>
        <w:t>euro</w:t>
      </w:r>
      <w:proofErr w:type="spellEnd"/>
      <w:r w:rsidRPr="0003379A">
        <w:rPr>
          <w:rFonts w:eastAsia="Calibri" w:cs="Times New Roman"/>
          <w:szCs w:val="24"/>
        </w:rPr>
        <w:t>. Salīdzinot ar 2023. gada 1. pusgadu, akcīzes nodokļa ieņēmumi no tabakas izstrādājumiem palielinājās par 7,5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5,9%, bet, salīdzinot ar plānoto, tika iekasēts par 2,9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2,2 % vairāk. Ieņēmumu pieaugumu ietekmēja 2023. gada 7. decembrī pieņemtie grozījumi likumā “Par akcīzes nodokli”, ar kuriem noteikts pakāpenisks akcīzes nodokļa tabakas izstrādājumiem likmju paaugstinājums 2024., 2025. un 2026. gadā. </w:t>
      </w:r>
    </w:p>
    <w:p w14:paraId="3B28ADBF" w14:textId="34B316D2" w:rsidR="0003379A" w:rsidRPr="0003379A" w:rsidRDefault="0003379A" w:rsidP="0003379A">
      <w:pPr>
        <w:spacing w:before="120"/>
        <w:rPr>
          <w:rFonts w:eastAsia="Calibri" w:cs="Times New Roman"/>
          <w:szCs w:val="24"/>
        </w:rPr>
      </w:pPr>
      <w:r w:rsidRPr="0003379A">
        <w:rPr>
          <w:rFonts w:eastAsia="Calibri" w:cs="Times New Roman"/>
          <w:szCs w:val="24"/>
        </w:rPr>
        <w:t xml:space="preserve">Saskaņā ar VID informāciju Latvijā kopējais patēriņam nodoto cigarešu apjoms 2023. gada decembrī un 2024. gada piecos mēnešos salīdzinājumā ar 2022. un 2023. gada atbilstošo periodu samazinājās par 2,9%, cigāru un </w:t>
      </w:r>
      <w:proofErr w:type="spellStart"/>
      <w:r w:rsidRPr="0003379A">
        <w:rPr>
          <w:rFonts w:eastAsia="Calibri" w:cs="Times New Roman"/>
          <w:szCs w:val="24"/>
        </w:rPr>
        <w:t>cigarillu</w:t>
      </w:r>
      <w:proofErr w:type="spellEnd"/>
      <w:r w:rsidRPr="0003379A">
        <w:rPr>
          <w:rFonts w:eastAsia="Calibri" w:cs="Times New Roman"/>
          <w:szCs w:val="24"/>
        </w:rPr>
        <w:t xml:space="preserve"> </w:t>
      </w:r>
      <w:r w:rsidRPr="0003379A">
        <w:rPr>
          <w:rFonts w:cs="Times New Roman"/>
          <w:sz w:val="18"/>
          <w:szCs w:val="18"/>
        </w:rPr>
        <w:t xml:space="preserve">– </w:t>
      </w:r>
      <w:r w:rsidRPr="0003379A">
        <w:rPr>
          <w:rFonts w:eastAsia="Calibri" w:cs="Times New Roman"/>
          <w:szCs w:val="24"/>
        </w:rPr>
        <w:t>par 31,8%, karsējamās tabakas par 5,9%, bet smēķējamās tabakas patēriņš pieauga par 5,0</w:t>
      </w:r>
      <w:r w:rsidR="00004069">
        <w:rPr>
          <w:rFonts w:eastAsia="Calibri" w:cs="Times New Roman"/>
          <w:szCs w:val="24"/>
        </w:rPr>
        <w:t>%</w:t>
      </w:r>
      <w:r w:rsidRPr="0003379A">
        <w:rPr>
          <w:rFonts w:eastAsia="Calibri" w:cs="Times New Roman"/>
          <w:szCs w:val="24"/>
        </w:rPr>
        <w:t>.</w:t>
      </w:r>
    </w:p>
    <w:p w14:paraId="229E47D0" w14:textId="77777777" w:rsidR="0003379A" w:rsidRPr="0003379A" w:rsidRDefault="0003379A" w:rsidP="0003379A">
      <w:pPr>
        <w:rPr>
          <w:rFonts w:eastAsia="Calibri" w:cs="Times New Roman"/>
          <w:szCs w:val="24"/>
        </w:rPr>
      </w:pPr>
      <w:r w:rsidRPr="0003379A">
        <w:rPr>
          <w:rFonts w:cs="Times New Roman"/>
        </w:rPr>
        <w:t xml:space="preserve">Saskaņā ar likumprojektu “Par valsts budžetu 2025. gadam un budžeta ietvaru 2025., 2026. un 2027. gadam” </w:t>
      </w:r>
      <w:r w:rsidRPr="0003379A">
        <w:rPr>
          <w:rFonts w:eastAsia="Calibri" w:cs="Times New Roman"/>
          <w:szCs w:val="24"/>
        </w:rPr>
        <w:t xml:space="preserve">akcīzes nodokļa </w:t>
      </w:r>
      <w:r w:rsidRPr="0003379A">
        <w:rPr>
          <w:rFonts w:eastAsia="Calibri" w:cs="Times New Roman"/>
          <w:bCs/>
          <w:szCs w:val="24"/>
        </w:rPr>
        <w:t>tabakas izstrādājumiem</w:t>
      </w:r>
      <w:r w:rsidRPr="0003379A">
        <w:rPr>
          <w:rFonts w:eastAsia="Calibri" w:cs="Times New Roman"/>
          <w:szCs w:val="24"/>
        </w:rPr>
        <w:t xml:space="preserve"> ieņēmumi 2025. gadā tiek plānoti 306,7</w:t>
      </w:r>
      <w:r w:rsidRPr="0003379A">
        <w:rPr>
          <w:rFonts w:eastAsia="Calibri" w:cs="Times New Roman"/>
          <w:i/>
          <w:szCs w:val="24"/>
        </w:rPr>
        <w:t> </w:t>
      </w:r>
      <w:r w:rsidRPr="0003379A">
        <w:rPr>
          <w:rFonts w:eastAsia="Calibri" w:cs="Times New Roman"/>
          <w:szCs w:val="24"/>
        </w:rPr>
        <w:t>milj. </w:t>
      </w:r>
      <w:proofErr w:type="spellStart"/>
      <w:r w:rsidRPr="0003379A">
        <w:rPr>
          <w:rFonts w:eastAsia="Calibri" w:cs="Times New Roman"/>
          <w:i/>
          <w:szCs w:val="24"/>
        </w:rPr>
        <w:t>euro</w:t>
      </w:r>
      <w:proofErr w:type="spellEnd"/>
      <w:r w:rsidRPr="0003379A">
        <w:rPr>
          <w:rFonts w:eastAsia="Calibri" w:cs="Times New Roman"/>
          <w:szCs w:val="24"/>
        </w:rPr>
        <w:t>, 2026. gadā 314,4 </w:t>
      </w:r>
      <w:bookmarkStart w:id="94" w:name="_Hlk125806200"/>
      <w:r w:rsidRPr="0003379A">
        <w:rPr>
          <w:rFonts w:eastAsia="Calibri" w:cs="Times New Roman"/>
          <w:szCs w:val="24"/>
        </w:rPr>
        <w:t>milj.</w:t>
      </w:r>
      <w:bookmarkEnd w:id="94"/>
      <w:r w:rsidRPr="0003379A">
        <w:rPr>
          <w:rFonts w:eastAsia="Calibri" w:cs="Times New Roman"/>
          <w:i/>
          <w:szCs w:val="24"/>
        </w:rPr>
        <w:t> </w:t>
      </w:r>
      <w:proofErr w:type="spellStart"/>
      <w:r w:rsidRPr="0003379A">
        <w:rPr>
          <w:rFonts w:eastAsia="Calibri" w:cs="Times New Roman"/>
          <w:i/>
          <w:szCs w:val="24"/>
        </w:rPr>
        <w:t>euro</w:t>
      </w:r>
      <w:proofErr w:type="spellEnd"/>
      <w:r w:rsidRPr="0003379A">
        <w:rPr>
          <w:rFonts w:eastAsia="Calibri" w:cs="Times New Roman"/>
          <w:szCs w:val="24"/>
        </w:rPr>
        <w:t>, bet 2027. gadā 327,4 milj.</w:t>
      </w:r>
      <w:r w:rsidRPr="0003379A">
        <w:rPr>
          <w:rFonts w:eastAsia="Calibri" w:cs="Times New Roman"/>
          <w:i/>
          <w:szCs w:val="24"/>
        </w:rPr>
        <w:t> </w:t>
      </w:r>
      <w:proofErr w:type="spellStart"/>
      <w:r w:rsidRPr="0003379A">
        <w:rPr>
          <w:rFonts w:eastAsia="Calibri" w:cs="Times New Roman"/>
          <w:i/>
          <w:iCs/>
          <w:szCs w:val="24"/>
        </w:rPr>
        <w:t>euro</w:t>
      </w:r>
      <w:proofErr w:type="spellEnd"/>
      <w:r w:rsidRPr="0003379A">
        <w:rPr>
          <w:rFonts w:eastAsia="Calibri" w:cs="Times New Roman"/>
          <w:iCs/>
          <w:szCs w:val="24"/>
        </w:rPr>
        <w:t xml:space="preserve"> apmērā. </w:t>
      </w:r>
      <w:r w:rsidRPr="0003379A">
        <w:rPr>
          <w:rFonts w:cs="Times New Roman"/>
        </w:rPr>
        <w:t>I</w:t>
      </w:r>
      <w:r w:rsidRPr="0003379A">
        <w:rPr>
          <w:rFonts w:eastAsia="Calibri" w:cs="Times New Roman"/>
          <w:szCs w:val="24"/>
        </w:rPr>
        <w:t>eņēmumu prognozi vidējā termiņā galvenokārt nosaka prognozētā tabakas izstrādājumu patēriņa dinamika un 3.1. sadaļā minētie pasākumi. Prognozēs ņemtas vērā plānotās akcīzes nodokļa likmes Lietuvā un Igaunijā.</w:t>
      </w:r>
    </w:p>
    <w:p w14:paraId="2D35BEB8" w14:textId="77777777" w:rsidR="0003379A" w:rsidRPr="0003379A" w:rsidRDefault="0003379A" w:rsidP="0003379A">
      <w:pPr>
        <w:keepNext/>
        <w:keepLines/>
        <w:spacing w:before="240" w:after="240"/>
        <w:ind w:firstLine="0"/>
        <w:jc w:val="center"/>
        <w:outlineLvl w:val="4"/>
        <w:rPr>
          <w:rFonts w:eastAsia="Times New Roman" w:cs="Times New Roman"/>
          <w:b/>
          <w:iCs/>
          <w:szCs w:val="18"/>
          <w:lang w:eastAsia="en-US"/>
        </w:rPr>
      </w:pPr>
      <w:r w:rsidRPr="0003379A">
        <w:rPr>
          <w:rFonts w:eastAsia="Times New Roman" w:cs="Times New Roman"/>
          <w:b/>
          <w:iCs/>
          <w:szCs w:val="18"/>
          <w:lang w:eastAsia="en-US"/>
        </w:rPr>
        <w:t>Akcīzes nodoklis dabasgāzei</w:t>
      </w:r>
    </w:p>
    <w:p w14:paraId="01E26F9D" w14:textId="3D951AD3" w:rsidR="0003379A" w:rsidRPr="0003379A" w:rsidRDefault="0003379A" w:rsidP="0003379A">
      <w:pPr>
        <w:spacing w:before="120"/>
        <w:rPr>
          <w:rFonts w:eastAsia="Calibri" w:cs="Times New Roman"/>
          <w:szCs w:val="24"/>
        </w:rPr>
      </w:pPr>
      <w:r w:rsidRPr="0003379A">
        <w:rPr>
          <w:rFonts w:eastAsia="Calibri" w:cs="Times New Roman"/>
          <w:szCs w:val="24"/>
        </w:rPr>
        <w:t>2024. gada 1. pusgadā akcīzes nodokļa ieņēmumi no dabasgāzes bija 9,4 milj. </w:t>
      </w:r>
      <w:proofErr w:type="spellStart"/>
      <w:r w:rsidRPr="0003379A">
        <w:rPr>
          <w:rFonts w:eastAsia="Calibri" w:cs="Times New Roman"/>
          <w:i/>
          <w:iCs/>
          <w:szCs w:val="24"/>
        </w:rPr>
        <w:t>euro</w:t>
      </w:r>
      <w:proofErr w:type="spellEnd"/>
      <w:r w:rsidRPr="0003379A">
        <w:rPr>
          <w:rFonts w:eastAsia="Calibri" w:cs="Times New Roman"/>
          <w:szCs w:val="24"/>
        </w:rPr>
        <w:t>. Salīdzinot ar 2023. gada 1. pusgadu, akcīzes nodoklis dabasgāzei tika iekasēts par 0,9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10,2% vairāk. Plāns izpildīts 99,8% apmērā. </w:t>
      </w:r>
    </w:p>
    <w:p w14:paraId="66E09A8C" w14:textId="49F1C819" w:rsidR="0003379A" w:rsidRPr="0003379A" w:rsidRDefault="0003379A" w:rsidP="0003379A">
      <w:pPr>
        <w:spacing w:before="120"/>
        <w:rPr>
          <w:rFonts w:eastAsia="Calibri" w:cs="Times New Roman"/>
          <w:szCs w:val="24"/>
        </w:rPr>
      </w:pPr>
      <w:r w:rsidRPr="0003379A">
        <w:rPr>
          <w:rFonts w:eastAsia="Calibri" w:cs="Times New Roman"/>
          <w:szCs w:val="24"/>
        </w:rPr>
        <w:t>Saskaņā ar VID informāciju par dabasgāzes patēriņu dabasgāzes daudzums, ko izmanto par kurināmo, 2023. gada decembrī un 2024. gada piecos mēnešos salīdzinājumā ar 2022. un 2023. gada atbilstošo periodu palielinājās par 9,6%, savukārt dabasgāzes, ko izmanto par degvielu, patēriņš minētajos periodos pieauga par 43,3</w:t>
      </w:r>
      <w:r w:rsidR="00004069">
        <w:rPr>
          <w:rFonts w:eastAsia="Calibri" w:cs="Times New Roman"/>
          <w:szCs w:val="24"/>
        </w:rPr>
        <w:t>%</w:t>
      </w:r>
      <w:r w:rsidRPr="0003379A">
        <w:rPr>
          <w:rFonts w:eastAsia="Calibri" w:cs="Times New Roman"/>
          <w:szCs w:val="24"/>
        </w:rPr>
        <w:t xml:space="preserve">. </w:t>
      </w:r>
    </w:p>
    <w:p w14:paraId="5195D5C3" w14:textId="77777777" w:rsidR="0003379A" w:rsidRPr="0003379A" w:rsidRDefault="0003379A" w:rsidP="0003379A">
      <w:pPr>
        <w:rPr>
          <w:rFonts w:eastAsia="Calibri" w:cs="Times New Roman"/>
          <w:szCs w:val="24"/>
        </w:rPr>
      </w:pPr>
      <w:r w:rsidRPr="0003379A">
        <w:rPr>
          <w:rFonts w:cs="Times New Roman"/>
        </w:rPr>
        <w:t>Saskaņā ar likumprojektu “Par valsts budžetu 2025. gadam un budžeta ietvaru 2025., 2026. un 2027. gadam”</w:t>
      </w:r>
      <w:r w:rsidRPr="0003379A">
        <w:rPr>
          <w:rFonts w:eastAsia="Calibri" w:cs="Times New Roman"/>
          <w:szCs w:val="24"/>
          <w:lang w:eastAsia="en-US"/>
        </w:rPr>
        <w:t xml:space="preserve"> </w:t>
      </w:r>
      <w:r w:rsidRPr="0003379A">
        <w:rPr>
          <w:rFonts w:eastAsia="Calibri" w:cs="Times New Roman"/>
          <w:szCs w:val="24"/>
        </w:rPr>
        <w:t xml:space="preserve">akcīzes nodokļa </w:t>
      </w:r>
      <w:r w:rsidRPr="0003379A">
        <w:rPr>
          <w:rFonts w:eastAsia="Calibri" w:cs="Times New Roman"/>
          <w:bCs/>
          <w:szCs w:val="24"/>
        </w:rPr>
        <w:t>dabasgāzei</w:t>
      </w:r>
      <w:r w:rsidRPr="0003379A">
        <w:rPr>
          <w:rFonts w:eastAsia="Calibri" w:cs="Times New Roman"/>
          <w:szCs w:val="24"/>
        </w:rPr>
        <w:t xml:space="preserve"> ieņēmumi 2025. gadā tiek plānoti 20,1</w:t>
      </w:r>
      <w:r w:rsidRPr="0003379A">
        <w:rPr>
          <w:rFonts w:eastAsia="Calibri" w:cs="Times New Roman"/>
          <w:i/>
          <w:szCs w:val="24"/>
        </w:rPr>
        <w:t> </w:t>
      </w:r>
      <w:r w:rsidRPr="0003379A">
        <w:rPr>
          <w:rFonts w:eastAsia="Calibri" w:cs="Times New Roman"/>
          <w:szCs w:val="24"/>
        </w:rPr>
        <w:t>milj. </w:t>
      </w:r>
      <w:proofErr w:type="spellStart"/>
      <w:r w:rsidRPr="0003379A">
        <w:rPr>
          <w:rFonts w:eastAsia="Calibri" w:cs="Times New Roman"/>
          <w:i/>
          <w:szCs w:val="24"/>
        </w:rPr>
        <w:t>euro</w:t>
      </w:r>
      <w:proofErr w:type="spellEnd"/>
      <w:r w:rsidRPr="0003379A">
        <w:rPr>
          <w:rFonts w:eastAsia="Calibri" w:cs="Times New Roman"/>
          <w:i/>
          <w:szCs w:val="24"/>
        </w:rPr>
        <w:t xml:space="preserve"> </w:t>
      </w:r>
      <w:r w:rsidRPr="0003379A">
        <w:rPr>
          <w:rFonts w:eastAsia="Calibri" w:cs="Times New Roman"/>
          <w:iCs/>
          <w:szCs w:val="24"/>
        </w:rPr>
        <w:t>apmērā</w:t>
      </w:r>
      <w:r w:rsidRPr="0003379A">
        <w:rPr>
          <w:rFonts w:eastAsia="Calibri" w:cs="Times New Roman"/>
          <w:szCs w:val="24"/>
        </w:rPr>
        <w:t>, 2026. gadā 25,5 milj. </w:t>
      </w:r>
      <w:proofErr w:type="spellStart"/>
      <w:r w:rsidRPr="0003379A">
        <w:rPr>
          <w:rFonts w:eastAsia="Calibri" w:cs="Times New Roman"/>
          <w:i/>
          <w:szCs w:val="24"/>
        </w:rPr>
        <w:t>euro</w:t>
      </w:r>
      <w:proofErr w:type="spellEnd"/>
      <w:r w:rsidRPr="0003379A">
        <w:rPr>
          <w:rFonts w:eastAsia="Calibri" w:cs="Times New Roman"/>
          <w:i/>
          <w:szCs w:val="24"/>
        </w:rPr>
        <w:t xml:space="preserve"> </w:t>
      </w:r>
      <w:r w:rsidRPr="0003379A">
        <w:rPr>
          <w:rFonts w:eastAsia="Calibri" w:cs="Times New Roman"/>
          <w:iCs/>
          <w:szCs w:val="24"/>
        </w:rPr>
        <w:t>apmērā,</w:t>
      </w:r>
      <w:r w:rsidRPr="0003379A">
        <w:rPr>
          <w:rFonts w:eastAsia="Calibri" w:cs="Times New Roman"/>
          <w:szCs w:val="24"/>
        </w:rPr>
        <w:t xml:space="preserve"> bet 2027. gadā 22,8 milj.</w:t>
      </w:r>
      <w:r w:rsidRPr="0003379A">
        <w:rPr>
          <w:rFonts w:eastAsia="Calibri" w:cs="Times New Roman"/>
          <w:i/>
          <w:szCs w:val="24"/>
        </w:rPr>
        <w:t> </w:t>
      </w:r>
      <w:proofErr w:type="spellStart"/>
      <w:r w:rsidRPr="0003379A">
        <w:rPr>
          <w:rFonts w:eastAsia="Calibri" w:cs="Times New Roman"/>
          <w:i/>
          <w:szCs w:val="24"/>
        </w:rPr>
        <w:t>euro</w:t>
      </w:r>
      <w:proofErr w:type="spellEnd"/>
      <w:r w:rsidRPr="0003379A">
        <w:rPr>
          <w:rFonts w:eastAsia="Calibri" w:cs="Times New Roman"/>
          <w:szCs w:val="24"/>
        </w:rPr>
        <w:t xml:space="preserve"> </w:t>
      </w:r>
      <w:r w:rsidRPr="0003379A">
        <w:rPr>
          <w:rFonts w:eastAsia="Calibri" w:cs="Times New Roman"/>
          <w:iCs/>
          <w:szCs w:val="24"/>
        </w:rPr>
        <w:t xml:space="preserve">apmērā. </w:t>
      </w:r>
      <w:r w:rsidRPr="0003379A">
        <w:rPr>
          <w:rFonts w:cs="Times New Roman"/>
        </w:rPr>
        <w:t>I</w:t>
      </w:r>
      <w:r w:rsidRPr="0003379A">
        <w:rPr>
          <w:rFonts w:eastAsia="Calibri" w:cs="Times New Roman"/>
          <w:szCs w:val="24"/>
        </w:rPr>
        <w:t>eņēmumu prognozi vidējā termiņā galvenokārt nosaka prognozētā dabasgāzes patēriņa dinamika, kā arī 3.1. sadaļā minētie pasākumi.</w:t>
      </w:r>
    </w:p>
    <w:p w14:paraId="7C366FB4" w14:textId="77777777" w:rsidR="0003379A" w:rsidRPr="0003379A" w:rsidRDefault="0003379A" w:rsidP="0003379A">
      <w:pPr>
        <w:keepNext/>
        <w:keepLines/>
        <w:spacing w:before="240" w:after="240"/>
        <w:ind w:firstLine="0"/>
        <w:jc w:val="center"/>
        <w:outlineLvl w:val="4"/>
        <w:rPr>
          <w:rFonts w:eastAsia="Times New Roman" w:cs="Times New Roman"/>
          <w:b/>
          <w:iCs/>
          <w:szCs w:val="18"/>
          <w:lang w:eastAsia="en-US"/>
        </w:rPr>
      </w:pPr>
      <w:r w:rsidRPr="0003379A">
        <w:rPr>
          <w:rFonts w:eastAsia="Times New Roman" w:cs="Times New Roman"/>
          <w:b/>
          <w:iCs/>
          <w:szCs w:val="18"/>
          <w:lang w:eastAsia="en-US"/>
        </w:rPr>
        <w:t>Akcīzes nodoklis pārējām akcīzes precēm</w:t>
      </w:r>
    </w:p>
    <w:bookmarkEnd w:id="87"/>
    <w:bookmarkEnd w:id="88"/>
    <w:bookmarkEnd w:id="89"/>
    <w:bookmarkEnd w:id="90"/>
    <w:p w14:paraId="4F6852BD" w14:textId="6093DCF7" w:rsidR="0003379A" w:rsidRPr="0003379A" w:rsidRDefault="0003379A" w:rsidP="0003379A">
      <w:pPr>
        <w:rPr>
          <w:rFonts w:eastAsia="Calibri" w:cs="Times New Roman"/>
          <w:szCs w:val="24"/>
        </w:rPr>
      </w:pPr>
      <w:r w:rsidRPr="0003379A">
        <w:rPr>
          <w:rFonts w:eastAsia="Calibri" w:cs="Times New Roman"/>
          <w:szCs w:val="24"/>
        </w:rPr>
        <w:t>2024. gada 1. pusgadā akcīzes nodokļa ieņēmumi no pārējām akcīzes precēm – kafijas, bezalkoholiskajiem dzērieniem, elektroniskajās cigaretēs izmantojamajiem šķidrumiem un tabakas aizstājējproduktiem – bija 20,4 milj. </w:t>
      </w:r>
      <w:proofErr w:type="spellStart"/>
      <w:r w:rsidRPr="0003379A">
        <w:rPr>
          <w:rFonts w:eastAsia="Calibri" w:cs="Times New Roman"/>
          <w:i/>
          <w:iCs/>
          <w:szCs w:val="24"/>
        </w:rPr>
        <w:t>euro</w:t>
      </w:r>
      <w:proofErr w:type="spellEnd"/>
      <w:r w:rsidRPr="0003379A">
        <w:rPr>
          <w:rFonts w:eastAsia="Calibri" w:cs="Times New Roman"/>
          <w:szCs w:val="24"/>
        </w:rPr>
        <w:t>. Salīdzinājumā ar 2023. gada 1. pusgadu akcīzes nodokļa ieņēmumi no tām palielinājās par 2,3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12,6</w:t>
      </w:r>
      <w:r w:rsidR="00004069">
        <w:rPr>
          <w:rFonts w:eastAsia="Calibri" w:cs="Times New Roman"/>
          <w:szCs w:val="24"/>
        </w:rPr>
        <w:t>%</w:t>
      </w:r>
      <w:r w:rsidRPr="0003379A">
        <w:rPr>
          <w:rFonts w:eastAsia="Calibri" w:cs="Times New Roman"/>
          <w:szCs w:val="24"/>
        </w:rPr>
        <w:t>. Salīdzinot ar plānoto, tika iekasēts par 0,5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2,3% mazāk. </w:t>
      </w:r>
    </w:p>
    <w:p w14:paraId="703AEA5C" w14:textId="348F7903" w:rsidR="0003379A" w:rsidRPr="0003379A" w:rsidRDefault="0003379A" w:rsidP="0003379A">
      <w:pPr>
        <w:rPr>
          <w:rFonts w:eastAsia="Calibri" w:cs="Times New Roman"/>
          <w:szCs w:val="24"/>
        </w:rPr>
      </w:pPr>
      <w:r w:rsidRPr="0003379A">
        <w:rPr>
          <w:rFonts w:eastAsia="Calibri" w:cs="Times New Roman"/>
          <w:szCs w:val="24"/>
        </w:rPr>
        <w:lastRenderedPageBreak/>
        <w:t xml:space="preserve">2024. gada 1. pusgada akcīzes nodokļa ieņēmumus ietekmēja 2023. gada 7. decembrī pieņemtie grozījumi likumā “Par akcīzes nodokli”, ar ko tika noteikts pakāpenisks akcīzes nodokļa pieaugums tabakas aizstājējproduktiem un elektronisko cigarešu </w:t>
      </w:r>
      <w:proofErr w:type="spellStart"/>
      <w:r w:rsidRPr="0003379A">
        <w:rPr>
          <w:rFonts w:eastAsia="Calibri" w:cs="Times New Roman"/>
          <w:szCs w:val="24"/>
        </w:rPr>
        <w:t>uzpildes</w:t>
      </w:r>
      <w:proofErr w:type="spellEnd"/>
      <w:r w:rsidRPr="0003379A">
        <w:rPr>
          <w:rFonts w:eastAsia="Calibri" w:cs="Times New Roman"/>
          <w:szCs w:val="24"/>
        </w:rPr>
        <w:t xml:space="preserve"> šķidrumiem 2024., 2025. un 2026.</w:t>
      </w:r>
      <w:r w:rsidR="00165D47">
        <w:rPr>
          <w:rFonts w:eastAsia="Calibri" w:cs="Times New Roman"/>
          <w:szCs w:val="24"/>
        </w:rPr>
        <w:t xml:space="preserve"> </w:t>
      </w:r>
      <w:r w:rsidRPr="0003379A">
        <w:rPr>
          <w:rFonts w:eastAsia="Calibri" w:cs="Times New Roman"/>
          <w:szCs w:val="24"/>
        </w:rPr>
        <w:t xml:space="preserve">gadā, kā arī akcīzes nodokļa paaugstinājums bezalkoholiskajiem dzērieniem ar cukura saturu no 8 g (ieskaitot) uz 100 </w:t>
      </w:r>
      <w:proofErr w:type="spellStart"/>
      <w:r w:rsidR="00165D47">
        <w:rPr>
          <w:rFonts w:eastAsia="Calibri" w:cs="Times New Roman"/>
          <w:szCs w:val="24"/>
        </w:rPr>
        <w:t>mk</w:t>
      </w:r>
      <w:proofErr w:type="spellEnd"/>
      <w:r w:rsidRPr="0003379A">
        <w:rPr>
          <w:rFonts w:eastAsia="Calibri" w:cs="Times New Roman"/>
          <w:szCs w:val="24"/>
        </w:rPr>
        <w:t xml:space="preserve"> un enerģijas dzērieniem 2024. un 2026.</w:t>
      </w:r>
      <w:r w:rsidR="00165D47">
        <w:rPr>
          <w:rFonts w:eastAsia="Calibri" w:cs="Times New Roman"/>
          <w:szCs w:val="24"/>
        </w:rPr>
        <w:t xml:space="preserve"> </w:t>
      </w:r>
      <w:r w:rsidRPr="0003379A">
        <w:rPr>
          <w:rFonts w:eastAsia="Calibri" w:cs="Times New Roman"/>
          <w:szCs w:val="24"/>
        </w:rPr>
        <w:t xml:space="preserve">gadā. </w:t>
      </w:r>
    </w:p>
    <w:p w14:paraId="1F3DB320" w14:textId="7F223BC8" w:rsidR="0003379A" w:rsidRPr="0003379A" w:rsidRDefault="0003379A" w:rsidP="0003379A">
      <w:pPr>
        <w:rPr>
          <w:rFonts w:eastAsia="Calibri" w:cs="Times New Roman"/>
          <w:szCs w:val="24"/>
        </w:rPr>
      </w:pPr>
      <w:r w:rsidRPr="0003379A">
        <w:rPr>
          <w:rFonts w:eastAsia="Calibri" w:cs="Times New Roman"/>
          <w:szCs w:val="24"/>
        </w:rPr>
        <w:t xml:space="preserve">Atbilstoši VID sniegtajai informācijai 2023. gada decembrī un 2024. gada piecos mēnešos salīdzinājumā ar 2022. un 2023. gada atbilstošo periodu patēriņam nodotais bezalkoholisko dzērienu daudzums palielinājās par 1,2%, no tiem dzērienu ar cukura saturu līdz 8 g uz 100 ml patēriņš pieauga par 3 %, bet bezalkoholisko dzērienu ar cukura saturu no 8 g (ieskaitot) uz 100 </w:t>
      </w:r>
      <w:r w:rsidR="00165D47">
        <w:rPr>
          <w:rFonts w:eastAsia="Calibri" w:cs="Times New Roman"/>
          <w:szCs w:val="24"/>
        </w:rPr>
        <w:t>ml</w:t>
      </w:r>
      <w:r w:rsidRPr="0003379A">
        <w:rPr>
          <w:rFonts w:eastAsia="Calibri" w:cs="Times New Roman"/>
          <w:szCs w:val="24"/>
        </w:rPr>
        <w:t xml:space="preserve"> un enerģijas dzērieniem tas samazinājās par 1,9</w:t>
      </w:r>
      <w:r w:rsidR="00165D47">
        <w:rPr>
          <w:rFonts w:eastAsia="Calibri" w:cs="Times New Roman"/>
          <w:szCs w:val="24"/>
        </w:rPr>
        <w:t>%</w:t>
      </w:r>
      <w:r w:rsidRPr="0003379A">
        <w:rPr>
          <w:rFonts w:eastAsia="Calibri" w:cs="Times New Roman"/>
          <w:szCs w:val="24"/>
        </w:rPr>
        <w:t xml:space="preserve">. Patēriņam nodotais tabakas aizstājējproduktu daudzums minētajā periodā pieauga par 48,4%, bet patēriņam nodotais elektronisko cigarešu </w:t>
      </w:r>
      <w:proofErr w:type="spellStart"/>
      <w:r w:rsidRPr="0003379A">
        <w:rPr>
          <w:rFonts w:eastAsia="Calibri" w:cs="Times New Roman"/>
          <w:szCs w:val="24"/>
        </w:rPr>
        <w:t>uzpildes</w:t>
      </w:r>
      <w:proofErr w:type="spellEnd"/>
      <w:r w:rsidRPr="0003379A">
        <w:rPr>
          <w:rFonts w:eastAsia="Calibri" w:cs="Times New Roman"/>
          <w:szCs w:val="24"/>
        </w:rPr>
        <w:t xml:space="preserve"> šķidrumu daudzums samazinājās par 0,9</w:t>
      </w:r>
      <w:r w:rsidR="00165D47">
        <w:rPr>
          <w:rFonts w:eastAsia="Calibri" w:cs="Times New Roman"/>
          <w:szCs w:val="24"/>
        </w:rPr>
        <w:t>%</w:t>
      </w:r>
      <w:r w:rsidRPr="0003379A">
        <w:rPr>
          <w:rFonts w:eastAsia="Calibri" w:cs="Times New Roman"/>
          <w:szCs w:val="24"/>
        </w:rPr>
        <w:t xml:space="preserve">. </w:t>
      </w:r>
    </w:p>
    <w:p w14:paraId="1D0D9517" w14:textId="77777777" w:rsidR="0003379A" w:rsidRPr="0003379A" w:rsidRDefault="0003379A" w:rsidP="0003379A">
      <w:pPr>
        <w:rPr>
          <w:rFonts w:eastAsia="Calibri" w:cs="Times New Roman"/>
          <w:szCs w:val="24"/>
        </w:rPr>
      </w:pPr>
      <w:r w:rsidRPr="0003379A">
        <w:rPr>
          <w:rFonts w:cs="Times New Roman"/>
        </w:rPr>
        <w:t xml:space="preserve">Saskaņā ar likumprojektu “Par valsts budžetu 2025. gadam un budžeta ietvaru 2025., 2026. un 2027. gadam” </w:t>
      </w:r>
      <w:r w:rsidRPr="0003379A">
        <w:rPr>
          <w:rFonts w:eastAsia="Calibri" w:cs="Times New Roman"/>
          <w:szCs w:val="24"/>
        </w:rPr>
        <w:t xml:space="preserve">akcīzes nodokļa </w:t>
      </w:r>
      <w:r w:rsidRPr="0003379A">
        <w:rPr>
          <w:rFonts w:eastAsia="Calibri" w:cs="Times New Roman"/>
          <w:bCs/>
          <w:szCs w:val="24"/>
        </w:rPr>
        <w:t>pārējām akcīzes precēm</w:t>
      </w:r>
      <w:r w:rsidRPr="0003379A">
        <w:rPr>
          <w:rFonts w:eastAsia="Calibri" w:cs="Times New Roman"/>
          <w:szCs w:val="24"/>
        </w:rPr>
        <w:t xml:space="preserve"> ieņēmumi 2025. gadā tiek plānoti 52,1</w:t>
      </w:r>
      <w:r w:rsidRPr="0003379A">
        <w:rPr>
          <w:rFonts w:eastAsia="Calibri" w:cs="Times New Roman"/>
          <w:i/>
          <w:szCs w:val="24"/>
        </w:rPr>
        <w:t> </w:t>
      </w:r>
      <w:r w:rsidRPr="0003379A">
        <w:rPr>
          <w:rFonts w:eastAsia="Calibri" w:cs="Times New Roman"/>
          <w:szCs w:val="24"/>
        </w:rPr>
        <w:t>milj. </w:t>
      </w:r>
      <w:proofErr w:type="spellStart"/>
      <w:r w:rsidRPr="0003379A">
        <w:rPr>
          <w:rFonts w:eastAsia="Calibri" w:cs="Times New Roman"/>
          <w:i/>
          <w:szCs w:val="24"/>
        </w:rPr>
        <w:t>euro</w:t>
      </w:r>
      <w:proofErr w:type="spellEnd"/>
      <w:r w:rsidRPr="0003379A">
        <w:rPr>
          <w:rFonts w:eastAsia="Calibri" w:cs="Times New Roman"/>
          <w:szCs w:val="24"/>
        </w:rPr>
        <w:t>, 2026. gadā 57,2 milj.</w:t>
      </w:r>
      <w:r w:rsidRPr="0003379A">
        <w:rPr>
          <w:rFonts w:eastAsia="Calibri" w:cs="Times New Roman"/>
          <w:i/>
          <w:szCs w:val="24"/>
        </w:rPr>
        <w:t> </w:t>
      </w:r>
      <w:proofErr w:type="spellStart"/>
      <w:r w:rsidRPr="0003379A">
        <w:rPr>
          <w:rFonts w:eastAsia="Calibri" w:cs="Times New Roman"/>
          <w:i/>
          <w:szCs w:val="24"/>
        </w:rPr>
        <w:t>euro</w:t>
      </w:r>
      <w:proofErr w:type="spellEnd"/>
      <w:r w:rsidRPr="0003379A">
        <w:rPr>
          <w:rFonts w:eastAsia="Calibri" w:cs="Times New Roman"/>
          <w:szCs w:val="24"/>
        </w:rPr>
        <w:t>, bet 2027. gadā 60,0 milj.</w:t>
      </w:r>
      <w:r w:rsidRPr="0003379A">
        <w:rPr>
          <w:rFonts w:eastAsia="Calibri" w:cs="Times New Roman"/>
          <w:i/>
          <w:szCs w:val="24"/>
        </w:rPr>
        <w:t> </w:t>
      </w:r>
      <w:proofErr w:type="spellStart"/>
      <w:r w:rsidRPr="0003379A">
        <w:rPr>
          <w:rFonts w:eastAsia="Calibri" w:cs="Times New Roman"/>
          <w:i/>
          <w:iCs/>
          <w:szCs w:val="24"/>
        </w:rPr>
        <w:t>euro</w:t>
      </w:r>
      <w:proofErr w:type="spellEnd"/>
      <w:r w:rsidRPr="0003379A">
        <w:rPr>
          <w:rFonts w:eastAsia="Calibri" w:cs="Times New Roman"/>
          <w:iCs/>
          <w:szCs w:val="24"/>
        </w:rPr>
        <w:t xml:space="preserve"> apmērā. </w:t>
      </w:r>
      <w:r w:rsidRPr="0003379A">
        <w:rPr>
          <w:rFonts w:cs="Times New Roman"/>
        </w:rPr>
        <w:t>I</w:t>
      </w:r>
      <w:r w:rsidRPr="0003379A">
        <w:rPr>
          <w:rFonts w:eastAsia="Calibri" w:cs="Times New Roman"/>
          <w:szCs w:val="24"/>
        </w:rPr>
        <w:t>eņēmumu prognozi vidējā termiņā galvenokārt nosaka prognozētā pārējo akcīzes preču patēriņa dinamika, kā arī 3.1. sadaļā minētie pasākumi.</w:t>
      </w:r>
    </w:p>
    <w:p w14:paraId="2D1D4B41" w14:textId="77777777" w:rsidR="0003379A" w:rsidRPr="0003379A" w:rsidRDefault="0003379A" w:rsidP="0003379A">
      <w:pPr>
        <w:keepNext/>
        <w:keepLines/>
        <w:spacing w:before="240" w:after="240"/>
        <w:ind w:firstLine="0"/>
        <w:jc w:val="center"/>
        <w:outlineLvl w:val="4"/>
        <w:rPr>
          <w:rFonts w:eastAsia="Times New Roman" w:cs="Times New Roman"/>
          <w:b/>
          <w:iCs/>
          <w:szCs w:val="18"/>
          <w:lang w:eastAsia="en-US"/>
        </w:rPr>
      </w:pPr>
      <w:r w:rsidRPr="0003379A">
        <w:rPr>
          <w:rFonts w:eastAsia="Times New Roman" w:cs="Times New Roman"/>
          <w:b/>
          <w:iCs/>
          <w:szCs w:val="18"/>
          <w:lang w:eastAsia="en-US"/>
        </w:rPr>
        <w:t>Transportlīdzekļu ekspluatācijas nodoklis</w:t>
      </w:r>
    </w:p>
    <w:p w14:paraId="57DCC36B" w14:textId="0612C4A0" w:rsidR="0003379A" w:rsidRPr="0003379A" w:rsidRDefault="0003379A" w:rsidP="0003379A">
      <w:pPr>
        <w:rPr>
          <w:rFonts w:eastAsia="Calibri" w:cs="Times New Roman"/>
          <w:szCs w:val="24"/>
        </w:rPr>
      </w:pPr>
      <w:r w:rsidRPr="0003379A">
        <w:rPr>
          <w:rFonts w:eastAsia="Calibri" w:cs="Times New Roman"/>
          <w:szCs w:val="24"/>
        </w:rPr>
        <w:t>Transportlīdzekļu ekspluatācijas nodokļa ieņēmumi 2024. gada 1.pusgadā bija 55,3 milj. </w:t>
      </w:r>
      <w:proofErr w:type="spellStart"/>
      <w:r w:rsidRPr="0003379A">
        <w:rPr>
          <w:rFonts w:eastAsia="Calibri" w:cs="Times New Roman"/>
          <w:i/>
          <w:iCs/>
          <w:szCs w:val="24"/>
        </w:rPr>
        <w:t>euro</w:t>
      </w:r>
      <w:proofErr w:type="spellEnd"/>
      <w:r w:rsidRPr="0003379A">
        <w:rPr>
          <w:rFonts w:eastAsia="Calibri" w:cs="Times New Roman"/>
          <w:szCs w:val="24"/>
        </w:rPr>
        <w:t>, kas salīdzinājumā ar 2023. gada sešiem mēnešiem ir par 0,8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1,4 % mazāk. Salīdzinājumā ar 2024. gada sešu mēnešu plānu, ieņēmumi bija mazāki par 1,0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1,8</w:t>
      </w:r>
      <w:r w:rsidR="00165D47">
        <w:rPr>
          <w:rFonts w:eastAsia="Calibri" w:cs="Times New Roman"/>
          <w:szCs w:val="24"/>
        </w:rPr>
        <w:t>%</w:t>
      </w:r>
      <w:r w:rsidRPr="0003379A">
        <w:rPr>
          <w:rFonts w:eastAsia="Calibri" w:cs="Times New Roman"/>
          <w:szCs w:val="24"/>
        </w:rPr>
        <w:t xml:space="preserve">. Plāna neizpildi ietekmēja </w:t>
      </w:r>
      <w:proofErr w:type="spellStart"/>
      <w:r w:rsidRPr="0003379A">
        <w:rPr>
          <w:rFonts w:eastAsia="Calibri" w:cs="Times New Roman"/>
          <w:szCs w:val="24"/>
        </w:rPr>
        <w:t>pamatpārbaudi</w:t>
      </w:r>
      <w:proofErr w:type="spellEnd"/>
      <w:r w:rsidRPr="0003379A">
        <w:rPr>
          <w:rFonts w:eastAsia="Calibri" w:cs="Times New Roman"/>
          <w:szCs w:val="24"/>
        </w:rPr>
        <w:t xml:space="preserve"> veikušo transportlīdzekļu skaita pieauguma tempu samazinājums, salīdzinājumā ar iepriekšējo gadu.</w:t>
      </w:r>
    </w:p>
    <w:p w14:paraId="4B41D2A9" w14:textId="77777777" w:rsidR="0003379A" w:rsidRPr="0003379A" w:rsidRDefault="0003379A" w:rsidP="0003379A">
      <w:pPr>
        <w:rPr>
          <w:rFonts w:eastAsia="Calibri" w:cs="Times New Roman"/>
          <w:szCs w:val="24"/>
        </w:rPr>
      </w:pPr>
      <w:r w:rsidRPr="0003379A">
        <w:rPr>
          <w:rFonts w:eastAsia="Calibri" w:cs="Times New Roman"/>
          <w:szCs w:val="24"/>
        </w:rPr>
        <w:t>2025. gadā, 2026. un 2027. gadā nodokļa ieņēmumu pieauguma temps ir plānots attiecīgi 14,1 %, 4,7 % un 1,2 % apmērā. Saskaņā ar likumprojektu “Par valsts budžetu 2025. gadam un budžeta ietvaru 2025., 2026. un 2027. gadam” transportlīdzekļu ekspluatācijas nodokļa ieņēmumi 2025. gadā tiek plānoti 118,9 milj. </w:t>
      </w:r>
      <w:proofErr w:type="spellStart"/>
      <w:r w:rsidRPr="0003379A">
        <w:rPr>
          <w:rFonts w:eastAsia="Calibri" w:cs="Times New Roman"/>
          <w:i/>
          <w:iCs/>
          <w:szCs w:val="24"/>
        </w:rPr>
        <w:t>euro</w:t>
      </w:r>
      <w:proofErr w:type="spellEnd"/>
      <w:r w:rsidRPr="0003379A">
        <w:rPr>
          <w:rFonts w:eastAsia="Calibri" w:cs="Times New Roman"/>
          <w:szCs w:val="24"/>
        </w:rPr>
        <w:t>, 2026. gadā 124,5 milj. </w:t>
      </w:r>
      <w:proofErr w:type="spellStart"/>
      <w:r w:rsidRPr="0003379A">
        <w:rPr>
          <w:rFonts w:eastAsia="Calibri" w:cs="Times New Roman"/>
          <w:i/>
          <w:iCs/>
          <w:szCs w:val="24"/>
        </w:rPr>
        <w:t>euro</w:t>
      </w:r>
      <w:proofErr w:type="spellEnd"/>
      <w:r w:rsidRPr="0003379A">
        <w:rPr>
          <w:rFonts w:eastAsia="Calibri" w:cs="Times New Roman"/>
          <w:szCs w:val="24"/>
        </w:rPr>
        <w:t xml:space="preserve"> un 2027. gadā 126,0 milj. </w:t>
      </w:r>
      <w:proofErr w:type="spellStart"/>
      <w:r w:rsidRPr="0003379A">
        <w:rPr>
          <w:rFonts w:eastAsia="Calibri" w:cs="Times New Roman"/>
          <w:i/>
          <w:iCs/>
          <w:szCs w:val="24"/>
        </w:rPr>
        <w:t>euro</w:t>
      </w:r>
      <w:proofErr w:type="spellEnd"/>
      <w:r w:rsidRPr="0003379A">
        <w:rPr>
          <w:rFonts w:eastAsia="Calibri" w:cs="Times New Roman"/>
          <w:szCs w:val="24"/>
        </w:rPr>
        <w:t xml:space="preserve"> apmērā (skat. 3.12. tabulu).</w:t>
      </w:r>
    </w:p>
    <w:p w14:paraId="373B81B9" w14:textId="77777777" w:rsidR="0003379A" w:rsidRPr="0003379A" w:rsidRDefault="0003379A" w:rsidP="0003379A">
      <w:pPr>
        <w:keepNext/>
        <w:keepLines/>
        <w:spacing w:before="240" w:after="0"/>
        <w:ind w:firstLine="0"/>
        <w:jc w:val="right"/>
        <w:rPr>
          <w:rFonts w:eastAsia="Calibri" w:cs="Times New Roman"/>
          <w:b/>
          <w:i/>
          <w:szCs w:val="24"/>
        </w:rPr>
      </w:pPr>
      <w:r w:rsidRPr="0003379A">
        <w:rPr>
          <w:rFonts w:eastAsia="Calibri" w:cs="Times New Roman"/>
          <w:b/>
          <w:i/>
          <w:szCs w:val="24"/>
        </w:rPr>
        <w:t>3.12. tabula. Transportlīdzekļa ekspluatācijas nodokļa ieņēmumi</w:t>
      </w:r>
    </w:p>
    <w:tbl>
      <w:tblPr>
        <w:tblW w:w="4971"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6288"/>
        <w:gridCol w:w="681"/>
        <w:gridCol w:w="681"/>
        <w:gridCol w:w="681"/>
        <w:gridCol w:w="681"/>
      </w:tblGrid>
      <w:tr w:rsidR="0003379A" w:rsidRPr="0003379A" w14:paraId="124170E2" w14:textId="77777777" w:rsidTr="008E1E6C">
        <w:trPr>
          <w:trHeight w:hRule="exact" w:val="227"/>
          <w:tblHeader/>
          <w:jc w:val="center"/>
        </w:trPr>
        <w:tc>
          <w:tcPr>
            <w:tcW w:w="3491" w:type="pct"/>
            <w:shd w:val="clear" w:color="auto" w:fill="8EAADB" w:themeFill="accent5" w:themeFillTint="99"/>
            <w:noWrap/>
            <w:vAlign w:val="center"/>
            <w:hideMark/>
          </w:tcPr>
          <w:p w14:paraId="00EC785E"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p>
        </w:tc>
        <w:tc>
          <w:tcPr>
            <w:tcW w:w="378" w:type="pct"/>
            <w:shd w:val="clear" w:color="auto" w:fill="8EAADB" w:themeFill="accent5" w:themeFillTint="99"/>
            <w:vAlign w:val="center"/>
          </w:tcPr>
          <w:p w14:paraId="0AD25FAE" w14:textId="77777777" w:rsidR="0003379A" w:rsidRPr="0003379A" w:rsidRDefault="0003379A" w:rsidP="0003379A">
            <w:pPr>
              <w:keepNext/>
              <w:keepLines/>
              <w:spacing w:after="0"/>
              <w:ind w:firstLine="0"/>
              <w:contextualSpacing/>
              <w:jc w:val="center"/>
              <w:rPr>
                <w:rFonts w:eastAsia="Times New Roman" w:cs="Times New Roman"/>
                <w:b/>
                <w:bCs/>
                <w:noProof/>
                <w:sz w:val="20"/>
                <w:szCs w:val="24"/>
              </w:rPr>
            </w:pPr>
            <w:r w:rsidRPr="0003379A">
              <w:rPr>
                <w:rFonts w:eastAsia="Times New Roman" w:cs="Times New Roman"/>
                <w:b/>
                <w:bCs/>
                <w:sz w:val="20"/>
                <w:szCs w:val="24"/>
              </w:rPr>
              <w:t>2024</w:t>
            </w:r>
          </w:p>
        </w:tc>
        <w:tc>
          <w:tcPr>
            <w:tcW w:w="379" w:type="pct"/>
            <w:shd w:val="clear" w:color="auto" w:fill="8EAADB" w:themeFill="accent5" w:themeFillTint="99"/>
            <w:vAlign w:val="center"/>
          </w:tcPr>
          <w:p w14:paraId="43AD4C29" w14:textId="77777777" w:rsidR="0003379A" w:rsidRPr="0003379A" w:rsidRDefault="0003379A" w:rsidP="0003379A">
            <w:pPr>
              <w:keepNext/>
              <w:keepLines/>
              <w:spacing w:after="0"/>
              <w:ind w:firstLine="0"/>
              <w:contextualSpacing/>
              <w:jc w:val="center"/>
              <w:rPr>
                <w:rFonts w:eastAsia="Times New Roman" w:cs="Times New Roman"/>
                <w:b/>
                <w:bCs/>
                <w:noProof/>
                <w:sz w:val="20"/>
                <w:szCs w:val="24"/>
              </w:rPr>
            </w:pPr>
            <w:r w:rsidRPr="0003379A">
              <w:rPr>
                <w:rFonts w:eastAsia="Times New Roman" w:cs="Times New Roman"/>
                <w:b/>
                <w:bCs/>
                <w:sz w:val="20"/>
                <w:szCs w:val="24"/>
              </w:rPr>
              <w:t>2025</w:t>
            </w:r>
          </w:p>
        </w:tc>
        <w:tc>
          <w:tcPr>
            <w:tcW w:w="378" w:type="pct"/>
            <w:shd w:val="clear" w:color="auto" w:fill="8EAADB" w:themeFill="accent5" w:themeFillTint="99"/>
            <w:noWrap/>
            <w:vAlign w:val="center"/>
            <w:hideMark/>
          </w:tcPr>
          <w:p w14:paraId="6A4F9DD7" w14:textId="77777777" w:rsidR="0003379A" w:rsidRPr="0003379A" w:rsidRDefault="0003379A" w:rsidP="0003379A">
            <w:pPr>
              <w:keepNext/>
              <w:keepLines/>
              <w:spacing w:after="0"/>
              <w:ind w:firstLine="0"/>
              <w:contextualSpacing/>
              <w:jc w:val="center"/>
              <w:rPr>
                <w:rFonts w:eastAsia="Times New Roman" w:cs="Times New Roman"/>
                <w:b/>
                <w:bCs/>
                <w:noProof/>
                <w:sz w:val="20"/>
                <w:szCs w:val="24"/>
              </w:rPr>
            </w:pPr>
            <w:r w:rsidRPr="0003379A">
              <w:rPr>
                <w:rFonts w:eastAsia="Times New Roman" w:cs="Times New Roman"/>
                <w:b/>
                <w:bCs/>
                <w:sz w:val="20"/>
                <w:szCs w:val="24"/>
              </w:rPr>
              <w:t>2026</w:t>
            </w:r>
          </w:p>
        </w:tc>
        <w:tc>
          <w:tcPr>
            <w:tcW w:w="373" w:type="pct"/>
            <w:shd w:val="clear" w:color="auto" w:fill="8EAADB" w:themeFill="accent5" w:themeFillTint="99"/>
            <w:vAlign w:val="center"/>
          </w:tcPr>
          <w:p w14:paraId="0B673AA5" w14:textId="77777777" w:rsidR="0003379A" w:rsidRPr="0003379A" w:rsidRDefault="0003379A" w:rsidP="0003379A">
            <w:pPr>
              <w:keepNext/>
              <w:keepLines/>
              <w:spacing w:after="0"/>
              <w:ind w:firstLine="0"/>
              <w:contextualSpacing/>
              <w:jc w:val="center"/>
              <w:rPr>
                <w:rFonts w:eastAsia="Times New Roman" w:cs="Times New Roman"/>
                <w:b/>
                <w:bCs/>
                <w:noProof/>
                <w:sz w:val="20"/>
                <w:szCs w:val="24"/>
              </w:rPr>
            </w:pPr>
            <w:r w:rsidRPr="0003379A">
              <w:rPr>
                <w:rFonts w:eastAsia="Times New Roman" w:cs="Times New Roman"/>
                <w:b/>
                <w:bCs/>
                <w:sz w:val="20"/>
                <w:szCs w:val="24"/>
              </w:rPr>
              <w:t>2027</w:t>
            </w:r>
          </w:p>
        </w:tc>
      </w:tr>
      <w:tr w:rsidR="0003379A" w:rsidRPr="0003379A" w14:paraId="5FE91BEE" w14:textId="77777777" w:rsidTr="00723ACD">
        <w:trPr>
          <w:trHeight w:hRule="exact" w:val="454"/>
          <w:jc w:val="center"/>
        </w:trPr>
        <w:tc>
          <w:tcPr>
            <w:tcW w:w="3491" w:type="pct"/>
            <w:shd w:val="clear" w:color="auto" w:fill="auto"/>
            <w:vAlign w:val="center"/>
            <w:hideMark/>
          </w:tcPr>
          <w:p w14:paraId="739456A1"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Saskaņā ar likumprojektu “Par valsts budžetu 2025. gadam un budžeta ietvaru 2025., 2026. un 2027. gadam”, milj. </w:t>
            </w:r>
            <w:r w:rsidRPr="00264454">
              <w:rPr>
                <w:rFonts w:cs="Times New Roman"/>
                <w:i/>
                <w:iCs/>
                <w:noProof/>
                <w:sz w:val="18"/>
                <w:szCs w:val="18"/>
              </w:rPr>
              <w:t>euro</w:t>
            </w:r>
          </w:p>
        </w:tc>
        <w:tc>
          <w:tcPr>
            <w:tcW w:w="378" w:type="pct"/>
            <w:shd w:val="clear" w:color="auto" w:fill="auto"/>
            <w:noWrap/>
            <w:vAlign w:val="center"/>
          </w:tcPr>
          <w:p w14:paraId="1CCC5819" w14:textId="7C2235EA"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104,2</w:t>
            </w:r>
            <w:r w:rsidR="00264454" w:rsidRPr="008826A2">
              <w:rPr>
                <w:sz w:val="18"/>
                <w:szCs w:val="18"/>
                <w:vertAlign w:val="superscript"/>
              </w:rPr>
              <w:t>1</w:t>
            </w:r>
          </w:p>
        </w:tc>
        <w:tc>
          <w:tcPr>
            <w:tcW w:w="379" w:type="pct"/>
            <w:shd w:val="clear" w:color="auto" w:fill="auto"/>
            <w:noWrap/>
            <w:vAlign w:val="center"/>
          </w:tcPr>
          <w:p w14:paraId="665C896D" w14:textId="477B5B80"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118,9</w:t>
            </w:r>
            <w:r w:rsidR="00264454" w:rsidRPr="008826A2">
              <w:rPr>
                <w:sz w:val="18"/>
                <w:szCs w:val="18"/>
                <w:vertAlign w:val="superscript"/>
              </w:rPr>
              <w:t>1</w:t>
            </w:r>
          </w:p>
        </w:tc>
        <w:tc>
          <w:tcPr>
            <w:tcW w:w="378" w:type="pct"/>
            <w:shd w:val="clear" w:color="auto" w:fill="auto"/>
            <w:noWrap/>
            <w:vAlign w:val="center"/>
          </w:tcPr>
          <w:p w14:paraId="07110C58" w14:textId="62722353"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124,5</w:t>
            </w:r>
            <w:r w:rsidR="00264454" w:rsidRPr="008826A2">
              <w:rPr>
                <w:sz w:val="18"/>
                <w:szCs w:val="18"/>
                <w:vertAlign w:val="superscript"/>
              </w:rPr>
              <w:t>1</w:t>
            </w:r>
          </w:p>
        </w:tc>
        <w:tc>
          <w:tcPr>
            <w:tcW w:w="373" w:type="pct"/>
            <w:shd w:val="clear" w:color="auto" w:fill="auto"/>
            <w:vAlign w:val="center"/>
          </w:tcPr>
          <w:p w14:paraId="3413351B" w14:textId="4FC22196"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126,0</w:t>
            </w:r>
            <w:r w:rsidR="00264454" w:rsidRPr="008826A2">
              <w:rPr>
                <w:sz w:val="18"/>
                <w:szCs w:val="18"/>
                <w:vertAlign w:val="superscript"/>
              </w:rPr>
              <w:t>1</w:t>
            </w:r>
          </w:p>
        </w:tc>
      </w:tr>
      <w:tr w:rsidR="0003379A" w:rsidRPr="0003379A" w14:paraId="14A5585F" w14:textId="77777777" w:rsidTr="00723ACD">
        <w:trPr>
          <w:trHeight w:hRule="exact" w:val="227"/>
          <w:jc w:val="center"/>
        </w:trPr>
        <w:tc>
          <w:tcPr>
            <w:tcW w:w="3491" w:type="pct"/>
            <w:shd w:val="clear" w:color="auto" w:fill="auto"/>
            <w:noWrap/>
            <w:vAlign w:val="center"/>
            <w:hideMark/>
          </w:tcPr>
          <w:p w14:paraId="0CE17279"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pret IKP, %</w:t>
            </w:r>
          </w:p>
        </w:tc>
        <w:tc>
          <w:tcPr>
            <w:tcW w:w="378" w:type="pct"/>
            <w:shd w:val="clear" w:color="auto" w:fill="auto"/>
            <w:noWrap/>
          </w:tcPr>
          <w:p w14:paraId="3FF14CD8"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0,25</w:t>
            </w:r>
          </w:p>
        </w:tc>
        <w:tc>
          <w:tcPr>
            <w:tcW w:w="379" w:type="pct"/>
            <w:shd w:val="clear" w:color="auto" w:fill="auto"/>
            <w:noWrap/>
          </w:tcPr>
          <w:p w14:paraId="271DDFD9"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0,27</w:t>
            </w:r>
          </w:p>
        </w:tc>
        <w:tc>
          <w:tcPr>
            <w:tcW w:w="378" w:type="pct"/>
            <w:shd w:val="clear" w:color="auto" w:fill="auto"/>
            <w:noWrap/>
          </w:tcPr>
          <w:p w14:paraId="40215875"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0,27</w:t>
            </w:r>
          </w:p>
        </w:tc>
        <w:tc>
          <w:tcPr>
            <w:tcW w:w="373" w:type="pct"/>
          </w:tcPr>
          <w:p w14:paraId="5A4B4510"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0,26</w:t>
            </w:r>
          </w:p>
        </w:tc>
      </w:tr>
      <w:tr w:rsidR="0003379A" w:rsidRPr="0003379A" w14:paraId="019BE878" w14:textId="77777777" w:rsidTr="00723ACD">
        <w:trPr>
          <w:trHeight w:hRule="exact" w:val="454"/>
          <w:jc w:val="center"/>
        </w:trPr>
        <w:tc>
          <w:tcPr>
            <w:tcW w:w="3491" w:type="pct"/>
            <w:shd w:val="clear" w:color="auto" w:fill="auto"/>
            <w:vAlign w:val="center"/>
            <w:hideMark/>
          </w:tcPr>
          <w:p w14:paraId="263BFB05"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milj. </w:t>
            </w:r>
            <w:r w:rsidRPr="00264454">
              <w:rPr>
                <w:rFonts w:cs="Times New Roman"/>
                <w:i/>
                <w:iCs/>
                <w:noProof/>
                <w:sz w:val="18"/>
                <w:szCs w:val="18"/>
              </w:rPr>
              <w:t>euro</w:t>
            </w:r>
          </w:p>
        </w:tc>
        <w:tc>
          <w:tcPr>
            <w:tcW w:w="378" w:type="pct"/>
            <w:shd w:val="clear" w:color="auto" w:fill="auto"/>
            <w:noWrap/>
            <w:hideMark/>
          </w:tcPr>
          <w:p w14:paraId="6619C5BB"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-1,1</w:t>
            </w:r>
          </w:p>
        </w:tc>
        <w:tc>
          <w:tcPr>
            <w:tcW w:w="379" w:type="pct"/>
            <w:shd w:val="clear" w:color="auto" w:fill="auto"/>
            <w:noWrap/>
            <w:hideMark/>
          </w:tcPr>
          <w:p w14:paraId="05C38BC0"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+10,3</w:t>
            </w:r>
          </w:p>
        </w:tc>
        <w:tc>
          <w:tcPr>
            <w:tcW w:w="378" w:type="pct"/>
            <w:shd w:val="clear" w:color="auto" w:fill="auto"/>
            <w:noWrap/>
            <w:hideMark/>
          </w:tcPr>
          <w:p w14:paraId="39D4FF0B"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+12,5</w:t>
            </w:r>
          </w:p>
        </w:tc>
        <w:tc>
          <w:tcPr>
            <w:tcW w:w="373" w:type="pct"/>
            <w:shd w:val="clear" w:color="auto" w:fill="auto"/>
          </w:tcPr>
          <w:p w14:paraId="3B492EF9"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w:t>
            </w:r>
          </w:p>
        </w:tc>
      </w:tr>
      <w:tr w:rsidR="0003379A" w:rsidRPr="0003379A" w14:paraId="4EC7232E" w14:textId="77777777" w:rsidTr="00723ACD">
        <w:trPr>
          <w:trHeight w:hRule="exact" w:val="454"/>
          <w:jc w:val="center"/>
        </w:trPr>
        <w:tc>
          <w:tcPr>
            <w:tcW w:w="3491" w:type="pct"/>
            <w:shd w:val="clear" w:color="auto" w:fill="auto"/>
            <w:vAlign w:val="center"/>
            <w:hideMark/>
          </w:tcPr>
          <w:p w14:paraId="5531E72F"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w:t>
            </w:r>
          </w:p>
        </w:tc>
        <w:tc>
          <w:tcPr>
            <w:tcW w:w="378" w:type="pct"/>
            <w:shd w:val="clear" w:color="auto" w:fill="auto"/>
            <w:noWrap/>
            <w:hideMark/>
          </w:tcPr>
          <w:p w14:paraId="767EDAA0"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-1,0</w:t>
            </w:r>
          </w:p>
        </w:tc>
        <w:tc>
          <w:tcPr>
            <w:tcW w:w="379" w:type="pct"/>
            <w:shd w:val="clear" w:color="auto" w:fill="auto"/>
            <w:noWrap/>
            <w:hideMark/>
          </w:tcPr>
          <w:p w14:paraId="7B962EA6"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+9,5</w:t>
            </w:r>
          </w:p>
        </w:tc>
        <w:tc>
          <w:tcPr>
            <w:tcW w:w="378" w:type="pct"/>
            <w:shd w:val="clear" w:color="auto" w:fill="auto"/>
            <w:noWrap/>
            <w:hideMark/>
          </w:tcPr>
          <w:p w14:paraId="4B888054"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+11,2</w:t>
            </w:r>
          </w:p>
        </w:tc>
        <w:tc>
          <w:tcPr>
            <w:tcW w:w="373" w:type="pct"/>
            <w:shd w:val="clear" w:color="auto" w:fill="auto"/>
          </w:tcPr>
          <w:p w14:paraId="4EAFF141"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w:t>
            </w:r>
          </w:p>
        </w:tc>
      </w:tr>
    </w:tbl>
    <w:p w14:paraId="489D6A03" w14:textId="77777777" w:rsidR="0003379A" w:rsidRPr="0003379A" w:rsidRDefault="0003379A" w:rsidP="0003379A">
      <w:pPr>
        <w:spacing w:after="0"/>
        <w:ind w:left="425" w:firstLine="0"/>
        <w:rPr>
          <w:rFonts w:eastAsia="Calibri" w:cs="Times New Roman"/>
          <w:sz w:val="18"/>
          <w:szCs w:val="18"/>
          <w:lang w:eastAsia="en-US"/>
        </w:rPr>
      </w:pPr>
      <w:r w:rsidRPr="0003379A">
        <w:rPr>
          <w:rFonts w:eastAsia="Calibri" w:cs="Times New Roman"/>
          <w:sz w:val="18"/>
          <w:szCs w:val="18"/>
          <w:vertAlign w:val="superscript"/>
          <w:lang w:eastAsia="en-US"/>
        </w:rPr>
        <w:t>1</w:t>
      </w:r>
      <w:r w:rsidRPr="0003379A">
        <w:rPr>
          <w:rFonts w:eastAsia="Calibri" w:cs="Times New Roman"/>
          <w:sz w:val="18"/>
          <w:szCs w:val="18"/>
          <w:lang w:eastAsia="en-US"/>
        </w:rPr>
        <w:t> Prognoze</w:t>
      </w:r>
    </w:p>
    <w:p w14:paraId="59F8C7CF" w14:textId="77777777" w:rsidR="0003379A" w:rsidRPr="0003379A" w:rsidRDefault="0003379A" w:rsidP="0003379A">
      <w:pPr>
        <w:spacing w:after="0"/>
        <w:ind w:left="425" w:firstLine="0"/>
        <w:rPr>
          <w:rFonts w:eastAsia="Calibri" w:cs="Times New Roman"/>
          <w:sz w:val="18"/>
          <w:szCs w:val="18"/>
          <w:lang w:eastAsia="en-US"/>
        </w:rPr>
      </w:pPr>
    </w:p>
    <w:p w14:paraId="38163E6B" w14:textId="77777777" w:rsidR="0003379A" w:rsidRPr="0003379A" w:rsidRDefault="0003379A" w:rsidP="0003379A">
      <w:pPr>
        <w:rPr>
          <w:rFonts w:cs="Times New Roman"/>
        </w:rPr>
      </w:pPr>
      <w:r w:rsidRPr="0003379A">
        <w:rPr>
          <w:rFonts w:cs="Times New Roman"/>
        </w:rPr>
        <w:t>Transportlīdzekļa ekspluatācijas nodokļa ieņēmumu plānu ietekmē prognozētās ar nodokli apliekamo transportlīdzekļu struktūras un skaita pārmaiņas, 2024. gada nodokļa ieņēmumu plāna neizpilde, kā arī 3.1. sadaļā minētie pasākumi.</w:t>
      </w:r>
    </w:p>
    <w:p w14:paraId="48657021" w14:textId="77777777" w:rsidR="0003379A" w:rsidRPr="0003379A" w:rsidRDefault="0003379A" w:rsidP="0003379A">
      <w:pPr>
        <w:keepNext/>
        <w:keepLines/>
        <w:spacing w:before="240" w:after="240"/>
        <w:ind w:firstLine="0"/>
        <w:jc w:val="center"/>
        <w:outlineLvl w:val="3"/>
        <w:rPr>
          <w:rFonts w:eastAsia="Times New Roman" w:cs="Times New Roman"/>
          <w:b/>
          <w:szCs w:val="20"/>
          <w:lang w:eastAsia="en-US"/>
        </w:rPr>
      </w:pPr>
      <w:r w:rsidRPr="0003379A">
        <w:rPr>
          <w:rFonts w:eastAsia="Times New Roman" w:cs="Times New Roman"/>
          <w:b/>
          <w:szCs w:val="20"/>
          <w:lang w:eastAsia="en-US"/>
        </w:rPr>
        <w:t>Uzņēmumu vieglo transportlīdzekļu nodoklis</w:t>
      </w:r>
    </w:p>
    <w:p w14:paraId="768B72FC" w14:textId="61039DF5" w:rsidR="0003379A" w:rsidRPr="0003379A" w:rsidRDefault="0003379A" w:rsidP="0003379A">
      <w:pPr>
        <w:rPr>
          <w:rFonts w:cs="Times New Roman"/>
        </w:rPr>
      </w:pPr>
      <w:r w:rsidRPr="0003379A">
        <w:rPr>
          <w:rFonts w:cs="Times New Roman"/>
        </w:rPr>
        <w:t>Uzņēmumu vieglo transportlīdzekļu nodokļa ieņēmumi 2024. gada sešos mēnešos bija 13,5 milj. </w:t>
      </w:r>
      <w:proofErr w:type="spellStart"/>
      <w:r w:rsidRPr="0003379A">
        <w:rPr>
          <w:rFonts w:cs="Times New Roman"/>
          <w:i/>
          <w:iCs/>
        </w:rPr>
        <w:t>euro</w:t>
      </w:r>
      <w:proofErr w:type="spellEnd"/>
      <w:r w:rsidRPr="0003379A">
        <w:rPr>
          <w:rFonts w:cs="Times New Roman"/>
        </w:rPr>
        <w:t>, kas salīdzinājumā ar 2023. gadu ir par 1,8 milj. </w:t>
      </w:r>
      <w:proofErr w:type="spellStart"/>
      <w:r w:rsidRPr="0003379A">
        <w:rPr>
          <w:rFonts w:cs="Times New Roman"/>
          <w:i/>
          <w:iCs/>
        </w:rPr>
        <w:t>euro</w:t>
      </w:r>
      <w:proofErr w:type="spellEnd"/>
      <w:r w:rsidRPr="0003379A">
        <w:rPr>
          <w:rFonts w:cs="Times New Roman"/>
        </w:rPr>
        <w:t xml:space="preserve"> jeb 15,6 % vairāk. Salīdzinājumā ar 2024. gada sešu mēnešu plānu, ieņēmumi bija mazāki par 1,5 milj. </w:t>
      </w:r>
      <w:proofErr w:type="spellStart"/>
      <w:r w:rsidRPr="0003379A">
        <w:rPr>
          <w:rFonts w:cs="Times New Roman"/>
          <w:i/>
          <w:iCs/>
        </w:rPr>
        <w:t>euro</w:t>
      </w:r>
      <w:proofErr w:type="spellEnd"/>
      <w:r w:rsidRPr="0003379A">
        <w:rPr>
          <w:rFonts w:cs="Times New Roman"/>
        </w:rPr>
        <w:t xml:space="preserve"> jeb </w:t>
      </w:r>
      <w:r w:rsidRPr="0003379A">
        <w:rPr>
          <w:rFonts w:cs="Times New Roman"/>
        </w:rPr>
        <w:lastRenderedPageBreak/>
        <w:t>9,8%. Plāna neizpildi ietekmēja mazāks ar nodokli apliekamo transportlīdzekļu skaits,</w:t>
      </w:r>
      <w:r w:rsidRPr="0003379A" w:rsidDel="004F3CC1">
        <w:rPr>
          <w:rFonts w:cs="Times New Roman"/>
        </w:rPr>
        <w:t xml:space="preserve"> </w:t>
      </w:r>
      <w:r w:rsidRPr="0003379A">
        <w:rPr>
          <w:rFonts w:cs="Times New Roman"/>
        </w:rPr>
        <w:t>nekā bija sākotnēji plānots. 2024. gada prognoze ir samazināta par 3,4 milj. </w:t>
      </w:r>
      <w:proofErr w:type="spellStart"/>
      <w:r w:rsidRPr="0003379A">
        <w:rPr>
          <w:rFonts w:cs="Times New Roman"/>
          <w:i/>
          <w:iCs/>
        </w:rPr>
        <w:t>euro</w:t>
      </w:r>
      <w:proofErr w:type="spellEnd"/>
      <w:r w:rsidRPr="0003379A">
        <w:rPr>
          <w:rFonts w:cs="Times New Roman"/>
        </w:rPr>
        <w:t xml:space="preserve"> jeb 10,2% no plāna, ko ietekmē </w:t>
      </w:r>
      <w:proofErr w:type="spellStart"/>
      <w:r w:rsidRPr="0003379A">
        <w:rPr>
          <w:rFonts w:cs="Times New Roman"/>
        </w:rPr>
        <w:t>pamatpārbaudi</w:t>
      </w:r>
      <w:proofErr w:type="spellEnd"/>
      <w:r w:rsidRPr="0003379A">
        <w:rPr>
          <w:rFonts w:cs="Times New Roman"/>
        </w:rPr>
        <w:t xml:space="preserve"> veikušo transportlīdzekļu skaita pieauguma tempu samazinājums un ar nodokli apliekamo transportlīdzekļu struktūras pārmaiņas salīdzinājumā ar iepriekšējo gadu. Nodokļa ieņēmumi 2024. gadā prognozēti 30,0 milj. </w:t>
      </w:r>
      <w:proofErr w:type="spellStart"/>
      <w:r w:rsidRPr="0003379A">
        <w:rPr>
          <w:rFonts w:cs="Times New Roman"/>
          <w:i/>
          <w:iCs/>
        </w:rPr>
        <w:t>euro</w:t>
      </w:r>
      <w:proofErr w:type="spellEnd"/>
      <w:r w:rsidRPr="0003379A">
        <w:rPr>
          <w:rFonts w:cs="Times New Roman"/>
        </w:rPr>
        <w:t xml:space="preserve"> apmērā.</w:t>
      </w:r>
    </w:p>
    <w:p w14:paraId="5EC714F2" w14:textId="77777777" w:rsidR="0003379A" w:rsidRPr="0003379A" w:rsidRDefault="0003379A" w:rsidP="0003379A">
      <w:pPr>
        <w:rPr>
          <w:rFonts w:cs="Times New Roman"/>
        </w:rPr>
      </w:pPr>
      <w:r w:rsidRPr="0003379A">
        <w:rPr>
          <w:rFonts w:cs="Times New Roman"/>
        </w:rPr>
        <w:t>Saskaņā ar likumprojektu “Par valsts budžetu 2025. gadam un budžeta ietvaru 2025., 2026. un 2027. gadam” uzņēmumu vieglo transportlīdzekļu nodokļa ieņēmumi 2025. gadā tiek plānoti 30,6 milj. </w:t>
      </w:r>
      <w:proofErr w:type="spellStart"/>
      <w:r w:rsidRPr="0003379A">
        <w:rPr>
          <w:rFonts w:cs="Times New Roman"/>
          <w:i/>
          <w:iCs/>
        </w:rPr>
        <w:t>euro</w:t>
      </w:r>
      <w:proofErr w:type="spellEnd"/>
      <w:r w:rsidRPr="0003379A">
        <w:rPr>
          <w:rFonts w:cs="Times New Roman"/>
        </w:rPr>
        <w:t>, 2026. gadā 31,3 milj. </w:t>
      </w:r>
      <w:proofErr w:type="spellStart"/>
      <w:r w:rsidRPr="0003379A">
        <w:rPr>
          <w:rFonts w:cs="Times New Roman"/>
          <w:i/>
          <w:iCs/>
        </w:rPr>
        <w:t>euro</w:t>
      </w:r>
      <w:proofErr w:type="spellEnd"/>
      <w:r w:rsidRPr="0003379A">
        <w:rPr>
          <w:rFonts w:cs="Times New Roman"/>
        </w:rPr>
        <w:t xml:space="preserve"> un 2027. gadā 34,8 milj. </w:t>
      </w:r>
      <w:proofErr w:type="spellStart"/>
      <w:r w:rsidRPr="0003379A">
        <w:rPr>
          <w:rFonts w:cs="Times New Roman"/>
          <w:i/>
          <w:iCs/>
        </w:rPr>
        <w:t>euro</w:t>
      </w:r>
      <w:proofErr w:type="spellEnd"/>
      <w:r w:rsidRPr="0003379A">
        <w:rPr>
          <w:rFonts w:cs="Times New Roman"/>
        </w:rPr>
        <w:t xml:space="preserve"> apmērā (skat. 3.13. tabulu). Uzņēmumu vieglo transportlīdzekļu nodokļa ieņēmumu plānu ietekmē prognozētās ar nodokli apliekamo transportlīdzekļu struktūras un skaita pārmaiņas, 2024. gadā sagaidāmā neizpilde, kā arī 3.1. sadaļā minētie pasākumi. </w:t>
      </w:r>
    </w:p>
    <w:p w14:paraId="167B7B3B" w14:textId="77777777" w:rsidR="0003379A" w:rsidRPr="0003379A" w:rsidRDefault="0003379A" w:rsidP="0003379A">
      <w:pPr>
        <w:keepNext/>
        <w:keepLines/>
        <w:spacing w:before="240" w:after="0"/>
        <w:ind w:firstLine="0"/>
        <w:jc w:val="right"/>
        <w:rPr>
          <w:rFonts w:eastAsia="Calibri" w:cs="Times New Roman"/>
          <w:b/>
          <w:i/>
          <w:szCs w:val="24"/>
        </w:rPr>
      </w:pPr>
      <w:r w:rsidRPr="0003379A">
        <w:rPr>
          <w:rFonts w:eastAsia="Calibri" w:cs="Times New Roman"/>
          <w:b/>
          <w:i/>
          <w:szCs w:val="24"/>
        </w:rPr>
        <w:t>3.13. tabula. Uzņēmumu vieglo transportlīdzekļu nodokļa ieņēmumi</w:t>
      </w:r>
    </w:p>
    <w:tbl>
      <w:tblPr>
        <w:tblW w:w="494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6236"/>
        <w:gridCol w:w="684"/>
        <w:gridCol w:w="684"/>
        <w:gridCol w:w="684"/>
        <w:gridCol w:w="668"/>
      </w:tblGrid>
      <w:tr w:rsidR="0003379A" w:rsidRPr="0003379A" w14:paraId="2A20989C" w14:textId="77777777" w:rsidTr="008E1E6C">
        <w:trPr>
          <w:trHeight w:hRule="exact" w:val="227"/>
          <w:tblHeader/>
          <w:jc w:val="center"/>
        </w:trPr>
        <w:tc>
          <w:tcPr>
            <w:tcW w:w="3481" w:type="pct"/>
            <w:shd w:val="clear" w:color="auto" w:fill="8EAADB" w:themeFill="accent5" w:themeFillTint="99"/>
            <w:noWrap/>
            <w:vAlign w:val="center"/>
            <w:hideMark/>
          </w:tcPr>
          <w:p w14:paraId="1A334ED1"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p>
        </w:tc>
        <w:tc>
          <w:tcPr>
            <w:tcW w:w="382" w:type="pct"/>
            <w:shd w:val="clear" w:color="auto" w:fill="8EAADB" w:themeFill="accent5" w:themeFillTint="99"/>
            <w:vAlign w:val="center"/>
          </w:tcPr>
          <w:p w14:paraId="3D636D3C"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2024</w:t>
            </w:r>
          </w:p>
        </w:tc>
        <w:tc>
          <w:tcPr>
            <w:tcW w:w="382" w:type="pct"/>
            <w:shd w:val="clear" w:color="auto" w:fill="8EAADB" w:themeFill="accent5" w:themeFillTint="99"/>
            <w:vAlign w:val="center"/>
          </w:tcPr>
          <w:p w14:paraId="2A627150"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2025</w:t>
            </w:r>
          </w:p>
        </w:tc>
        <w:tc>
          <w:tcPr>
            <w:tcW w:w="382" w:type="pct"/>
            <w:shd w:val="clear" w:color="auto" w:fill="8EAADB" w:themeFill="accent5" w:themeFillTint="99"/>
            <w:noWrap/>
            <w:vAlign w:val="center"/>
            <w:hideMark/>
          </w:tcPr>
          <w:p w14:paraId="1DA1CDBA"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2026</w:t>
            </w:r>
          </w:p>
        </w:tc>
        <w:tc>
          <w:tcPr>
            <w:tcW w:w="373" w:type="pct"/>
            <w:shd w:val="clear" w:color="auto" w:fill="8EAADB" w:themeFill="accent5" w:themeFillTint="99"/>
            <w:vAlign w:val="center"/>
          </w:tcPr>
          <w:p w14:paraId="635E0CDE"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2027</w:t>
            </w:r>
          </w:p>
        </w:tc>
      </w:tr>
      <w:tr w:rsidR="0003379A" w:rsidRPr="0003379A" w14:paraId="320B4C8C" w14:textId="77777777" w:rsidTr="00723ACD">
        <w:trPr>
          <w:trHeight w:hRule="exact" w:val="454"/>
          <w:jc w:val="center"/>
        </w:trPr>
        <w:tc>
          <w:tcPr>
            <w:tcW w:w="3481" w:type="pct"/>
            <w:shd w:val="clear" w:color="auto" w:fill="auto"/>
            <w:vAlign w:val="center"/>
            <w:hideMark/>
          </w:tcPr>
          <w:p w14:paraId="3F8B6B18"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Saskaņā ar likumprojektu “Par valsts budžetu 2025. gadam un budžeta ietvaru 2025., 2026. un 2027. gadam”, milj. </w:t>
            </w:r>
            <w:r w:rsidRPr="00264454">
              <w:rPr>
                <w:rFonts w:cs="Times New Roman"/>
                <w:i/>
                <w:iCs/>
                <w:noProof/>
                <w:sz w:val="18"/>
                <w:szCs w:val="18"/>
              </w:rPr>
              <w:t>euro</w:t>
            </w:r>
          </w:p>
        </w:tc>
        <w:tc>
          <w:tcPr>
            <w:tcW w:w="382" w:type="pct"/>
            <w:shd w:val="clear" w:color="auto" w:fill="auto"/>
            <w:noWrap/>
            <w:vAlign w:val="center"/>
          </w:tcPr>
          <w:p w14:paraId="62984A10" w14:textId="658F49B0"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30,0</w:t>
            </w:r>
            <w:r w:rsidR="00264454" w:rsidRPr="008826A2">
              <w:rPr>
                <w:sz w:val="18"/>
                <w:szCs w:val="18"/>
                <w:vertAlign w:val="superscript"/>
              </w:rPr>
              <w:t>1</w:t>
            </w:r>
          </w:p>
        </w:tc>
        <w:tc>
          <w:tcPr>
            <w:tcW w:w="382" w:type="pct"/>
            <w:shd w:val="clear" w:color="auto" w:fill="auto"/>
            <w:noWrap/>
            <w:vAlign w:val="center"/>
          </w:tcPr>
          <w:p w14:paraId="075E398F" w14:textId="450AC8BE"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30,6</w:t>
            </w:r>
            <w:r w:rsidR="00264454" w:rsidRPr="008826A2">
              <w:rPr>
                <w:sz w:val="18"/>
                <w:szCs w:val="18"/>
                <w:vertAlign w:val="superscript"/>
              </w:rPr>
              <w:t>1</w:t>
            </w:r>
          </w:p>
        </w:tc>
        <w:tc>
          <w:tcPr>
            <w:tcW w:w="382" w:type="pct"/>
            <w:shd w:val="clear" w:color="auto" w:fill="auto"/>
            <w:noWrap/>
            <w:vAlign w:val="center"/>
          </w:tcPr>
          <w:p w14:paraId="44D2CC16" w14:textId="49C3F8C4"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31,3</w:t>
            </w:r>
            <w:r w:rsidR="00264454" w:rsidRPr="008826A2">
              <w:rPr>
                <w:sz w:val="18"/>
                <w:szCs w:val="18"/>
                <w:vertAlign w:val="superscript"/>
              </w:rPr>
              <w:t>1</w:t>
            </w:r>
          </w:p>
        </w:tc>
        <w:tc>
          <w:tcPr>
            <w:tcW w:w="373" w:type="pct"/>
            <w:vAlign w:val="center"/>
          </w:tcPr>
          <w:p w14:paraId="65EC371D" w14:textId="7E2B4593"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34,8</w:t>
            </w:r>
            <w:r w:rsidR="00264454" w:rsidRPr="008826A2">
              <w:rPr>
                <w:sz w:val="18"/>
                <w:szCs w:val="18"/>
                <w:vertAlign w:val="superscript"/>
              </w:rPr>
              <w:t>1</w:t>
            </w:r>
          </w:p>
        </w:tc>
      </w:tr>
      <w:tr w:rsidR="0003379A" w:rsidRPr="0003379A" w14:paraId="3BAD0714" w14:textId="77777777" w:rsidTr="00723ACD">
        <w:trPr>
          <w:trHeight w:hRule="exact" w:val="227"/>
          <w:jc w:val="center"/>
        </w:trPr>
        <w:tc>
          <w:tcPr>
            <w:tcW w:w="3481" w:type="pct"/>
            <w:shd w:val="clear" w:color="auto" w:fill="auto"/>
            <w:noWrap/>
            <w:vAlign w:val="center"/>
            <w:hideMark/>
          </w:tcPr>
          <w:p w14:paraId="768457BF"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pret IKP, %</w:t>
            </w:r>
          </w:p>
        </w:tc>
        <w:tc>
          <w:tcPr>
            <w:tcW w:w="382" w:type="pct"/>
            <w:shd w:val="clear" w:color="auto" w:fill="auto"/>
            <w:noWrap/>
          </w:tcPr>
          <w:p w14:paraId="4E271FC4"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0,07</w:t>
            </w:r>
          </w:p>
        </w:tc>
        <w:tc>
          <w:tcPr>
            <w:tcW w:w="382" w:type="pct"/>
            <w:shd w:val="clear" w:color="auto" w:fill="auto"/>
            <w:noWrap/>
          </w:tcPr>
          <w:p w14:paraId="4DFA72E6"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0,07</w:t>
            </w:r>
          </w:p>
        </w:tc>
        <w:tc>
          <w:tcPr>
            <w:tcW w:w="382" w:type="pct"/>
            <w:shd w:val="clear" w:color="auto" w:fill="auto"/>
            <w:noWrap/>
          </w:tcPr>
          <w:p w14:paraId="1C16D373"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0,07</w:t>
            </w:r>
          </w:p>
        </w:tc>
        <w:tc>
          <w:tcPr>
            <w:tcW w:w="373" w:type="pct"/>
          </w:tcPr>
          <w:p w14:paraId="32BA99DA"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0,07</w:t>
            </w:r>
          </w:p>
        </w:tc>
      </w:tr>
      <w:tr w:rsidR="0003379A" w:rsidRPr="0003379A" w14:paraId="340CFC0C" w14:textId="77777777" w:rsidTr="00723ACD">
        <w:trPr>
          <w:trHeight w:hRule="exact" w:val="454"/>
          <w:jc w:val="center"/>
        </w:trPr>
        <w:tc>
          <w:tcPr>
            <w:tcW w:w="3481" w:type="pct"/>
            <w:shd w:val="clear" w:color="auto" w:fill="auto"/>
            <w:vAlign w:val="center"/>
            <w:hideMark/>
          </w:tcPr>
          <w:p w14:paraId="77F55DA8"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milj. </w:t>
            </w:r>
            <w:r w:rsidRPr="00264454">
              <w:rPr>
                <w:rFonts w:cs="Times New Roman"/>
                <w:i/>
                <w:iCs/>
                <w:noProof/>
                <w:sz w:val="18"/>
                <w:szCs w:val="18"/>
              </w:rPr>
              <w:t>euro</w:t>
            </w:r>
          </w:p>
        </w:tc>
        <w:tc>
          <w:tcPr>
            <w:tcW w:w="382" w:type="pct"/>
            <w:shd w:val="clear" w:color="auto" w:fill="auto"/>
            <w:noWrap/>
          </w:tcPr>
          <w:p w14:paraId="1B16FC9B"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-3,4</w:t>
            </w:r>
          </w:p>
        </w:tc>
        <w:tc>
          <w:tcPr>
            <w:tcW w:w="382" w:type="pct"/>
            <w:shd w:val="clear" w:color="auto" w:fill="auto"/>
            <w:noWrap/>
          </w:tcPr>
          <w:p w14:paraId="5BE5827A"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-3,1</w:t>
            </w:r>
          </w:p>
        </w:tc>
        <w:tc>
          <w:tcPr>
            <w:tcW w:w="382" w:type="pct"/>
            <w:shd w:val="clear" w:color="auto" w:fill="auto"/>
            <w:noWrap/>
            <w:hideMark/>
          </w:tcPr>
          <w:p w14:paraId="0ECB56B1"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-2,9</w:t>
            </w:r>
          </w:p>
        </w:tc>
        <w:tc>
          <w:tcPr>
            <w:tcW w:w="373" w:type="pct"/>
            <w:shd w:val="clear" w:color="auto" w:fill="auto"/>
          </w:tcPr>
          <w:p w14:paraId="29C98C02"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w:t>
            </w:r>
          </w:p>
        </w:tc>
      </w:tr>
      <w:tr w:rsidR="0003379A" w:rsidRPr="0003379A" w14:paraId="670E6B5F" w14:textId="77777777" w:rsidTr="00723ACD">
        <w:trPr>
          <w:trHeight w:hRule="exact" w:val="454"/>
          <w:jc w:val="center"/>
        </w:trPr>
        <w:tc>
          <w:tcPr>
            <w:tcW w:w="3481" w:type="pct"/>
            <w:shd w:val="clear" w:color="auto" w:fill="auto"/>
            <w:vAlign w:val="center"/>
            <w:hideMark/>
          </w:tcPr>
          <w:p w14:paraId="712E3199"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w:t>
            </w:r>
          </w:p>
        </w:tc>
        <w:tc>
          <w:tcPr>
            <w:tcW w:w="382" w:type="pct"/>
            <w:shd w:val="clear" w:color="auto" w:fill="auto"/>
            <w:noWrap/>
          </w:tcPr>
          <w:p w14:paraId="1431A13D"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-10,2</w:t>
            </w:r>
          </w:p>
        </w:tc>
        <w:tc>
          <w:tcPr>
            <w:tcW w:w="382" w:type="pct"/>
            <w:shd w:val="clear" w:color="auto" w:fill="auto"/>
            <w:noWrap/>
          </w:tcPr>
          <w:p w14:paraId="4F034EF1"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-9,2</w:t>
            </w:r>
          </w:p>
        </w:tc>
        <w:tc>
          <w:tcPr>
            <w:tcW w:w="382" w:type="pct"/>
            <w:shd w:val="clear" w:color="auto" w:fill="auto"/>
            <w:noWrap/>
            <w:hideMark/>
          </w:tcPr>
          <w:p w14:paraId="4CF84CB7"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-8,5</w:t>
            </w:r>
          </w:p>
        </w:tc>
        <w:tc>
          <w:tcPr>
            <w:tcW w:w="373" w:type="pct"/>
            <w:shd w:val="clear" w:color="auto" w:fill="auto"/>
          </w:tcPr>
          <w:p w14:paraId="6CA3E829"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w:t>
            </w:r>
          </w:p>
        </w:tc>
      </w:tr>
    </w:tbl>
    <w:p w14:paraId="2F3A0CBB" w14:textId="77777777" w:rsidR="0003379A" w:rsidRPr="0003379A" w:rsidRDefault="0003379A" w:rsidP="0003379A">
      <w:pPr>
        <w:spacing w:after="0"/>
        <w:ind w:left="425" w:firstLine="0"/>
        <w:rPr>
          <w:rFonts w:eastAsia="Calibri" w:cs="Times New Roman"/>
          <w:sz w:val="18"/>
          <w:szCs w:val="18"/>
          <w:lang w:eastAsia="en-US"/>
        </w:rPr>
      </w:pPr>
      <w:r w:rsidRPr="0003379A">
        <w:rPr>
          <w:rFonts w:eastAsia="Calibri" w:cs="Times New Roman"/>
          <w:sz w:val="18"/>
          <w:szCs w:val="18"/>
          <w:vertAlign w:val="superscript"/>
          <w:lang w:eastAsia="en-US"/>
        </w:rPr>
        <w:t>1</w:t>
      </w:r>
      <w:r w:rsidRPr="0003379A">
        <w:rPr>
          <w:rFonts w:eastAsia="Calibri" w:cs="Times New Roman"/>
          <w:sz w:val="18"/>
          <w:szCs w:val="18"/>
          <w:lang w:eastAsia="en-US"/>
        </w:rPr>
        <w:t> Prognoze</w:t>
      </w:r>
    </w:p>
    <w:p w14:paraId="61072704" w14:textId="77777777" w:rsidR="0003379A" w:rsidRPr="0003379A" w:rsidRDefault="0003379A" w:rsidP="0003379A">
      <w:pPr>
        <w:keepNext/>
        <w:keepLines/>
        <w:spacing w:before="240" w:after="240"/>
        <w:ind w:firstLine="0"/>
        <w:jc w:val="center"/>
        <w:outlineLvl w:val="3"/>
        <w:rPr>
          <w:rFonts w:eastAsia="Times New Roman" w:cs="Times New Roman"/>
          <w:b/>
          <w:szCs w:val="20"/>
          <w:lang w:eastAsia="en-US"/>
        </w:rPr>
      </w:pPr>
      <w:r w:rsidRPr="0003379A">
        <w:rPr>
          <w:rFonts w:eastAsia="Times New Roman" w:cs="Times New Roman"/>
          <w:b/>
          <w:szCs w:val="20"/>
          <w:lang w:eastAsia="en-US"/>
        </w:rPr>
        <w:t>Muitas nodoklis</w:t>
      </w:r>
    </w:p>
    <w:p w14:paraId="6A70B06C" w14:textId="62CFB890" w:rsidR="0003379A" w:rsidRPr="0003379A" w:rsidRDefault="0003379A" w:rsidP="0003379A">
      <w:pPr>
        <w:rPr>
          <w:rFonts w:eastAsia="Calibri" w:cs="Times New Roman"/>
          <w:szCs w:val="24"/>
        </w:rPr>
      </w:pPr>
      <w:r w:rsidRPr="0003379A">
        <w:rPr>
          <w:rFonts w:eastAsia="Calibri" w:cs="Times New Roman"/>
          <w:szCs w:val="24"/>
        </w:rPr>
        <w:t xml:space="preserve">Muitas nodoklis tiek piemērots no </w:t>
      </w:r>
      <w:proofErr w:type="spellStart"/>
      <w:r w:rsidRPr="0003379A">
        <w:rPr>
          <w:rFonts w:eastAsia="Calibri" w:cs="Times New Roman"/>
          <w:szCs w:val="24"/>
        </w:rPr>
        <w:t>ārpussavienības</w:t>
      </w:r>
      <w:proofErr w:type="spellEnd"/>
      <w:r w:rsidRPr="0003379A">
        <w:rPr>
          <w:rFonts w:eastAsia="Calibri" w:cs="Times New Roman"/>
          <w:szCs w:val="24"/>
        </w:rPr>
        <w:t xml:space="preserve"> valstīm importētajām precēm un ir vienots ES ārējās tirdzniecības instruments, kas ir reglamentējams ar Padomes Regulu (EEK) Nr. 2658/87</w:t>
      </w:r>
      <w:r w:rsidRPr="0003379A">
        <w:rPr>
          <w:rFonts w:eastAsia="Calibri" w:cs="Times New Roman"/>
          <w:szCs w:val="24"/>
          <w:vertAlign w:val="superscript"/>
        </w:rPr>
        <w:footnoteReference w:id="35"/>
      </w:r>
      <w:r w:rsidRPr="0003379A">
        <w:rPr>
          <w:rFonts w:eastAsia="Calibri" w:cs="Times New Roman"/>
          <w:szCs w:val="24"/>
        </w:rPr>
        <w:t xml:space="preserve"> un ar kura palīdzību tiek aizsargāts ES iekšējais tirgus. No muitas nodokļa kopējiem ieņēmumiem 75% tiek ieskaitīti ES budžetā.</w:t>
      </w:r>
    </w:p>
    <w:p w14:paraId="002D15A0" w14:textId="4C5666A4" w:rsidR="0003379A" w:rsidRPr="0003379A" w:rsidRDefault="0003379A" w:rsidP="0003379A">
      <w:pPr>
        <w:rPr>
          <w:rFonts w:eastAsia="Calibri" w:cs="Times New Roman"/>
          <w:szCs w:val="24"/>
        </w:rPr>
      </w:pPr>
      <w:r w:rsidRPr="0003379A">
        <w:rPr>
          <w:rFonts w:eastAsia="Calibri" w:cs="Times New Roman"/>
          <w:szCs w:val="24"/>
        </w:rPr>
        <w:t>Muitas nodokļa ieņēmumi 2024. gada 1. pusgadā bija 31,0 milj. </w:t>
      </w:r>
      <w:proofErr w:type="spellStart"/>
      <w:r w:rsidRPr="0003379A">
        <w:rPr>
          <w:rFonts w:eastAsia="Calibri" w:cs="Times New Roman"/>
          <w:i/>
          <w:iCs/>
          <w:szCs w:val="24"/>
        </w:rPr>
        <w:t>euro</w:t>
      </w:r>
      <w:proofErr w:type="spellEnd"/>
      <w:r w:rsidRPr="0003379A">
        <w:rPr>
          <w:rFonts w:eastAsia="Calibri" w:cs="Times New Roman"/>
          <w:szCs w:val="24"/>
        </w:rPr>
        <w:t>, kas ir par 1,9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6,6% vairāk nekā pērnā gada attiecīgajā periodā. Muitas nodokļa ieņēmumu pieaugumu noteica galvenokārt tādu preču ievešana, kā: pārtikas rūpniecības atliekas, lopbarība (pārsvarā no Krievijas Federācijas); dzīvnieku, augu vai mikrobu tauki un eļļas (pārsvarā no Baltkrievijas un Krievijas Federācijas); dzelzs un tērauds (pārsvarā no Krievijas Federācijas). 2024. gada 1. pusgadā muitas nodokļa ieņēmumi bija par 0,9 milj. </w:t>
      </w:r>
      <w:proofErr w:type="spellStart"/>
      <w:r w:rsidRPr="0003379A">
        <w:rPr>
          <w:rFonts w:eastAsia="Calibri" w:cs="Times New Roman"/>
          <w:i/>
          <w:iCs/>
          <w:szCs w:val="24"/>
        </w:rPr>
        <w:t>euro</w:t>
      </w:r>
      <w:proofErr w:type="spellEnd"/>
      <w:r w:rsidRPr="0003379A">
        <w:rPr>
          <w:rFonts w:eastAsia="Calibri" w:cs="Times New Roman"/>
          <w:szCs w:val="24"/>
        </w:rPr>
        <w:t xml:space="preserve"> jeb 2,8% mazāki nekā iepriekš plānots.</w:t>
      </w:r>
    </w:p>
    <w:p w14:paraId="5CA34E4D" w14:textId="77777777" w:rsidR="0003379A" w:rsidRPr="0003379A" w:rsidRDefault="0003379A" w:rsidP="0003379A">
      <w:pPr>
        <w:rPr>
          <w:rFonts w:eastAsia="Calibri" w:cs="Times New Roman"/>
          <w:szCs w:val="24"/>
        </w:rPr>
      </w:pPr>
      <w:r w:rsidRPr="0003379A">
        <w:rPr>
          <w:rFonts w:eastAsia="Calibri" w:cs="Times New Roman"/>
          <w:szCs w:val="24"/>
        </w:rPr>
        <w:t>Saskaņā ar likumu “Par valsts budžetu 2025. gadam un budžeta ietvaru 2025., 2026. un 2027. gadam” muitas nodokļa ieņēmumi tiek prognozēti šādos apmēros: 2025. gadā – 67,3 milj. </w:t>
      </w:r>
      <w:proofErr w:type="spellStart"/>
      <w:r w:rsidRPr="0003379A">
        <w:rPr>
          <w:rFonts w:eastAsia="Calibri" w:cs="Times New Roman"/>
          <w:i/>
          <w:iCs/>
          <w:szCs w:val="24"/>
        </w:rPr>
        <w:t>euro</w:t>
      </w:r>
      <w:proofErr w:type="spellEnd"/>
      <w:r w:rsidRPr="0003379A">
        <w:rPr>
          <w:rFonts w:eastAsia="Calibri" w:cs="Times New Roman"/>
          <w:szCs w:val="24"/>
        </w:rPr>
        <w:t>, 2026. gadā – 70,9 milj. </w:t>
      </w:r>
      <w:proofErr w:type="spellStart"/>
      <w:r w:rsidRPr="0003379A">
        <w:rPr>
          <w:rFonts w:eastAsia="Calibri" w:cs="Times New Roman"/>
          <w:i/>
          <w:iCs/>
          <w:szCs w:val="24"/>
        </w:rPr>
        <w:t>euro</w:t>
      </w:r>
      <w:proofErr w:type="spellEnd"/>
      <w:r w:rsidRPr="0003379A">
        <w:rPr>
          <w:rFonts w:eastAsia="Calibri" w:cs="Times New Roman"/>
          <w:szCs w:val="24"/>
        </w:rPr>
        <w:t xml:space="preserve"> un 2027. gadā – 74,5 milj. </w:t>
      </w:r>
      <w:proofErr w:type="spellStart"/>
      <w:r w:rsidRPr="0003379A">
        <w:rPr>
          <w:rFonts w:eastAsia="Calibri" w:cs="Times New Roman"/>
          <w:i/>
          <w:iCs/>
          <w:szCs w:val="24"/>
        </w:rPr>
        <w:t>euro</w:t>
      </w:r>
      <w:proofErr w:type="spellEnd"/>
      <w:r w:rsidRPr="0003379A">
        <w:rPr>
          <w:rFonts w:eastAsia="Calibri" w:cs="Times New Roman"/>
          <w:szCs w:val="24"/>
        </w:rPr>
        <w:t xml:space="preserve"> (skat. 3.14. tabulu). Muitas nodokļa ieņēmumu prognozi vidējā termiņā nosaka prognozētā importa no </w:t>
      </w:r>
      <w:proofErr w:type="spellStart"/>
      <w:r w:rsidRPr="0003379A">
        <w:rPr>
          <w:rFonts w:eastAsia="Calibri" w:cs="Times New Roman"/>
          <w:szCs w:val="24"/>
        </w:rPr>
        <w:t>ārpussavienības</w:t>
      </w:r>
      <w:proofErr w:type="spellEnd"/>
      <w:r w:rsidRPr="0003379A">
        <w:rPr>
          <w:rFonts w:eastAsia="Calibri" w:cs="Times New Roman"/>
          <w:szCs w:val="24"/>
        </w:rPr>
        <w:t xml:space="preserve"> valstīm dinamika faktiskajās cenās un prognozētie 2024. gada muitas nodokļa ieņēmumi.</w:t>
      </w:r>
    </w:p>
    <w:p w14:paraId="7FFFBC22" w14:textId="77777777" w:rsidR="0003379A" w:rsidRPr="0003379A" w:rsidRDefault="0003379A" w:rsidP="0003379A">
      <w:pPr>
        <w:keepNext/>
        <w:keepLines/>
        <w:spacing w:before="240" w:after="0"/>
        <w:ind w:firstLine="0"/>
        <w:jc w:val="right"/>
        <w:rPr>
          <w:rFonts w:eastAsia="Calibri" w:cs="Times New Roman"/>
          <w:b/>
          <w:i/>
          <w:szCs w:val="24"/>
        </w:rPr>
      </w:pPr>
      <w:r w:rsidRPr="0003379A">
        <w:rPr>
          <w:rFonts w:eastAsia="Calibri" w:cs="Times New Roman"/>
          <w:b/>
          <w:i/>
          <w:szCs w:val="24"/>
        </w:rPr>
        <w:lastRenderedPageBreak/>
        <w:t>3.14. tabula. Muitas nodokļa ieņēmumi</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68"/>
        <w:gridCol w:w="851"/>
        <w:gridCol w:w="851"/>
        <w:gridCol w:w="851"/>
        <w:gridCol w:w="851"/>
      </w:tblGrid>
      <w:tr w:rsidR="0003379A" w:rsidRPr="0003379A" w14:paraId="76AB77C0" w14:textId="77777777" w:rsidTr="008E1E6C">
        <w:trPr>
          <w:cantSplit/>
          <w:trHeight w:hRule="exact" w:val="227"/>
          <w:jc w:val="center"/>
        </w:trPr>
        <w:tc>
          <w:tcPr>
            <w:tcW w:w="5670" w:type="dxa"/>
            <w:shd w:val="clear" w:color="auto" w:fill="8EAADB" w:themeFill="accent5" w:themeFillTint="99"/>
            <w:tcMar>
              <w:left w:w="28" w:type="dxa"/>
              <w:right w:w="28" w:type="dxa"/>
            </w:tcMar>
            <w:vAlign w:val="center"/>
          </w:tcPr>
          <w:p w14:paraId="10E15C9D"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p>
        </w:tc>
        <w:tc>
          <w:tcPr>
            <w:tcW w:w="851" w:type="dxa"/>
            <w:shd w:val="clear" w:color="auto" w:fill="8EAADB" w:themeFill="accent5" w:themeFillTint="99"/>
            <w:tcMar>
              <w:left w:w="28" w:type="dxa"/>
              <w:right w:w="28" w:type="dxa"/>
            </w:tcMar>
            <w:vAlign w:val="center"/>
          </w:tcPr>
          <w:p w14:paraId="30AABB0B"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2024</w:t>
            </w:r>
          </w:p>
        </w:tc>
        <w:tc>
          <w:tcPr>
            <w:tcW w:w="851" w:type="dxa"/>
            <w:shd w:val="clear" w:color="auto" w:fill="8EAADB" w:themeFill="accent5" w:themeFillTint="99"/>
            <w:tcMar>
              <w:left w:w="28" w:type="dxa"/>
              <w:right w:w="28" w:type="dxa"/>
            </w:tcMar>
            <w:vAlign w:val="center"/>
          </w:tcPr>
          <w:p w14:paraId="20D65DD4"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2025</w:t>
            </w:r>
          </w:p>
        </w:tc>
        <w:tc>
          <w:tcPr>
            <w:tcW w:w="851" w:type="dxa"/>
            <w:shd w:val="clear" w:color="auto" w:fill="8EAADB" w:themeFill="accent5" w:themeFillTint="99"/>
            <w:tcMar>
              <w:left w:w="28" w:type="dxa"/>
              <w:right w:w="28" w:type="dxa"/>
            </w:tcMar>
            <w:vAlign w:val="center"/>
          </w:tcPr>
          <w:p w14:paraId="5ADA56C5"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2026</w:t>
            </w:r>
          </w:p>
        </w:tc>
        <w:tc>
          <w:tcPr>
            <w:tcW w:w="851" w:type="dxa"/>
            <w:shd w:val="clear" w:color="auto" w:fill="8EAADB" w:themeFill="accent5" w:themeFillTint="99"/>
            <w:tcMar>
              <w:left w:w="28" w:type="dxa"/>
              <w:right w:w="28" w:type="dxa"/>
            </w:tcMar>
            <w:vAlign w:val="center"/>
          </w:tcPr>
          <w:p w14:paraId="053FABB8" w14:textId="77777777" w:rsidR="0003379A" w:rsidRPr="0003379A" w:rsidRDefault="0003379A" w:rsidP="0003379A">
            <w:pPr>
              <w:keepNext/>
              <w:keepLines/>
              <w:spacing w:after="0"/>
              <w:ind w:firstLine="0"/>
              <w:contextualSpacing/>
              <w:jc w:val="center"/>
              <w:rPr>
                <w:rFonts w:eastAsia="Times New Roman" w:cs="Times New Roman"/>
                <w:b/>
                <w:bCs/>
                <w:sz w:val="20"/>
                <w:szCs w:val="24"/>
              </w:rPr>
            </w:pPr>
            <w:r w:rsidRPr="0003379A">
              <w:rPr>
                <w:rFonts w:eastAsia="Times New Roman" w:cs="Times New Roman"/>
                <w:b/>
                <w:bCs/>
                <w:sz w:val="20"/>
                <w:szCs w:val="24"/>
              </w:rPr>
              <w:t>2027</w:t>
            </w:r>
          </w:p>
        </w:tc>
      </w:tr>
      <w:tr w:rsidR="0003379A" w:rsidRPr="0003379A" w14:paraId="466D3340" w14:textId="77777777" w:rsidTr="00723ACD">
        <w:trPr>
          <w:cantSplit/>
          <w:trHeight w:hRule="exact" w:val="454"/>
          <w:jc w:val="center"/>
        </w:trPr>
        <w:tc>
          <w:tcPr>
            <w:tcW w:w="5670" w:type="dxa"/>
            <w:tcMar>
              <w:left w:w="28" w:type="dxa"/>
              <w:right w:w="28" w:type="dxa"/>
            </w:tcMar>
            <w:vAlign w:val="center"/>
          </w:tcPr>
          <w:p w14:paraId="2B1DECA6" w14:textId="77777777" w:rsidR="0003379A" w:rsidRPr="0003379A" w:rsidRDefault="0003379A" w:rsidP="0003379A">
            <w:pPr>
              <w:keepNext/>
              <w:keepLines/>
              <w:spacing w:after="0"/>
              <w:ind w:firstLine="0"/>
              <w:jc w:val="left"/>
              <w:rPr>
                <w:rFonts w:cs="Times New Roman"/>
                <w:i/>
                <w:noProof/>
                <w:sz w:val="18"/>
                <w:szCs w:val="18"/>
              </w:rPr>
            </w:pPr>
            <w:r w:rsidRPr="0003379A">
              <w:rPr>
                <w:rFonts w:cs="Times New Roman"/>
                <w:noProof/>
                <w:sz w:val="18"/>
                <w:szCs w:val="18"/>
              </w:rPr>
              <w:t>Saskaņā ar likumu “Par valsts budžetu 2025. gadam un budžeta ietvaru 2025., 2026. un 2027. gadam”, milj.</w:t>
            </w:r>
            <w:r w:rsidRPr="0003379A">
              <w:rPr>
                <w:rFonts w:cs="Times New Roman"/>
                <w:i/>
                <w:noProof/>
                <w:sz w:val="18"/>
                <w:szCs w:val="18"/>
              </w:rPr>
              <w:t> euro</w:t>
            </w:r>
          </w:p>
        </w:tc>
        <w:tc>
          <w:tcPr>
            <w:tcW w:w="851" w:type="dxa"/>
            <w:tcMar>
              <w:left w:w="28" w:type="dxa"/>
              <w:right w:w="28" w:type="dxa"/>
            </w:tcMar>
            <w:vAlign w:val="center"/>
          </w:tcPr>
          <w:p w14:paraId="360C655C" w14:textId="77777777" w:rsidR="0003379A" w:rsidRPr="0003379A" w:rsidRDefault="0003379A" w:rsidP="0003379A">
            <w:pPr>
              <w:keepNext/>
              <w:keepLines/>
              <w:tabs>
                <w:tab w:val="decimal" w:pos="510"/>
              </w:tabs>
              <w:spacing w:after="0"/>
              <w:ind w:firstLine="0"/>
              <w:jc w:val="left"/>
              <w:rPr>
                <w:rFonts w:cs="Times New Roman"/>
                <w:noProof/>
                <w:sz w:val="18"/>
                <w:szCs w:val="18"/>
              </w:rPr>
            </w:pPr>
            <w:r w:rsidRPr="0003379A">
              <w:rPr>
                <w:rFonts w:cs="Times New Roman"/>
                <w:noProof/>
                <w:sz w:val="18"/>
                <w:szCs w:val="18"/>
              </w:rPr>
              <w:t>63,7</w:t>
            </w:r>
            <w:r w:rsidRPr="0003379A">
              <w:rPr>
                <w:rFonts w:cs="Times New Roman"/>
                <w:noProof/>
                <w:sz w:val="18"/>
                <w:szCs w:val="18"/>
                <w:vertAlign w:val="superscript"/>
              </w:rPr>
              <w:t>1</w:t>
            </w:r>
          </w:p>
        </w:tc>
        <w:tc>
          <w:tcPr>
            <w:tcW w:w="851" w:type="dxa"/>
            <w:tcMar>
              <w:left w:w="28" w:type="dxa"/>
              <w:right w:w="28" w:type="dxa"/>
            </w:tcMar>
            <w:vAlign w:val="center"/>
          </w:tcPr>
          <w:p w14:paraId="14995816" w14:textId="5D191874" w:rsidR="0003379A" w:rsidRPr="0003379A" w:rsidRDefault="0003379A" w:rsidP="0003379A">
            <w:pPr>
              <w:keepNext/>
              <w:keepLines/>
              <w:tabs>
                <w:tab w:val="decimal" w:pos="510"/>
              </w:tabs>
              <w:spacing w:after="0"/>
              <w:ind w:firstLine="0"/>
              <w:jc w:val="left"/>
              <w:rPr>
                <w:rFonts w:cs="Times New Roman"/>
                <w:noProof/>
                <w:sz w:val="18"/>
                <w:szCs w:val="18"/>
              </w:rPr>
            </w:pPr>
            <w:r w:rsidRPr="0003379A">
              <w:rPr>
                <w:rFonts w:cs="Times New Roman"/>
                <w:noProof/>
                <w:sz w:val="18"/>
                <w:szCs w:val="18"/>
              </w:rPr>
              <w:t>67,3</w:t>
            </w:r>
            <w:r w:rsidR="00264454" w:rsidRPr="008826A2">
              <w:rPr>
                <w:sz w:val="18"/>
                <w:szCs w:val="18"/>
                <w:vertAlign w:val="superscript"/>
              </w:rPr>
              <w:t>1</w:t>
            </w:r>
          </w:p>
        </w:tc>
        <w:tc>
          <w:tcPr>
            <w:tcW w:w="851" w:type="dxa"/>
            <w:tcMar>
              <w:left w:w="28" w:type="dxa"/>
              <w:right w:w="28" w:type="dxa"/>
            </w:tcMar>
            <w:vAlign w:val="center"/>
          </w:tcPr>
          <w:p w14:paraId="59D4F96A" w14:textId="26CC0451" w:rsidR="0003379A" w:rsidRPr="0003379A" w:rsidRDefault="0003379A" w:rsidP="0003379A">
            <w:pPr>
              <w:keepNext/>
              <w:keepLines/>
              <w:tabs>
                <w:tab w:val="decimal" w:pos="510"/>
              </w:tabs>
              <w:spacing w:after="0"/>
              <w:ind w:firstLine="0"/>
              <w:jc w:val="left"/>
              <w:rPr>
                <w:rFonts w:cs="Times New Roman"/>
                <w:noProof/>
                <w:sz w:val="18"/>
                <w:szCs w:val="18"/>
              </w:rPr>
            </w:pPr>
            <w:r w:rsidRPr="0003379A">
              <w:rPr>
                <w:rFonts w:cs="Times New Roman"/>
                <w:noProof/>
                <w:sz w:val="18"/>
                <w:szCs w:val="18"/>
              </w:rPr>
              <w:t>70,9</w:t>
            </w:r>
            <w:r w:rsidR="00264454" w:rsidRPr="008826A2">
              <w:rPr>
                <w:sz w:val="18"/>
                <w:szCs w:val="18"/>
                <w:vertAlign w:val="superscript"/>
              </w:rPr>
              <w:t>1</w:t>
            </w:r>
          </w:p>
        </w:tc>
        <w:tc>
          <w:tcPr>
            <w:tcW w:w="851" w:type="dxa"/>
            <w:tcMar>
              <w:left w:w="28" w:type="dxa"/>
              <w:right w:w="28" w:type="dxa"/>
            </w:tcMar>
            <w:vAlign w:val="center"/>
          </w:tcPr>
          <w:p w14:paraId="5A7144E7" w14:textId="7BCE59A9" w:rsidR="0003379A" w:rsidRPr="0003379A" w:rsidRDefault="0003379A" w:rsidP="0003379A">
            <w:pPr>
              <w:keepNext/>
              <w:keepLines/>
              <w:tabs>
                <w:tab w:val="decimal" w:pos="510"/>
              </w:tabs>
              <w:spacing w:after="0"/>
              <w:ind w:firstLine="0"/>
              <w:jc w:val="left"/>
              <w:rPr>
                <w:rFonts w:cs="Times New Roman"/>
                <w:noProof/>
                <w:sz w:val="18"/>
                <w:szCs w:val="18"/>
              </w:rPr>
            </w:pPr>
            <w:r w:rsidRPr="0003379A">
              <w:rPr>
                <w:rFonts w:cs="Times New Roman"/>
                <w:noProof/>
                <w:sz w:val="18"/>
                <w:szCs w:val="18"/>
              </w:rPr>
              <w:t>74,5</w:t>
            </w:r>
            <w:r w:rsidR="00264454" w:rsidRPr="008826A2">
              <w:rPr>
                <w:sz w:val="18"/>
                <w:szCs w:val="18"/>
                <w:vertAlign w:val="superscript"/>
              </w:rPr>
              <w:t>1</w:t>
            </w:r>
          </w:p>
        </w:tc>
      </w:tr>
      <w:tr w:rsidR="0003379A" w:rsidRPr="0003379A" w14:paraId="27F1DD82" w14:textId="77777777" w:rsidTr="00723ACD">
        <w:trPr>
          <w:cantSplit/>
          <w:trHeight w:hRule="exact" w:val="227"/>
          <w:jc w:val="center"/>
        </w:trPr>
        <w:tc>
          <w:tcPr>
            <w:tcW w:w="5670" w:type="dxa"/>
            <w:tcMar>
              <w:left w:w="28" w:type="dxa"/>
              <w:right w:w="28" w:type="dxa"/>
            </w:tcMar>
            <w:vAlign w:val="center"/>
          </w:tcPr>
          <w:p w14:paraId="6653F637" w14:textId="77777777" w:rsidR="0003379A" w:rsidRPr="0003379A" w:rsidRDefault="0003379A" w:rsidP="0003379A">
            <w:pPr>
              <w:keepNext/>
              <w:keepLines/>
              <w:spacing w:after="0"/>
              <w:ind w:left="391" w:firstLine="0"/>
              <w:jc w:val="left"/>
              <w:rPr>
                <w:rFonts w:cs="Times New Roman"/>
                <w:i/>
                <w:iCs/>
                <w:noProof/>
                <w:sz w:val="18"/>
                <w:szCs w:val="18"/>
              </w:rPr>
            </w:pPr>
            <w:r w:rsidRPr="0003379A">
              <w:rPr>
                <w:rFonts w:cs="Times New Roman"/>
                <w:i/>
                <w:iCs/>
                <w:noProof/>
                <w:sz w:val="18"/>
                <w:szCs w:val="18"/>
              </w:rPr>
              <w:t>pret IKP, %</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E197F43" w14:textId="77777777" w:rsidR="0003379A" w:rsidRPr="0003379A" w:rsidRDefault="0003379A" w:rsidP="0003379A">
            <w:pPr>
              <w:keepNext/>
              <w:keepLines/>
              <w:tabs>
                <w:tab w:val="decimal" w:pos="510"/>
              </w:tabs>
              <w:spacing w:after="0"/>
              <w:ind w:firstLine="0"/>
              <w:jc w:val="left"/>
              <w:rPr>
                <w:rFonts w:cs="Times New Roman"/>
                <w:i/>
                <w:iCs/>
                <w:noProof/>
                <w:color w:val="000000"/>
                <w:sz w:val="18"/>
                <w:szCs w:val="18"/>
              </w:rPr>
            </w:pPr>
            <w:r w:rsidRPr="0003379A">
              <w:rPr>
                <w:rFonts w:cs="Times New Roman"/>
                <w:i/>
                <w:iCs/>
                <w:noProof/>
                <w:color w:val="000000"/>
                <w:sz w:val="18"/>
                <w:szCs w:val="18"/>
              </w:rPr>
              <w:t>0,15</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tcPr>
          <w:p w14:paraId="7333FAAA" w14:textId="77777777" w:rsidR="0003379A" w:rsidRPr="0003379A" w:rsidRDefault="0003379A" w:rsidP="0003379A">
            <w:pPr>
              <w:keepNext/>
              <w:keepLines/>
              <w:tabs>
                <w:tab w:val="decimal" w:pos="510"/>
              </w:tabs>
              <w:spacing w:after="0"/>
              <w:ind w:firstLine="0"/>
              <w:jc w:val="left"/>
              <w:rPr>
                <w:rFonts w:cs="Times New Roman"/>
                <w:i/>
                <w:iCs/>
                <w:noProof/>
                <w:color w:val="000000"/>
                <w:sz w:val="18"/>
                <w:szCs w:val="18"/>
              </w:rPr>
            </w:pPr>
            <w:r w:rsidRPr="0003379A">
              <w:rPr>
                <w:rFonts w:cs="Times New Roman"/>
                <w:i/>
                <w:iCs/>
                <w:noProof/>
                <w:color w:val="000000"/>
                <w:sz w:val="18"/>
                <w:szCs w:val="18"/>
              </w:rPr>
              <w:t>0,15</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tcPr>
          <w:p w14:paraId="2C2436FB" w14:textId="77777777" w:rsidR="0003379A" w:rsidRPr="0003379A" w:rsidRDefault="0003379A" w:rsidP="0003379A">
            <w:pPr>
              <w:keepNext/>
              <w:keepLines/>
              <w:tabs>
                <w:tab w:val="decimal" w:pos="510"/>
              </w:tabs>
              <w:spacing w:after="0"/>
              <w:ind w:firstLine="0"/>
              <w:jc w:val="left"/>
              <w:rPr>
                <w:rFonts w:cs="Times New Roman"/>
                <w:i/>
                <w:iCs/>
                <w:noProof/>
                <w:color w:val="000000"/>
                <w:sz w:val="18"/>
                <w:szCs w:val="18"/>
              </w:rPr>
            </w:pPr>
            <w:r w:rsidRPr="0003379A">
              <w:rPr>
                <w:rFonts w:cs="Times New Roman"/>
                <w:i/>
                <w:iCs/>
                <w:noProof/>
                <w:color w:val="000000"/>
                <w:sz w:val="18"/>
                <w:szCs w:val="18"/>
              </w:rPr>
              <w:t>0,15</w:t>
            </w:r>
          </w:p>
        </w:tc>
        <w:tc>
          <w:tcPr>
            <w:tcW w:w="851" w:type="dxa"/>
            <w:tcBorders>
              <w:top w:val="single" w:sz="4" w:space="0" w:color="auto"/>
              <w:left w:val="nil"/>
              <w:bottom w:val="single" w:sz="4" w:space="0" w:color="auto"/>
              <w:right w:val="single" w:sz="4" w:space="0" w:color="auto"/>
            </w:tcBorders>
            <w:shd w:val="clear" w:color="auto" w:fill="auto"/>
            <w:tcMar>
              <w:left w:w="28" w:type="dxa"/>
              <w:right w:w="28" w:type="dxa"/>
            </w:tcMar>
          </w:tcPr>
          <w:p w14:paraId="045E1254" w14:textId="77777777" w:rsidR="0003379A" w:rsidRPr="0003379A" w:rsidRDefault="0003379A" w:rsidP="0003379A">
            <w:pPr>
              <w:keepNext/>
              <w:keepLines/>
              <w:tabs>
                <w:tab w:val="decimal" w:pos="510"/>
              </w:tabs>
              <w:spacing w:after="0"/>
              <w:ind w:firstLine="0"/>
              <w:jc w:val="left"/>
              <w:rPr>
                <w:rFonts w:cs="Times New Roman"/>
                <w:i/>
                <w:iCs/>
                <w:noProof/>
                <w:color w:val="000000"/>
                <w:sz w:val="18"/>
                <w:szCs w:val="18"/>
              </w:rPr>
            </w:pPr>
            <w:r w:rsidRPr="0003379A">
              <w:rPr>
                <w:rFonts w:cs="Times New Roman"/>
                <w:i/>
                <w:iCs/>
                <w:noProof/>
                <w:color w:val="000000"/>
                <w:sz w:val="18"/>
                <w:szCs w:val="18"/>
              </w:rPr>
              <w:t>0,15</w:t>
            </w:r>
          </w:p>
        </w:tc>
      </w:tr>
      <w:tr w:rsidR="0003379A" w:rsidRPr="0003379A" w14:paraId="28F06FAB" w14:textId="77777777" w:rsidTr="00723ACD">
        <w:trPr>
          <w:cantSplit/>
          <w:trHeight w:hRule="exact" w:val="454"/>
          <w:jc w:val="center"/>
        </w:trPr>
        <w:tc>
          <w:tcPr>
            <w:tcW w:w="5670" w:type="dxa"/>
            <w:tcMar>
              <w:left w:w="28" w:type="dxa"/>
              <w:right w:w="28" w:type="dxa"/>
            </w:tcMar>
            <w:vAlign w:val="center"/>
          </w:tcPr>
          <w:p w14:paraId="04CB9886"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milj.</w:t>
            </w:r>
            <w:r w:rsidRPr="0003379A">
              <w:rPr>
                <w:rFonts w:cs="Times New Roman"/>
                <w:i/>
                <w:noProof/>
                <w:sz w:val="18"/>
                <w:szCs w:val="18"/>
              </w:rPr>
              <w:t> euro</w:t>
            </w:r>
          </w:p>
        </w:tc>
        <w:tc>
          <w:tcPr>
            <w:tcW w:w="851" w:type="dxa"/>
            <w:tcMar>
              <w:left w:w="28" w:type="dxa"/>
              <w:right w:w="28" w:type="dxa"/>
            </w:tcMar>
            <w:vAlign w:val="center"/>
          </w:tcPr>
          <w:p w14:paraId="11A70D6C"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-4,7</w:t>
            </w:r>
          </w:p>
        </w:tc>
        <w:tc>
          <w:tcPr>
            <w:tcW w:w="851" w:type="dxa"/>
            <w:tcMar>
              <w:left w:w="28" w:type="dxa"/>
              <w:right w:w="28" w:type="dxa"/>
            </w:tcMar>
            <w:vAlign w:val="center"/>
          </w:tcPr>
          <w:p w14:paraId="50BA9950"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-4,6</w:t>
            </w:r>
          </w:p>
        </w:tc>
        <w:tc>
          <w:tcPr>
            <w:tcW w:w="851" w:type="dxa"/>
            <w:tcMar>
              <w:left w:w="28" w:type="dxa"/>
              <w:right w:w="28" w:type="dxa"/>
            </w:tcMar>
            <w:vAlign w:val="center"/>
          </w:tcPr>
          <w:p w14:paraId="21986AEE"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-5,6</w:t>
            </w:r>
          </w:p>
        </w:tc>
        <w:tc>
          <w:tcPr>
            <w:tcW w:w="851" w:type="dxa"/>
            <w:tcMar>
              <w:left w:w="28" w:type="dxa"/>
              <w:right w:w="28" w:type="dxa"/>
            </w:tcMar>
            <w:vAlign w:val="center"/>
          </w:tcPr>
          <w:p w14:paraId="6F4AF045"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w:t>
            </w:r>
          </w:p>
        </w:tc>
      </w:tr>
      <w:tr w:rsidR="0003379A" w:rsidRPr="0003379A" w14:paraId="6988DD54" w14:textId="77777777" w:rsidTr="00723ACD">
        <w:trPr>
          <w:cantSplit/>
          <w:trHeight w:hRule="exact" w:val="454"/>
          <w:jc w:val="center"/>
        </w:trPr>
        <w:tc>
          <w:tcPr>
            <w:tcW w:w="5670" w:type="dxa"/>
            <w:tcMar>
              <w:left w:w="28" w:type="dxa"/>
              <w:right w:w="28" w:type="dxa"/>
            </w:tcMar>
            <w:vAlign w:val="center"/>
          </w:tcPr>
          <w:p w14:paraId="2AF8BC7A" w14:textId="77777777" w:rsidR="0003379A" w:rsidRPr="0003379A" w:rsidRDefault="0003379A" w:rsidP="0003379A">
            <w:pPr>
              <w:keepNext/>
              <w:keepLines/>
              <w:spacing w:after="0"/>
              <w:ind w:firstLine="0"/>
              <w:jc w:val="left"/>
              <w:rPr>
                <w:rFonts w:cs="Times New Roman"/>
                <w:noProof/>
                <w:sz w:val="18"/>
                <w:szCs w:val="18"/>
              </w:rPr>
            </w:pPr>
            <w:r w:rsidRPr="0003379A">
              <w:rPr>
                <w:rFonts w:cs="Times New Roman"/>
                <w:noProof/>
                <w:sz w:val="18"/>
                <w:szCs w:val="18"/>
              </w:rPr>
              <w:t>Salīdzinājumā ar likumu “Par valsts budžetu 2024. gadam un budžeta ietvaru 2024., 2025. un 2026. gadam”, %</w:t>
            </w:r>
          </w:p>
        </w:tc>
        <w:tc>
          <w:tcPr>
            <w:tcW w:w="851" w:type="dxa"/>
            <w:tcMar>
              <w:left w:w="28" w:type="dxa"/>
              <w:right w:w="28" w:type="dxa"/>
            </w:tcMar>
            <w:vAlign w:val="center"/>
          </w:tcPr>
          <w:p w14:paraId="2363677E"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-6,9</w:t>
            </w:r>
          </w:p>
        </w:tc>
        <w:tc>
          <w:tcPr>
            <w:tcW w:w="851" w:type="dxa"/>
            <w:tcMar>
              <w:left w:w="28" w:type="dxa"/>
              <w:right w:w="28" w:type="dxa"/>
            </w:tcMar>
            <w:vAlign w:val="center"/>
          </w:tcPr>
          <w:p w14:paraId="37861814"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-6,4</w:t>
            </w:r>
          </w:p>
        </w:tc>
        <w:tc>
          <w:tcPr>
            <w:tcW w:w="851" w:type="dxa"/>
            <w:tcMar>
              <w:left w:w="28" w:type="dxa"/>
              <w:right w:w="28" w:type="dxa"/>
            </w:tcMar>
            <w:vAlign w:val="center"/>
          </w:tcPr>
          <w:p w14:paraId="2E567FCC"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-7,3</w:t>
            </w:r>
          </w:p>
        </w:tc>
        <w:tc>
          <w:tcPr>
            <w:tcW w:w="851" w:type="dxa"/>
            <w:tcMar>
              <w:left w:w="28" w:type="dxa"/>
              <w:right w:w="28" w:type="dxa"/>
            </w:tcMar>
            <w:vAlign w:val="center"/>
          </w:tcPr>
          <w:p w14:paraId="4771885B" w14:textId="77777777" w:rsidR="0003379A" w:rsidRPr="0003379A" w:rsidRDefault="0003379A" w:rsidP="0003379A">
            <w:pPr>
              <w:keepNext/>
              <w:keepLines/>
              <w:tabs>
                <w:tab w:val="decimal" w:pos="510"/>
              </w:tabs>
              <w:spacing w:after="0"/>
              <w:ind w:firstLine="0"/>
              <w:jc w:val="left"/>
              <w:rPr>
                <w:rFonts w:cs="Times New Roman"/>
                <w:i/>
                <w:iCs/>
                <w:noProof/>
                <w:sz w:val="18"/>
                <w:szCs w:val="18"/>
              </w:rPr>
            </w:pPr>
            <w:r w:rsidRPr="0003379A">
              <w:rPr>
                <w:rFonts w:cs="Times New Roman"/>
                <w:i/>
                <w:iCs/>
                <w:noProof/>
                <w:sz w:val="18"/>
                <w:szCs w:val="18"/>
              </w:rPr>
              <w:t>—</w:t>
            </w:r>
          </w:p>
        </w:tc>
      </w:tr>
    </w:tbl>
    <w:p w14:paraId="429FCA4A" w14:textId="77777777" w:rsidR="0003379A" w:rsidRPr="0003379A" w:rsidRDefault="0003379A" w:rsidP="0003379A">
      <w:pPr>
        <w:spacing w:after="0"/>
        <w:ind w:left="425" w:firstLine="0"/>
        <w:rPr>
          <w:rFonts w:eastAsia="Calibri" w:cs="Times New Roman"/>
          <w:sz w:val="18"/>
          <w:szCs w:val="18"/>
          <w:lang w:eastAsia="en-US"/>
        </w:rPr>
      </w:pPr>
      <w:r w:rsidRPr="0003379A">
        <w:rPr>
          <w:rFonts w:eastAsia="Calibri" w:cs="Times New Roman"/>
          <w:sz w:val="18"/>
          <w:szCs w:val="18"/>
          <w:vertAlign w:val="superscript"/>
          <w:lang w:eastAsia="en-US"/>
        </w:rPr>
        <w:t>1</w:t>
      </w:r>
      <w:r w:rsidRPr="0003379A">
        <w:rPr>
          <w:rFonts w:eastAsia="Calibri" w:cs="Times New Roman"/>
          <w:sz w:val="18"/>
          <w:szCs w:val="18"/>
          <w:lang w:eastAsia="en-US"/>
        </w:rPr>
        <w:t> Prognoze</w:t>
      </w:r>
    </w:p>
    <w:p w14:paraId="630D4F93" w14:textId="481207E7" w:rsidR="00937B81" w:rsidRPr="00FD1578" w:rsidRDefault="00937B81" w:rsidP="008349F0">
      <w:pPr>
        <w:pStyle w:val="Piezme"/>
        <w:rPr>
          <w:highlight w:val="lightGray"/>
        </w:rPr>
      </w:pPr>
    </w:p>
    <w:p w14:paraId="204C7CB2" w14:textId="23AA107B" w:rsidR="006C567F" w:rsidRPr="00165D47" w:rsidRDefault="006C567F" w:rsidP="008349F0">
      <w:pPr>
        <w:pStyle w:val="Heading3"/>
        <w:numPr>
          <w:ilvl w:val="0"/>
          <w:numId w:val="0"/>
        </w:numPr>
      </w:pPr>
      <w:bookmarkStart w:id="95" w:name="_Toc179356101"/>
      <w:r w:rsidRPr="00165D47">
        <w:t>3.2.3. Pārējie nodokļi</w:t>
      </w:r>
      <w:bookmarkEnd w:id="95"/>
    </w:p>
    <w:bookmarkEnd w:id="79"/>
    <w:p w14:paraId="24399A6E" w14:textId="6CCF8F38" w:rsidR="00165D47" w:rsidRPr="00251B61" w:rsidRDefault="00165D47" w:rsidP="00165D47">
      <w:pPr>
        <w:rPr>
          <w:rFonts w:eastAsia="Calibri" w:cs="Times New Roman"/>
          <w:szCs w:val="24"/>
        </w:rPr>
      </w:pPr>
      <w:r w:rsidRPr="00251B61">
        <w:rPr>
          <w:rFonts w:eastAsia="Calibri" w:cs="Times New Roman"/>
          <w:szCs w:val="24"/>
        </w:rPr>
        <w:t>2024. gada 1. pusgadā pārējo nodokļu ieņēmumi bija 63,9 milj. </w:t>
      </w:r>
      <w:proofErr w:type="spellStart"/>
      <w:r w:rsidRPr="00251B61">
        <w:rPr>
          <w:rFonts w:eastAsia="Calibri" w:cs="Times New Roman"/>
          <w:i/>
          <w:iCs/>
          <w:szCs w:val="24"/>
        </w:rPr>
        <w:t>euro</w:t>
      </w:r>
      <w:proofErr w:type="spellEnd"/>
      <w:r w:rsidRPr="00251B61">
        <w:rPr>
          <w:rFonts w:eastAsia="Calibri" w:cs="Times New Roman"/>
          <w:szCs w:val="24"/>
        </w:rPr>
        <w:t>, kas salīdzinot ar plānu, ir par 0,1 milj. </w:t>
      </w:r>
      <w:proofErr w:type="spellStart"/>
      <w:r w:rsidRPr="00251B61">
        <w:rPr>
          <w:rFonts w:eastAsia="Calibri" w:cs="Times New Roman"/>
          <w:i/>
          <w:iCs/>
          <w:szCs w:val="24"/>
        </w:rPr>
        <w:t>euro</w:t>
      </w:r>
      <w:proofErr w:type="spellEnd"/>
      <w:r w:rsidRPr="00251B61">
        <w:rPr>
          <w:rFonts w:eastAsia="Calibri" w:cs="Times New Roman"/>
          <w:szCs w:val="24"/>
        </w:rPr>
        <w:t xml:space="preserve"> jeb 0,1% vairāk, plānoto pārsniedzot izložu un azartspēļu nodokļa ieņēmumiem. Salīdzinot ar 2023. gada attiecīgo periodu, pārējo nodokļu ieņēmumi tika iekasēti par 5,8 milj. </w:t>
      </w:r>
      <w:proofErr w:type="spellStart"/>
      <w:r w:rsidRPr="00251B61">
        <w:rPr>
          <w:rFonts w:eastAsia="Calibri" w:cs="Times New Roman"/>
          <w:i/>
          <w:iCs/>
          <w:szCs w:val="24"/>
        </w:rPr>
        <w:t>euro</w:t>
      </w:r>
      <w:proofErr w:type="spellEnd"/>
      <w:r w:rsidRPr="00251B61">
        <w:rPr>
          <w:rFonts w:eastAsia="Calibri" w:cs="Times New Roman"/>
          <w:szCs w:val="24"/>
        </w:rPr>
        <w:t xml:space="preserve"> jeb 10,1% vairāk. </w:t>
      </w:r>
    </w:p>
    <w:p w14:paraId="50E643E7" w14:textId="76B49C5E" w:rsidR="00165D47" w:rsidRPr="00251B61" w:rsidRDefault="00165D47" w:rsidP="00165D47">
      <w:pPr>
        <w:rPr>
          <w:rFonts w:eastAsia="Calibri" w:cs="Times New Roman"/>
          <w:szCs w:val="24"/>
        </w:rPr>
      </w:pPr>
      <w:r w:rsidRPr="00251B61">
        <w:rPr>
          <w:rFonts w:eastAsia="Calibri" w:cs="Times New Roman"/>
          <w:szCs w:val="24"/>
        </w:rPr>
        <w:t>Saskaņā ar likumprojektu “Par valsts budžetu 2025. gadam un budžeta ietvaru 2025., 2026. un 2027. gadam” tiek plānots, ka 2025. gadā pārējo nodokļu ieņēmumi veidos 1,0% no visiem kopbudžeta nodokļiem un to īpatsvars IKP tiek plānots 0,3%, kas ir pērnā gada līmenī.</w:t>
      </w:r>
    </w:p>
    <w:p w14:paraId="2CC7DBDF" w14:textId="77777777" w:rsidR="00165D47" w:rsidRPr="00251B61" w:rsidRDefault="00165D47" w:rsidP="00165D47">
      <w:pPr>
        <w:rPr>
          <w:rFonts w:eastAsia="Calibri" w:cs="Times New Roman"/>
          <w:szCs w:val="24"/>
        </w:rPr>
      </w:pPr>
      <w:r w:rsidRPr="00251B61">
        <w:rPr>
          <w:rFonts w:eastAsia="Calibri" w:cs="Times New Roman"/>
          <w:szCs w:val="24"/>
        </w:rPr>
        <w:t>Saskaņā ar likumprojektu “Par valsts budžetu 2025. gadam un budžeta ietvaru 2025., 2026. un 2027. gadam” 2025. gadā pārējo nodokļu ieņēmumi tiek plānoti 152,7 milj. </w:t>
      </w:r>
      <w:proofErr w:type="spellStart"/>
      <w:r w:rsidRPr="00251B61">
        <w:rPr>
          <w:rFonts w:eastAsia="Calibri" w:cs="Times New Roman"/>
          <w:i/>
          <w:iCs/>
          <w:szCs w:val="24"/>
        </w:rPr>
        <w:t>euro</w:t>
      </w:r>
      <w:proofErr w:type="spellEnd"/>
      <w:r w:rsidRPr="00251B61">
        <w:rPr>
          <w:rFonts w:eastAsia="Calibri" w:cs="Times New Roman"/>
          <w:szCs w:val="24"/>
        </w:rPr>
        <w:t>, 2026. gadā 167,4 milj. </w:t>
      </w:r>
      <w:proofErr w:type="spellStart"/>
      <w:r w:rsidRPr="00251B61">
        <w:rPr>
          <w:rFonts w:eastAsia="Calibri" w:cs="Times New Roman"/>
          <w:i/>
          <w:iCs/>
          <w:szCs w:val="24"/>
        </w:rPr>
        <w:t>euro</w:t>
      </w:r>
      <w:proofErr w:type="spellEnd"/>
      <w:r w:rsidRPr="00251B61">
        <w:rPr>
          <w:rFonts w:eastAsia="Calibri" w:cs="Times New Roman"/>
          <w:szCs w:val="24"/>
        </w:rPr>
        <w:t xml:space="preserve"> un 2027. gadā 182,5 milj. </w:t>
      </w:r>
      <w:proofErr w:type="spellStart"/>
      <w:r w:rsidRPr="00251B61">
        <w:rPr>
          <w:rFonts w:eastAsia="Calibri" w:cs="Times New Roman"/>
          <w:i/>
          <w:iCs/>
          <w:szCs w:val="24"/>
        </w:rPr>
        <w:t>euro</w:t>
      </w:r>
      <w:proofErr w:type="spellEnd"/>
      <w:r w:rsidRPr="00251B61">
        <w:rPr>
          <w:rFonts w:eastAsia="Calibri" w:cs="Times New Roman"/>
          <w:szCs w:val="24"/>
        </w:rPr>
        <w:t xml:space="preserve"> apmērā (skat. 3.15. tabulu).</w:t>
      </w:r>
    </w:p>
    <w:p w14:paraId="0A4AC385" w14:textId="77777777" w:rsidR="00165D47" w:rsidRPr="00251B61" w:rsidRDefault="00165D47" w:rsidP="00165D47">
      <w:pPr>
        <w:pStyle w:val="Tabulasnosaukums"/>
      </w:pPr>
      <w:r w:rsidRPr="00251B61">
        <w:t>3.15. tabula. Pārējo nodokļu ieņēmumi, milj. </w:t>
      </w:r>
      <w:proofErr w:type="spellStart"/>
      <w:r w:rsidRPr="00251B61">
        <w:t>euro</w:t>
      </w:r>
      <w:proofErr w:type="spellEnd"/>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32"/>
        <w:gridCol w:w="681"/>
        <w:gridCol w:w="681"/>
        <w:gridCol w:w="681"/>
        <w:gridCol w:w="681"/>
      </w:tblGrid>
      <w:tr w:rsidR="00165D47" w:rsidRPr="00251B61" w14:paraId="75258710" w14:textId="77777777" w:rsidTr="008E1E6C">
        <w:trPr>
          <w:cantSplit/>
          <w:trHeight w:hRule="exact" w:val="227"/>
          <w:jc w:val="center"/>
        </w:trPr>
        <w:tc>
          <w:tcPr>
            <w:tcW w:w="3513" w:type="pct"/>
            <w:shd w:val="clear" w:color="auto" w:fill="8EAADB" w:themeFill="accent5" w:themeFillTint="99"/>
            <w:vAlign w:val="center"/>
          </w:tcPr>
          <w:p w14:paraId="713B800F" w14:textId="77777777" w:rsidR="00165D47" w:rsidRPr="00251B61" w:rsidRDefault="00165D47" w:rsidP="00723ACD">
            <w:pPr>
              <w:pStyle w:val="Tabulasgalvenesrinda"/>
            </w:pPr>
          </w:p>
        </w:tc>
        <w:tc>
          <w:tcPr>
            <w:tcW w:w="382" w:type="pct"/>
            <w:shd w:val="clear" w:color="auto" w:fill="8EAADB" w:themeFill="accent5" w:themeFillTint="99"/>
            <w:vAlign w:val="center"/>
          </w:tcPr>
          <w:p w14:paraId="12ACA8E0" w14:textId="77777777" w:rsidR="00165D47" w:rsidRPr="00251B61" w:rsidRDefault="00165D47" w:rsidP="00723ACD">
            <w:pPr>
              <w:pStyle w:val="Tabulasgalvenesrinda"/>
            </w:pPr>
            <w:r w:rsidRPr="00251B61">
              <w:rPr>
                <w:sz w:val="18"/>
                <w:szCs w:val="18"/>
              </w:rPr>
              <w:t>2024</w:t>
            </w:r>
          </w:p>
        </w:tc>
        <w:tc>
          <w:tcPr>
            <w:tcW w:w="366" w:type="pct"/>
            <w:shd w:val="clear" w:color="auto" w:fill="8EAADB" w:themeFill="accent5" w:themeFillTint="99"/>
            <w:vAlign w:val="center"/>
          </w:tcPr>
          <w:p w14:paraId="04D762BC" w14:textId="77777777" w:rsidR="00165D47" w:rsidRPr="00251B61" w:rsidRDefault="00165D47" w:rsidP="00723ACD">
            <w:pPr>
              <w:pStyle w:val="Tabulasgalvenesrinda"/>
            </w:pPr>
            <w:r w:rsidRPr="00251B61">
              <w:rPr>
                <w:sz w:val="18"/>
                <w:szCs w:val="18"/>
              </w:rPr>
              <w:t>2025</w:t>
            </w:r>
          </w:p>
        </w:tc>
        <w:tc>
          <w:tcPr>
            <w:tcW w:w="366" w:type="pct"/>
            <w:shd w:val="clear" w:color="auto" w:fill="8EAADB" w:themeFill="accent5" w:themeFillTint="99"/>
            <w:vAlign w:val="center"/>
          </w:tcPr>
          <w:p w14:paraId="55F3731A" w14:textId="77777777" w:rsidR="00165D47" w:rsidRPr="00251B61" w:rsidRDefault="00165D47" w:rsidP="00723ACD">
            <w:pPr>
              <w:pStyle w:val="Tabulasgalvenesrinda"/>
            </w:pPr>
            <w:r w:rsidRPr="00251B61">
              <w:rPr>
                <w:sz w:val="18"/>
                <w:szCs w:val="18"/>
              </w:rPr>
              <w:t>2026</w:t>
            </w:r>
          </w:p>
        </w:tc>
        <w:tc>
          <w:tcPr>
            <w:tcW w:w="373" w:type="pct"/>
            <w:shd w:val="clear" w:color="auto" w:fill="8EAADB" w:themeFill="accent5" w:themeFillTint="99"/>
            <w:vAlign w:val="center"/>
          </w:tcPr>
          <w:p w14:paraId="77939E1C" w14:textId="77777777" w:rsidR="00165D47" w:rsidRPr="00251B61" w:rsidRDefault="00165D47" w:rsidP="00723ACD">
            <w:pPr>
              <w:pStyle w:val="Tabulasgalvenesrinda"/>
            </w:pPr>
            <w:r w:rsidRPr="00251B61">
              <w:rPr>
                <w:sz w:val="18"/>
                <w:szCs w:val="18"/>
              </w:rPr>
              <w:t>2027</w:t>
            </w:r>
          </w:p>
        </w:tc>
      </w:tr>
      <w:tr w:rsidR="00165D47" w:rsidRPr="00251B61" w14:paraId="49145D4F" w14:textId="77777777" w:rsidTr="00723ACD">
        <w:trPr>
          <w:cantSplit/>
          <w:trHeight w:hRule="exact" w:val="454"/>
          <w:jc w:val="center"/>
        </w:trPr>
        <w:tc>
          <w:tcPr>
            <w:tcW w:w="3513" w:type="pct"/>
            <w:vAlign w:val="center"/>
          </w:tcPr>
          <w:p w14:paraId="3BBB6A6C" w14:textId="77777777" w:rsidR="00165D47" w:rsidRPr="00251B61" w:rsidRDefault="00165D47" w:rsidP="00723ACD">
            <w:pPr>
              <w:pStyle w:val="Tabulasteksts"/>
              <w:spacing w:after="0"/>
              <w:ind w:left="0"/>
              <w:rPr>
                <w:i/>
                <w:szCs w:val="18"/>
              </w:rPr>
            </w:pPr>
            <w:r w:rsidRPr="00251B61">
              <w:t>Saskaņā ar likumprojektu “Par valsts budžetu 2025. gadam un budžeta ietvaru 2025., 2026. un 2027. gadam”, milj.</w:t>
            </w:r>
            <w:r w:rsidRPr="00251B61">
              <w:rPr>
                <w:i/>
              </w:rPr>
              <w:t> euro</w:t>
            </w:r>
          </w:p>
        </w:tc>
        <w:tc>
          <w:tcPr>
            <w:tcW w:w="382" w:type="pct"/>
            <w:vAlign w:val="center"/>
          </w:tcPr>
          <w:p w14:paraId="1FEE8395" w14:textId="77777777" w:rsidR="00165D47" w:rsidRPr="00251B61" w:rsidRDefault="00165D47" w:rsidP="00723ACD">
            <w:pPr>
              <w:pStyle w:val="Tabulascipari"/>
              <w:keepNext/>
              <w:keepLines/>
              <w:spacing w:after="0"/>
              <w:ind w:left="0"/>
              <w:jc w:val="center"/>
              <w:rPr>
                <w:szCs w:val="18"/>
                <w:vertAlign w:val="superscript"/>
              </w:rPr>
            </w:pPr>
            <w:r w:rsidRPr="00251B61">
              <w:t>132,0</w:t>
            </w:r>
            <w:r w:rsidRPr="00251B61">
              <w:rPr>
                <w:vertAlign w:val="superscript"/>
              </w:rPr>
              <w:t>1</w:t>
            </w:r>
          </w:p>
        </w:tc>
        <w:tc>
          <w:tcPr>
            <w:tcW w:w="366" w:type="pct"/>
            <w:vAlign w:val="center"/>
          </w:tcPr>
          <w:p w14:paraId="1C3AB682" w14:textId="3652981D" w:rsidR="00165D47" w:rsidRPr="00251B61" w:rsidRDefault="00165D47" w:rsidP="00723ACD">
            <w:pPr>
              <w:pStyle w:val="Tabulascipari"/>
              <w:keepNext/>
              <w:keepLines/>
              <w:spacing w:after="0"/>
              <w:ind w:left="0"/>
              <w:jc w:val="center"/>
              <w:rPr>
                <w:szCs w:val="18"/>
              </w:rPr>
            </w:pPr>
            <w:r w:rsidRPr="00251B61">
              <w:t>152,7</w:t>
            </w:r>
            <w:r w:rsidR="00264454" w:rsidRPr="008826A2">
              <w:rPr>
                <w:szCs w:val="18"/>
                <w:vertAlign w:val="superscript"/>
              </w:rPr>
              <w:t>1</w:t>
            </w:r>
          </w:p>
        </w:tc>
        <w:tc>
          <w:tcPr>
            <w:tcW w:w="366" w:type="pct"/>
            <w:vAlign w:val="center"/>
          </w:tcPr>
          <w:p w14:paraId="137868BB" w14:textId="19A263C8" w:rsidR="00165D47" w:rsidRPr="00251B61" w:rsidRDefault="00165D47" w:rsidP="00723ACD">
            <w:pPr>
              <w:pStyle w:val="Tabulascipari"/>
              <w:keepNext/>
              <w:keepLines/>
              <w:spacing w:after="0"/>
              <w:ind w:left="0"/>
              <w:jc w:val="center"/>
              <w:rPr>
                <w:szCs w:val="18"/>
              </w:rPr>
            </w:pPr>
            <w:r w:rsidRPr="00251B61">
              <w:t>167,4</w:t>
            </w:r>
            <w:r w:rsidR="00264454" w:rsidRPr="008826A2">
              <w:rPr>
                <w:szCs w:val="18"/>
                <w:vertAlign w:val="superscript"/>
              </w:rPr>
              <w:t>1</w:t>
            </w:r>
          </w:p>
        </w:tc>
        <w:tc>
          <w:tcPr>
            <w:tcW w:w="373" w:type="pct"/>
            <w:vAlign w:val="center"/>
          </w:tcPr>
          <w:p w14:paraId="0D5676B3" w14:textId="05DAC1EE" w:rsidR="00165D47" w:rsidRPr="00251B61" w:rsidRDefault="00165D47" w:rsidP="00723ACD">
            <w:pPr>
              <w:pStyle w:val="Tabulascipari"/>
              <w:keepNext/>
              <w:keepLines/>
              <w:spacing w:after="0"/>
              <w:ind w:left="0"/>
              <w:jc w:val="center"/>
              <w:rPr>
                <w:szCs w:val="18"/>
              </w:rPr>
            </w:pPr>
            <w:r w:rsidRPr="00251B61">
              <w:t>182,5</w:t>
            </w:r>
            <w:r w:rsidR="00264454" w:rsidRPr="008826A2">
              <w:rPr>
                <w:szCs w:val="18"/>
                <w:vertAlign w:val="superscript"/>
              </w:rPr>
              <w:t>1</w:t>
            </w:r>
          </w:p>
        </w:tc>
      </w:tr>
      <w:tr w:rsidR="00165D47" w:rsidRPr="00251B61" w14:paraId="3BB69A04" w14:textId="77777777" w:rsidTr="00723ACD">
        <w:trPr>
          <w:cantSplit/>
          <w:trHeight w:hRule="exact" w:val="227"/>
          <w:jc w:val="center"/>
        </w:trPr>
        <w:tc>
          <w:tcPr>
            <w:tcW w:w="3513" w:type="pct"/>
            <w:vAlign w:val="center"/>
          </w:tcPr>
          <w:p w14:paraId="2D4C86F4" w14:textId="77777777" w:rsidR="00165D47" w:rsidRPr="00251B61" w:rsidRDefault="00165D47" w:rsidP="00723ACD">
            <w:pPr>
              <w:pStyle w:val="Tabulasteksts"/>
              <w:spacing w:after="0"/>
              <w:ind w:left="391"/>
              <w:rPr>
                <w:i/>
                <w:iCs/>
                <w:szCs w:val="18"/>
              </w:rPr>
            </w:pPr>
            <w:r w:rsidRPr="00251B61">
              <w:rPr>
                <w:i/>
                <w:iCs/>
                <w:szCs w:val="18"/>
              </w:rPr>
              <w:t>pret IKP, %</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6BE1FDA7" w14:textId="77777777" w:rsidR="00165D47" w:rsidRPr="00251B61" w:rsidRDefault="00165D47" w:rsidP="00723ACD">
            <w:pPr>
              <w:pStyle w:val="Tabulascipari"/>
              <w:keepNext/>
              <w:keepLines/>
              <w:spacing w:after="0"/>
              <w:ind w:left="0"/>
              <w:rPr>
                <w:i/>
                <w:iCs/>
                <w:color w:val="000000"/>
                <w:szCs w:val="18"/>
              </w:rPr>
            </w:pPr>
            <w:r w:rsidRPr="00251B61">
              <w:t>0,3%</w:t>
            </w:r>
          </w:p>
        </w:tc>
        <w:tc>
          <w:tcPr>
            <w:tcW w:w="366" w:type="pct"/>
            <w:tcBorders>
              <w:top w:val="single" w:sz="4" w:space="0" w:color="auto"/>
              <w:left w:val="nil"/>
              <w:bottom w:val="single" w:sz="4" w:space="0" w:color="auto"/>
              <w:right w:val="single" w:sz="4" w:space="0" w:color="auto"/>
            </w:tcBorders>
            <w:shd w:val="clear" w:color="auto" w:fill="auto"/>
            <w:vAlign w:val="center"/>
          </w:tcPr>
          <w:p w14:paraId="57CCE6A7" w14:textId="77777777" w:rsidR="00165D47" w:rsidRPr="00251B61" w:rsidRDefault="00165D47" w:rsidP="00723ACD">
            <w:pPr>
              <w:pStyle w:val="Tabulascipari"/>
              <w:keepNext/>
              <w:keepLines/>
              <w:spacing w:after="0"/>
              <w:ind w:left="0"/>
              <w:rPr>
                <w:i/>
                <w:iCs/>
                <w:color w:val="000000"/>
                <w:szCs w:val="18"/>
              </w:rPr>
            </w:pPr>
            <w:r w:rsidRPr="00251B61">
              <w:t>0,3%</w:t>
            </w:r>
          </w:p>
        </w:tc>
        <w:tc>
          <w:tcPr>
            <w:tcW w:w="366" w:type="pct"/>
            <w:tcBorders>
              <w:top w:val="single" w:sz="4" w:space="0" w:color="auto"/>
              <w:left w:val="nil"/>
              <w:bottom w:val="single" w:sz="4" w:space="0" w:color="auto"/>
              <w:right w:val="single" w:sz="4" w:space="0" w:color="auto"/>
            </w:tcBorders>
            <w:shd w:val="clear" w:color="auto" w:fill="auto"/>
            <w:vAlign w:val="center"/>
          </w:tcPr>
          <w:p w14:paraId="6AB97F97" w14:textId="77777777" w:rsidR="00165D47" w:rsidRPr="00251B61" w:rsidRDefault="00165D47" w:rsidP="00723ACD">
            <w:pPr>
              <w:pStyle w:val="Tabulascipari"/>
              <w:keepNext/>
              <w:keepLines/>
              <w:spacing w:after="0"/>
              <w:ind w:left="0"/>
              <w:rPr>
                <w:i/>
                <w:iCs/>
                <w:color w:val="000000"/>
                <w:szCs w:val="18"/>
              </w:rPr>
            </w:pPr>
            <w:r w:rsidRPr="00251B61">
              <w:t>0,4%</w:t>
            </w:r>
          </w:p>
        </w:tc>
        <w:tc>
          <w:tcPr>
            <w:tcW w:w="373" w:type="pct"/>
            <w:tcBorders>
              <w:top w:val="single" w:sz="4" w:space="0" w:color="auto"/>
              <w:left w:val="nil"/>
              <w:bottom w:val="single" w:sz="4" w:space="0" w:color="auto"/>
              <w:right w:val="single" w:sz="4" w:space="0" w:color="auto"/>
            </w:tcBorders>
            <w:shd w:val="clear" w:color="auto" w:fill="auto"/>
            <w:vAlign w:val="center"/>
          </w:tcPr>
          <w:p w14:paraId="6960A569" w14:textId="77777777" w:rsidR="00165D47" w:rsidRPr="00251B61" w:rsidRDefault="00165D47" w:rsidP="00723ACD">
            <w:pPr>
              <w:pStyle w:val="Tabulascipari"/>
              <w:keepNext/>
              <w:keepLines/>
              <w:spacing w:after="0"/>
              <w:ind w:left="0"/>
              <w:rPr>
                <w:i/>
                <w:iCs/>
                <w:color w:val="000000"/>
                <w:szCs w:val="18"/>
              </w:rPr>
            </w:pPr>
            <w:r w:rsidRPr="00251B61">
              <w:t>0,4%</w:t>
            </w:r>
          </w:p>
        </w:tc>
      </w:tr>
      <w:tr w:rsidR="00165D47" w:rsidRPr="00251B61" w14:paraId="5DD87DF5" w14:textId="77777777" w:rsidTr="00723ACD">
        <w:trPr>
          <w:cantSplit/>
          <w:trHeight w:hRule="exact" w:val="454"/>
          <w:jc w:val="center"/>
        </w:trPr>
        <w:tc>
          <w:tcPr>
            <w:tcW w:w="3513" w:type="pct"/>
            <w:vAlign w:val="center"/>
          </w:tcPr>
          <w:p w14:paraId="673F625E" w14:textId="77777777" w:rsidR="00165D47" w:rsidRPr="00251B61" w:rsidRDefault="00165D47" w:rsidP="00723ACD">
            <w:pPr>
              <w:pStyle w:val="Tabulasteksts"/>
              <w:spacing w:after="0"/>
              <w:ind w:left="0"/>
              <w:rPr>
                <w:szCs w:val="18"/>
              </w:rPr>
            </w:pPr>
            <w:r w:rsidRPr="00251B61">
              <w:rPr>
                <w:szCs w:val="18"/>
              </w:rPr>
              <w:t>Salīdzinājumā ar likumu “Par valsts budžetu 2024. gadam un budžeta ietvaru 2024., 2025. un 2026. gadam”, milj. </w:t>
            </w:r>
            <w:r w:rsidRPr="00251B61">
              <w:rPr>
                <w:i/>
                <w:iCs/>
                <w:szCs w:val="18"/>
              </w:rPr>
              <w:t>euro</w:t>
            </w:r>
          </w:p>
        </w:tc>
        <w:tc>
          <w:tcPr>
            <w:tcW w:w="382" w:type="pct"/>
            <w:vAlign w:val="center"/>
          </w:tcPr>
          <w:p w14:paraId="05ADA4F7" w14:textId="77777777" w:rsidR="00165D47" w:rsidRPr="00251B61" w:rsidRDefault="00165D47" w:rsidP="00723ACD">
            <w:pPr>
              <w:pStyle w:val="Tabulascipari"/>
              <w:keepNext/>
              <w:keepLines/>
              <w:spacing w:after="0"/>
              <w:ind w:left="0"/>
              <w:rPr>
                <w:i/>
                <w:iCs/>
                <w:szCs w:val="18"/>
              </w:rPr>
            </w:pPr>
            <w:r w:rsidRPr="00251B61">
              <w:t>0,9</w:t>
            </w:r>
          </w:p>
        </w:tc>
        <w:tc>
          <w:tcPr>
            <w:tcW w:w="366" w:type="pct"/>
            <w:vAlign w:val="center"/>
          </w:tcPr>
          <w:p w14:paraId="719E5206" w14:textId="77777777" w:rsidR="00165D47" w:rsidRPr="00251B61" w:rsidRDefault="00165D47" w:rsidP="00723ACD">
            <w:pPr>
              <w:pStyle w:val="Tabulascipari"/>
              <w:keepNext/>
              <w:keepLines/>
              <w:spacing w:after="0"/>
              <w:ind w:left="0"/>
              <w:rPr>
                <w:i/>
                <w:iCs/>
                <w:szCs w:val="18"/>
              </w:rPr>
            </w:pPr>
            <w:r w:rsidRPr="00251B61">
              <w:t>8,0</w:t>
            </w:r>
          </w:p>
        </w:tc>
        <w:tc>
          <w:tcPr>
            <w:tcW w:w="366" w:type="pct"/>
            <w:vAlign w:val="center"/>
          </w:tcPr>
          <w:p w14:paraId="61BD9628" w14:textId="77777777" w:rsidR="00165D47" w:rsidRPr="00251B61" w:rsidRDefault="00165D47" w:rsidP="00723ACD">
            <w:pPr>
              <w:pStyle w:val="Tabulascipari"/>
              <w:keepNext/>
              <w:keepLines/>
              <w:spacing w:after="0"/>
              <w:ind w:left="0"/>
              <w:rPr>
                <w:i/>
                <w:iCs/>
                <w:szCs w:val="18"/>
              </w:rPr>
            </w:pPr>
            <w:r w:rsidRPr="00251B61">
              <w:t>8,9</w:t>
            </w:r>
          </w:p>
        </w:tc>
        <w:tc>
          <w:tcPr>
            <w:tcW w:w="373" w:type="pct"/>
            <w:vAlign w:val="center"/>
          </w:tcPr>
          <w:p w14:paraId="41365E9D" w14:textId="77777777" w:rsidR="00165D47" w:rsidRPr="00251B61" w:rsidRDefault="00165D47" w:rsidP="00723ACD">
            <w:pPr>
              <w:pStyle w:val="Tabulascipari"/>
              <w:keepNext/>
              <w:keepLines/>
              <w:spacing w:after="0"/>
              <w:ind w:left="0"/>
              <w:rPr>
                <w:i/>
                <w:iCs/>
                <w:szCs w:val="18"/>
              </w:rPr>
            </w:pPr>
            <w:r w:rsidRPr="00251B61">
              <w:t>—</w:t>
            </w:r>
          </w:p>
        </w:tc>
      </w:tr>
      <w:tr w:rsidR="00165D47" w:rsidRPr="00251B61" w14:paraId="1F48E1BE" w14:textId="77777777" w:rsidTr="00723ACD">
        <w:trPr>
          <w:cantSplit/>
          <w:trHeight w:hRule="exact" w:val="454"/>
          <w:jc w:val="center"/>
        </w:trPr>
        <w:tc>
          <w:tcPr>
            <w:tcW w:w="3513" w:type="pct"/>
            <w:vAlign w:val="center"/>
          </w:tcPr>
          <w:p w14:paraId="55650070" w14:textId="77777777" w:rsidR="00165D47" w:rsidRPr="00251B61" w:rsidRDefault="00165D47" w:rsidP="00723ACD">
            <w:pPr>
              <w:pStyle w:val="Tabulasteksts"/>
              <w:spacing w:after="0"/>
              <w:ind w:left="0"/>
              <w:rPr>
                <w:szCs w:val="18"/>
              </w:rPr>
            </w:pPr>
            <w:r w:rsidRPr="00251B61">
              <w:rPr>
                <w:szCs w:val="18"/>
              </w:rPr>
              <w:t>Salīdzinājumā ar likumu “Par valsts budžetu 2024. gadam un budžeta ietvaru 2024., 2025. un 2026. gadam”, %</w:t>
            </w:r>
          </w:p>
        </w:tc>
        <w:tc>
          <w:tcPr>
            <w:tcW w:w="382" w:type="pct"/>
            <w:vAlign w:val="center"/>
          </w:tcPr>
          <w:p w14:paraId="1ECE99C3" w14:textId="77777777" w:rsidR="00165D47" w:rsidRPr="00251B61" w:rsidRDefault="00165D47" w:rsidP="00723ACD">
            <w:pPr>
              <w:pStyle w:val="Tabulascipari"/>
              <w:keepNext/>
              <w:keepLines/>
              <w:spacing w:after="0"/>
              <w:ind w:left="0"/>
              <w:rPr>
                <w:i/>
                <w:iCs/>
                <w:szCs w:val="18"/>
              </w:rPr>
            </w:pPr>
            <w:r w:rsidRPr="00251B61">
              <w:t>0,7</w:t>
            </w:r>
          </w:p>
        </w:tc>
        <w:tc>
          <w:tcPr>
            <w:tcW w:w="366" w:type="pct"/>
            <w:vAlign w:val="center"/>
          </w:tcPr>
          <w:p w14:paraId="76ED95D8" w14:textId="77777777" w:rsidR="00165D47" w:rsidRPr="00251B61" w:rsidRDefault="00165D47" w:rsidP="00723ACD">
            <w:pPr>
              <w:pStyle w:val="Tabulascipari"/>
              <w:keepNext/>
              <w:keepLines/>
              <w:spacing w:after="0"/>
              <w:ind w:left="0"/>
              <w:rPr>
                <w:i/>
                <w:iCs/>
                <w:szCs w:val="18"/>
              </w:rPr>
            </w:pPr>
            <w:r w:rsidRPr="00251B61">
              <w:t>5,5</w:t>
            </w:r>
          </w:p>
        </w:tc>
        <w:tc>
          <w:tcPr>
            <w:tcW w:w="366" w:type="pct"/>
            <w:vAlign w:val="center"/>
          </w:tcPr>
          <w:p w14:paraId="139A6EAA" w14:textId="77777777" w:rsidR="00165D47" w:rsidRPr="00251B61" w:rsidRDefault="00165D47" w:rsidP="00723ACD">
            <w:pPr>
              <w:pStyle w:val="Tabulascipari"/>
              <w:keepNext/>
              <w:keepLines/>
              <w:spacing w:after="0"/>
              <w:ind w:left="0"/>
              <w:rPr>
                <w:i/>
                <w:iCs/>
                <w:szCs w:val="18"/>
              </w:rPr>
            </w:pPr>
            <w:r w:rsidRPr="00251B61">
              <w:t>5,6</w:t>
            </w:r>
          </w:p>
        </w:tc>
        <w:tc>
          <w:tcPr>
            <w:tcW w:w="373" w:type="pct"/>
            <w:vAlign w:val="center"/>
          </w:tcPr>
          <w:p w14:paraId="26943884" w14:textId="77777777" w:rsidR="00165D47" w:rsidRPr="00251B61" w:rsidRDefault="00165D47" w:rsidP="00723ACD">
            <w:pPr>
              <w:pStyle w:val="Tabulascipari"/>
              <w:keepNext/>
              <w:keepLines/>
              <w:spacing w:after="0"/>
              <w:ind w:left="0"/>
              <w:rPr>
                <w:i/>
                <w:iCs/>
                <w:szCs w:val="18"/>
              </w:rPr>
            </w:pPr>
            <w:r w:rsidRPr="00251B61">
              <w:t>—</w:t>
            </w:r>
          </w:p>
        </w:tc>
      </w:tr>
    </w:tbl>
    <w:p w14:paraId="4A08FBEE" w14:textId="77777777" w:rsidR="00165D47" w:rsidRPr="00251B61" w:rsidRDefault="00165D47" w:rsidP="00165D47">
      <w:pPr>
        <w:pStyle w:val="Piezme"/>
      </w:pPr>
      <w:r w:rsidRPr="00251B61">
        <w:rPr>
          <w:vertAlign w:val="superscript"/>
        </w:rPr>
        <w:t>1</w:t>
      </w:r>
      <w:r w:rsidRPr="00251B61">
        <w:t> Prognoze</w:t>
      </w:r>
    </w:p>
    <w:p w14:paraId="55B5C55B" w14:textId="77777777" w:rsidR="00165D47" w:rsidRPr="00251B61" w:rsidRDefault="00165D47" w:rsidP="00165D47">
      <w:pPr>
        <w:keepNext/>
        <w:keepLines/>
        <w:spacing w:before="240" w:after="240"/>
        <w:ind w:firstLine="0"/>
        <w:jc w:val="center"/>
        <w:outlineLvl w:val="3"/>
        <w:rPr>
          <w:rFonts w:eastAsia="Times New Roman" w:cs="Times New Roman"/>
          <w:b/>
          <w:sz w:val="28"/>
          <w:lang w:eastAsia="en-US"/>
        </w:rPr>
      </w:pPr>
      <w:bookmarkStart w:id="96" w:name="_Toc84756430"/>
      <w:r w:rsidRPr="00251B61">
        <w:rPr>
          <w:rFonts w:eastAsia="Times New Roman" w:cs="Times New Roman"/>
          <w:b/>
          <w:sz w:val="28"/>
          <w:lang w:eastAsia="en-US"/>
        </w:rPr>
        <w:t>Dabas resursu nodoklis</w:t>
      </w:r>
    </w:p>
    <w:p w14:paraId="3961237A" w14:textId="77777777" w:rsidR="00165D47" w:rsidRPr="00251B61" w:rsidRDefault="00165D47" w:rsidP="00165D47">
      <w:pPr>
        <w:rPr>
          <w:rFonts w:eastAsia="Calibri" w:cs="Times New Roman"/>
          <w:szCs w:val="24"/>
        </w:rPr>
      </w:pPr>
      <w:r w:rsidRPr="00251B61">
        <w:rPr>
          <w:rFonts w:eastAsia="Calibri" w:cs="Times New Roman"/>
          <w:szCs w:val="24"/>
        </w:rPr>
        <w:t xml:space="preserve">Dabas resursu nodokļa maksājumi ir saistīti ar nodokļu maksātāju ekonomiskajām aktivitātēm un to izraisīto vides noslodzi, kā arī veiktajiem vides aizsardzības pasākumiem. Nodokļa mērķis ir veicināt dabas resursu ekonomiski efektīvu izmantošanu, ierobežot vides piesārņošanu, samazināt vidi piesārņojošas produkcijas ražošanu un realizāciju, veicināt jaunu, vidi saudzējošu tehnoloģiju ieviešanu, atbalstīt tautsaimniecības ilgtspējīgu attīstību, kā arī finansiāli nodrošināt vides aizsardzības pasākumus. </w:t>
      </w:r>
    </w:p>
    <w:p w14:paraId="5E9ADCFB" w14:textId="682FC871" w:rsidR="00165D47" w:rsidRPr="00251B61" w:rsidRDefault="00165D47" w:rsidP="00165D47">
      <w:pPr>
        <w:rPr>
          <w:rFonts w:eastAsia="Calibri" w:cs="Times New Roman"/>
          <w:szCs w:val="24"/>
        </w:rPr>
      </w:pPr>
      <w:r w:rsidRPr="00251B61">
        <w:rPr>
          <w:rFonts w:eastAsia="Calibri" w:cs="Times New Roman"/>
          <w:szCs w:val="24"/>
        </w:rPr>
        <w:t>Dabas resursu nodokļa ieņēmumi 2024. gada 1. pusgadā bija 34,0 milj. </w:t>
      </w:r>
      <w:proofErr w:type="spellStart"/>
      <w:r w:rsidRPr="00251B61">
        <w:rPr>
          <w:rFonts w:eastAsia="Calibri" w:cs="Times New Roman"/>
          <w:i/>
          <w:iCs/>
          <w:szCs w:val="24"/>
        </w:rPr>
        <w:t>euro</w:t>
      </w:r>
      <w:proofErr w:type="spellEnd"/>
      <w:r w:rsidRPr="00251B61">
        <w:rPr>
          <w:rFonts w:eastAsia="Calibri" w:cs="Times New Roman"/>
          <w:szCs w:val="24"/>
        </w:rPr>
        <w:t>, kas ir par 2,8 milj. </w:t>
      </w:r>
      <w:proofErr w:type="spellStart"/>
      <w:r w:rsidRPr="00251B61">
        <w:rPr>
          <w:rFonts w:eastAsia="Calibri" w:cs="Times New Roman"/>
          <w:i/>
          <w:iCs/>
          <w:szCs w:val="24"/>
        </w:rPr>
        <w:t>euro</w:t>
      </w:r>
      <w:proofErr w:type="spellEnd"/>
      <w:r w:rsidRPr="00251B61">
        <w:rPr>
          <w:rFonts w:eastAsia="Calibri" w:cs="Times New Roman"/>
          <w:szCs w:val="24"/>
        </w:rPr>
        <w:t xml:space="preserve"> jeb 9,1% vairāk nekā pērnā gada attiecīgajā periodā. Kopējie dabas resursu nodokļa ieņēmumi palielinājušies galvenokārt par atkritumu apglabāšanu. 2024. gada 1. pusgadā dabas resursu nodokļa ieņēmumi bija par 1,0 milj. </w:t>
      </w:r>
      <w:proofErr w:type="spellStart"/>
      <w:r w:rsidRPr="00251B61">
        <w:rPr>
          <w:rFonts w:eastAsia="Calibri" w:cs="Times New Roman"/>
          <w:i/>
          <w:iCs/>
          <w:szCs w:val="24"/>
        </w:rPr>
        <w:t>euro</w:t>
      </w:r>
      <w:proofErr w:type="spellEnd"/>
      <w:r w:rsidRPr="00251B61">
        <w:rPr>
          <w:rFonts w:eastAsia="Calibri" w:cs="Times New Roman"/>
          <w:szCs w:val="24"/>
        </w:rPr>
        <w:t xml:space="preserve"> jeb 2,9% mazāki nekā iepriekš plānots.</w:t>
      </w:r>
    </w:p>
    <w:p w14:paraId="761C64F8" w14:textId="77777777" w:rsidR="00165D47" w:rsidRPr="00251B61" w:rsidRDefault="00165D47" w:rsidP="00165D47">
      <w:pPr>
        <w:rPr>
          <w:rFonts w:eastAsia="Calibri" w:cs="Times New Roman"/>
          <w:szCs w:val="24"/>
        </w:rPr>
      </w:pPr>
      <w:r w:rsidRPr="00251B61">
        <w:rPr>
          <w:rFonts w:eastAsia="Calibri" w:cs="Times New Roman"/>
          <w:szCs w:val="24"/>
        </w:rPr>
        <w:t>Saskaņā ar likumu “Par valsts budžetu 2025. gadam un budžeta ietvaru 2025., 2026. un 2027. gadam” kopējie dabas resursu nodokļa ieņēmumi tiek plānoti šādos apmēros: 2025. gadā – 89,3 milj. </w:t>
      </w:r>
      <w:proofErr w:type="spellStart"/>
      <w:r w:rsidRPr="00251B61">
        <w:rPr>
          <w:rFonts w:eastAsia="Calibri" w:cs="Times New Roman"/>
          <w:i/>
          <w:iCs/>
          <w:szCs w:val="24"/>
        </w:rPr>
        <w:t>euro</w:t>
      </w:r>
      <w:proofErr w:type="spellEnd"/>
      <w:r w:rsidRPr="00251B61">
        <w:rPr>
          <w:rFonts w:eastAsia="Calibri" w:cs="Times New Roman"/>
          <w:szCs w:val="24"/>
        </w:rPr>
        <w:t xml:space="preserve"> (t.sk. valsts pamatbudžetā 64,6 milj. </w:t>
      </w:r>
      <w:proofErr w:type="spellStart"/>
      <w:r w:rsidRPr="00251B61">
        <w:rPr>
          <w:rFonts w:eastAsia="Calibri" w:cs="Times New Roman"/>
          <w:i/>
          <w:iCs/>
          <w:szCs w:val="24"/>
        </w:rPr>
        <w:t>euro</w:t>
      </w:r>
      <w:proofErr w:type="spellEnd"/>
      <w:r w:rsidRPr="00251B61">
        <w:rPr>
          <w:rFonts w:eastAsia="Calibri" w:cs="Times New Roman"/>
          <w:szCs w:val="24"/>
        </w:rPr>
        <w:t>, pašvaldību budžetā 24,7 milj. </w:t>
      </w:r>
      <w:proofErr w:type="spellStart"/>
      <w:r w:rsidRPr="00251B61">
        <w:rPr>
          <w:rFonts w:eastAsia="Calibri" w:cs="Times New Roman"/>
          <w:i/>
          <w:iCs/>
          <w:szCs w:val="24"/>
        </w:rPr>
        <w:t>euro</w:t>
      </w:r>
      <w:proofErr w:type="spellEnd"/>
      <w:r w:rsidRPr="00251B61">
        <w:rPr>
          <w:rFonts w:eastAsia="Calibri" w:cs="Times New Roman"/>
          <w:szCs w:val="24"/>
        </w:rPr>
        <w:t>), 2026. gadā – 102,5 milj. </w:t>
      </w:r>
      <w:proofErr w:type="spellStart"/>
      <w:r w:rsidRPr="00251B61">
        <w:rPr>
          <w:rFonts w:eastAsia="Calibri" w:cs="Times New Roman"/>
          <w:i/>
          <w:iCs/>
          <w:szCs w:val="24"/>
        </w:rPr>
        <w:t>euro</w:t>
      </w:r>
      <w:proofErr w:type="spellEnd"/>
      <w:r w:rsidRPr="00251B61">
        <w:rPr>
          <w:rFonts w:eastAsia="Calibri" w:cs="Times New Roman"/>
          <w:szCs w:val="24"/>
        </w:rPr>
        <w:t xml:space="preserve"> (t.sk. valsts pamatbudžetā 71,9 milj. </w:t>
      </w:r>
      <w:proofErr w:type="spellStart"/>
      <w:r w:rsidRPr="00251B61">
        <w:rPr>
          <w:rFonts w:eastAsia="Calibri" w:cs="Times New Roman"/>
          <w:i/>
          <w:iCs/>
          <w:szCs w:val="24"/>
        </w:rPr>
        <w:t>euro</w:t>
      </w:r>
      <w:proofErr w:type="spellEnd"/>
      <w:r w:rsidRPr="00251B61">
        <w:rPr>
          <w:rFonts w:eastAsia="Calibri" w:cs="Times New Roman"/>
          <w:szCs w:val="24"/>
        </w:rPr>
        <w:t>, pašvaldību budžetā 30,6 milj. </w:t>
      </w:r>
      <w:proofErr w:type="spellStart"/>
      <w:r w:rsidRPr="00251B61">
        <w:rPr>
          <w:rFonts w:eastAsia="Calibri" w:cs="Times New Roman"/>
          <w:i/>
          <w:iCs/>
          <w:szCs w:val="24"/>
        </w:rPr>
        <w:t>euro</w:t>
      </w:r>
      <w:proofErr w:type="spellEnd"/>
      <w:r w:rsidRPr="00251B61">
        <w:rPr>
          <w:rFonts w:eastAsia="Calibri" w:cs="Times New Roman"/>
          <w:szCs w:val="24"/>
        </w:rPr>
        <w:t>) un 2027. gadā – 106,6 milj. </w:t>
      </w:r>
      <w:proofErr w:type="spellStart"/>
      <w:r w:rsidRPr="00251B61">
        <w:rPr>
          <w:rFonts w:eastAsia="Calibri" w:cs="Times New Roman"/>
          <w:i/>
          <w:iCs/>
          <w:szCs w:val="24"/>
        </w:rPr>
        <w:t>euro</w:t>
      </w:r>
      <w:proofErr w:type="spellEnd"/>
      <w:r w:rsidRPr="00251B61">
        <w:rPr>
          <w:rFonts w:eastAsia="Calibri" w:cs="Times New Roman"/>
          <w:szCs w:val="24"/>
        </w:rPr>
        <w:t xml:space="preserve"> (t.sk. valsts pamatbudžetā </w:t>
      </w:r>
      <w:r w:rsidRPr="00251B61">
        <w:rPr>
          <w:rFonts w:eastAsia="Calibri" w:cs="Times New Roman"/>
          <w:szCs w:val="24"/>
        </w:rPr>
        <w:lastRenderedPageBreak/>
        <w:t>74,0 milj. </w:t>
      </w:r>
      <w:proofErr w:type="spellStart"/>
      <w:r w:rsidRPr="00251B61">
        <w:rPr>
          <w:rFonts w:eastAsia="Calibri" w:cs="Times New Roman"/>
          <w:i/>
          <w:iCs/>
          <w:szCs w:val="24"/>
        </w:rPr>
        <w:t>euro</w:t>
      </w:r>
      <w:proofErr w:type="spellEnd"/>
      <w:r w:rsidRPr="00251B61">
        <w:rPr>
          <w:rFonts w:eastAsia="Calibri" w:cs="Times New Roman"/>
          <w:szCs w:val="24"/>
        </w:rPr>
        <w:t>, pašvaldību budžetā 32,6 milj. </w:t>
      </w:r>
      <w:proofErr w:type="spellStart"/>
      <w:r w:rsidRPr="00251B61">
        <w:rPr>
          <w:rFonts w:eastAsia="Calibri" w:cs="Times New Roman"/>
          <w:i/>
          <w:iCs/>
          <w:szCs w:val="24"/>
        </w:rPr>
        <w:t>euro</w:t>
      </w:r>
      <w:proofErr w:type="spellEnd"/>
      <w:r w:rsidRPr="00251B61">
        <w:rPr>
          <w:rFonts w:eastAsia="Calibri" w:cs="Times New Roman"/>
          <w:szCs w:val="24"/>
        </w:rPr>
        <w:t>) (skat. 3.16. tabulu). Dabas resursu nodokļa ieņēmumu plānu vidējā termiņā ietekmē prognozētā tautsaimniecības attīstības dinamika, prognozētie 2024. gada dabas resursu nodokļa ieņēmumi, kā arī 3.1. sadaļā minētie pasākumi.</w:t>
      </w:r>
    </w:p>
    <w:p w14:paraId="3A5A6B7D" w14:textId="77777777" w:rsidR="00165D47" w:rsidRPr="00251B61" w:rsidRDefault="00165D47" w:rsidP="00165D47">
      <w:pPr>
        <w:keepNext/>
        <w:keepLines/>
        <w:spacing w:before="240" w:after="0"/>
        <w:ind w:firstLine="0"/>
        <w:jc w:val="right"/>
        <w:rPr>
          <w:rFonts w:eastAsia="Calibri" w:cs="Times New Roman"/>
          <w:b/>
          <w:i/>
          <w:szCs w:val="24"/>
        </w:rPr>
      </w:pPr>
      <w:bookmarkStart w:id="97" w:name="_Hlk147149897"/>
      <w:r w:rsidRPr="00251B61">
        <w:rPr>
          <w:rFonts w:eastAsia="Calibri" w:cs="Times New Roman"/>
          <w:b/>
          <w:i/>
          <w:szCs w:val="24"/>
        </w:rPr>
        <w:t>3.16. </w:t>
      </w:r>
      <w:r w:rsidRPr="00251B61">
        <w:rPr>
          <w:rFonts w:eastAsia="Calibri" w:cs="Times New Roman"/>
          <w:b/>
          <w:i/>
          <w:szCs w:val="24"/>
          <w:lang w:eastAsia="en-US"/>
        </w:rPr>
        <w:t>tabula</w:t>
      </w:r>
      <w:r w:rsidRPr="00251B61">
        <w:rPr>
          <w:rFonts w:eastAsia="Calibri" w:cs="Times New Roman"/>
          <w:b/>
          <w:i/>
          <w:szCs w:val="24"/>
        </w:rPr>
        <w:t>. Dabas resursu nodokļa ieņēmumi</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68"/>
        <w:gridCol w:w="851"/>
        <w:gridCol w:w="851"/>
        <w:gridCol w:w="851"/>
        <w:gridCol w:w="851"/>
      </w:tblGrid>
      <w:tr w:rsidR="00165D47" w:rsidRPr="00251B61" w14:paraId="656AB6E6" w14:textId="77777777" w:rsidTr="008E1E6C">
        <w:trPr>
          <w:trHeight w:val="227"/>
          <w:jc w:val="center"/>
        </w:trPr>
        <w:tc>
          <w:tcPr>
            <w:tcW w:w="5670" w:type="dxa"/>
            <w:shd w:val="clear" w:color="auto" w:fill="8EAADB" w:themeFill="accent5" w:themeFillTint="99"/>
            <w:tcMar>
              <w:left w:w="28" w:type="dxa"/>
              <w:right w:w="28" w:type="dxa"/>
            </w:tcMar>
            <w:vAlign w:val="center"/>
          </w:tcPr>
          <w:p w14:paraId="39DA7BBE" w14:textId="77777777" w:rsidR="00165D47" w:rsidRPr="00251B61" w:rsidRDefault="00165D47" w:rsidP="00723ACD">
            <w:pPr>
              <w:keepNext/>
              <w:keepLines/>
              <w:spacing w:after="0"/>
              <w:ind w:firstLine="0"/>
              <w:contextualSpacing/>
              <w:jc w:val="center"/>
              <w:rPr>
                <w:rFonts w:eastAsia="Times New Roman" w:cs="Times New Roman"/>
                <w:b/>
                <w:bCs/>
                <w:sz w:val="20"/>
                <w:szCs w:val="24"/>
              </w:rPr>
            </w:pPr>
          </w:p>
        </w:tc>
        <w:tc>
          <w:tcPr>
            <w:tcW w:w="851" w:type="dxa"/>
            <w:shd w:val="clear" w:color="auto" w:fill="8EAADB" w:themeFill="accent5" w:themeFillTint="99"/>
            <w:tcMar>
              <w:left w:w="28" w:type="dxa"/>
              <w:right w:w="28" w:type="dxa"/>
            </w:tcMar>
            <w:vAlign w:val="center"/>
          </w:tcPr>
          <w:p w14:paraId="0DC9FFFE" w14:textId="77777777" w:rsidR="00165D47" w:rsidRPr="00251B61" w:rsidRDefault="00165D47" w:rsidP="00723ACD">
            <w:pPr>
              <w:keepNext/>
              <w:keepLines/>
              <w:spacing w:after="0"/>
              <w:ind w:firstLine="0"/>
              <w:contextualSpacing/>
              <w:jc w:val="center"/>
              <w:rPr>
                <w:rFonts w:eastAsia="Times New Roman" w:cs="Times New Roman"/>
                <w:b/>
                <w:bCs/>
                <w:sz w:val="20"/>
                <w:szCs w:val="24"/>
              </w:rPr>
            </w:pPr>
            <w:r w:rsidRPr="00251B61">
              <w:rPr>
                <w:rFonts w:eastAsia="Times New Roman" w:cs="Times New Roman"/>
                <w:b/>
                <w:bCs/>
                <w:sz w:val="20"/>
                <w:szCs w:val="24"/>
              </w:rPr>
              <w:t>2024</w:t>
            </w:r>
          </w:p>
        </w:tc>
        <w:tc>
          <w:tcPr>
            <w:tcW w:w="851" w:type="dxa"/>
            <w:shd w:val="clear" w:color="auto" w:fill="8EAADB" w:themeFill="accent5" w:themeFillTint="99"/>
            <w:tcMar>
              <w:left w:w="28" w:type="dxa"/>
              <w:right w:w="28" w:type="dxa"/>
            </w:tcMar>
            <w:vAlign w:val="center"/>
          </w:tcPr>
          <w:p w14:paraId="196E7031" w14:textId="77777777" w:rsidR="00165D47" w:rsidRPr="00251B61" w:rsidRDefault="00165D47" w:rsidP="00723ACD">
            <w:pPr>
              <w:keepNext/>
              <w:keepLines/>
              <w:spacing w:after="0"/>
              <w:ind w:firstLine="0"/>
              <w:contextualSpacing/>
              <w:jc w:val="center"/>
              <w:rPr>
                <w:rFonts w:eastAsia="Times New Roman" w:cs="Times New Roman"/>
                <w:b/>
                <w:bCs/>
                <w:sz w:val="20"/>
                <w:szCs w:val="24"/>
              </w:rPr>
            </w:pPr>
            <w:r w:rsidRPr="00251B61">
              <w:rPr>
                <w:rFonts w:eastAsia="Times New Roman" w:cs="Times New Roman"/>
                <w:b/>
                <w:bCs/>
                <w:sz w:val="20"/>
                <w:szCs w:val="24"/>
              </w:rPr>
              <w:t>2025</w:t>
            </w:r>
          </w:p>
        </w:tc>
        <w:tc>
          <w:tcPr>
            <w:tcW w:w="851" w:type="dxa"/>
            <w:shd w:val="clear" w:color="auto" w:fill="8EAADB" w:themeFill="accent5" w:themeFillTint="99"/>
            <w:tcMar>
              <w:left w:w="28" w:type="dxa"/>
              <w:right w:w="28" w:type="dxa"/>
            </w:tcMar>
            <w:vAlign w:val="center"/>
          </w:tcPr>
          <w:p w14:paraId="3CD2D521" w14:textId="77777777" w:rsidR="00165D47" w:rsidRPr="00251B61" w:rsidRDefault="00165D47" w:rsidP="00723ACD">
            <w:pPr>
              <w:keepNext/>
              <w:keepLines/>
              <w:spacing w:after="0"/>
              <w:ind w:firstLine="0"/>
              <w:contextualSpacing/>
              <w:jc w:val="center"/>
              <w:rPr>
                <w:rFonts w:eastAsia="Times New Roman" w:cs="Times New Roman"/>
                <w:b/>
                <w:bCs/>
                <w:sz w:val="20"/>
                <w:szCs w:val="24"/>
              </w:rPr>
            </w:pPr>
            <w:r w:rsidRPr="00251B61">
              <w:rPr>
                <w:rFonts w:eastAsia="Times New Roman" w:cs="Times New Roman"/>
                <w:b/>
                <w:bCs/>
                <w:sz w:val="20"/>
                <w:szCs w:val="24"/>
              </w:rPr>
              <w:t>2026</w:t>
            </w:r>
          </w:p>
        </w:tc>
        <w:tc>
          <w:tcPr>
            <w:tcW w:w="851" w:type="dxa"/>
            <w:shd w:val="clear" w:color="auto" w:fill="8EAADB" w:themeFill="accent5" w:themeFillTint="99"/>
            <w:tcMar>
              <w:left w:w="28" w:type="dxa"/>
              <w:right w:w="28" w:type="dxa"/>
            </w:tcMar>
            <w:vAlign w:val="center"/>
          </w:tcPr>
          <w:p w14:paraId="7F4717D8" w14:textId="77777777" w:rsidR="00165D47" w:rsidRPr="00251B61" w:rsidRDefault="00165D47" w:rsidP="00723ACD">
            <w:pPr>
              <w:keepNext/>
              <w:keepLines/>
              <w:spacing w:after="0"/>
              <w:ind w:firstLine="0"/>
              <w:contextualSpacing/>
              <w:jc w:val="center"/>
              <w:rPr>
                <w:rFonts w:eastAsia="Times New Roman" w:cs="Times New Roman"/>
                <w:b/>
                <w:bCs/>
                <w:sz w:val="20"/>
                <w:szCs w:val="24"/>
              </w:rPr>
            </w:pPr>
            <w:r w:rsidRPr="00251B61">
              <w:rPr>
                <w:rFonts w:eastAsia="Times New Roman" w:cs="Times New Roman"/>
                <w:b/>
                <w:bCs/>
                <w:sz w:val="20"/>
                <w:szCs w:val="24"/>
              </w:rPr>
              <w:t>2027</w:t>
            </w:r>
          </w:p>
        </w:tc>
      </w:tr>
      <w:bookmarkEnd w:id="97"/>
      <w:tr w:rsidR="00165D47" w:rsidRPr="00251B61" w14:paraId="1743AA25" w14:textId="77777777" w:rsidTr="00723ACD">
        <w:trPr>
          <w:trHeight w:val="397"/>
          <w:jc w:val="center"/>
        </w:trPr>
        <w:tc>
          <w:tcPr>
            <w:tcW w:w="5670" w:type="dxa"/>
            <w:tcMar>
              <w:left w:w="28" w:type="dxa"/>
              <w:right w:w="28" w:type="dxa"/>
            </w:tcMar>
            <w:vAlign w:val="center"/>
          </w:tcPr>
          <w:p w14:paraId="49F77217" w14:textId="77777777" w:rsidR="00165D47" w:rsidRPr="00251B61" w:rsidRDefault="00165D47" w:rsidP="00723ACD">
            <w:pPr>
              <w:keepNext/>
              <w:keepLines/>
              <w:spacing w:after="0"/>
              <w:ind w:firstLine="0"/>
              <w:jc w:val="left"/>
              <w:rPr>
                <w:rFonts w:cs="Times New Roman"/>
                <w:i/>
                <w:noProof/>
                <w:sz w:val="18"/>
                <w:szCs w:val="18"/>
              </w:rPr>
            </w:pPr>
            <w:r w:rsidRPr="00251B61">
              <w:rPr>
                <w:rFonts w:cs="Times New Roman"/>
                <w:noProof/>
                <w:sz w:val="18"/>
                <w:szCs w:val="18"/>
              </w:rPr>
              <w:t>Saskaņā ar likumu “Par valsts budžetu 2025. gadam un budžeta ietvaru 2025., 2026. un 2027. gadam”, milj.</w:t>
            </w:r>
            <w:r w:rsidRPr="00251B61">
              <w:rPr>
                <w:rFonts w:cs="Times New Roman"/>
                <w:i/>
                <w:noProof/>
                <w:sz w:val="18"/>
                <w:szCs w:val="18"/>
              </w:rPr>
              <w:t> euro</w:t>
            </w:r>
          </w:p>
        </w:tc>
        <w:tc>
          <w:tcPr>
            <w:tcW w:w="851" w:type="dxa"/>
            <w:tcMar>
              <w:left w:w="28" w:type="dxa"/>
              <w:right w:w="28" w:type="dxa"/>
            </w:tcMar>
            <w:vAlign w:val="center"/>
          </w:tcPr>
          <w:p w14:paraId="34E0C2B5" w14:textId="77777777" w:rsidR="00165D47" w:rsidRPr="00251B61" w:rsidRDefault="00165D47" w:rsidP="00723ACD">
            <w:pPr>
              <w:keepNext/>
              <w:keepLines/>
              <w:tabs>
                <w:tab w:val="decimal" w:pos="510"/>
              </w:tabs>
              <w:spacing w:after="0"/>
              <w:ind w:firstLine="0"/>
              <w:jc w:val="left"/>
              <w:rPr>
                <w:rFonts w:cs="Times New Roman"/>
                <w:noProof/>
                <w:sz w:val="18"/>
                <w:szCs w:val="18"/>
              </w:rPr>
            </w:pPr>
            <w:r w:rsidRPr="00251B61">
              <w:rPr>
                <w:rFonts w:cs="Times New Roman"/>
                <w:noProof/>
                <w:sz w:val="18"/>
                <w:szCs w:val="18"/>
              </w:rPr>
              <w:t>72,5</w:t>
            </w:r>
            <w:r w:rsidRPr="00251B61">
              <w:rPr>
                <w:rFonts w:cs="Times New Roman"/>
                <w:noProof/>
                <w:sz w:val="18"/>
                <w:szCs w:val="18"/>
                <w:vertAlign w:val="superscript"/>
              </w:rPr>
              <w:t>1</w:t>
            </w:r>
          </w:p>
        </w:tc>
        <w:tc>
          <w:tcPr>
            <w:tcW w:w="851" w:type="dxa"/>
            <w:tcMar>
              <w:left w:w="28" w:type="dxa"/>
              <w:right w:w="28" w:type="dxa"/>
            </w:tcMar>
            <w:vAlign w:val="center"/>
          </w:tcPr>
          <w:p w14:paraId="2D9A783D" w14:textId="344E8BDF" w:rsidR="00165D47" w:rsidRPr="00251B61" w:rsidRDefault="00165D47" w:rsidP="00723ACD">
            <w:pPr>
              <w:keepNext/>
              <w:keepLines/>
              <w:tabs>
                <w:tab w:val="decimal" w:pos="510"/>
              </w:tabs>
              <w:spacing w:after="0"/>
              <w:ind w:firstLine="0"/>
              <w:jc w:val="left"/>
              <w:rPr>
                <w:rFonts w:cs="Times New Roman"/>
                <w:noProof/>
                <w:sz w:val="18"/>
                <w:szCs w:val="18"/>
              </w:rPr>
            </w:pPr>
            <w:r w:rsidRPr="00251B61">
              <w:rPr>
                <w:rFonts w:cs="Times New Roman"/>
                <w:noProof/>
                <w:sz w:val="18"/>
                <w:szCs w:val="18"/>
              </w:rPr>
              <w:t>89,3</w:t>
            </w:r>
            <w:r w:rsidR="00264454" w:rsidRPr="008826A2">
              <w:rPr>
                <w:sz w:val="18"/>
                <w:szCs w:val="18"/>
                <w:vertAlign w:val="superscript"/>
              </w:rPr>
              <w:t>1</w:t>
            </w:r>
          </w:p>
        </w:tc>
        <w:tc>
          <w:tcPr>
            <w:tcW w:w="851" w:type="dxa"/>
            <w:tcMar>
              <w:left w:w="28" w:type="dxa"/>
              <w:right w:w="28" w:type="dxa"/>
            </w:tcMar>
            <w:vAlign w:val="center"/>
          </w:tcPr>
          <w:p w14:paraId="1A0397E0" w14:textId="4458BDA2" w:rsidR="00165D47" w:rsidRPr="00251B61" w:rsidRDefault="00165D47" w:rsidP="00723ACD">
            <w:pPr>
              <w:keepNext/>
              <w:keepLines/>
              <w:tabs>
                <w:tab w:val="decimal" w:pos="510"/>
              </w:tabs>
              <w:spacing w:after="0"/>
              <w:ind w:firstLine="0"/>
              <w:jc w:val="left"/>
              <w:rPr>
                <w:rFonts w:cs="Times New Roman"/>
                <w:noProof/>
                <w:sz w:val="18"/>
                <w:szCs w:val="18"/>
              </w:rPr>
            </w:pPr>
            <w:r w:rsidRPr="00251B61">
              <w:rPr>
                <w:rFonts w:cs="Times New Roman"/>
                <w:noProof/>
                <w:sz w:val="18"/>
                <w:szCs w:val="18"/>
              </w:rPr>
              <w:t>102,5</w:t>
            </w:r>
            <w:r w:rsidR="00264454" w:rsidRPr="008826A2">
              <w:rPr>
                <w:sz w:val="18"/>
                <w:szCs w:val="18"/>
                <w:vertAlign w:val="superscript"/>
              </w:rPr>
              <w:t>1</w:t>
            </w:r>
          </w:p>
        </w:tc>
        <w:tc>
          <w:tcPr>
            <w:tcW w:w="851" w:type="dxa"/>
            <w:tcMar>
              <w:left w:w="28" w:type="dxa"/>
              <w:right w:w="28" w:type="dxa"/>
            </w:tcMar>
            <w:vAlign w:val="center"/>
          </w:tcPr>
          <w:p w14:paraId="16E62C71" w14:textId="1B6FBE9B" w:rsidR="00165D47" w:rsidRPr="00251B61" w:rsidRDefault="00165D47" w:rsidP="00723ACD">
            <w:pPr>
              <w:keepNext/>
              <w:keepLines/>
              <w:tabs>
                <w:tab w:val="decimal" w:pos="510"/>
              </w:tabs>
              <w:spacing w:after="0"/>
              <w:ind w:firstLine="0"/>
              <w:jc w:val="left"/>
              <w:rPr>
                <w:rFonts w:cs="Times New Roman"/>
                <w:noProof/>
                <w:sz w:val="18"/>
                <w:szCs w:val="18"/>
              </w:rPr>
            </w:pPr>
            <w:r w:rsidRPr="00251B61">
              <w:rPr>
                <w:rFonts w:cs="Times New Roman"/>
                <w:noProof/>
                <w:sz w:val="18"/>
                <w:szCs w:val="18"/>
              </w:rPr>
              <w:t>106,6</w:t>
            </w:r>
            <w:r w:rsidR="00264454" w:rsidRPr="008826A2">
              <w:rPr>
                <w:sz w:val="18"/>
                <w:szCs w:val="18"/>
                <w:vertAlign w:val="superscript"/>
              </w:rPr>
              <w:t>1</w:t>
            </w:r>
          </w:p>
        </w:tc>
      </w:tr>
      <w:tr w:rsidR="00165D47" w:rsidRPr="00251B61" w14:paraId="57EE8B5E" w14:textId="77777777" w:rsidTr="00723ACD">
        <w:trPr>
          <w:trHeight w:val="227"/>
          <w:jc w:val="center"/>
        </w:trPr>
        <w:tc>
          <w:tcPr>
            <w:tcW w:w="5670" w:type="dxa"/>
            <w:tcMar>
              <w:left w:w="28" w:type="dxa"/>
              <w:right w:w="28" w:type="dxa"/>
            </w:tcMar>
            <w:vAlign w:val="center"/>
          </w:tcPr>
          <w:p w14:paraId="19E2FEAC" w14:textId="77777777" w:rsidR="00165D47" w:rsidRPr="00251B61" w:rsidRDefault="00165D47" w:rsidP="00723ACD">
            <w:pPr>
              <w:keepNext/>
              <w:keepLines/>
              <w:spacing w:after="0"/>
              <w:ind w:left="340" w:firstLine="0"/>
              <w:jc w:val="left"/>
              <w:rPr>
                <w:rFonts w:cs="Times New Roman"/>
                <w:i/>
                <w:iCs/>
                <w:noProof/>
                <w:sz w:val="18"/>
                <w:szCs w:val="18"/>
              </w:rPr>
            </w:pPr>
            <w:r w:rsidRPr="00251B61">
              <w:rPr>
                <w:rFonts w:cs="Times New Roman"/>
                <w:i/>
                <w:iCs/>
                <w:noProof/>
                <w:sz w:val="18"/>
                <w:szCs w:val="18"/>
              </w:rPr>
              <w:t>pret IKP, %</w:t>
            </w:r>
          </w:p>
        </w:tc>
        <w:tc>
          <w:tcPr>
            <w:tcW w:w="851" w:type="dxa"/>
            <w:tcMar>
              <w:left w:w="28" w:type="dxa"/>
              <w:right w:w="28" w:type="dxa"/>
            </w:tcMar>
            <w:vAlign w:val="center"/>
          </w:tcPr>
          <w:p w14:paraId="3450CCEC" w14:textId="77777777" w:rsidR="00165D47" w:rsidRPr="00251B61" w:rsidRDefault="00165D47" w:rsidP="00723ACD">
            <w:pPr>
              <w:keepNext/>
              <w:keepLines/>
              <w:tabs>
                <w:tab w:val="decimal" w:pos="510"/>
              </w:tabs>
              <w:spacing w:after="0"/>
              <w:ind w:firstLine="0"/>
              <w:jc w:val="left"/>
              <w:rPr>
                <w:rFonts w:cs="Times New Roman"/>
                <w:i/>
                <w:iCs/>
                <w:noProof/>
                <w:sz w:val="18"/>
                <w:szCs w:val="18"/>
              </w:rPr>
            </w:pPr>
            <w:r w:rsidRPr="00251B61">
              <w:rPr>
                <w:rFonts w:cs="Times New Roman"/>
                <w:i/>
                <w:iCs/>
                <w:noProof/>
                <w:sz w:val="18"/>
                <w:szCs w:val="18"/>
              </w:rPr>
              <w:t>0,17</w:t>
            </w:r>
          </w:p>
        </w:tc>
        <w:tc>
          <w:tcPr>
            <w:tcW w:w="851" w:type="dxa"/>
            <w:tcMar>
              <w:left w:w="28" w:type="dxa"/>
              <w:right w:w="28" w:type="dxa"/>
            </w:tcMar>
            <w:vAlign w:val="center"/>
          </w:tcPr>
          <w:p w14:paraId="1AD25BAB" w14:textId="77777777" w:rsidR="00165D47" w:rsidRPr="00251B61" w:rsidRDefault="00165D47" w:rsidP="00723ACD">
            <w:pPr>
              <w:keepNext/>
              <w:keepLines/>
              <w:tabs>
                <w:tab w:val="decimal" w:pos="510"/>
              </w:tabs>
              <w:spacing w:after="0"/>
              <w:ind w:firstLine="0"/>
              <w:jc w:val="left"/>
              <w:rPr>
                <w:rFonts w:cs="Times New Roman"/>
                <w:i/>
                <w:iCs/>
                <w:noProof/>
                <w:sz w:val="18"/>
                <w:szCs w:val="18"/>
              </w:rPr>
            </w:pPr>
            <w:r w:rsidRPr="00251B61">
              <w:rPr>
                <w:rFonts w:cs="Times New Roman"/>
                <w:i/>
                <w:iCs/>
                <w:noProof/>
                <w:sz w:val="18"/>
                <w:szCs w:val="18"/>
              </w:rPr>
              <w:t>0,20</w:t>
            </w:r>
          </w:p>
        </w:tc>
        <w:tc>
          <w:tcPr>
            <w:tcW w:w="851" w:type="dxa"/>
            <w:tcMar>
              <w:left w:w="28" w:type="dxa"/>
              <w:right w:w="28" w:type="dxa"/>
            </w:tcMar>
            <w:vAlign w:val="center"/>
          </w:tcPr>
          <w:p w14:paraId="1313721C" w14:textId="77777777" w:rsidR="00165D47" w:rsidRPr="00251B61" w:rsidRDefault="00165D47" w:rsidP="00723ACD">
            <w:pPr>
              <w:keepNext/>
              <w:keepLines/>
              <w:tabs>
                <w:tab w:val="decimal" w:pos="510"/>
              </w:tabs>
              <w:spacing w:after="0"/>
              <w:ind w:firstLine="0"/>
              <w:jc w:val="left"/>
              <w:rPr>
                <w:rFonts w:cs="Times New Roman"/>
                <w:i/>
                <w:iCs/>
                <w:noProof/>
                <w:sz w:val="18"/>
                <w:szCs w:val="18"/>
              </w:rPr>
            </w:pPr>
            <w:r w:rsidRPr="00251B61">
              <w:rPr>
                <w:rFonts w:cs="Times New Roman"/>
                <w:i/>
                <w:iCs/>
                <w:noProof/>
                <w:sz w:val="18"/>
                <w:szCs w:val="18"/>
              </w:rPr>
              <w:t>0,22</w:t>
            </w:r>
          </w:p>
        </w:tc>
        <w:tc>
          <w:tcPr>
            <w:tcW w:w="851" w:type="dxa"/>
            <w:tcMar>
              <w:left w:w="28" w:type="dxa"/>
              <w:right w:w="28" w:type="dxa"/>
            </w:tcMar>
            <w:vAlign w:val="center"/>
          </w:tcPr>
          <w:p w14:paraId="6C0D5E7B" w14:textId="77777777" w:rsidR="00165D47" w:rsidRPr="00251B61" w:rsidRDefault="00165D47" w:rsidP="00723ACD">
            <w:pPr>
              <w:keepNext/>
              <w:keepLines/>
              <w:tabs>
                <w:tab w:val="decimal" w:pos="510"/>
              </w:tabs>
              <w:spacing w:after="0"/>
              <w:ind w:firstLine="0"/>
              <w:jc w:val="left"/>
              <w:rPr>
                <w:rFonts w:cs="Times New Roman"/>
                <w:i/>
                <w:iCs/>
                <w:noProof/>
                <w:sz w:val="18"/>
                <w:szCs w:val="18"/>
              </w:rPr>
            </w:pPr>
            <w:r w:rsidRPr="00251B61">
              <w:rPr>
                <w:rFonts w:cs="Times New Roman"/>
                <w:i/>
                <w:iCs/>
                <w:noProof/>
                <w:sz w:val="18"/>
                <w:szCs w:val="18"/>
              </w:rPr>
              <w:t>0,22</w:t>
            </w:r>
          </w:p>
        </w:tc>
      </w:tr>
      <w:tr w:rsidR="00165D47" w:rsidRPr="00251B61" w14:paraId="50544F47" w14:textId="77777777" w:rsidTr="00723ACD">
        <w:trPr>
          <w:trHeight w:val="397"/>
          <w:jc w:val="center"/>
        </w:trPr>
        <w:tc>
          <w:tcPr>
            <w:tcW w:w="5670" w:type="dxa"/>
            <w:tcMar>
              <w:left w:w="28" w:type="dxa"/>
              <w:right w:w="28" w:type="dxa"/>
            </w:tcMar>
            <w:vAlign w:val="center"/>
          </w:tcPr>
          <w:p w14:paraId="75658A8F"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Salīdzinājumā ar likumu “Par valsts budžetu 2024. gadam un budžeta ietvaru 2024., 2025. un 2026. gadam”, milj.</w:t>
            </w:r>
            <w:r w:rsidRPr="00251B61">
              <w:rPr>
                <w:rFonts w:cs="Times New Roman"/>
                <w:i/>
                <w:noProof/>
                <w:sz w:val="18"/>
                <w:szCs w:val="18"/>
              </w:rPr>
              <w:t> euro</w:t>
            </w:r>
          </w:p>
        </w:tc>
        <w:tc>
          <w:tcPr>
            <w:tcW w:w="851" w:type="dxa"/>
            <w:shd w:val="clear" w:color="auto" w:fill="auto"/>
            <w:tcMar>
              <w:left w:w="28" w:type="dxa"/>
              <w:right w:w="28" w:type="dxa"/>
            </w:tcMar>
            <w:vAlign w:val="center"/>
          </w:tcPr>
          <w:p w14:paraId="538181FD" w14:textId="77777777" w:rsidR="00165D47" w:rsidRPr="00251B61" w:rsidRDefault="00165D47" w:rsidP="00723ACD">
            <w:pPr>
              <w:keepNext/>
              <w:keepLines/>
              <w:tabs>
                <w:tab w:val="decimal" w:pos="510"/>
              </w:tabs>
              <w:spacing w:after="0"/>
              <w:ind w:firstLine="0"/>
              <w:jc w:val="left"/>
              <w:rPr>
                <w:rFonts w:cs="Times New Roman"/>
                <w:i/>
                <w:noProof/>
                <w:sz w:val="18"/>
                <w:szCs w:val="18"/>
              </w:rPr>
            </w:pPr>
            <w:r w:rsidRPr="00251B61">
              <w:rPr>
                <w:rFonts w:cs="Times New Roman"/>
                <w:i/>
                <w:noProof/>
                <w:sz w:val="18"/>
                <w:szCs w:val="18"/>
              </w:rPr>
              <w:t>-1,6</w:t>
            </w:r>
          </w:p>
        </w:tc>
        <w:tc>
          <w:tcPr>
            <w:tcW w:w="851" w:type="dxa"/>
            <w:shd w:val="clear" w:color="auto" w:fill="auto"/>
            <w:tcMar>
              <w:left w:w="28" w:type="dxa"/>
              <w:right w:w="28" w:type="dxa"/>
            </w:tcMar>
            <w:vAlign w:val="center"/>
          </w:tcPr>
          <w:p w14:paraId="2A64B26F" w14:textId="77777777" w:rsidR="00165D47" w:rsidRPr="00251B61" w:rsidRDefault="00165D47" w:rsidP="00723ACD">
            <w:pPr>
              <w:keepNext/>
              <w:keepLines/>
              <w:tabs>
                <w:tab w:val="decimal" w:pos="510"/>
              </w:tabs>
              <w:spacing w:after="0"/>
              <w:ind w:firstLine="0"/>
              <w:jc w:val="left"/>
              <w:rPr>
                <w:rFonts w:cs="Times New Roman"/>
                <w:i/>
                <w:noProof/>
                <w:sz w:val="18"/>
                <w:szCs w:val="18"/>
              </w:rPr>
            </w:pPr>
            <w:r w:rsidRPr="00251B61">
              <w:rPr>
                <w:rFonts w:cs="Times New Roman"/>
                <w:i/>
                <w:noProof/>
                <w:sz w:val="18"/>
                <w:szCs w:val="18"/>
              </w:rPr>
              <w:t>-0,1</w:t>
            </w:r>
          </w:p>
        </w:tc>
        <w:tc>
          <w:tcPr>
            <w:tcW w:w="851" w:type="dxa"/>
            <w:shd w:val="clear" w:color="auto" w:fill="auto"/>
            <w:tcMar>
              <w:left w:w="28" w:type="dxa"/>
              <w:right w:w="28" w:type="dxa"/>
            </w:tcMar>
            <w:vAlign w:val="center"/>
          </w:tcPr>
          <w:p w14:paraId="741E18E6" w14:textId="77777777" w:rsidR="00165D47" w:rsidRPr="00251B61" w:rsidRDefault="00165D47" w:rsidP="00723ACD">
            <w:pPr>
              <w:keepNext/>
              <w:keepLines/>
              <w:tabs>
                <w:tab w:val="decimal" w:pos="510"/>
              </w:tabs>
              <w:spacing w:after="0"/>
              <w:ind w:firstLine="0"/>
              <w:jc w:val="left"/>
              <w:rPr>
                <w:rFonts w:cs="Times New Roman"/>
                <w:i/>
                <w:noProof/>
                <w:sz w:val="18"/>
                <w:szCs w:val="18"/>
              </w:rPr>
            </w:pPr>
            <w:r w:rsidRPr="00251B61">
              <w:rPr>
                <w:rFonts w:cs="Times New Roman"/>
                <w:i/>
                <w:noProof/>
                <w:sz w:val="18"/>
                <w:szCs w:val="18"/>
              </w:rPr>
              <w:t>-0,1</w:t>
            </w:r>
          </w:p>
        </w:tc>
        <w:tc>
          <w:tcPr>
            <w:tcW w:w="851" w:type="dxa"/>
            <w:shd w:val="clear" w:color="auto" w:fill="auto"/>
            <w:tcMar>
              <w:left w:w="28" w:type="dxa"/>
              <w:right w:w="28" w:type="dxa"/>
            </w:tcMar>
            <w:vAlign w:val="center"/>
          </w:tcPr>
          <w:p w14:paraId="41AE21D2" w14:textId="77777777" w:rsidR="00165D47" w:rsidRPr="00251B61" w:rsidRDefault="00165D47" w:rsidP="00723ACD">
            <w:pPr>
              <w:keepNext/>
              <w:keepLines/>
              <w:tabs>
                <w:tab w:val="decimal" w:pos="510"/>
              </w:tabs>
              <w:spacing w:after="0"/>
              <w:ind w:firstLine="0"/>
              <w:jc w:val="left"/>
              <w:rPr>
                <w:rFonts w:cs="Times New Roman"/>
                <w:i/>
                <w:noProof/>
                <w:sz w:val="18"/>
                <w:szCs w:val="18"/>
              </w:rPr>
            </w:pPr>
            <w:r w:rsidRPr="00251B61">
              <w:rPr>
                <w:rFonts w:cs="Times New Roman"/>
                <w:i/>
                <w:iCs/>
                <w:noProof/>
                <w:sz w:val="18"/>
                <w:szCs w:val="18"/>
              </w:rPr>
              <w:t>—</w:t>
            </w:r>
          </w:p>
        </w:tc>
      </w:tr>
      <w:tr w:rsidR="00165D47" w:rsidRPr="00251B61" w14:paraId="62A812C6" w14:textId="77777777" w:rsidTr="00723ACD">
        <w:trPr>
          <w:trHeight w:val="397"/>
          <w:jc w:val="center"/>
        </w:trPr>
        <w:tc>
          <w:tcPr>
            <w:tcW w:w="5670" w:type="dxa"/>
            <w:tcMar>
              <w:left w:w="28" w:type="dxa"/>
              <w:right w:w="28" w:type="dxa"/>
            </w:tcMar>
            <w:vAlign w:val="center"/>
          </w:tcPr>
          <w:p w14:paraId="4D723667"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Salīdzinājumā ar likumu “Par valsts budžetu 2024. gadam un budžeta ietvaru 2024., 2025. un 2026. gadam”, %</w:t>
            </w:r>
          </w:p>
        </w:tc>
        <w:tc>
          <w:tcPr>
            <w:tcW w:w="851" w:type="dxa"/>
            <w:tcMar>
              <w:left w:w="28" w:type="dxa"/>
              <w:right w:w="28" w:type="dxa"/>
            </w:tcMar>
            <w:vAlign w:val="center"/>
          </w:tcPr>
          <w:p w14:paraId="319DDE91" w14:textId="77777777" w:rsidR="00165D47" w:rsidRPr="00251B61" w:rsidRDefault="00165D47" w:rsidP="00723ACD">
            <w:pPr>
              <w:keepNext/>
              <w:keepLines/>
              <w:tabs>
                <w:tab w:val="decimal" w:pos="510"/>
              </w:tabs>
              <w:spacing w:after="0"/>
              <w:ind w:firstLine="0"/>
              <w:jc w:val="left"/>
              <w:rPr>
                <w:rFonts w:cs="Times New Roman"/>
                <w:i/>
                <w:noProof/>
                <w:sz w:val="18"/>
                <w:szCs w:val="18"/>
              </w:rPr>
            </w:pPr>
            <w:r w:rsidRPr="00251B61">
              <w:rPr>
                <w:rFonts w:cs="Times New Roman"/>
                <w:i/>
                <w:noProof/>
                <w:sz w:val="18"/>
                <w:szCs w:val="18"/>
              </w:rPr>
              <w:t>-2,1</w:t>
            </w:r>
          </w:p>
        </w:tc>
        <w:tc>
          <w:tcPr>
            <w:tcW w:w="851" w:type="dxa"/>
            <w:tcMar>
              <w:left w:w="28" w:type="dxa"/>
              <w:right w:w="28" w:type="dxa"/>
            </w:tcMar>
            <w:vAlign w:val="center"/>
          </w:tcPr>
          <w:p w14:paraId="10702FA7" w14:textId="77777777" w:rsidR="00165D47" w:rsidRPr="00251B61" w:rsidRDefault="00165D47" w:rsidP="00723ACD">
            <w:pPr>
              <w:keepNext/>
              <w:keepLines/>
              <w:tabs>
                <w:tab w:val="decimal" w:pos="510"/>
              </w:tabs>
              <w:spacing w:after="0"/>
              <w:ind w:firstLine="0"/>
              <w:jc w:val="left"/>
              <w:rPr>
                <w:rFonts w:cs="Times New Roman"/>
                <w:i/>
                <w:noProof/>
                <w:sz w:val="18"/>
                <w:szCs w:val="18"/>
              </w:rPr>
            </w:pPr>
            <w:r w:rsidRPr="00251B61">
              <w:rPr>
                <w:rFonts w:cs="Times New Roman"/>
                <w:i/>
                <w:noProof/>
                <w:sz w:val="18"/>
                <w:szCs w:val="18"/>
              </w:rPr>
              <w:t>-0,1</w:t>
            </w:r>
          </w:p>
        </w:tc>
        <w:tc>
          <w:tcPr>
            <w:tcW w:w="851" w:type="dxa"/>
            <w:tcMar>
              <w:left w:w="28" w:type="dxa"/>
              <w:right w:w="28" w:type="dxa"/>
            </w:tcMar>
            <w:vAlign w:val="center"/>
          </w:tcPr>
          <w:p w14:paraId="3AE0DE61" w14:textId="77777777" w:rsidR="00165D47" w:rsidRPr="00251B61" w:rsidRDefault="00165D47" w:rsidP="00723ACD">
            <w:pPr>
              <w:keepNext/>
              <w:keepLines/>
              <w:tabs>
                <w:tab w:val="decimal" w:pos="510"/>
              </w:tabs>
              <w:spacing w:after="0"/>
              <w:ind w:firstLine="0"/>
              <w:jc w:val="left"/>
              <w:rPr>
                <w:rFonts w:cs="Times New Roman"/>
                <w:i/>
                <w:noProof/>
                <w:sz w:val="18"/>
                <w:szCs w:val="18"/>
              </w:rPr>
            </w:pPr>
            <w:r w:rsidRPr="00251B61">
              <w:rPr>
                <w:rFonts w:cs="Times New Roman"/>
                <w:i/>
                <w:noProof/>
                <w:sz w:val="18"/>
                <w:szCs w:val="18"/>
              </w:rPr>
              <w:t>-0,1</w:t>
            </w:r>
          </w:p>
        </w:tc>
        <w:tc>
          <w:tcPr>
            <w:tcW w:w="851" w:type="dxa"/>
            <w:tcMar>
              <w:left w:w="28" w:type="dxa"/>
              <w:right w:w="28" w:type="dxa"/>
            </w:tcMar>
            <w:vAlign w:val="center"/>
          </w:tcPr>
          <w:p w14:paraId="5FBFF85E" w14:textId="77777777" w:rsidR="00165D47" w:rsidRPr="00251B61" w:rsidRDefault="00165D47" w:rsidP="00723ACD">
            <w:pPr>
              <w:keepNext/>
              <w:keepLines/>
              <w:tabs>
                <w:tab w:val="decimal" w:pos="510"/>
              </w:tabs>
              <w:spacing w:after="0"/>
              <w:ind w:firstLine="0"/>
              <w:jc w:val="left"/>
              <w:rPr>
                <w:rFonts w:cs="Times New Roman"/>
                <w:i/>
                <w:noProof/>
                <w:sz w:val="18"/>
                <w:szCs w:val="18"/>
              </w:rPr>
            </w:pPr>
            <w:r w:rsidRPr="00251B61">
              <w:rPr>
                <w:rFonts w:cs="Times New Roman"/>
                <w:i/>
                <w:iCs/>
                <w:noProof/>
                <w:sz w:val="18"/>
                <w:szCs w:val="18"/>
              </w:rPr>
              <w:t>—</w:t>
            </w:r>
          </w:p>
        </w:tc>
      </w:tr>
    </w:tbl>
    <w:p w14:paraId="64E533F5" w14:textId="77777777" w:rsidR="00165D47" w:rsidRPr="00251B61" w:rsidRDefault="00165D47" w:rsidP="00165D47">
      <w:pPr>
        <w:spacing w:after="0"/>
        <w:ind w:left="425" w:firstLine="0"/>
        <w:rPr>
          <w:rFonts w:eastAsia="Calibri" w:cs="Times New Roman"/>
          <w:sz w:val="18"/>
          <w:szCs w:val="18"/>
          <w:lang w:eastAsia="en-US"/>
        </w:rPr>
      </w:pPr>
      <w:bookmarkStart w:id="98" w:name="_Hlk147156831"/>
      <w:r w:rsidRPr="00251B61">
        <w:rPr>
          <w:rFonts w:eastAsia="Calibri" w:cs="Times New Roman"/>
          <w:sz w:val="18"/>
          <w:szCs w:val="18"/>
          <w:vertAlign w:val="superscript"/>
          <w:lang w:eastAsia="en-US"/>
        </w:rPr>
        <w:t>1</w:t>
      </w:r>
      <w:r w:rsidRPr="00251B61">
        <w:rPr>
          <w:rFonts w:eastAsia="Calibri" w:cs="Times New Roman"/>
          <w:sz w:val="18"/>
          <w:szCs w:val="18"/>
          <w:lang w:eastAsia="en-US"/>
        </w:rPr>
        <w:t> Prognoze</w:t>
      </w:r>
      <w:bookmarkEnd w:id="98"/>
    </w:p>
    <w:bookmarkEnd w:id="96"/>
    <w:p w14:paraId="48072BC6" w14:textId="77777777" w:rsidR="00165D47" w:rsidRPr="00251B61" w:rsidRDefault="00165D47" w:rsidP="00165D47">
      <w:pPr>
        <w:keepNext/>
        <w:keepLines/>
        <w:spacing w:before="240" w:after="240"/>
        <w:ind w:firstLine="0"/>
        <w:jc w:val="center"/>
        <w:outlineLvl w:val="3"/>
        <w:rPr>
          <w:rFonts w:eastAsia="Times New Roman" w:cs="Times New Roman"/>
          <w:b/>
          <w:sz w:val="28"/>
          <w:lang w:eastAsia="en-US"/>
        </w:rPr>
      </w:pPr>
      <w:r w:rsidRPr="00251B61">
        <w:rPr>
          <w:rFonts w:eastAsia="Times New Roman" w:cs="Times New Roman"/>
          <w:b/>
          <w:sz w:val="28"/>
          <w:lang w:eastAsia="en-US"/>
        </w:rPr>
        <w:t>Izložu un azartspēļu nodoklis</w:t>
      </w:r>
    </w:p>
    <w:p w14:paraId="562728BD" w14:textId="77777777" w:rsidR="00165D47" w:rsidRPr="00251B61" w:rsidRDefault="00165D47" w:rsidP="00165D47">
      <w:pPr>
        <w:rPr>
          <w:rFonts w:eastAsia="Calibri" w:cs="Times New Roman"/>
          <w:szCs w:val="24"/>
        </w:rPr>
      </w:pPr>
      <w:r w:rsidRPr="00251B61">
        <w:rPr>
          <w:rFonts w:eastAsia="Calibri" w:cs="Times New Roman"/>
          <w:szCs w:val="24"/>
        </w:rPr>
        <w:t xml:space="preserve">Izložu un azartspēļu nodokli maksā komersanti, kas likumā “Par izložu un azartspēļu nodevu un nodokli” noteiktajā kārtībā saņēmuši speciālu atļauju izložu un azartspēļu organizēšanai un uzturēšanai. </w:t>
      </w:r>
    </w:p>
    <w:p w14:paraId="3752C463" w14:textId="2DD6C140" w:rsidR="00165D47" w:rsidRPr="00251B61" w:rsidRDefault="00165D47" w:rsidP="00165D47">
      <w:pPr>
        <w:rPr>
          <w:rFonts w:eastAsia="Calibri" w:cs="Times New Roman"/>
        </w:rPr>
      </w:pPr>
      <w:r w:rsidRPr="00251B61">
        <w:rPr>
          <w:rFonts w:eastAsia="Calibri" w:cs="Times New Roman"/>
          <w:szCs w:val="24"/>
        </w:rPr>
        <w:t>2024. gada sešos mēnešos izložu un azartspēļu nodokļa ieņēmumi bija 27,4 milj. </w:t>
      </w:r>
      <w:proofErr w:type="spellStart"/>
      <w:r w:rsidRPr="00251B61">
        <w:rPr>
          <w:rFonts w:eastAsia="Calibri" w:cs="Times New Roman"/>
          <w:i/>
          <w:iCs/>
          <w:szCs w:val="24"/>
        </w:rPr>
        <w:t>euro</w:t>
      </w:r>
      <w:proofErr w:type="spellEnd"/>
      <w:r w:rsidRPr="00251B61">
        <w:rPr>
          <w:rFonts w:eastAsia="Calibri" w:cs="Times New Roman"/>
          <w:szCs w:val="24"/>
        </w:rPr>
        <w:t>, kas, salīdzinājumā ar 2023. gada sešiem mēnešiem, ir palielinājušies par 3,0 milj. </w:t>
      </w:r>
      <w:proofErr w:type="spellStart"/>
      <w:r w:rsidRPr="00251B61">
        <w:rPr>
          <w:rFonts w:eastAsia="Calibri" w:cs="Times New Roman"/>
          <w:i/>
          <w:iCs/>
          <w:szCs w:val="24"/>
        </w:rPr>
        <w:t>euro</w:t>
      </w:r>
      <w:proofErr w:type="spellEnd"/>
      <w:r w:rsidRPr="00251B61">
        <w:rPr>
          <w:rFonts w:eastAsia="Calibri" w:cs="Times New Roman"/>
          <w:szCs w:val="24"/>
        </w:rPr>
        <w:t xml:space="preserve"> jeb 12,3%, kur</w:t>
      </w:r>
      <w:r w:rsidRPr="00251B61">
        <w:rPr>
          <w:rFonts w:eastAsia="Calibri" w:cs="Times New Roman"/>
          <w:color w:val="000000" w:themeColor="text1"/>
          <w:kern w:val="2"/>
          <w:szCs w:val="24"/>
        </w:rPr>
        <w:t xml:space="preserve"> kā </w:t>
      </w:r>
      <w:r w:rsidRPr="00251B61">
        <w:rPr>
          <w:rFonts w:cs="Times New Roman"/>
          <w:szCs w:val="24"/>
        </w:rPr>
        <w:t>virzošais faktors ir interaktīvo azartspēļu nodokļa ieņēmumu palielināms</w:t>
      </w:r>
      <w:r w:rsidRPr="00251B61">
        <w:rPr>
          <w:rFonts w:eastAsia="Calibri" w:cs="Times New Roman"/>
          <w:szCs w:val="24"/>
        </w:rPr>
        <w:t>. Salīdzinājumā ar 2024. gada sešu mēnešu plānu, faktiski ir iekasēts par 1,2 milj. </w:t>
      </w:r>
      <w:proofErr w:type="spellStart"/>
      <w:r w:rsidRPr="00251B61">
        <w:rPr>
          <w:rFonts w:eastAsia="Calibri" w:cs="Times New Roman"/>
          <w:i/>
          <w:iCs/>
          <w:szCs w:val="24"/>
        </w:rPr>
        <w:t>euro</w:t>
      </w:r>
      <w:proofErr w:type="spellEnd"/>
      <w:r w:rsidRPr="00251B61">
        <w:rPr>
          <w:rFonts w:eastAsia="Calibri" w:cs="Times New Roman"/>
          <w:szCs w:val="24"/>
        </w:rPr>
        <w:t xml:space="preserve"> jeb 4,4% vairāk</w:t>
      </w:r>
      <w:r w:rsidRPr="00251B61">
        <w:rPr>
          <w:rFonts w:eastAsia="Times New Roman" w:cs="Times New Roman"/>
          <w:color w:val="212529"/>
          <w:szCs w:val="24"/>
          <w:shd w:val="clear" w:color="auto" w:fill="FFFFFF"/>
        </w:rPr>
        <w:t xml:space="preserve">. </w:t>
      </w:r>
    </w:p>
    <w:p w14:paraId="7D44C8C0" w14:textId="77777777" w:rsidR="00165D47" w:rsidRPr="00251B61" w:rsidRDefault="00165D47" w:rsidP="00165D47">
      <w:pPr>
        <w:rPr>
          <w:rFonts w:eastAsia="Calibri" w:cs="Times New Roman"/>
          <w:szCs w:val="24"/>
        </w:rPr>
      </w:pPr>
      <w:r w:rsidRPr="00251B61">
        <w:rPr>
          <w:rFonts w:eastAsia="Calibri" w:cs="Times New Roman"/>
          <w:szCs w:val="24"/>
        </w:rPr>
        <w:t>Saskaņā ar likumprojektu  “Par valsts budžetu 2025. gadam un budžeta ietvaru 2025., 2026. un 2027. gadam” 2025. gadā kopējie izložu un azartspēļu nodokļa ieņēmumi tiek plānoti 58,2 milj. </w:t>
      </w:r>
      <w:proofErr w:type="spellStart"/>
      <w:r w:rsidRPr="00251B61">
        <w:rPr>
          <w:rFonts w:eastAsia="Calibri" w:cs="Times New Roman"/>
          <w:i/>
          <w:iCs/>
          <w:szCs w:val="24"/>
        </w:rPr>
        <w:t>euro</w:t>
      </w:r>
      <w:proofErr w:type="spellEnd"/>
      <w:r w:rsidRPr="00251B61">
        <w:rPr>
          <w:rFonts w:eastAsia="Calibri" w:cs="Times New Roman"/>
          <w:szCs w:val="24"/>
        </w:rPr>
        <w:t xml:space="preserve"> apmērā, 2026. gadā 59,6 milj. </w:t>
      </w:r>
      <w:proofErr w:type="spellStart"/>
      <w:r w:rsidRPr="00251B61">
        <w:rPr>
          <w:rFonts w:eastAsia="Calibri" w:cs="Times New Roman"/>
          <w:i/>
          <w:iCs/>
          <w:szCs w:val="24"/>
        </w:rPr>
        <w:t>euro</w:t>
      </w:r>
      <w:proofErr w:type="spellEnd"/>
      <w:r w:rsidRPr="00251B61">
        <w:rPr>
          <w:rFonts w:eastAsia="Calibri" w:cs="Times New Roman"/>
          <w:szCs w:val="24"/>
        </w:rPr>
        <w:t xml:space="preserve"> apmērā un 2027. gadā 70,5 milj. </w:t>
      </w:r>
      <w:proofErr w:type="spellStart"/>
      <w:r w:rsidRPr="00251B61">
        <w:rPr>
          <w:rFonts w:eastAsia="Calibri" w:cs="Times New Roman"/>
          <w:i/>
          <w:iCs/>
          <w:szCs w:val="24"/>
        </w:rPr>
        <w:t>euro</w:t>
      </w:r>
      <w:proofErr w:type="spellEnd"/>
      <w:r w:rsidRPr="00251B61">
        <w:rPr>
          <w:rFonts w:eastAsia="Calibri" w:cs="Times New Roman"/>
          <w:szCs w:val="24"/>
        </w:rPr>
        <w:t xml:space="preserve"> apmērā (skat. 3.17. tabulu). Sagatavojot izložu un azartspēļu nodokļa ieņēmumu plānu, tika ņemtas vērā nozares attīstības tendences</w:t>
      </w:r>
      <w:bookmarkStart w:id="99" w:name="_Hlk84236922"/>
      <w:r w:rsidRPr="00251B61">
        <w:rPr>
          <w:rFonts w:eastAsia="Calibri" w:cs="Times New Roman"/>
          <w:szCs w:val="24"/>
        </w:rPr>
        <w:t xml:space="preserve">, </w:t>
      </w:r>
      <w:bookmarkEnd w:id="99"/>
      <w:r w:rsidRPr="00251B61">
        <w:rPr>
          <w:rFonts w:eastAsia="Calibri" w:cs="Times New Roman"/>
          <w:szCs w:val="24"/>
        </w:rPr>
        <w:t>prognozējot spēļu automātu skaita samazinājumu un interaktīvo azartspēļu organizēšanas ieņēmumu pieaugumu turpmākajos gados.</w:t>
      </w:r>
    </w:p>
    <w:p w14:paraId="52D67632" w14:textId="77777777" w:rsidR="00165D47" w:rsidRPr="00251B61" w:rsidRDefault="00165D47" w:rsidP="00165D47">
      <w:pPr>
        <w:keepNext/>
        <w:keepLines/>
        <w:spacing w:before="240" w:after="0"/>
        <w:ind w:firstLine="0"/>
        <w:jc w:val="right"/>
        <w:rPr>
          <w:rFonts w:cs="Times New Roman"/>
        </w:rPr>
      </w:pPr>
      <w:r w:rsidRPr="00251B61">
        <w:rPr>
          <w:rFonts w:eastAsia="Calibri" w:cs="Times New Roman"/>
          <w:b/>
          <w:i/>
          <w:szCs w:val="24"/>
        </w:rPr>
        <w:t>3.17. tabula. Izložu un azartspēļu nodokļa ieņēmumi</w:t>
      </w:r>
    </w:p>
    <w:tbl>
      <w:tblPr>
        <w:tblW w:w="5000" w:type="pct"/>
        <w:jc w:val="center"/>
        <w:tblLook w:val="04A0" w:firstRow="1" w:lastRow="0" w:firstColumn="1" w:lastColumn="0" w:noHBand="0" w:noVBand="1"/>
      </w:tblPr>
      <w:tblGrid>
        <w:gridCol w:w="6519"/>
        <w:gridCol w:w="618"/>
        <w:gridCol w:w="654"/>
        <w:gridCol w:w="654"/>
        <w:gridCol w:w="616"/>
      </w:tblGrid>
      <w:tr w:rsidR="00165D47" w:rsidRPr="00251B61" w14:paraId="372ED90C" w14:textId="77777777" w:rsidTr="008E1E6C">
        <w:trPr>
          <w:cantSplit/>
          <w:trHeight w:hRule="exact" w:val="227"/>
          <w:jc w:val="center"/>
        </w:trPr>
        <w:tc>
          <w:tcPr>
            <w:tcW w:w="3597" w:type="pct"/>
            <w:tcBorders>
              <w:top w:val="single" w:sz="4" w:space="0" w:color="auto"/>
              <w:left w:val="single" w:sz="4" w:space="0" w:color="auto"/>
              <w:bottom w:val="single" w:sz="4" w:space="0" w:color="auto"/>
              <w:right w:val="single" w:sz="4" w:space="0" w:color="auto"/>
            </w:tcBorders>
            <w:shd w:val="clear" w:color="auto" w:fill="8EAADB" w:themeFill="accent5" w:themeFillTint="99"/>
            <w:noWrap/>
            <w:vAlign w:val="center"/>
            <w:hideMark/>
          </w:tcPr>
          <w:p w14:paraId="08812D2A" w14:textId="77777777" w:rsidR="00165D47" w:rsidRPr="00251B61" w:rsidRDefault="00165D47" w:rsidP="00723ACD">
            <w:pPr>
              <w:pStyle w:val="Tabulasgalvenesrinda"/>
            </w:pPr>
          </w:p>
        </w:tc>
        <w:tc>
          <w:tcPr>
            <w:tcW w:w="341" w:type="pct"/>
            <w:tcBorders>
              <w:top w:val="single" w:sz="4" w:space="0" w:color="auto"/>
              <w:left w:val="nil"/>
              <w:bottom w:val="single" w:sz="4" w:space="0" w:color="auto"/>
              <w:right w:val="single" w:sz="4" w:space="0" w:color="000000"/>
            </w:tcBorders>
            <w:shd w:val="clear" w:color="auto" w:fill="8EAADB" w:themeFill="accent5" w:themeFillTint="99"/>
            <w:vAlign w:val="center"/>
          </w:tcPr>
          <w:p w14:paraId="5EAE654B" w14:textId="77777777" w:rsidR="00165D47" w:rsidRPr="00251B61" w:rsidRDefault="00165D47" w:rsidP="00723ACD">
            <w:pPr>
              <w:pStyle w:val="Tabulasgalvenesrinda"/>
            </w:pPr>
            <w:r w:rsidRPr="00251B61">
              <w:t>2024</w:t>
            </w:r>
          </w:p>
        </w:tc>
        <w:tc>
          <w:tcPr>
            <w:tcW w:w="361" w:type="pct"/>
            <w:tcBorders>
              <w:top w:val="single" w:sz="4" w:space="0" w:color="auto"/>
              <w:left w:val="nil"/>
              <w:bottom w:val="single" w:sz="4" w:space="0" w:color="auto"/>
              <w:right w:val="single" w:sz="4" w:space="0" w:color="000000"/>
            </w:tcBorders>
            <w:shd w:val="clear" w:color="auto" w:fill="8EAADB" w:themeFill="accent5" w:themeFillTint="99"/>
            <w:vAlign w:val="center"/>
          </w:tcPr>
          <w:p w14:paraId="6370E18F" w14:textId="77777777" w:rsidR="00165D47" w:rsidRPr="00251B61" w:rsidRDefault="00165D47" w:rsidP="00723ACD">
            <w:pPr>
              <w:pStyle w:val="Tabulasgalvenesrinda"/>
            </w:pPr>
            <w:r w:rsidRPr="00251B61">
              <w:t>2025</w:t>
            </w:r>
          </w:p>
        </w:tc>
        <w:tc>
          <w:tcPr>
            <w:tcW w:w="361" w:type="pct"/>
            <w:tcBorders>
              <w:top w:val="single" w:sz="4" w:space="0" w:color="auto"/>
              <w:left w:val="nil"/>
              <w:bottom w:val="single" w:sz="4" w:space="0" w:color="auto"/>
              <w:right w:val="single" w:sz="4" w:space="0" w:color="auto"/>
            </w:tcBorders>
            <w:shd w:val="clear" w:color="auto" w:fill="8EAADB" w:themeFill="accent5" w:themeFillTint="99"/>
            <w:noWrap/>
            <w:vAlign w:val="center"/>
            <w:hideMark/>
          </w:tcPr>
          <w:p w14:paraId="7C8A19B1" w14:textId="77777777" w:rsidR="00165D47" w:rsidRPr="00251B61" w:rsidRDefault="00165D47" w:rsidP="00723ACD">
            <w:pPr>
              <w:pStyle w:val="Tabulasgalvenesrinda"/>
            </w:pPr>
            <w:r w:rsidRPr="00251B61">
              <w:t>2026</w:t>
            </w:r>
          </w:p>
        </w:tc>
        <w:tc>
          <w:tcPr>
            <w:tcW w:w="340" w:type="pct"/>
            <w:tcBorders>
              <w:top w:val="single" w:sz="4" w:space="0" w:color="auto"/>
              <w:left w:val="nil"/>
              <w:bottom w:val="single" w:sz="4" w:space="0" w:color="auto"/>
              <w:right w:val="single" w:sz="4" w:space="0" w:color="auto"/>
            </w:tcBorders>
            <w:shd w:val="clear" w:color="auto" w:fill="8EAADB" w:themeFill="accent5" w:themeFillTint="99"/>
            <w:vAlign w:val="center"/>
          </w:tcPr>
          <w:p w14:paraId="590886F9" w14:textId="77777777" w:rsidR="00165D47" w:rsidRPr="00251B61" w:rsidRDefault="00165D47" w:rsidP="00723ACD">
            <w:pPr>
              <w:pStyle w:val="Tabulasgalvenesrinda"/>
            </w:pPr>
            <w:r w:rsidRPr="00251B61">
              <w:t>2027</w:t>
            </w:r>
          </w:p>
        </w:tc>
      </w:tr>
      <w:tr w:rsidR="00165D47" w:rsidRPr="00251B61" w14:paraId="5D724915" w14:textId="77777777" w:rsidTr="00723ACD">
        <w:trPr>
          <w:cantSplit/>
          <w:trHeight w:hRule="exact" w:val="454"/>
          <w:jc w:val="center"/>
        </w:trPr>
        <w:tc>
          <w:tcPr>
            <w:tcW w:w="3597" w:type="pct"/>
            <w:tcBorders>
              <w:top w:val="nil"/>
              <w:left w:val="single" w:sz="4" w:space="0" w:color="auto"/>
              <w:bottom w:val="single" w:sz="4" w:space="0" w:color="auto"/>
              <w:right w:val="single" w:sz="4" w:space="0" w:color="auto"/>
            </w:tcBorders>
            <w:shd w:val="clear" w:color="auto" w:fill="auto"/>
            <w:vAlign w:val="center"/>
            <w:hideMark/>
          </w:tcPr>
          <w:p w14:paraId="1B496BFE"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Saskaņā ar likumprojektu “Par valsts budžetu 2025. gadam un budžeta ietvaru 2025., 2026. un 2027. gadam”, milj. </w:t>
            </w:r>
            <w:r w:rsidRPr="00165D47">
              <w:rPr>
                <w:rFonts w:cs="Times New Roman"/>
                <w:i/>
                <w:iCs/>
                <w:noProof/>
                <w:sz w:val="18"/>
                <w:szCs w:val="18"/>
              </w:rPr>
              <w:t>euro</w:t>
            </w:r>
          </w:p>
        </w:tc>
        <w:tc>
          <w:tcPr>
            <w:tcW w:w="341" w:type="pct"/>
            <w:tcBorders>
              <w:top w:val="nil"/>
              <w:left w:val="nil"/>
              <w:bottom w:val="single" w:sz="4" w:space="0" w:color="auto"/>
              <w:right w:val="single" w:sz="4" w:space="0" w:color="auto"/>
            </w:tcBorders>
            <w:shd w:val="clear" w:color="auto" w:fill="auto"/>
            <w:noWrap/>
            <w:vAlign w:val="center"/>
          </w:tcPr>
          <w:p w14:paraId="6AC09F73"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54,4</w:t>
            </w:r>
            <w:r w:rsidRPr="00251B61">
              <w:rPr>
                <w:rFonts w:cs="Times New Roman"/>
                <w:noProof/>
                <w:sz w:val="18"/>
                <w:szCs w:val="18"/>
                <w:vertAlign w:val="superscript"/>
              </w:rPr>
              <w:t>1</w:t>
            </w:r>
          </w:p>
        </w:tc>
        <w:tc>
          <w:tcPr>
            <w:tcW w:w="361" w:type="pct"/>
            <w:tcBorders>
              <w:top w:val="nil"/>
              <w:left w:val="nil"/>
              <w:bottom w:val="single" w:sz="4" w:space="0" w:color="auto"/>
              <w:right w:val="single" w:sz="4" w:space="0" w:color="auto"/>
            </w:tcBorders>
            <w:shd w:val="clear" w:color="auto" w:fill="auto"/>
            <w:noWrap/>
            <w:vAlign w:val="center"/>
          </w:tcPr>
          <w:p w14:paraId="7AB1F71C" w14:textId="28EFF01D"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58,2</w:t>
            </w:r>
            <w:r w:rsidR="00264454" w:rsidRPr="008826A2">
              <w:rPr>
                <w:sz w:val="18"/>
                <w:szCs w:val="18"/>
                <w:vertAlign w:val="superscript"/>
              </w:rPr>
              <w:t>1</w:t>
            </w:r>
          </w:p>
        </w:tc>
        <w:tc>
          <w:tcPr>
            <w:tcW w:w="361" w:type="pct"/>
            <w:tcBorders>
              <w:top w:val="nil"/>
              <w:left w:val="nil"/>
              <w:bottom w:val="single" w:sz="4" w:space="0" w:color="auto"/>
              <w:right w:val="single" w:sz="4" w:space="0" w:color="auto"/>
            </w:tcBorders>
            <w:shd w:val="clear" w:color="auto" w:fill="auto"/>
            <w:noWrap/>
            <w:vAlign w:val="center"/>
          </w:tcPr>
          <w:p w14:paraId="1861E270" w14:textId="17DB5E08"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59,6</w:t>
            </w:r>
            <w:r w:rsidR="00264454" w:rsidRPr="008826A2">
              <w:rPr>
                <w:sz w:val="18"/>
                <w:szCs w:val="18"/>
                <w:vertAlign w:val="superscript"/>
              </w:rPr>
              <w:t>1</w:t>
            </w:r>
          </w:p>
        </w:tc>
        <w:tc>
          <w:tcPr>
            <w:tcW w:w="340" w:type="pct"/>
            <w:tcBorders>
              <w:top w:val="nil"/>
              <w:left w:val="nil"/>
              <w:bottom w:val="single" w:sz="4" w:space="0" w:color="auto"/>
              <w:right w:val="single" w:sz="4" w:space="0" w:color="auto"/>
            </w:tcBorders>
            <w:vAlign w:val="center"/>
          </w:tcPr>
          <w:p w14:paraId="7E38A080" w14:textId="55B3160C"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70,5</w:t>
            </w:r>
            <w:r w:rsidR="00264454" w:rsidRPr="008826A2">
              <w:rPr>
                <w:sz w:val="18"/>
                <w:szCs w:val="18"/>
                <w:vertAlign w:val="superscript"/>
              </w:rPr>
              <w:t>1</w:t>
            </w:r>
          </w:p>
        </w:tc>
      </w:tr>
      <w:tr w:rsidR="00165D47" w:rsidRPr="00251B61" w14:paraId="705EAC3D" w14:textId="77777777" w:rsidTr="00723ACD">
        <w:trPr>
          <w:cantSplit/>
          <w:trHeight w:hRule="exact" w:val="227"/>
          <w:jc w:val="center"/>
        </w:trPr>
        <w:tc>
          <w:tcPr>
            <w:tcW w:w="3597" w:type="pct"/>
            <w:tcBorders>
              <w:top w:val="nil"/>
              <w:left w:val="single" w:sz="4" w:space="0" w:color="auto"/>
              <w:bottom w:val="single" w:sz="4" w:space="0" w:color="auto"/>
              <w:right w:val="single" w:sz="4" w:space="0" w:color="auto"/>
            </w:tcBorders>
            <w:shd w:val="clear" w:color="auto" w:fill="auto"/>
            <w:noWrap/>
            <w:vAlign w:val="center"/>
            <w:hideMark/>
          </w:tcPr>
          <w:p w14:paraId="046A8AC4"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pret IKP, %</w:t>
            </w:r>
          </w:p>
        </w:tc>
        <w:tc>
          <w:tcPr>
            <w:tcW w:w="341" w:type="pct"/>
            <w:tcBorders>
              <w:top w:val="nil"/>
              <w:left w:val="nil"/>
              <w:bottom w:val="single" w:sz="4" w:space="0" w:color="auto"/>
              <w:right w:val="single" w:sz="4" w:space="0" w:color="auto"/>
            </w:tcBorders>
            <w:shd w:val="clear" w:color="auto" w:fill="auto"/>
            <w:noWrap/>
          </w:tcPr>
          <w:p w14:paraId="065A3668"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0,1</w:t>
            </w:r>
          </w:p>
        </w:tc>
        <w:tc>
          <w:tcPr>
            <w:tcW w:w="361" w:type="pct"/>
            <w:tcBorders>
              <w:top w:val="nil"/>
              <w:left w:val="nil"/>
              <w:bottom w:val="single" w:sz="4" w:space="0" w:color="auto"/>
              <w:right w:val="single" w:sz="4" w:space="0" w:color="auto"/>
            </w:tcBorders>
            <w:shd w:val="clear" w:color="auto" w:fill="auto"/>
            <w:noWrap/>
          </w:tcPr>
          <w:p w14:paraId="4DE5E5E8"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0,1</w:t>
            </w:r>
          </w:p>
        </w:tc>
        <w:tc>
          <w:tcPr>
            <w:tcW w:w="361" w:type="pct"/>
            <w:tcBorders>
              <w:top w:val="nil"/>
              <w:left w:val="nil"/>
              <w:bottom w:val="single" w:sz="4" w:space="0" w:color="auto"/>
              <w:right w:val="single" w:sz="4" w:space="0" w:color="auto"/>
            </w:tcBorders>
            <w:shd w:val="clear" w:color="auto" w:fill="auto"/>
            <w:noWrap/>
          </w:tcPr>
          <w:p w14:paraId="07B1E2FB"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0,1</w:t>
            </w:r>
          </w:p>
        </w:tc>
        <w:tc>
          <w:tcPr>
            <w:tcW w:w="340" w:type="pct"/>
            <w:tcBorders>
              <w:top w:val="nil"/>
              <w:left w:val="nil"/>
              <w:bottom w:val="single" w:sz="4" w:space="0" w:color="auto"/>
              <w:right w:val="single" w:sz="4" w:space="0" w:color="auto"/>
            </w:tcBorders>
          </w:tcPr>
          <w:p w14:paraId="4E5D67A9"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0,1</w:t>
            </w:r>
          </w:p>
        </w:tc>
      </w:tr>
      <w:tr w:rsidR="00165D47" w:rsidRPr="00251B61" w14:paraId="507E36EB" w14:textId="77777777" w:rsidTr="00723ACD">
        <w:trPr>
          <w:cantSplit/>
          <w:trHeight w:hRule="exact" w:val="454"/>
          <w:jc w:val="center"/>
        </w:trPr>
        <w:tc>
          <w:tcPr>
            <w:tcW w:w="3597" w:type="pct"/>
            <w:tcBorders>
              <w:top w:val="nil"/>
              <w:left w:val="single" w:sz="4" w:space="0" w:color="auto"/>
              <w:bottom w:val="single" w:sz="4" w:space="0" w:color="auto"/>
              <w:right w:val="single" w:sz="4" w:space="0" w:color="auto"/>
            </w:tcBorders>
            <w:shd w:val="clear" w:color="auto" w:fill="auto"/>
            <w:vAlign w:val="center"/>
            <w:hideMark/>
          </w:tcPr>
          <w:p w14:paraId="7B0284EF"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Salīdzinājumā ar likumu “Par valsts budžetu 2024. gadam un budžeta ietvaru 2024., 2025. un 2026. gadam”, milj. </w:t>
            </w:r>
            <w:r w:rsidRPr="00165D47">
              <w:rPr>
                <w:rFonts w:cs="Times New Roman"/>
                <w:i/>
                <w:iCs/>
                <w:noProof/>
                <w:sz w:val="18"/>
                <w:szCs w:val="18"/>
              </w:rPr>
              <w:t>euro</w:t>
            </w:r>
          </w:p>
        </w:tc>
        <w:tc>
          <w:tcPr>
            <w:tcW w:w="341" w:type="pct"/>
            <w:tcBorders>
              <w:top w:val="nil"/>
              <w:left w:val="nil"/>
              <w:bottom w:val="single" w:sz="4" w:space="0" w:color="auto"/>
              <w:right w:val="single" w:sz="4" w:space="0" w:color="auto"/>
            </w:tcBorders>
            <w:shd w:val="clear" w:color="auto" w:fill="auto"/>
            <w:noWrap/>
          </w:tcPr>
          <w:p w14:paraId="2AB2D0DE"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+2,4</w:t>
            </w:r>
          </w:p>
        </w:tc>
        <w:tc>
          <w:tcPr>
            <w:tcW w:w="361" w:type="pct"/>
            <w:tcBorders>
              <w:top w:val="nil"/>
              <w:left w:val="nil"/>
              <w:bottom w:val="single" w:sz="4" w:space="0" w:color="auto"/>
              <w:right w:val="single" w:sz="4" w:space="0" w:color="auto"/>
            </w:tcBorders>
            <w:shd w:val="clear" w:color="auto" w:fill="auto"/>
            <w:noWrap/>
          </w:tcPr>
          <w:p w14:paraId="29039ADC"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+8,1</w:t>
            </w:r>
          </w:p>
        </w:tc>
        <w:tc>
          <w:tcPr>
            <w:tcW w:w="361" w:type="pct"/>
            <w:tcBorders>
              <w:top w:val="nil"/>
              <w:left w:val="nil"/>
              <w:bottom w:val="single" w:sz="4" w:space="0" w:color="auto"/>
              <w:right w:val="single" w:sz="4" w:space="0" w:color="auto"/>
            </w:tcBorders>
            <w:shd w:val="clear" w:color="auto" w:fill="auto"/>
            <w:noWrap/>
          </w:tcPr>
          <w:p w14:paraId="0A58A4F8"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+9,0</w:t>
            </w:r>
          </w:p>
        </w:tc>
        <w:tc>
          <w:tcPr>
            <w:tcW w:w="340" w:type="pct"/>
            <w:tcBorders>
              <w:top w:val="nil"/>
              <w:left w:val="nil"/>
              <w:bottom w:val="single" w:sz="4" w:space="0" w:color="auto"/>
              <w:right w:val="single" w:sz="4" w:space="0" w:color="auto"/>
            </w:tcBorders>
            <w:shd w:val="clear" w:color="auto" w:fill="auto"/>
          </w:tcPr>
          <w:p w14:paraId="05BD76AB"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w:t>
            </w:r>
          </w:p>
        </w:tc>
      </w:tr>
      <w:tr w:rsidR="00165D47" w:rsidRPr="00251B61" w14:paraId="63B63AE5" w14:textId="77777777" w:rsidTr="00723ACD">
        <w:trPr>
          <w:cantSplit/>
          <w:trHeight w:hRule="exact" w:val="454"/>
          <w:jc w:val="center"/>
        </w:trPr>
        <w:tc>
          <w:tcPr>
            <w:tcW w:w="3597" w:type="pct"/>
            <w:tcBorders>
              <w:top w:val="nil"/>
              <w:left w:val="single" w:sz="4" w:space="0" w:color="auto"/>
              <w:bottom w:val="single" w:sz="4" w:space="0" w:color="auto"/>
              <w:right w:val="single" w:sz="4" w:space="0" w:color="auto"/>
            </w:tcBorders>
            <w:shd w:val="clear" w:color="auto" w:fill="auto"/>
            <w:vAlign w:val="center"/>
            <w:hideMark/>
          </w:tcPr>
          <w:p w14:paraId="150DA313"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Salīdzinājumā ar likumu “Par valsts budžetu 2024. gadam un budžeta ietvaru 2024., 2025. un 2026. gadam”, %</w:t>
            </w:r>
          </w:p>
        </w:tc>
        <w:tc>
          <w:tcPr>
            <w:tcW w:w="341" w:type="pct"/>
            <w:tcBorders>
              <w:top w:val="nil"/>
              <w:left w:val="nil"/>
              <w:bottom w:val="single" w:sz="4" w:space="0" w:color="auto"/>
              <w:right w:val="single" w:sz="4" w:space="0" w:color="auto"/>
            </w:tcBorders>
            <w:shd w:val="clear" w:color="auto" w:fill="auto"/>
            <w:noWrap/>
          </w:tcPr>
          <w:p w14:paraId="4735D13D"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+4,7</w:t>
            </w:r>
          </w:p>
        </w:tc>
        <w:tc>
          <w:tcPr>
            <w:tcW w:w="361" w:type="pct"/>
            <w:tcBorders>
              <w:top w:val="nil"/>
              <w:left w:val="nil"/>
              <w:bottom w:val="single" w:sz="4" w:space="0" w:color="auto"/>
              <w:right w:val="single" w:sz="4" w:space="0" w:color="auto"/>
            </w:tcBorders>
            <w:shd w:val="clear" w:color="auto" w:fill="auto"/>
            <w:noWrap/>
          </w:tcPr>
          <w:p w14:paraId="76A8F9FB"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+16,1</w:t>
            </w:r>
          </w:p>
        </w:tc>
        <w:tc>
          <w:tcPr>
            <w:tcW w:w="361" w:type="pct"/>
            <w:tcBorders>
              <w:top w:val="nil"/>
              <w:left w:val="nil"/>
              <w:bottom w:val="single" w:sz="4" w:space="0" w:color="auto"/>
              <w:right w:val="single" w:sz="4" w:space="0" w:color="auto"/>
            </w:tcBorders>
            <w:shd w:val="clear" w:color="auto" w:fill="auto"/>
            <w:noWrap/>
          </w:tcPr>
          <w:p w14:paraId="4B8B16CE"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+17,8</w:t>
            </w:r>
          </w:p>
        </w:tc>
        <w:tc>
          <w:tcPr>
            <w:tcW w:w="340" w:type="pct"/>
            <w:tcBorders>
              <w:top w:val="nil"/>
              <w:left w:val="nil"/>
              <w:bottom w:val="single" w:sz="4" w:space="0" w:color="auto"/>
              <w:right w:val="single" w:sz="4" w:space="0" w:color="auto"/>
            </w:tcBorders>
            <w:shd w:val="clear" w:color="auto" w:fill="auto"/>
          </w:tcPr>
          <w:p w14:paraId="31F6CA28"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w:t>
            </w:r>
          </w:p>
        </w:tc>
      </w:tr>
    </w:tbl>
    <w:p w14:paraId="60FE3F47" w14:textId="77777777" w:rsidR="00165D47" w:rsidRPr="00251B61" w:rsidRDefault="00165D47" w:rsidP="00165D47">
      <w:pPr>
        <w:pStyle w:val="Piezme"/>
      </w:pPr>
      <w:r w:rsidRPr="00251B61">
        <w:rPr>
          <w:vertAlign w:val="superscript"/>
        </w:rPr>
        <w:t>1</w:t>
      </w:r>
      <w:r w:rsidRPr="00251B61">
        <w:t> Prognoze</w:t>
      </w:r>
    </w:p>
    <w:p w14:paraId="14CE69B4" w14:textId="77777777" w:rsidR="00165D47" w:rsidRPr="00251B61" w:rsidRDefault="00165D47" w:rsidP="00165D47">
      <w:pPr>
        <w:keepNext/>
        <w:keepLines/>
        <w:spacing w:before="240" w:after="240"/>
        <w:ind w:firstLine="0"/>
        <w:jc w:val="center"/>
        <w:outlineLvl w:val="3"/>
        <w:rPr>
          <w:rFonts w:eastAsia="Times New Roman" w:cs="Times New Roman"/>
          <w:b/>
          <w:sz w:val="28"/>
          <w:lang w:eastAsia="en-US"/>
        </w:rPr>
      </w:pPr>
      <w:r w:rsidRPr="00251B61">
        <w:rPr>
          <w:rFonts w:eastAsia="Times New Roman" w:cs="Times New Roman"/>
          <w:b/>
          <w:sz w:val="28"/>
          <w:lang w:eastAsia="en-US"/>
        </w:rPr>
        <w:t>Elektroenerģijas nodoklis</w:t>
      </w:r>
    </w:p>
    <w:p w14:paraId="4DB9C8E0" w14:textId="77777777" w:rsidR="00165D47" w:rsidRPr="00251B61" w:rsidRDefault="00165D47" w:rsidP="00165D47">
      <w:pPr>
        <w:rPr>
          <w:rFonts w:eastAsia="Calibri" w:cs="Times New Roman"/>
          <w:szCs w:val="24"/>
        </w:rPr>
      </w:pPr>
      <w:r w:rsidRPr="00251B61">
        <w:rPr>
          <w:rFonts w:eastAsia="Calibri" w:cs="Times New Roman"/>
          <w:szCs w:val="24"/>
        </w:rPr>
        <w:t xml:space="preserve">Elektroenerģijas nodoklis ir daļa no izmaksām, kuras tiek iecenotas tirdzniecības pakalpojumu cenā, jo nodokļu maksātājs ir elektroenerģijas tirgotājs un elektroenerģijas ražotājs. Elektroenerģijas nodokļa likme ir nemainīga kopš likuma stāšanās spēkā 01.01.2007. un kopš </w:t>
      </w:r>
      <w:proofErr w:type="spellStart"/>
      <w:r w:rsidRPr="00165D47">
        <w:rPr>
          <w:rFonts w:eastAsia="Calibri" w:cs="Times New Roman"/>
          <w:i/>
          <w:iCs/>
          <w:szCs w:val="24"/>
        </w:rPr>
        <w:t>euro</w:t>
      </w:r>
      <w:proofErr w:type="spellEnd"/>
      <w:r w:rsidRPr="00251B61">
        <w:rPr>
          <w:rFonts w:eastAsia="Calibri" w:cs="Times New Roman"/>
          <w:szCs w:val="24"/>
        </w:rPr>
        <w:t xml:space="preserve"> ieviešanas 01.01.2014. ir 1,01 </w:t>
      </w:r>
      <w:proofErr w:type="spellStart"/>
      <w:r w:rsidRPr="00165D47">
        <w:rPr>
          <w:rFonts w:eastAsia="Calibri" w:cs="Times New Roman"/>
          <w:i/>
          <w:iCs/>
          <w:szCs w:val="24"/>
        </w:rPr>
        <w:t>euro</w:t>
      </w:r>
      <w:proofErr w:type="spellEnd"/>
      <w:r w:rsidRPr="00251B61">
        <w:rPr>
          <w:rFonts w:eastAsia="Calibri" w:cs="Times New Roman"/>
          <w:szCs w:val="24"/>
        </w:rPr>
        <w:t xml:space="preserve"> par megavatstundu, tas ir 0,10 </w:t>
      </w:r>
      <w:proofErr w:type="spellStart"/>
      <w:r w:rsidRPr="00165D47">
        <w:rPr>
          <w:rFonts w:eastAsia="Calibri" w:cs="Times New Roman"/>
          <w:i/>
          <w:iCs/>
          <w:szCs w:val="24"/>
        </w:rPr>
        <w:t>euro</w:t>
      </w:r>
      <w:proofErr w:type="spellEnd"/>
      <w:r w:rsidRPr="00251B61">
        <w:rPr>
          <w:rFonts w:eastAsia="Calibri" w:cs="Times New Roman"/>
          <w:szCs w:val="24"/>
        </w:rPr>
        <w:t xml:space="preserve"> par 100 kilovatiem.</w:t>
      </w:r>
    </w:p>
    <w:p w14:paraId="6B5C12D6" w14:textId="4E09D1B2" w:rsidR="00165D47" w:rsidRPr="00251B61" w:rsidRDefault="00165D47" w:rsidP="00165D47">
      <w:pPr>
        <w:rPr>
          <w:rFonts w:eastAsia="Calibri" w:cs="Times New Roman"/>
          <w:szCs w:val="24"/>
        </w:rPr>
      </w:pPr>
      <w:r w:rsidRPr="00251B61">
        <w:rPr>
          <w:rFonts w:eastAsia="Calibri" w:cs="Times New Roman"/>
          <w:szCs w:val="24"/>
        </w:rPr>
        <w:t>Elektroenerģijas nodokļa ieņēmumi 2024. gada sešos mēnešos bija 2,5 milj. </w:t>
      </w:r>
      <w:proofErr w:type="spellStart"/>
      <w:r w:rsidRPr="00165D47">
        <w:rPr>
          <w:rFonts w:eastAsia="Calibri" w:cs="Times New Roman"/>
          <w:i/>
          <w:iCs/>
          <w:szCs w:val="24"/>
        </w:rPr>
        <w:t>euro</w:t>
      </w:r>
      <w:proofErr w:type="spellEnd"/>
      <w:r w:rsidRPr="00251B61">
        <w:rPr>
          <w:rFonts w:eastAsia="Calibri" w:cs="Times New Roman"/>
          <w:szCs w:val="24"/>
        </w:rPr>
        <w:t>, kas, salīdzinot ar 2023. gada sešiem mēnešiem, bija par 0,03 milj. </w:t>
      </w:r>
      <w:proofErr w:type="spellStart"/>
      <w:r w:rsidRPr="00165D47">
        <w:rPr>
          <w:rFonts w:eastAsia="Calibri" w:cs="Times New Roman"/>
          <w:i/>
          <w:iCs/>
          <w:szCs w:val="24"/>
        </w:rPr>
        <w:t>euro</w:t>
      </w:r>
      <w:proofErr w:type="spellEnd"/>
      <w:r w:rsidRPr="00251B61">
        <w:rPr>
          <w:rFonts w:eastAsia="Calibri" w:cs="Times New Roman"/>
          <w:szCs w:val="24"/>
        </w:rPr>
        <w:t xml:space="preserve"> jeb 1,0% vairāk. Salīdzinājumā ar 2024. gada sešu mēnešu plānu, ieņēmumi ir mazāki par 0,1 milj. </w:t>
      </w:r>
      <w:proofErr w:type="spellStart"/>
      <w:r w:rsidRPr="00165D47">
        <w:rPr>
          <w:rFonts w:eastAsia="Calibri" w:cs="Times New Roman"/>
          <w:i/>
          <w:iCs/>
          <w:szCs w:val="24"/>
        </w:rPr>
        <w:t>euro</w:t>
      </w:r>
      <w:proofErr w:type="spellEnd"/>
      <w:r w:rsidRPr="00251B61">
        <w:rPr>
          <w:rFonts w:eastAsia="Calibri" w:cs="Times New Roman"/>
          <w:szCs w:val="24"/>
        </w:rPr>
        <w:t xml:space="preserve"> jeb 3,0%.</w:t>
      </w:r>
    </w:p>
    <w:p w14:paraId="464B974D" w14:textId="77777777" w:rsidR="00165D47" w:rsidRPr="00251B61" w:rsidRDefault="00165D47" w:rsidP="00165D47">
      <w:pPr>
        <w:rPr>
          <w:rFonts w:eastAsia="Calibri" w:cs="Times New Roman"/>
          <w:szCs w:val="24"/>
        </w:rPr>
      </w:pPr>
      <w:r w:rsidRPr="00251B61">
        <w:rPr>
          <w:rFonts w:eastAsia="Calibri" w:cs="Times New Roman"/>
          <w:szCs w:val="24"/>
        </w:rPr>
        <w:lastRenderedPageBreak/>
        <w:t>Saskaņā ar likumprojektu  “Par valsts budžetu 2025. gadam un budžeta ietvaru 2025., 2026. un 2027. gadam” 2025. gadā elektroenerģijas nodokļa ieņēmumi tiek plānoti 5,2 milj. </w:t>
      </w:r>
      <w:proofErr w:type="spellStart"/>
      <w:r w:rsidRPr="00165D47">
        <w:rPr>
          <w:rFonts w:eastAsia="Calibri" w:cs="Times New Roman"/>
          <w:i/>
          <w:iCs/>
          <w:szCs w:val="24"/>
        </w:rPr>
        <w:t>euro</w:t>
      </w:r>
      <w:proofErr w:type="spellEnd"/>
      <w:r w:rsidRPr="00251B61">
        <w:rPr>
          <w:rFonts w:eastAsia="Calibri" w:cs="Times New Roman"/>
          <w:szCs w:val="24"/>
        </w:rPr>
        <w:t xml:space="preserve"> apmērā, bet 2026. un 2027. gadā 5,3 milj. </w:t>
      </w:r>
      <w:proofErr w:type="spellStart"/>
      <w:r w:rsidRPr="00165D47">
        <w:rPr>
          <w:rFonts w:eastAsia="Calibri" w:cs="Times New Roman"/>
          <w:i/>
          <w:iCs/>
          <w:szCs w:val="24"/>
        </w:rPr>
        <w:t>euro</w:t>
      </w:r>
      <w:proofErr w:type="spellEnd"/>
      <w:r w:rsidRPr="00251B61">
        <w:rPr>
          <w:rFonts w:eastAsia="Calibri" w:cs="Times New Roman"/>
          <w:szCs w:val="24"/>
        </w:rPr>
        <w:t xml:space="preserve"> apmērā (skat. 3.18. tabulu).</w:t>
      </w:r>
    </w:p>
    <w:p w14:paraId="5CF82CAD" w14:textId="77777777" w:rsidR="00165D47" w:rsidRPr="00251B61" w:rsidRDefault="00165D47" w:rsidP="00165D47">
      <w:pPr>
        <w:keepNext/>
        <w:keepLines/>
        <w:spacing w:before="240" w:after="0"/>
        <w:ind w:firstLine="0"/>
        <w:jc w:val="right"/>
        <w:rPr>
          <w:rFonts w:eastAsia="Calibri" w:cs="Times New Roman"/>
          <w:b/>
          <w:i/>
          <w:szCs w:val="24"/>
        </w:rPr>
      </w:pPr>
      <w:r w:rsidRPr="00251B61">
        <w:rPr>
          <w:rFonts w:eastAsia="Calibri" w:cs="Times New Roman"/>
          <w:b/>
          <w:i/>
          <w:szCs w:val="24"/>
        </w:rPr>
        <w:t>3.18. tabula. Elektroenerģijas nodokļa ieņēmumi</w:t>
      </w:r>
    </w:p>
    <w:tbl>
      <w:tblPr>
        <w:tblW w:w="4988" w:type="pct"/>
        <w:jc w:val="center"/>
        <w:tblLook w:val="04A0" w:firstRow="1" w:lastRow="0" w:firstColumn="1" w:lastColumn="0" w:noHBand="0" w:noVBand="1"/>
      </w:tblPr>
      <w:tblGrid>
        <w:gridCol w:w="6575"/>
        <w:gridCol w:w="616"/>
        <w:gridCol w:w="616"/>
        <w:gridCol w:w="616"/>
        <w:gridCol w:w="616"/>
      </w:tblGrid>
      <w:tr w:rsidR="00165D47" w:rsidRPr="00251B61" w14:paraId="7B8F650C" w14:textId="77777777" w:rsidTr="008E1E6C">
        <w:trPr>
          <w:cantSplit/>
          <w:trHeight w:hRule="exact" w:val="227"/>
          <w:jc w:val="center"/>
        </w:trPr>
        <w:tc>
          <w:tcPr>
            <w:tcW w:w="3637" w:type="pct"/>
            <w:tcBorders>
              <w:top w:val="single" w:sz="4" w:space="0" w:color="auto"/>
              <w:left w:val="single" w:sz="4" w:space="0" w:color="auto"/>
              <w:bottom w:val="single" w:sz="4" w:space="0" w:color="auto"/>
              <w:right w:val="single" w:sz="4" w:space="0" w:color="auto"/>
            </w:tcBorders>
            <w:shd w:val="clear" w:color="auto" w:fill="8EAADB" w:themeFill="accent5" w:themeFillTint="99"/>
            <w:noWrap/>
            <w:vAlign w:val="center"/>
            <w:hideMark/>
          </w:tcPr>
          <w:p w14:paraId="37D6E288" w14:textId="77777777" w:rsidR="00165D47" w:rsidRPr="00251B61" w:rsidRDefault="00165D47" w:rsidP="00723ACD">
            <w:pPr>
              <w:pStyle w:val="Tabulasgalvenesrinda"/>
            </w:pPr>
          </w:p>
        </w:tc>
        <w:tc>
          <w:tcPr>
            <w:tcW w:w="341" w:type="pct"/>
            <w:tcBorders>
              <w:top w:val="single" w:sz="4" w:space="0" w:color="auto"/>
              <w:left w:val="nil"/>
              <w:bottom w:val="single" w:sz="4" w:space="0" w:color="auto"/>
              <w:right w:val="single" w:sz="4" w:space="0" w:color="000000"/>
            </w:tcBorders>
            <w:shd w:val="clear" w:color="auto" w:fill="8EAADB" w:themeFill="accent5" w:themeFillTint="99"/>
            <w:vAlign w:val="center"/>
          </w:tcPr>
          <w:p w14:paraId="49BD54A5" w14:textId="77777777" w:rsidR="00165D47" w:rsidRPr="00251B61" w:rsidRDefault="00165D47" w:rsidP="00723ACD">
            <w:pPr>
              <w:pStyle w:val="Tabulasgalvenesrinda"/>
            </w:pPr>
            <w:r w:rsidRPr="00251B61">
              <w:t>2024</w:t>
            </w:r>
          </w:p>
        </w:tc>
        <w:tc>
          <w:tcPr>
            <w:tcW w:w="341" w:type="pct"/>
            <w:tcBorders>
              <w:top w:val="single" w:sz="4" w:space="0" w:color="auto"/>
              <w:left w:val="nil"/>
              <w:bottom w:val="single" w:sz="4" w:space="0" w:color="auto"/>
              <w:right w:val="single" w:sz="4" w:space="0" w:color="000000"/>
            </w:tcBorders>
            <w:shd w:val="clear" w:color="auto" w:fill="8EAADB" w:themeFill="accent5" w:themeFillTint="99"/>
            <w:vAlign w:val="center"/>
          </w:tcPr>
          <w:p w14:paraId="7F652497" w14:textId="77777777" w:rsidR="00165D47" w:rsidRPr="00251B61" w:rsidRDefault="00165D47" w:rsidP="00723ACD">
            <w:pPr>
              <w:pStyle w:val="Tabulasgalvenesrinda"/>
            </w:pPr>
            <w:r w:rsidRPr="00251B61">
              <w:t>2025</w:t>
            </w:r>
          </w:p>
        </w:tc>
        <w:tc>
          <w:tcPr>
            <w:tcW w:w="341" w:type="pct"/>
            <w:tcBorders>
              <w:top w:val="single" w:sz="4" w:space="0" w:color="auto"/>
              <w:left w:val="nil"/>
              <w:bottom w:val="single" w:sz="4" w:space="0" w:color="auto"/>
              <w:right w:val="single" w:sz="4" w:space="0" w:color="auto"/>
            </w:tcBorders>
            <w:shd w:val="clear" w:color="auto" w:fill="8EAADB" w:themeFill="accent5" w:themeFillTint="99"/>
            <w:noWrap/>
            <w:vAlign w:val="center"/>
            <w:hideMark/>
          </w:tcPr>
          <w:p w14:paraId="6639AF36" w14:textId="77777777" w:rsidR="00165D47" w:rsidRPr="00251B61" w:rsidRDefault="00165D47" w:rsidP="00723ACD">
            <w:pPr>
              <w:pStyle w:val="Tabulasgalvenesrinda"/>
            </w:pPr>
            <w:r w:rsidRPr="00251B61">
              <w:t>2026</w:t>
            </w:r>
          </w:p>
        </w:tc>
        <w:tc>
          <w:tcPr>
            <w:tcW w:w="341" w:type="pct"/>
            <w:tcBorders>
              <w:top w:val="single" w:sz="4" w:space="0" w:color="auto"/>
              <w:left w:val="nil"/>
              <w:bottom w:val="single" w:sz="4" w:space="0" w:color="auto"/>
              <w:right w:val="single" w:sz="4" w:space="0" w:color="auto"/>
            </w:tcBorders>
            <w:shd w:val="clear" w:color="auto" w:fill="8EAADB" w:themeFill="accent5" w:themeFillTint="99"/>
            <w:vAlign w:val="center"/>
          </w:tcPr>
          <w:p w14:paraId="4E039C48" w14:textId="77777777" w:rsidR="00165D47" w:rsidRPr="00251B61" w:rsidRDefault="00165D47" w:rsidP="00723ACD">
            <w:pPr>
              <w:pStyle w:val="Tabulasgalvenesrinda"/>
            </w:pPr>
            <w:r w:rsidRPr="00251B61">
              <w:t>2027</w:t>
            </w:r>
          </w:p>
        </w:tc>
      </w:tr>
      <w:tr w:rsidR="00165D47" w:rsidRPr="00251B61" w14:paraId="11B3CAEC" w14:textId="77777777" w:rsidTr="00723ACD">
        <w:trPr>
          <w:cantSplit/>
          <w:trHeight w:hRule="exact" w:val="454"/>
          <w:jc w:val="center"/>
        </w:trPr>
        <w:tc>
          <w:tcPr>
            <w:tcW w:w="3637" w:type="pct"/>
            <w:tcBorders>
              <w:top w:val="nil"/>
              <w:left w:val="single" w:sz="4" w:space="0" w:color="auto"/>
              <w:bottom w:val="single" w:sz="4" w:space="0" w:color="auto"/>
              <w:right w:val="single" w:sz="4" w:space="0" w:color="auto"/>
            </w:tcBorders>
            <w:shd w:val="clear" w:color="auto" w:fill="auto"/>
            <w:vAlign w:val="center"/>
            <w:hideMark/>
          </w:tcPr>
          <w:p w14:paraId="472476F8"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Saskaņā ar likumprojektu “Par valsts budžetu 2025. gadam un budžeta ietvaru 2025., 2026. un 2027. gadam”, milj. </w:t>
            </w:r>
            <w:r w:rsidRPr="00165D47">
              <w:rPr>
                <w:rFonts w:cs="Times New Roman"/>
                <w:i/>
                <w:iCs/>
                <w:noProof/>
                <w:sz w:val="18"/>
                <w:szCs w:val="18"/>
              </w:rPr>
              <w:t>euro</w:t>
            </w:r>
          </w:p>
        </w:tc>
        <w:tc>
          <w:tcPr>
            <w:tcW w:w="341" w:type="pct"/>
            <w:tcBorders>
              <w:top w:val="nil"/>
              <w:left w:val="nil"/>
              <w:bottom w:val="single" w:sz="4" w:space="0" w:color="auto"/>
              <w:right w:val="single" w:sz="4" w:space="0" w:color="auto"/>
            </w:tcBorders>
            <w:shd w:val="clear" w:color="auto" w:fill="auto"/>
            <w:noWrap/>
            <w:vAlign w:val="center"/>
          </w:tcPr>
          <w:p w14:paraId="5CF4DA70"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5,2</w:t>
            </w:r>
            <w:r w:rsidRPr="00251B61">
              <w:rPr>
                <w:rFonts w:cs="Times New Roman"/>
                <w:noProof/>
                <w:sz w:val="18"/>
                <w:szCs w:val="18"/>
                <w:vertAlign w:val="superscript"/>
              </w:rPr>
              <w:t>1</w:t>
            </w:r>
          </w:p>
        </w:tc>
        <w:tc>
          <w:tcPr>
            <w:tcW w:w="341" w:type="pct"/>
            <w:tcBorders>
              <w:top w:val="nil"/>
              <w:left w:val="nil"/>
              <w:bottom w:val="single" w:sz="4" w:space="0" w:color="auto"/>
              <w:right w:val="single" w:sz="4" w:space="0" w:color="auto"/>
            </w:tcBorders>
            <w:shd w:val="clear" w:color="auto" w:fill="auto"/>
            <w:noWrap/>
            <w:vAlign w:val="center"/>
          </w:tcPr>
          <w:p w14:paraId="386CEC6E" w14:textId="5261AC9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5,2</w:t>
            </w:r>
            <w:r w:rsidR="00264454" w:rsidRPr="008826A2">
              <w:rPr>
                <w:sz w:val="18"/>
                <w:szCs w:val="18"/>
                <w:vertAlign w:val="superscript"/>
              </w:rPr>
              <w:t>1</w:t>
            </w:r>
          </w:p>
        </w:tc>
        <w:tc>
          <w:tcPr>
            <w:tcW w:w="341" w:type="pct"/>
            <w:tcBorders>
              <w:top w:val="nil"/>
              <w:left w:val="nil"/>
              <w:bottom w:val="single" w:sz="4" w:space="0" w:color="auto"/>
              <w:right w:val="single" w:sz="4" w:space="0" w:color="auto"/>
            </w:tcBorders>
            <w:shd w:val="clear" w:color="auto" w:fill="auto"/>
            <w:noWrap/>
            <w:vAlign w:val="center"/>
          </w:tcPr>
          <w:p w14:paraId="45B70776" w14:textId="0826FBB8"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5,3</w:t>
            </w:r>
            <w:r w:rsidR="00264454" w:rsidRPr="008826A2">
              <w:rPr>
                <w:sz w:val="18"/>
                <w:szCs w:val="18"/>
                <w:vertAlign w:val="superscript"/>
              </w:rPr>
              <w:t>1</w:t>
            </w:r>
          </w:p>
        </w:tc>
        <w:tc>
          <w:tcPr>
            <w:tcW w:w="341" w:type="pct"/>
            <w:tcBorders>
              <w:top w:val="nil"/>
              <w:left w:val="nil"/>
              <w:bottom w:val="single" w:sz="4" w:space="0" w:color="auto"/>
              <w:right w:val="single" w:sz="4" w:space="0" w:color="auto"/>
            </w:tcBorders>
            <w:vAlign w:val="center"/>
          </w:tcPr>
          <w:p w14:paraId="19A608FE" w14:textId="5A9373AB"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5,3</w:t>
            </w:r>
            <w:r w:rsidR="00264454" w:rsidRPr="008826A2">
              <w:rPr>
                <w:sz w:val="18"/>
                <w:szCs w:val="18"/>
                <w:vertAlign w:val="superscript"/>
              </w:rPr>
              <w:t>1</w:t>
            </w:r>
          </w:p>
        </w:tc>
      </w:tr>
      <w:tr w:rsidR="00165D47" w:rsidRPr="00251B61" w14:paraId="1E65EE33" w14:textId="77777777" w:rsidTr="00723ACD">
        <w:trPr>
          <w:cantSplit/>
          <w:trHeight w:hRule="exact" w:val="227"/>
          <w:jc w:val="center"/>
        </w:trPr>
        <w:tc>
          <w:tcPr>
            <w:tcW w:w="3637" w:type="pct"/>
            <w:tcBorders>
              <w:top w:val="nil"/>
              <w:left w:val="single" w:sz="4" w:space="0" w:color="auto"/>
              <w:bottom w:val="single" w:sz="4" w:space="0" w:color="auto"/>
              <w:right w:val="single" w:sz="4" w:space="0" w:color="auto"/>
            </w:tcBorders>
            <w:shd w:val="clear" w:color="auto" w:fill="auto"/>
            <w:noWrap/>
            <w:vAlign w:val="center"/>
            <w:hideMark/>
          </w:tcPr>
          <w:p w14:paraId="397C809F"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pret IKP, %</w:t>
            </w:r>
          </w:p>
        </w:tc>
        <w:tc>
          <w:tcPr>
            <w:tcW w:w="341" w:type="pct"/>
            <w:tcBorders>
              <w:top w:val="nil"/>
              <w:left w:val="nil"/>
              <w:bottom w:val="single" w:sz="4" w:space="0" w:color="auto"/>
              <w:right w:val="single" w:sz="4" w:space="0" w:color="auto"/>
            </w:tcBorders>
            <w:shd w:val="clear" w:color="auto" w:fill="auto"/>
            <w:noWrap/>
          </w:tcPr>
          <w:p w14:paraId="785F3923"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0,01</w:t>
            </w:r>
          </w:p>
        </w:tc>
        <w:tc>
          <w:tcPr>
            <w:tcW w:w="341" w:type="pct"/>
            <w:tcBorders>
              <w:top w:val="nil"/>
              <w:left w:val="nil"/>
              <w:bottom w:val="single" w:sz="4" w:space="0" w:color="auto"/>
              <w:right w:val="single" w:sz="4" w:space="0" w:color="auto"/>
            </w:tcBorders>
            <w:shd w:val="clear" w:color="auto" w:fill="auto"/>
            <w:noWrap/>
          </w:tcPr>
          <w:p w14:paraId="781FEAB3"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0,01</w:t>
            </w:r>
          </w:p>
        </w:tc>
        <w:tc>
          <w:tcPr>
            <w:tcW w:w="341" w:type="pct"/>
            <w:tcBorders>
              <w:top w:val="nil"/>
              <w:left w:val="nil"/>
              <w:bottom w:val="single" w:sz="4" w:space="0" w:color="auto"/>
              <w:right w:val="single" w:sz="4" w:space="0" w:color="auto"/>
            </w:tcBorders>
            <w:shd w:val="clear" w:color="auto" w:fill="auto"/>
            <w:noWrap/>
          </w:tcPr>
          <w:p w14:paraId="7B7BBFF2"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0,01</w:t>
            </w:r>
          </w:p>
        </w:tc>
        <w:tc>
          <w:tcPr>
            <w:tcW w:w="341" w:type="pct"/>
            <w:tcBorders>
              <w:top w:val="nil"/>
              <w:left w:val="nil"/>
              <w:bottom w:val="single" w:sz="4" w:space="0" w:color="auto"/>
              <w:right w:val="single" w:sz="4" w:space="0" w:color="auto"/>
            </w:tcBorders>
          </w:tcPr>
          <w:p w14:paraId="557FAEE8"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0,01</w:t>
            </w:r>
          </w:p>
        </w:tc>
      </w:tr>
      <w:tr w:rsidR="00165D47" w:rsidRPr="00251B61" w14:paraId="186E2507" w14:textId="77777777" w:rsidTr="00723ACD">
        <w:trPr>
          <w:cantSplit/>
          <w:trHeight w:hRule="exact" w:val="454"/>
          <w:jc w:val="center"/>
        </w:trPr>
        <w:tc>
          <w:tcPr>
            <w:tcW w:w="3637" w:type="pct"/>
            <w:tcBorders>
              <w:top w:val="nil"/>
              <w:left w:val="single" w:sz="4" w:space="0" w:color="auto"/>
              <w:bottom w:val="single" w:sz="4" w:space="0" w:color="auto"/>
              <w:right w:val="single" w:sz="4" w:space="0" w:color="auto"/>
            </w:tcBorders>
            <w:shd w:val="clear" w:color="auto" w:fill="auto"/>
            <w:vAlign w:val="center"/>
            <w:hideMark/>
          </w:tcPr>
          <w:p w14:paraId="476FCDEE"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Salīdzinājumā ar likumu “Par valsts budžetu 2024. gadam un budžeta ietvaru 2024., 2025. un 2026. gadam”, milj. </w:t>
            </w:r>
            <w:r w:rsidRPr="00165D47">
              <w:rPr>
                <w:rFonts w:cs="Times New Roman"/>
                <w:i/>
                <w:iCs/>
                <w:noProof/>
                <w:sz w:val="18"/>
                <w:szCs w:val="18"/>
              </w:rPr>
              <w:t>euro</w:t>
            </w:r>
          </w:p>
        </w:tc>
        <w:tc>
          <w:tcPr>
            <w:tcW w:w="341" w:type="pct"/>
            <w:tcBorders>
              <w:top w:val="nil"/>
              <w:left w:val="nil"/>
              <w:bottom w:val="single" w:sz="4" w:space="0" w:color="auto"/>
              <w:right w:val="single" w:sz="4" w:space="0" w:color="auto"/>
            </w:tcBorders>
            <w:shd w:val="clear" w:color="auto" w:fill="auto"/>
            <w:noWrap/>
          </w:tcPr>
          <w:p w14:paraId="273BEE2B"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0,0</w:t>
            </w:r>
          </w:p>
        </w:tc>
        <w:tc>
          <w:tcPr>
            <w:tcW w:w="341" w:type="pct"/>
            <w:tcBorders>
              <w:top w:val="nil"/>
              <w:left w:val="nil"/>
              <w:bottom w:val="single" w:sz="4" w:space="0" w:color="auto"/>
              <w:right w:val="single" w:sz="4" w:space="0" w:color="auto"/>
            </w:tcBorders>
            <w:shd w:val="clear" w:color="auto" w:fill="auto"/>
            <w:noWrap/>
          </w:tcPr>
          <w:p w14:paraId="412C9EC5"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0,0</w:t>
            </w:r>
          </w:p>
        </w:tc>
        <w:tc>
          <w:tcPr>
            <w:tcW w:w="341" w:type="pct"/>
            <w:tcBorders>
              <w:top w:val="nil"/>
              <w:left w:val="nil"/>
              <w:bottom w:val="single" w:sz="4" w:space="0" w:color="auto"/>
              <w:right w:val="single" w:sz="4" w:space="0" w:color="auto"/>
            </w:tcBorders>
            <w:shd w:val="clear" w:color="auto" w:fill="auto"/>
            <w:noWrap/>
            <w:hideMark/>
          </w:tcPr>
          <w:p w14:paraId="67D3B96A"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0,0</w:t>
            </w:r>
          </w:p>
        </w:tc>
        <w:tc>
          <w:tcPr>
            <w:tcW w:w="341" w:type="pct"/>
            <w:tcBorders>
              <w:top w:val="nil"/>
              <w:left w:val="nil"/>
              <w:bottom w:val="single" w:sz="4" w:space="0" w:color="auto"/>
              <w:right w:val="single" w:sz="4" w:space="0" w:color="auto"/>
            </w:tcBorders>
            <w:shd w:val="clear" w:color="auto" w:fill="auto"/>
          </w:tcPr>
          <w:p w14:paraId="407D0D25" w14:textId="77777777" w:rsidR="00165D47" w:rsidRPr="00251B61" w:rsidRDefault="00165D47" w:rsidP="00723ACD">
            <w:pPr>
              <w:keepNext/>
              <w:keepLines/>
              <w:spacing w:after="0"/>
              <w:ind w:firstLine="0"/>
              <w:jc w:val="left"/>
              <w:rPr>
                <w:rFonts w:cs="Times New Roman"/>
                <w:noProof/>
                <w:sz w:val="18"/>
                <w:szCs w:val="18"/>
              </w:rPr>
            </w:pPr>
            <w:r w:rsidRPr="00251B61">
              <w:rPr>
                <w:rFonts w:cs="Times New Roman"/>
                <w:noProof/>
                <w:sz w:val="18"/>
                <w:szCs w:val="18"/>
              </w:rPr>
              <w:t>—</w:t>
            </w:r>
          </w:p>
        </w:tc>
      </w:tr>
      <w:tr w:rsidR="00165D47" w:rsidRPr="00663F20" w14:paraId="67E20B2D" w14:textId="77777777" w:rsidTr="00723ACD">
        <w:trPr>
          <w:cantSplit/>
          <w:trHeight w:hRule="exact" w:val="454"/>
          <w:jc w:val="center"/>
        </w:trPr>
        <w:tc>
          <w:tcPr>
            <w:tcW w:w="3637" w:type="pct"/>
            <w:tcBorders>
              <w:top w:val="nil"/>
              <w:left w:val="single" w:sz="4" w:space="0" w:color="auto"/>
              <w:bottom w:val="single" w:sz="4" w:space="0" w:color="auto"/>
              <w:right w:val="single" w:sz="4" w:space="0" w:color="auto"/>
            </w:tcBorders>
            <w:shd w:val="clear" w:color="auto" w:fill="auto"/>
            <w:vAlign w:val="center"/>
            <w:hideMark/>
          </w:tcPr>
          <w:p w14:paraId="548F3630" w14:textId="77777777" w:rsidR="00165D47" w:rsidRPr="00663F20" w:rsidRDefault="00165D47" w:rsidP="00723ACD">
            <w:pPr>
              <w:keepNext/>
              <w:keepLines/>
              <w:spacing w:after="0"/>
              <w:ind w:firstLine="0"/>
              <w:jc w:val="left"/>
              <w:rPr>
                <w:rFonts w:cs="Times New Roman"/>
                <w:noProof/>
                <w:sz w:val="18"/>
                <w:szCs w:val="18"/>
              </w:rPr>
            </w:pPr>
            <w:r w:rsidRPr="00663F20">
              <w:rPr>
                <w:rFonts w:cs="Times New Roman"/>
                <w:noProof/>
                <w:sz w:val="18"/>
                <w:szCs w:val="18"/>
              </w:rPr>
              <w:t>Salīdzinājumā ar likumu “Par valsts budžetu 2024. gadam un budžeta ietvaru 2024., 2025. un 2026. gadam”, %</w:t>
            </w:r>
          </w:p>
        </w:tc>
        <w:tc>
          <w:tcPr>
            <w:tcW w:w="341" w:type="pct"/>
            <w:tcBorders>
              <w:top w:val="nil"/>
              <w:left w:val="nil"/>
              <w:bottom w:val="single" w:sz="4" w:space="0" w:color="auto"/>
              <w:right w:val="single" w:sz="4" w:space="0" w:color="auto"/>
            </w:tcBorders>
            <w:shd w:val="clear" w:color="auto" w:fill="auto"/>
            <w:noWrap/>
          </w:tcPr>
          <w:p w14:paraId="151EB591" w14:textId="77777777" w:rsidR="00165D47" w:rsidRPr="00663F20" w:rsidRDefault="00165D47" w:rsidP="00723ACD">
            <w:pPr>
              <w:keepNext/>
              <w:keepLines/>
              <w:spacing w:after="0"/>
              <w:ind w:firstLine="0"/>
              <w:jc w:val="left"/>
              <w:rPr>
                <w:rFonts w:cs="Times New Roman"/>
                <w:noProof/>
                <w:sz w:val="18"/>
                <w:szCs w:val="18"/>
              </w:rPr>
            </w:pPr>
            <w:r w:rsidRPr="00663F20">
              <w:rPr>
                <w:rFonts w:cs="Times New Roman"/>
                <w:noProof/>
                <w:sz w:val="18"/>
                <w:szCs w:val="18"/>
              </w:rPr>
              <w:t>0,0</w:t>
            </w:r>
          </w:p>
        </w:tc>
        <w:tc>
          <w:tcPr>
            <w:tcW w:w="341" w:type="pct"/>
            <w:tcBorders>
              <w:top w:val="nil"/>
              <w:left w:val="nil"/>
              <w:bottom w:val="single" w:sz="4" w:space="0" w:color="auto"/>
              <w:right w:val="single" w:sz="4" w:space="0" w:color="auto"/>
            </w:tcBorders>
            <w:shd w:val="clear" w:color="auto" w:fill="auto"/>
            <w:noWrap/>
          </w:tcPr>
          <w:p w14:paraId="56284541" w14:textId="77777777" w:rsidR="00165D47" w:rsidRPr="00663F20" w:rsidRDefault="00165D47" w:rsidP="00723ACD">
            <w:pPr>
              <w:keepNext/>
              <w:keepLines/>
              <w:spacing w:after="0"/>
              <w:ind w:firstLine="0"/>
              <w:jc w:val="left"/>
              <w:rPr>
                <w:rFonts w:cs="Times New Roman"/>
                <w:noProof/>
                <w:sz w:val="18"/>
                <w:szCs w:val="18"/>
              </w:rPr>
            </w:pPr>
            <w:r w:rsidRPr="00663F20">
              <w:rPr>
                <w:rFonts w:cs="Times New Roman"/>
                <w:noProof/>
                <w:sz w:val="18"/>
                <w:szCs w:val="18"/>
              </w:rPr>
              <w:t>0,0</w:t>
            </w:r>
          </w:p>
        </w:tc>
        <w:tc>
          <w:tcPr>
            <w:tcW w:w="341" w:type="pct"/>
            <w:tcBorders>
              <w:top w:val="nil"/>
              <w:left w:val="nil"/>
              <w:bottom w:val="single" w:sz="4" w:space="0" w:color="auto"/>
              <w:right w:val="single" w:sz="4" w:space="0" w:color="auto"/>
            </w:tcBorders>
            <w:shd w:val="clear" w:color="auto" w:fill="auto"/>
            <w:noWrap/>
            <w:hideMark/>
          </w:tcPr>
          <w:p w14:paraId="61F5B6B0" w14:textId="77777777" w:rsidR="00165D47" w:rsidRPr="00663F20" w:rsidRDefault="00165D47" w:rsidP="00723ACD">
            <w:pPr>
              <w:keepNext/>
              <w:keepLines/>
              <w:spacing w:after="0"/>
              <w:ind w:firstLine="0"/>
              <w:jc w:val="left"/>
              <w:rPr>
                <w:rFonts w:cs="Times New Roman"/>
                <w:noProof/>
                <w:sz w:val="18"/>
                <w:szCs w:val="18"/>
              </w:rPr>
            </w:pPr>
            <w:r w:rsidRPr="00663F20">
              <w:rPr>
                <w:rFonts w:cs="Times New Roman"/>
                <w:noProof/>
                <w:sz w:val="18"/>
                <w:szCs w:val="18"/>
              </w:rPr>
              <w:t>0,0</w:t>
            </w:r>
          </w:p>
        </w:tc>
        <w:tc>
          <w:tcPr>
            <w:tcW w:w="341" w:type="pct"/>
            <w:tcBorders>
              <w:top w:val="nil"/>
              <w:left w:val="nil"/>
              <w:bottom w:val="single" w:sz="4" w:space="0" w:color="auto"/>
              <w:right w:val="single" w:sz="4" w:space="0" w:color="auto"/>
            </w:tcBorders>
            <w:shd w:val="clear" w:color="auto" w:fill="auto"/>
          </w:tcPr>
          <w:p w14:paraId="2A6E633E" w14:textId="77777777" w:rsidR="00165D47" w:rsidRPr="00663F20" w:rsidRDefault="00165D47" w:rsidP="00723ACD">
            <w:pPr>
              <w:keepNext/>
              <w:keepLines/>
              <w:spacing w:after="0"/>
              <w:ind w:firstLine="0"/>
              <w:jc w:val="left"/>
              <w:rPr>
                <w:rFonts w:cs="Times New Roman"/>
                <w:noProof/>
                <w:sz w:val="18"/>
                <w:szCs w:val="18"/>
              </w:rPr>
            </w:pPr>
            <w:r w:rsidRPr="00663F20">
              <w:rPr>
                <w:rFonts w:cs="Times New Roman"/>
                <w:noProof/>
                <w:sz w:val="18"/>
                <w:szCs w:val="18"/>
              </w:rPr>
              <w:t>—</w:t>
            </w:r>
          </w:p>
        </w:tc>
      </w:tr>
    </w:tbl>
    <w:p w14:paraId="1E238091" w14:textId="47C6E6C0" w:rsidR="003F3FCD" w:rsidRPr="00663F20" w:rsidRDefault="000548A5" w:rsidP="008349F0">
      <w:pPr>
        <w:pStyle w:val="Heading2"/>
        <w:rPr>
          <w:rFonts w:eastAsia="Times New Roman"/>
        </w:rPr>
      </w:pPr>
      <w:bookmarkStart w:id="100" w:name="_Toc179356102"/>
      <w:r w:rsidRPr="00663F20">
        <w:rPr>
          <w:rFonts w:eastAsia="Times New Roman"/>
        </w:rPr>
        <w:t xml:space="preserve">3.3. Valsts pamatbudžeta </w:t>
      </w:r>
      <w:proofErr w:type="spellStart"/>
      <w:r w:rsidRPr="00663F20">
        <w:rPr>
          <w:rFonts w:eastAsia="Times New Roman"/>
        </w:rPr>
        <w:t>nenodokļu</w:t>
      </w:r>
      <w:proofErr w:type="spellEnd"/>
      <w:r w:rsidRPr="00663F20">
        <w:rPr>
          <w:rFonts w:eastAsia="Times New Roman"/>
        </w:rPr>
        <w:t xml:space="preserve"> ieņēmumi</w:t>
      </w:r>
      <w:bookmarkEnd w:id="100"/>
    </w:p>
    <w:p w14:paraId="69E12DDF" w14:textId="5DBE3E6A" w:rsidR="00663F20" w:rsidRPr="00251B61" w:rsidRDefault="00663F20" w:rsidP="00663F20">
      <w:pPr>
        <w:rPr>
          <w:rFonts w:eastAsia="Calibri" w:cs="Times New Roman"/>
          <w:szCs w:val="24"/>
        </w:rPr>
      </w:pPr>
      <w:r w:rsidRPr="00251B61">
        <w:rPr>
          <w:rFonts w:eastAsia="Calibri" w:cs="Times New Roman"/>
          <w:szCs w:val="24"/>
        </w:rPr>
        <w:t xml:space="preserve">Pamatbudžeta </w:t>
      </w:r>
      <w:proofErr w:type="spellStart"/>
      <w:r w:rsidRPr="00251B61">
        <w:rPr>
          <w:rFonts w:eastAsia="Calibri" w:cs="Times New Roman"/>
          <w:szCs w:val="24"/>
        </w:rPr>
        <w:t>nenodokļu</w:t>
      </w:r>
      <w:proofErr w:type="spellEnd"/>
      <w:r w:rsidRPr="00251B61">
        <w:rPr>
          <w:rFonts w:eastAsia="Calibri" w:cs="Times New Roman"/>
          <w:szCs w:val="24"/>
        </w:rPr>
        <w:t xml:space="preserve"> ieņēmumi 2024. gada 1.</w:t>
      </w:r>
      <w:r>
        <w:rPr>
          <w:rFonts w:eastAsia="Calibri" w:cs="Times New Roman"/>
          <w:szCs w:val="24"/>
        </w:rPr>
        <w:t xml:space="preserve"> </w:t>
      </w:r>
      <w:r w:rsidRPr="00251B61">
        <w:rPr>
          <w:rFonts w:eastAsia="Calibri" w:cs="Times New Roman"/>
          <w:szCs w:val="24"/>
        </w:rPr>
        <w:t>pusgadā bija 778,8 milj. </w:t>
      </w:r>
      <w:proofErr w:type="spellStart"/>
      <w:r w:rsidRPr="00663F20">
        <w:rPr>
          <w:rFonts w:eastAsia="Calibri" w:cs="Times New Roman"/>
          <w:i/>
          <w:iCs/>
          <w:szCs w:val="24"/>
        </w:rPr>
        <w:t>euro</w:t>
      </w:r>
      <w:proofErr w:type="spellEnd"/>
      <w:r w:rsidRPr="00251B61">
        <w:rPr>
          <w:rFonts w:eastAsia="Calibri" w:cs="Times New Roman"/>
          <w:szCs w:val="24"/>
        </w:rPr>
        <w:t>, kas ir par 179,7 milj. </w:t>
      </w:r>
      <w:proofErr w:type="spellStart"/>
      <w:r w:rsidRPr="00663F20">
        <w:rPr>
          <w:rFonts w:eastAsia="Calibri" w:cs="Times New Roman"/>
          <w:i/>
          <w:iCs/>
          <w:szCs w:val="24"/>
        </w:rPr>
        <w:t>euro</w:t>
      </w:r>
      <w:proofErr w:type="spellEnd"/>
      <w:r w:rsidRPr="00251B61">
        <w:rPr>
          <w:rFonts w:eastAsia="Calibri" w:cs="Times New Roman"/>
          <w:szCs w:val="24"/>
        </w:rPr>
        <w:t xml:space="preserve"> jeb 30,0% vairāk kā plānots. Salīdzinot ar 2023. gada sešiem mēnešiem, </w:t>
      </w:r>
      <w:proofErr w:type="spellStart"/>
      <w:r w:rsidRPr="00251B61">
        <w:rPr>
          <w:rFonts w:eastAsia="Calibri" w:cs="Times New Roman"/>
          <w:szCs w:val="24"/>
        </w:rPr>
        <w:t>nenodokļu</w:t>
      </w:r>
      <w:proofErr w:type="spellEnd"/>
      <w:r w:rsidRPr="00251B61">
        <w:rPr>
          <w:rFonts w:eastAsia="Calibri" w:cs="Times New Roman"/>
          <w:szCs w:val="24"/>
        </w:rPr>
        <w:t xml:space="preserve"> ieņēmumi ir iekasēti par 184,1 milj. </w:t>
      </w:r>
      <w:proofErr w:type="spellStart"/>
      <w:r w:rsidRPr="00663F20">
        <w:rPr>
          <w:rFonts w:eastAsia="Calibri" w:cs="Times New Roman"/>
          <w:i/>
          <w:iCs/>
          <w:szCs w:val="24"/>
        </w:rPr>
        <w:t>euro</w:t>
      </w:r>
      <w:proofErr w:type="spellEnd"/>
      <w:r w:rsidRPr="00251B61">
        <w:rPr>
          <w:rFonts w:eastAsia="Calibri" w:cs="Times New Roman"/>
          <w:szCs w:val="24"/>
        </w:rPr>
        <w:t xml:space="preserve"> jeb 31,0% vairāk. </w:t>
      </w:r>
      <w:proofErr w:type="spellStart"/>
      <w:r w:rsidRPr="00251B61">
        <w:rPr>
          <w:rFonts w:eastAsia="Calibri" w:cs="Times New Roman"/>
          <w:szCs w:val="24"/>
        </w:rPr>
        <w:t>Nenodokļu</w:t>
      </w:r>
      <w:proofErr w:type="spellEnd"/>
      <w:r w:rsidRPr="00251B61">
        <w:rPr>
          <w:rFonts w:eastAsia="Calibri" w:cs="Times New Roman"/>
          <w:szCs w:val="24"/>
        </w:rPr>
        <w:t xml:space="preserve"> ieņēmumu plāna pārpildi pamatā nodrošināja ieņēmumi no hipotekārā kredīta ņēmēju aizsardzības nodevas, kur plāna </w:t>
      </w:r>
      <w:proofErr w:type="spellStart"/>
      <w:r w:rsidRPr="00251B61">
        <w:rPr>
          <w:rFonts w:eastAsia="Calibri" w:cs="Times New Roman"/>
          <w:szCs w:val="24"/>
        </w:rPr>
        <w:t>pārpilde</w:t>
      </w:r>
      <w:proofErr w:type="spellEnd"/>
      <w:r w:rsidRPr="00251B61">
        <w:rPr>
          <w:rFonts w:eastAsia="Calibri" w:cs="Times New Roman"/>
          <w:szCs w:val="24"/>
        </w:rPr>
        <w:t xml:space="preserve"> bija 48,5 milj. </w:t>
      </w:r>
      <w:proofErr w:type="spellStart"/>
      <w:r w:rsidRPr="00663F20">
        <w:rPr>
          <w:rFonts w:eastAsia="Calibri" w:cs="Times New Roman"/>
          <w:i/>
          <w:iCs/>
          <w:szCs w:val="24"/>
        </w:rPr>
        <w:t>euro</w:t>
      </w:r>
      <w:proofErr w:type="spellEnd"/>
      <w:r w:rsidRPr="00251B61">
        <w:rPr>
          <w:rFonts w:eastAsia="Calibri" w:cs="Times New Roman"/>
          <w:szCs w:val="24"/>
        </w:rPr>
        <w:t>.</w:t>
      </w:r>
    </w:p>
    <w:p w14:paraId="7EA9C0C4" w14:textId="77777777" w:rsidR="00663F20" w:rsidRPr="00251B61" w:rsidRDefault="00663F20" w:rsidP="00663F20">
      <w:pPr>
        <w:rPr>
          <w:rFonts w:eastAsia="Calibri" w:cs="Times New Roman"/>
          <w:szCs w:val="24"/>
        </w:rPr>
      </w:pPr>
      <w:r w:rsidRPr="00251B61">
        <w:rPr>
          <w:rFonts w:eastAsia="Calibri" w:cs="Times New Roman"/>
          <w:szCs w:val="24"/>
        </w:rPr>
        <w:t xml:space="preserve">Tāpat nozīmīga </w:t>
      </w:r>
      <w:proofErr w:type="spellStart"/>
      <w:r w:rsidRPr="00251B61">
        <w:rPr>
          <w:rFonts w:eastAsia="Calibri" w:cs="Times New Roman"/>
          <w:szCs w:val="24"/>
        </w:rPr>
        <w:t>pārpilde</w:t>
      </w:r>
      <w:proofErr w:type="spellEnd"/>
      <w:r w:rsidRPr="00251B61">
        <w:rPr>
          <w:rFonts w:eastAsia="Calibri" w:cs="Times New Roman"/>
          <w:szCs w:val="24"/>
        </w:rPr>
        <w:t xml:space="preserve"> ir arī šādās </w:t>
      </w:r>
      <w:proofErr w:type="spellStart"/>
      <w:r w:rsidRPr="00251B61">
        <w:rPr>
          <w:rFonts w:eastAsia="Calibri" w:cs="Times New Roman"/>
          <w:szCs w:val="24"/>
        </w:rPr>
        <w:t>nenodokļu</w:t>
      </w:r>
      <w:proofErr w:type="spellEnd"/>
      <w:r w:rsidRPr="00251B61">
        <w:rPr>
          <w:rFonts w:eastAsia="Calibri" w:cs="Times New Roman"/>
          <w:szCs w:val="24"/>
        </w:rPr>
        <w:t xml:space="preserve"> pozīcijās: </w:t>
      </w:r>
    </w:p>
    <w:p w14:paraId="5155099A" w14:textId="666D4378" w:rsidR="00663F20" w:rsidRPr="00251B61" w:rsidRDefault="00663F20" w:rsidP="00F87D38">
      <w:pPr>
        <w:pStyle w:val="ListParagraph"/>
        <w:numPr>
          <w:ilvl w:val="0"/>
          <w:numId w:val="21"/>
        </w:numPr>
        <w:rPr>
          <w:rFonts w:eastAsia="Calibri" w:cs="Times New Roman"/>
          <w:szCs w:val="24"/>
        </w:rPr>
      </w:pPr>
      <w:r w:rsidRPr="00251B61">
        <w:rPr>
          <w:rFonts w:eastAsia="Calibri" w:cs="Times New Roman"/>
          <w:szCs w:val="24"/>
        </w:rPr>
        <w:t>ieņēmumi no dividendēm (ieņēmumi no valsts kapitāla izmantošanas): +34.5 milj. </w:t>
      </w:r>
      <w:proofErr w:type="spellStart"/>
      <w:r w:rsidRPr="00663F20">
        <w:rPr>
          <w:rFonts w:eastAsia="Calibri" w:cs="Times New Roman"/>
          <w:i/>
          <w:iCs/>
          <w:szCs w:val="24"/>
        </w:rPr>
        <w:t>euro</w:t>
      </w:r>
      <w:proofErr w:type="spellEnd"/>
      <w:r w:rsidRPr="00251B61">
        <w:rPr>
          <w:rFonts w:eastAsia="Calibri" w:cs="Times New Roman"/>
          <w:szCs w:val="24"/>
        </w:rPr>
        <w:t xml:space="preserve"> jeb 9,6%;</w:t>
      </w:r>
    </w:p>
    <w:p w14:paraId="465E3016" w14:textId="08C24011" w:rsidR="00663F20" w:rsidRPr="00251B61" w:rsidRDefault="00663F20" w:rsidP="00F87D38">
      <w:pPr>
        <w:pStyle w:val="ListParagraph"/>
        <w:numPr>
          <w:ilvl w:val="0"/>
          <w:numId w:val="21"/>
        </w:numPr>
        <w:rPr>
          <w:rFonts w:eastAsia="Calibri" w:cs="Times New Roman"/>
          <w:szCs w:val="24"/>
        </w:rPr>
      </w:pPr>
      <w:r w:rsidRPr="00251B61">
        <w:rPr>
          <w:rFonts w:eastAsia="Calibri" w:cs="Times New Roman"/>
          <w:szCs w:val="24"/>
        </w:rPr>
        <w:t>procentu ieņēmumi no depozītiem un kontu atlikumiem: +30,0 milj. </w:t>
      </w:r>
      <w:proofErr w:type="spellStart"/>
      <w:r w:rsidRPr="00663F20">
        <w:rPr>
          <w:rFonts w:eastAsia="Calibri" w:cs="Times New Roman"/>
          <w:i/>
          <w:iCs/>
          <w:szCs w:val="24"/>
        </w:rPr>
        <w:t>euro</w:t>
      </w:r>
      <w:proofErr w:type="spellEnd"/>
      <w:r w:rsidRPr="00251B61">
        <w:rPr>
          <w:rFonts w:eastAsia="Calibri" w:cs="Times New Roman"/>
          <w:szCs w:val="24"/>
        </w:rPr>
        <w:t xml:space="preserve"> jeb 286,8%;</w:t>
      </w:r>
    </w:p>
    <w:p w14:paraId="26679F59" w14:textId="54E0C081" w:rsidR="00663F20" w:rsidRPr="00251B61" w:rsidRDefault="00663F20" w:rsidP="00F87D38">
      <w:pPr>
        <w:pStyle w:val="ListParagraph"/>
        <w:numPr>
          <w:ilvl w:val="0"/>
          <w:numId w:val="21"/>
        </w:numPr>
        <w:rPr>
          <w:rFonts w:eastAsia="Calibri" w:cs="Times New Roman"/>
          <w:szCs w:val="24"/>
        </w:rPr>
      </w:pPr>
      <w:r w:rsidRPr="00251B61">
        <w:rPr>
          <w:rFonts w:eastAsia="Calibri" w:cs="Times New Roman"/>
          <w:szCs w:val="24"/>
        </w:rPr>
        <w:t xml:space="preserve">pārējie </w:t>
      </w:r>
      <w:proofErr w:type="spellStart"/>
      <w:r w:rsidRPr="00251B61">
        <w:rPr>
          <w:rFonts w:eastAsia="Calibri" w:cs="Times New Roman"/>
          <w:szCs w:val="24"/>
        </w:rPr>
        <w:t>nenodokļu</w:t>
      </w:r>
      <w:proofErr w:type="spellEnd"/>
      <w:r w:rsidRPr="00251B61">
        <w:rPr>
          <w:rFonts w:eastAsia="Calibri" w:cs="Times New Roman"/>
          <w:szCs w:val="24"/>
        </w:rPr>
        <w:t xml:space="preserve"> ieņēmumi un ieņēmumi no valsts (pašvaldības) īpašuma pārdošanas un nodokļu pamatparāda kapitalizācijas: +22,6 milj. </w:t>
      </w:r>
      <w:proofErr w:type="spellStart"/>
      <w:r w:rsidRPr="00663F20">
        <w:rPr>
          <w:rFonts w:eastAsia="Calibri" w:cs="Times New Roman"/>
          <w:i/>
          <w:iCs/>
          <w:szCs w:val="24"/>
        </w:rPr>
        <w:t>euro</w:t>
      </w:r>
      <w:proofErr w:type="spellEnd"/>
      <w:r w:rsidRPr="00251B61">
        <w:rPr>
          <w:rFonts w:eastAsia="Calibri" w:cs="Times New Roman"/>
          <w:szCs w:val="24"/>
        </w:rPr>
        <w:t xml:space="preserve"> jeb 48,0%, ko galvenokārt sekmēja ieņēmumi no konfiscēto noziedzīgi iegūto līdzekļu un papildsoda – mantas konfiskācija – realizācijas, kur gada plāns sešu mēnešu laikā jau bija izpildīts par 81</w:t>
      </w:r>
      <w:r w:rsidR="00D861C6">
        <w:rPr>
          <w:rFonts w:eastAsia="Calibri" w:cs="Times New Roman"/>
          <w:szCs w:val="24"/>
        </w:rPr>
        <w:t>,</w:t>
      </w:r>
      <w:r w:rsidRPr="00251B61">
        <w:rPr>
          <w:rFonts w:eastAsia="Calibri" w:cs="Times New Roman"/>
          <w:szCs w:val="24"/>
        </w:rPr>
        <w:t>8%.</w:t>
      </w:r>
    </w:p>
    <w:p w14:paraId="7058EDA0" w14:textId="6082A0D9" w:rsidR="00663F20" w:rsidRPr="00251B61" w:rsidRDefault="00663F20" w:rsidP="00663F20">
      <w:pPr>
        <w:rPr>
          <w:rFonts w:eastAsia="Calibri" w:cs="Times New Roman"/>
          <w:szCs w:val="24"/>
        </w:rPr>
      </w:pPr>
      <w:r w:rsidRPr="00251B61">
        <w:rPr>
          <w:rFonts w:eastAsia="Calibri" w:cs="Times New Roman"/>
          <w:szCs w:val="24"/>
        </w:rPr>
        <w:t xml:space="preserve">Saskaņā ar likumprojektu “Par valsts budžetu 2025. gadam un budžeta ietvaru 2025., 2026. </w:t>
      </w:r>
      <w:r w:rsidRPr="00663F20">
        <w:rPr>
          <w:rFonts w:eastAsia="Calibri" w:cs="Times New Roman"/>
          <w:szCs w:val="24"/>
        </w:rPr>
        <w:t xml:space="preserve">un 2027. gadam” 2025. gadā valsts pamatbudžeta </w:t>
      </w:r>
      <w:proofErr w:type="spellStart"/>
      <w:r w:rsidRPr="00663F20">
        <w:rPr>
          <w:rFonts w:eastAsia="Calibri" w:cs="Times New Roman"/>
          <w:szCs w:val="24"/>
        </w:rPr>
        <w:t>nenodokļu</w:t>
      </w:r>
      <w:proofErr w:type="spellEnd"/>
      <w:r w:rsidRPr="00663F20">
        <w:rPr>
          <w:rFonts w:eastAsia="Calibri" w:cs="Times New Roman"/>
          <w:szCs w:val="24"/>
        </w:rPr>
        <w:t xml:space="preserve"> ieņēmumi tiek plānoti 857,1 milj. </w:t>
      </w:r>
      <w:proofErr w:type="spellStart"/>
      <w:r w:rsidRPr="00663F20">
        <w:rPr>
          <w:rFonts w:eastAsia="Calibri" w:cs="Times New Roman"/>
          <w:i/>
          <w:iCs/>
          <w:szCs w:val="24"/>
        </w:rPr>
        <w:t>euro</w:t>
      </w:r>
      <w:proofErr w:type="spellEnd"/>
      <w:r w:rsidRPr="00663F20">
        <w:rPr>
          <w:rFonts w:eastAsia="Calibri" w:cs="Times New Roman"/>
          <w:szCs w:val="24"/>
        </w:rPr>
        <w:t>, 2026. gadā 758,7 milj. </w:t>
      </w:r>
      <w:proofErr w:type="spellStart"/>
      <w:r w:rsidRPr="00663F20">
        <w:rPr>
          <w:rFonts w:eastAsia="Calibri" w:cs="Times New Roman"/>
          <w:i/>
          <w:iCs/>
          <w:szCs w:val="24"/>
        </w:rPr>
        <w:t>euro</w:t>
      </w:r>
      <w:proofErr w:type="spellEnd"/>
      <w:r w:rsidRPr="00663F20">
        <w:rPr>
          <w:rFonts w:eastAsia="Calibri" w:cs="Times New Roman"/>
          <w:szCs w:val="24"/>
        </w:rPr>
        <w:t xml:space="preserve"> un 2027. gadā 752,5 milj. </w:t>
      </w:r>
      <w:proofErr w:type="spellStart"/>
      <w:r w:rsidRPr="00663F20">
        <w:rPr>
          <w:rFonts w:eastAsia="Calibri" w:cs="Times New Roman"/>
          <w:i/>
          <w:iCs/>
          <w:szCs w:val="24"/>
        </w:rPr>
        <w:t>euro</w:t>
      </w:r>
      <w:proofErr w:type="spellEnd"/>
      <w:r w:rsidRPr="00663F20">
        <w:rPr>
          <w:rFonts w:eastAsia="Calibri" w:cs="Times New Roman"/>
          <w:szCs w:val="24"/>
        </w:rPr>
        <w:t xml:space="preserve"> apmērā (skat. 3.19. tabulu).</w:t>
      </w:r>
    </w:p>
    <w:p w14:paraId="1EA0FA3B" w14:textId="77777777" w:rsidR="00663F20" w:rsidRPr="00251B61" w:rsidRDefault="00663F20" w:rsidP="00663F20">
      <w:pPr>
        <w:pStyle w:val="Zmjums"/>
        <w:keepLines/>
        <w:rPr>
          <w:rFonts w:eastAsia="Calibri"/>
          <w:szCs w:val="24"/>
          <w:lang w:eastAsia="en-US"/>
        </w:rPr>
      </w:pPr>
      <w:r w:rsidRPr="00251B61">
        <w:rPr>
          <w:rFonts w:eastAsia="Calibri"/>
          <w:szCs w:val="24"/>
          <w:lang w:eastAsia="en-US"/>
        </w:rPr>
        <w:drawing>
          <wp:inline distT="0" distB="0" distL="0" distR="0" wp14:anchorId="1DB8F898" wp14:editId="63CFB739">
            <wp:extent cx="5761355" cy="2158365"/>
            <wp:effectExtent l="0" t="0" r="0" b="0"/>
            <wp:docPr id="270525738" name="Picture 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25738" name="Picture 1" descr="A graph with numbers and a ba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1355" cy="2158365"/>
                    </a:xfrm>
                    <a:prstGeom prst="rect">
                      <a:avLst/>
                    </a:prstGeom>
                    <a:noFill/>
                  </pic:spPr>
                </pic:pic>
              </a:graphicData>
            </a:graphic>
          </wp:inline>
        </w:drawing>
      </w:r>
    </w:p>
    <w:p w14:paraId="20AC5A84" w14:textId="77777777" w:rsidR="00663F20" w:rsidRPr="00251B61" w:rsidRDefault="00663F20" w:rsidP="00663F20">
      <w:pPr>
        <w:pStyle w:val="Zmjumanosaukums"/>
      </w:pPr>
      <w:r w:rsidRPr="00251B61">
        <w:t xml:space="preserve">3.3. att. Valsts pamatbudžeta </w:t>
      </w:r>
      <w:proofErr w:type="spellStart"/>
      <w:r w:rsidRPr="00251B61">
        <w:t>nenodokļu</w:t>
      </w:r>
      <w:proofErr w:type="spellEnd"/>
      <w:r w:rsidRPr="00251B61">
        <w:t xml:space="preserve"> ieņēmumi 2024. un 2025. gadā</w:t>
      </w:r>
    </w:p>
    <w:p w14:paraId="0F192C75" w14:textId="55D0D98D" w:rsidR="00663F20" w:rsidRPr="00251B61" w:rsidRDefault="00663F20" w:rsidP="00663F20">
      <w:pPr>
        <w:rPr>
          <w:rFonts w:eastAsia="Calibri" w:cs="Times New Roman"/>
          <w:szCs w:val="24"/>
        </w:rPr>
      </w:pPr>
      <w:r w:rsidRPr="00251B61">
        <w:rPr>
          <w:rFonts w:eastAsia="Calibri" w:cs="Times New Roman"/>
          <w:szCs w:val="24"/>
        </w:rPr>
        <w:lastRenderedPageBreak/>
        <w:t xml:space="preserve">Saskaņā ar likumprojektu “Par valsts budžetu 2025. gadam un budžeta ietvaru 2025., 2026. un 2027. gadam” 2025. gadā lielākais valsts pamatbudžeta </w:t>
      </w:r>
      <w:proofErr w:type="spellStart"/>
      <w:r w:rsidRPr="00251B61">
        <w:rPr>
          <w:rFonts w:eastAsia="Calibri" w:cs="Times New Roman"/>
          <w:szCs w:val="24"/>
        </w:rPr>
        <w:t>nenodokļu</w:t>
      </w:r>
      <w:proofErr w:type="spellEnd"/>
      <w:r w:rsidRPr="00251B61">
        <w:rPr>
          <w:rFonts w:eastAsia="Calibri" w:cs="Times New Roman"/>
          <w:szCs w:val="24"/>
        </w:rPr>
        <w:t xml:space="preserve"> ieņēmumu samazinājums 175,6 milj. </w:t>
      </w:r>
      <w:proofErr w:type="spellStart"/>
      <w:r w:rsidRPr="00663F20">
        <w:rPr>
          <w:rFonts w:eastAsia="Calibri" w:cs="Times New Roman"/>
          <w:i/>
          <w:iCs/>
          <w:szCs w:val="24"/>
        </w:rPr>
        <w:t>euro</w:t>
      </w:r>
      <w:proofErr w:type="spellEnd"/>
      <w:r w:rsidRPr="00251B61">
        <w:rPr>
          <w:rFonts w:eastAsia="Calibri" w:cs="Times New Roman"/>
          <w:szCs w:val="24"/>
        </w:rPr>
        <w:t xml:space="preserve"> jeb 24,4% apmērā tiek plānots no ieņēmumiem no uzņēmējdarbības un īpašuma (galvenokārt ieņēmumu no dividendēm un procentu maksājumiem) un 21,1 milj. </w:t>
      </w:r>
      <w:proofErr w:type="spellStart"/>
      <w:r w:rsidRPr="00663F20">
        <w:rPr>
          <w:rFonts w:eastAsia="Calibri" w:cs="Times New Roman"/>
          <w:i/>
          <w:iCs/>
          <w:szCs w:val="24"/>
        </w:rPr>
        <w:t>euro</w:t>
      </w:r>
      <w:proofErr w:type="spellEnd"/>
      <w:r w:rsidRPr="00251B61">
        <w:rPr>
          <w:rFonts w:eastAsia="Calibri" w:cs="Times New Roman"/>
          <w:szCs w:val="24"/>
        </w:rPr>
        <w:t xml:space="preserve"> jeb 18,6% apmērā no pārējiem </w:t>
      </w:r>
      <w:proofErr w:type="spellStart"/>
      <w:r w:rsidRPr="00251B61">
        <w:rPr>
          <w:rFonts w:eastAsia="Calibri" w:cs="Times New Roman"/>
          <w:szCs w:val="24"/>
        </w:rPr>
        <w:t>nenodokļu</w:t>
      </w:r>
      <w:proofErr w:type="spellEnd"/>
      <w:r w:rsidRPr="00251B61">
        <w:rPr>
          <w:rFonts w:eastAsia="Calibri" w:cs="Times New Roman"/>
          <w:szCs w:val="24"/>
        </w:rPr>
        <w:t xml:space="preserve"> ieņēmumiem, ko pamatā veidoja prognozēto ieņēmumu samazinājums no konfiscēto noziedzīgi iegūto līdzekļu un papildsoda – mantas konfiskācijas – realizācijas, kā arī no budžeta iestāžu saņemto un iepriekšējos gados neizlietoto budžeta līdzekļu atmaksāšanas.</w:t>
      </w:r>
    </w:p>
    <w:p w14:paraId="53CB4850" w14:textId="77777777" w:rsidR="00663F20" w:rsidRPr="00251B61" w:rsidRDefault="00663F20" w:rsidP="00663F20">
      <w:pPr>
        <w:pStyle w:val="Zmjums"/>
        <w:keepLines/>
      </w:pPr>
      <w:r w:rsidRPr="00251B61">
        <w:drawing>
          <wp:inline distT="0" distB="0" distL="0" distR="0" wp14:anchorId="29F21765" wp14:editId="32B502B0">
            <wp:extent cx="5761355" cy="2901950"/>
            <wp:effectExtent l="0" t="0" r="0" b="0"/>
            <wp:docPr id="1833892970" name="Picture 2" descr="A close-up of a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892970" name="Picture 2" descr="A close-up of a pie char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1355" cy="2901950"/>
                    </a:xfrm>
                    <a:prstGeom prst="rect">
                      <a:avLst/>
                    </a:prstGeom>
                    <a:noFill/>
                  </pic:spPr>
                </pic:pic>
              </a:graphicData>
            </a:graphic>
          </wp:inline>
        </w:drawing>
      </w:r>
    </w:p>
    <w:p w14:paraId="38A20DAA" w14:textId="77777777" w:rsidR="00663F20" w:rsidRPr="00251B61" w:rsidRDefault="00663F20" w:rsidP="00663F20">
      <w:pPr>
        <w:pStyle w:val="Zmjumanosaukums"/>
      </w:pPr>
      <w:r w:rsidRPr="00251B61">
        <w:t xml:space="preserve">3.4. att. Valsts pamatbudžeta </w:t>
      </w:r>
      <w:proofErr w:type="spellStart"/>
      <w:r w:rsidRPr="00251B61">
        <w:t>nenodokļu</w:t>
      </w:r>
      <w:proofErr w:type="spellEnd"/>
      <w:r w:rsidRPr="00251B61">
        <w:t xml:space="preserve"> ieņēmumu sadalījums 2025. gadā, %</w:t>
      </w:r>
    </w:p>
    <w:p w14:paraId="3BF2FC1D" w14:textId="4836E8DD" w:rsidR="00663F20" w:rsidRPr="00251B61" w:rsidRDefault="00663F20" w:rsidP="00663F20">
      <w:pPr>
        <w:rPr>
          <w:rFonts w:eastAsia="Calibri" w:cs="Times New Roman"/>
          <w:szCs w:val="24"/>
        </w:rPr>
      </w:pPr>
      <w:r w:rsidRPr="00251B61">
        <w:rPr>
          <w:rFonts w:eastAsia="Calibri" w:cs="Times New Roman"/>
          <w:szCs w:val="24"/>
        </w:rPr>
        <w:t xml:space="preserve">2025. gadā tiek plānots, ka ieņēmumi no uzņēmējdarbības un īpašuma veidos 63,4 % no kopējiem valsts pamatbudžeta </w:t>
      </w:r>
      <w:proofErr w:type="spellStart"/>
      <w:r w:rsidRPr="00251B61">
        <w:rPr>
          <w:rFonts w:eastAsia="Calibri" w:cs="Times New Roman"/>
          <w:szCs w:val="24"/>
        </w:rPr>
        <w:t>nenodokļu</w:t>
      </w:r>
      <w:proofErr w:type="spellEnd"/>
      <w:r w:rsidRPr="00251B61">
        <w:rPr>
          <w:rFonts w:eastAsia="Calibri" w:cs="Times New Roman"/>
          <w:szCs w:val="24"/>
        </w:rPr>
        <w:t xml:space="preserve"> ieņēmumiem. Turklāt šos ieņēmumus lielākoties (35,6% apmērā) veidos ieņēmumi no dividendēm.</w:t>
      </w:r>
    </w:p>
    <w:p w14:paraId="73BEB7B4" w14:textId="77777777" w:rsidR="00663F20" w:rsidRPr="00251B61" w:rsidRDefault="00663F20" w:rsidP="00663F20">
      <w:pPr>
        <w:rPr>
          <w:rFonts w:eastAsia="Calibri" w:cs="Times New Roman"/>
          <w:szCs w:val="24"/>
        </w:rPr>
      </w:pPr>
      <w:r w:rsidRPr="00251B61">
        <w:rPr>
          <w:rFonts w:eastAsia="Calibri" w:cs="Times New Roman"/>
          <w:szCs w:val="24"/>
        </w:rPr>
        <w:t>Ieņēmumi no dividendēm 2025. gadā tiek plānoti 305,4 milj. </w:t>
      </w:r>
      <w:proofErr w:type="spellStart"/>
      <w:r w:rsidRPr="00663F20">
        <w:rPr>
          <w:rFonts w:eastAsia="Calibri" w:cs="Times New Roman"/>
          <w:i/>
          <w:iCs/>
          <w:szCs w:val="24"/>
        </w:rPr>
        <w:t>euro</w:t>
      </w:r>
      <w:proofErr w:type="spellEnd"/>
      <w:r w:rsidRPr="00251B61">
        <w:rPr>
          <w:rFonts w:eastAsia="Calibri" w:cs="Times New Roman"/>
          <w:szCs w:val="24"/>
        </w:rPr>
        <w:t>, 2026. gadā 208,1 milj. </w:t>
      </w:r>
      <w:proofErr w:type="spellStart"/>
      <w:r w:rsidRPr="00663F20">
        <w:rPr>
          <w:rFonts w:eastAsia="Calibri" w:cs="Times New Roman"/>
          <w:i/>
          <w:iCs/>
          <w:szCs w:val="24"/>
        </w:rPr>
        <w:t>euro</w:t>
      </w:r>
      <w:proofErr w:type="spellEnd"/>
      <w:r w:rsidRPr="00251B61">
        <w:rPr>
          <w:rFonts w:eastAsia="Calibri" w:cs="Times New Roman"/>
          <w:szCs w:val="24"/>
        </w:rPr>
        <w:t xml:space="preserve"> un 2027. gadā 212,0 milj. </w:t>
      </w:r>
      <w:proofErr w:type="spellStart"/>
      <w:r w:rsidRPr="00663F20">
        <w:rPr>
          <w:rFonts w:eastAsia="Calibri" w:cs="Times New Roman"/>
          <w:i/>
          <w:iCs/>
          <w:szCs w:val="24"/>
        </w:rPr>
        <w:t>euro</w:t>
      </w:r>
      <w:proofErr w:type="spellEnd"/>
      <w:r w:rsidRPr="00251B61">
        <w:rPr>
          <w:rFonts w:eastAsia="Calibri" w:cs="Times New Roman"/>
          <w:szCs w:val="24"/>
        </w:rPr>
        <w:t xml:space="preserve">. Prognoze veidota, pamatojoties uz lielāko valsts kapitālsabiedrību sniegtajām peļņas prognozēm vidējā termiņā, kā arī saskaņā ar MK noteikumiem Nr. 72 “Kārtība, kādā tiek prognozēti, noteikti un veikti maksājumi par valsts kapitāla izmantošanu”, kurā noteikts, ka minimālo dividendēs izmaksājamo peļņas daļu nosaka 64 % apmērā no attiecīgās kapitālsabiedrības peļņas (UIN aprēķinot un nomaksājot UIN regulējošos normatīvajos aktos noteiktajā kārtībā). Papildus tam dividenžu un </w:t>
      </w:r>
      <w:proofErr w:type="spellStart"/>
      <w:r w:rsidRPr="00251B61">
        <w:rPr>
          <w:rFonts w:eastAsia="Calibri" w:cs="Times New Roman"/>
          <w:szCs w:val="24"/>
        </w:rPr>
        <w:t>nenodokļu</w:t>
      </w:r>
      <w:proofErr w:type="spellEnd"/>
      <w:r w:rsidRPr="00251B61">
        <w:rPr>
          <w:rFonts w:eastAsia="Calibri" w:cs="Times New Roman"/>
          <w:szCs w:val="24"/>
        </w:rPr>
        <w:t xml:space="preserve"> ieņēmumus ietekmē arī 3.1. sadaļā minētie pasākumi.</w:t>
      </w:r>
    </w:p>
    <w:p w14:paraId="769A660E" w14:textId="77777777" w:rsidR="00663F20" w:rsidRPr="00251B61" w:rsidRDefault="00663F20" w:rsidP="00663F20">
      <w:pPr>
        <w:keepNext/>
        <w:keepLines/>
        <w:spacing w:before="240" w:after="0"/>
        <w:ind w:firstLine="0"/>
        <w:jc w:val="right"/>
        <w:rPr>
          <w:rFonts w:eastAsia="Calibri" w:cs="Times New Roman"/>
          <w:b/>
          <w:i/>
          <w:szCs w:val="24"/>
        </w:rPr>
      </w:pPr>
      <w:r w:rsidRPr="00251B61">
        <w:rPr>
          <w:rFonts w:eastAsia="Calibri" w:cs="Times New Roman"/>
          <w:b/>
          <w:i/>
          <w:szCs w:val="24"/>
        </w:rPr>
        <w:t xml:space="preserve">3.19. tabula. Valsts pamatbudžeta </w:t>
      </w:r>
      <w:proofErr w:type="spellStart"/>
      <w:r w:rsidRPr="00251B61">
        <w:rPr>
          <w:rFonts w:eastAsia="Calibri" w:cs="Times New Roman"/>
          <w:b/>
          <w:i/>
          <w:szCs w:val="24"/>
        </w:rPr>
        <w:t>nenodokļu</w:t>
      </w:r>
      <w:proofErr w:type="spellEnd"/>
      <w:r w:rsidRPr="00251B61">
        <w:rPr>
          <w:rFonts w:eastAsia="Calibri" w:cs="Times New Roman"/>
          <w:b/>
          <w:i/>
          <w:szCs w:val="24"/>
        </w:rPr>
        <w:t xml:space="preserve"> ieņēmumi</w:t>
      </w:r>
    </w:p>
    <w:tbl>
      <w:tblPr>
        <w:tblW w:w="5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207"/>
        <w:gridCol w:w="881"/>
        <w:gridCol w:w="849"/>
        <w:gridCol w:w="847"/>
        <w:gridCol w:w="708"/>
      </w:tblGrid>
      <w:tr w:rsidR="00663F20" w:rsidRPr="00251B61" w14:paraId="7BEC4744" w14:textId="77777777" w:rsidTr="008E1E6C">
        <w:trPr>
          <w:cantSplit/>
          <w:trHeight w:hRule="exact" w:val="227"/>
          <w:jc w:val="center"/>
        </w:trPr>
        <w:tc>
          <w:tcPr>
            <w:tcW w:w="3269" w:type="pct"/>
            <w:shd w:val="clear" w:color="auto" w:fill="8EAADB" w:themeFill="accent5" w:themeFillTint="99"/>
            <w:vAlign w:val="center"/>
          </w:tcPr>
          <w:p w14:paraId="1C4A160F" w14:textId="77777777" w:rsidR="00663F20" w:rsidRPr="00251B61" w:rsidRDefault="00663F20" w:rsidP="00723ACD">
            <w:pPr>
              <w:pStyle w:val="Tabulasgalvenesrinda"/>
            </w:pPr>
          </w:p>
        </w:tc>
        <w:tc>
          <w:tcPr>
            <w:tcW w:w="464" w:type="pct"/>
            <w:tcBorders>
              <w:bottom w:val="single" w:sz="4" w:space="0" w:color="auto"/>
            </w:tcBorders>
            <w:shd w:val="clear" w:color="auto" w:fill="8EAADB" w:themeFill="accent5" w:themeFillTint="99"/>
            <w:vAlign w:val="center"/>
          </w:tcPr>
          <w:p w14:paraId="613CF15F" w14:textId="77777777" w:rsidR="00663F20" w:rsidRPr="00251B61" w:rsidRDefault="00663F20" w:rsidP="00723ACD">
            <w:pPr>
              <w:pStyle w:val="Tabulasgalvenesrinda"/>
            </w:pPr>
            <w:r w:rsidRPr="00251B61">
              <w:t>2024</w:t>
            </w:r>
          </w:p>
        </w:tc>
        <w:tc>
          <w:tcPr>
            <w:tcW w:w="447" w:type="pct"/>
            <w:tcBorders>
              <w:bottom w:val="single" w:sz="4" w:space="0" w:color="auto"/>
            </w:tcBorders>
            <w:shd w:val="clear" w:color="auto" w:fill="8EAADB" w:themeFill="accent5" w:themeFillTint="99"/>
            <w:vAlign w:val="center"/>
          </w:tcPr>
          <w:p w14:paraId="7A04C4FE" w14:textId="77777777" w:rsidR="00663F20" w:rsidRPr="00251B61" w:rsidRDefault="00663F20" w:rsidP="00723ACD">
            <w:pPr>
              <w:pStyle w:val="Tabulasgalvenesrinda"/>
            </w:pPr>
            <w:r w:rsidRPr="00251B61">
              <w:t>2025</w:t>
            </w:r>
          </w:p>
        </w:tc>
        <w:tc>
          <w:tcPr>
            <w:tcW w:w="446" w:type="pct"/>
            <w:tcBorders>
              <w:bottom w:val="single" w:sz="4" w:space="0" w:color="auto"/>
            </w:tcBorders>
            <w:shd w:val="clear" w:color="auto" w:fill="8EAADB" w:themeFill="accent5" w:themeFillTint="99"/>
            <w:vAlign w:val="center"/>
          </w:tcPr>
          <w:p w14:paraId="24062B4D" w14:textId="77777777" w:rsidR="00663F20" w:rsidRPr="00251B61" w:rsidRDefault="00663F20" w:rsidP="00723ACD">
            <w:pPr>
              <w:pStyle w:val="Tabulasgalvenesrinda"/>
            </w:pPr>
            <w:r w:rsidRPr="00251B61">
              <w:t>2026</w:t>
            </w:r>
          </w:p>
        </w:tc>
        <w:tc>
          <w:tcPr>
            <w:tcW w:w="373" w:type="pct"/>
            <w:tcBorders>
              <w:bottom w:val="single" w:sz="4" w:space="0" w:color="auto"/>
            </w:tcBorders>
            <w:shd w:val="clear" w:color="auto" w:fill="8EAADB" w:themeFill="accent5" w:themeFillTint="99"/>
            <w:vAlign w:val="center"/>
          </w:tcPr>
          <w:p w14:paraId="1BB7F986" w14:textId="77777777" w:rsidR="00663F20" w:rsidRPr="00251B61" w:rsidRDefault="00663F20" w:rsidP="00723ACD">
            <w:pPr>
              <w:pStyle w:val="Tabulasgalvenesrinda"/>
            </w:pPr>
            <w:r w:rsidRPr="00251B61">
              <w:t>2027</w:t>
            </w:r>
          </w:p>
        </w:tc>
      </w:tr>
      <w:tr w:rsidR="00663F20" w:rsidRPr="00251B61" w14:paraId="4BEFAD5F" w14:textId="77777777" w:rsidTr="00723ACD">
        <w:trPr>
          <w:cantSplit/>
          <w:trHeight w:hRule="exact" w:val="454"/>
          <w:jc w:val="center"/>
        </w:trPr>
        <w:tc>
          <w:tcPr>
            <w:tcW w:w="3269" w:type="pct"/>
            <w:vAlign w:val="center"/>
          </w:tcPr>
          <w:p w14:paraId="327707BF"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Saskaņā ar likumprojektu “Par valsts budžetu 2025. gadam un budžeta ietvaru 2025., 2026. un 2027. gadam”, milj. </w:t>
            </w:r>
            <w:r w:rsidRPr="00264454">
              <w:rPr>
                <w:rFonts w:cs="Times New Roman"/>
                <w:i/>
                <w:iCs/>
                <w:noProof/>
                <w:sz w:val="18"/>
                <w:szCs w:val="18"/>
              </w:rPr>
              <w:t>euro</w:t>
            </w:r>
          </w:p>
        </w:tc>
        <w:tc>
          <w:tcPr>
            <w:tcW w:w="464" w:type="pct"/>
            <w:tcBorders>
              <w:top w:val="single" w:sz="4" w:space="0" w:color="auto"/>
              <w:left w:val="nil"/>
              <w:bottom w:val="single" w:sz="4" w:space="0" w:color="auto"/>
              <w:right w:val="single" w:sz="4" w:space="0" w:color="auto"/>
            </w:tcBorders>
            <w:shd w:val="clear" w:color="auto" w:fill="auto"/>
            <w:vAlign w:val="center"/>
          </w:tcPr>
          <w:p w14:paraId="1B70F099"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1 025,9</w:t>
            </w:r>
            <w:r w:rsidRPr="00251B61">
              <w:rPr>
                <w:rFonts w:cs="Times New Roman"/>
                <w:noProof/>
                <w:sz w:val="18"/>
                <w:szCs w:val="18"/>
                <w:vertAlign w:val="superscript"/>
              </w:rPr>
              <w:t>1</w:t>
            </w:r>
          </w:p>
        </w:tc>
        <w:tc>
          <w:tcPr>
            <w:tcW w:w="447" w:type="pct"/>
            <w:tcBorders>
              <w:top w:val="single" w:sz="4" w:space="0" w:color="auto"/>
              <w:left w:val="nil"/>
              <w:bottom w:val="single" w:sz="4" w:space="0" w:color="auto"/>
              <w:right w:val="single" w:sz="4" w:space="0" w:color="auto"/>
            </w:tcBorders>
            <w:shd w:val="clear" w:color="auto" w:fill="auto"/>
            <w:vAlign w:val="center"/>
          </w:tcPr>
          <w:p w14:paraId="56CAD8A0" w14:textId="65C95F4E"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857,1</w:t>
            </w:r>
            <w:r w:rsidR="00264454" w:rsidRPr="008826A2">
              <w:rPr>
                <w:sz w:val="18"/>
                <w:szCs w:val="18"/>
                <w:vertAlign w:val="superscript"/>
              </w:rPr>
              <w:t>1</w:t>
            </w:r>
          </w:p>
        </w:tc>
        <w:tc>
          <w:tcPr>
            <w:tcW w:w="446" w:type="pct"/>
            <w:tcBorders>
              <w:top w:val="single" w:sz="4" w:space="0" w:color="auto"/>
              <w:left w:val="single" w:sz="4" w:space="0" w:color="auto"/>
              <w:bottom w:val="single" w:sz="4" w:space="0" w:color="auto"/>
              <w:right w:val="nil"/>
            </w:tcBorders>
            <w:shd w:val="clear" w:color="auto" w:fill="auto"/>
            <w:vAlign w:val="center"/>
          </w:tcPr>
          <w:p w14:paraId="3EE5510F" w14:textId="795A1AA9"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758,7</w:t>
            </w:r>
            <w:r w:rsidR="00264454" w:rsidRPr="008826A2">
              <w:rPr>
                <w:sz w:val="18"/>
                <w:szCs w:val="18"/>
                <w:vertAlign w:val="superscript"/>
              </w:rPr>
              <w:t>1</w:t>
            </w: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E638B9B" w14:textId="10BDB1BE"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752,5</w:t>
            </w:r>
            <w:r w:rsidR="00264454" w:rsidRPr="008826A2">
              <w:rPr>
                <w:sz w:val="18"/>
                <w:szCs w:val="18"/>
                <w:vertAlign w:val="superscript"/>
              </w:rPr>
              <w:t>1</w:t>
            </w:r>
          </w:p>
        </w:tc>
      </w:tr>
      <w:tr w:rsidR="00663F20" w:rsidRPr="00251B61" w14:paraId="074FFFAB" w14:textId="77777777" w:rsidTr="00723ACD">
        <w:trPr>
          <w:cantSplit/>
          <w:trHeight w:hRule="exact" w:val="227"/>
          <w:jc w:val="center"/>
        </w:trPr>
        <w:tc>
          <w:tcPr>
            <w:tcW w:w="3269" w:type="pct"/>
            <w:vAlign w:val="center"/>
          </w:tcPr>
          <w:p w14:paraId="44DAFD4A"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pret IKP, %</w:t>
            </w:r>
          </w:p>
        </w:tc>
        <w:tc>
          <w:tcPr>
            <w:tcW w:w="464" w:type="pct"/>
            <w:tcBorders>
              <w:top w:val="single" w:sz="4" w:space="0" w:color="auto"/>
              <w:left w:val="nil"/>
              <w:bottom w:val="single" w:sz="4" w:space="0" w:color="auto"/>
              <w:right w:val="single" w:sz="4" w:space="0" w:color="auto"/>
            </w:tcBorders>
            <w:shd w:val="clear" w:color="auto" w:fill="auto"/>
          </w:tcPr>
          <w:p w14:paraId="2033C951"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2,4</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DBEDC33"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1,9</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E127E13"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1,6</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467B67F5"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1,5</w:t>
            </w:r>
          </w:p>
        </w:tc>
      </w:tr>
      <w:tr w:rsidR="00663F20" w:rsidRPr="00251B61" w14:paraId="5B9C6837" w14:textId="77777777" w:rsidTr="00723ACD">
        <w:trPr>
          <w:cantSplit/>
          <w:trHeight w:hRule="exact" w:val="454"/>
          <w:jc w:val="center"/>
        </w:trPr>
        <w:tc>
          <w:tcPr>
            <w:tcW w:w="3269" w:type="pct"/>
            <w:vAlign w:val="center"/>
          </w:tcPr>
          <w:p w14:paraId="230FF88C"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Salīdzinājumā ar likumu “Par valsts budžetu 2024. gadam un budžeta ietvaru 2024., 2025. un 2026. gadam”, milj. </w:t>
            </w:r>
            <w:r w:rsidRPr="00264454">
              <w:rPr>
                <w:rFonts w:cs="Times New Roman"/>
                <w:i/>
                <w:iCs/>
                <w:noProof/>
                <w:sz w:val="18"/>
                <w:szCs w:val="18"/>
              </w:rPr>
              <w:t>euro</w:t>
            </w:r>
          </w:p>
        </w:tc>
        <w:tc>
          <w:tcPr>
            <w:tcW w:w="464" w:type="pct"/>
            <w:tcBorders>
              <w:top w:val="single" w:sz="4" w:space="0" w:color="auto"/>
              <w:left w:val="nil"/>
              <w:bottom w:val="single" w:sz="4" w:space="0" w:color="auto"/>
              <w:right w:val="single" w:sz="4" w:space="0" w:color="auto"/>
            </w:tcBorders>
            <w:shd w:val="clear" w:color="auto" w:fill="auto"/>
          </w:tcPr>
          <w:p w14:paraId="36BED9E4"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 xml:space="preserve">+159,0 </w:t>
            </w:r>
          </w:p>
        </w:tc>
        <w:tc>
          <w:tcPr>
            <w:tcW w:w="447" w:type="pct"/>
            <w:tcBorders>
              <w:top w:val="single" w:sz="4" w:space="0" w:color="auto"/>
              <w:left w:val="nil"/>
              <w:bottom w:val="single" w:sz="4" w:space="0" w:color="auto"/>
              <w:right w:val="single" w:sz="4" w:space="0" w:color="auto"/>
            </w:tcBorders>
            <w:shd w:val="clear" w:color="auto" w:fill="auto"/>
          </w:tcPr>
          <w:p w14:paraId="52B9E129"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+198,6</w:t>
            </w:r>
          </w:p>
        </w:tc>
        <w:tc>
          <w:tcPr>
            <w:tcW w:w="446" w:type="pct"/>
            <w:tcBorders>
              <w:top w:val="single" w:sz="4" w:space="0" w:color="auto"/>
              <w:left w:val="single" w:sz="4" w:space="0" w:color="auto"/>
              <w:bottom w:val="single" w:sz="4" w:space="0" w:color="auto"/>
              <w:right w:val="nil"/>
            </w:tcBorders>
            <w:shd w:val="clear" w:color="auto" w:fill="auto"/>
          </w:tcPr>
          <w:p w14:paraId="3FFFB9DC"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+126,0</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508A1034"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w:t>
            </w:r>
          </w:p>
        </w:tc>
      </w:tr>
      <w:tr w:rsidR="00663F20" w:rsidRPr="00251B61" w14:paraId="1B9004B7" w14:textId="77777777" w:rsidTr="00723ACD">
        <w:trPr>
          <w:cantSplit/>
          <w:trHeight w:hRule="exact" w:val="454"/>
          <w:jc w:val="center"/>
        </w:trPr>
        <w:tc>
          <w:tcPr>
            <w:tcW w:w="3269" w:type="pct"/>
            <w:vAlign w:val="center"/>
          </w:tcPr>
          <w:p w14:paraId="1A56F135"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Salīdzinājumā ar likumu “Par valsts budžetu 2024. gadam un budžeta ietvaru 2024., 2025. un 2026. gadam”, %</w:t>
            </w:r>
          </w:p>
        </w:tc>
        <w:tc>
          <w:tcPr>
            <w:tcW w:w="464" w:type="pct"/>
            <w:tcBorders>
              <w:top w:val="single" w:sz="4" w:space="0" w:color="auto"/>
              <w:left w:val="nil"/>
              <w:bottom w:val="single" w:sz="4" w:space="0" w:color="auto"/>
              <w:right w:val="single" w:sz="4" w:space="0" w:color="auto"/>
            </w:tcBorders>
            <w:shd w:val="clear" w:color="auto" w:fill="auto"/>
          </w:tcPr>
          <w:p w14:paraId="14702EF6"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+18,3</w:t>
            </w:r>
          </w:p>
        </w:tc>
        <w:tc>
          <w:tcPr>
            <w:tcW w:w="447" w:type="pct"/>
            <w:tcBorders>
              <w:top w:val="single" w:sz="4" w:space="0" w:color="auto"/>
              <w:left w:val="nil"/>
              <w:bottom w:val="single" w:sz="4" w:space="0" w:color="auto"/>
              <w:right w:val="single" w:sz="4" w:space="0" w:color="auto"/>
            </w:tcBorders>
            <w:shd w:val="clear" w:color="auto" w:fill="auto"/>
          </w:tcPr>
          <w:p w14:paraId="2EC64964"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+30,2</w:t>
            </w:r>
          </w:p>
        </w:tc>
        <w:tc>
          <w:tcPr>
            <w:tcW w:w="446" w:type="pct"/>
            <w:tcBorders>
              <w:top w:val="single" w:sz="4" w:space="0" w:color="auto"/>
              <w:left w:val="single" w:sz="4" w:space="0" w:color="auto"/>
              <w:bottom w:val="single" w:sz="4" w:space="0" w:color="auto"/>
              <w:right w:val="nil"/>
            </w:tcBorders>
            <w:shd w:val="clear" w:color="auto" w:fill="auto"/>
          </w:tcPr>
          <w:p w14:paraId="07FA59BF"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+19,9</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2A51B4C0" w14:textId="77777777" w:rsidR="00663F20" w:rsidRPr="00251B61" w:rsidRDefault="00663F20" w:rsidP="00723ACD">
            <w:pPr>
              <w:keepNext/>
              <w:keepLines/>
              <w:spacing w:after="0"/>
              <w:ind w:firstLine="0"/>
              <w:jc w:val="left"/>
              <w:rPr>
                <w:rFonts w:cs="Times New Roman"/>
                <w:noProof/>
                <w:sz w:val="18"/>
                <w:szCs w:val="18"/>
              </w:rPr>
            </w:pPr>
            <w:r w:rsidRPr="00251B61">
              <w:rPr>
                <w:rFonts w:cs="Times New Roman"/>
                <w:noProof/>
                <w:sz w:val="18"/>
                <w:szCs w:val="18"/>
              </w:rPr>
              <w:t>—</w:t>
            </w:r>
          </w:p>
        </w:tc>
      </w:tr>
    </w:tbl>
    <w:p w14:paraId="7F11A795" w14:textId="77777777" w:rsidR="00663F20" w:rsidRPr="00251B61" w:rsidRDefault="00663F20" w:rsidP="00663F20">
      <w:pPr>
        <w:pStyle w:val="Piezme"/>
      </w:pPr>
      <w:r w:rsidRPr="00251B61">
        <w:rPr>
          <w:vertAlign w:val="superscript"/>
        </w:rPr>
        <w:t>1</w:t>
      </w:r>
      <w:r w:rsidRPr="00251B61">
        <w:t> Prognoze</w:t>
      </w:r>
    </w:p>
    <w:p w14:paraId="63570DCA" w14:textId="77777777" w:rsidR="00663F20" w:rsidRPr="00251B61" w:rsidRDefault="00663F20" w:rsidP="00663F20">
      <w:pPr>
        <w:spacing w:after="0"/>
        <w:ind w:firstLine="0"/>
        <w:jc w:val="left"/>
        <w:rPr>
          <w:rFonts w:eastAsia="Times New Roman" w:cs="Times New Roman"/>
          <w:b/>
          <w:bCs/>
          <w:color w:val="000000" w:themeColor="text1"/>
          <w:sz w:val="36"/>
          <w:szCs w:val="28"/>
        </w:rPr>
      </w:pPr>
      <w:r w:rsidRPr="00251B61">
        <w:rPr>
          <w:rFonts w:eastAsia="Times New Roman" w:cs="Times New Roman"/>
        </w:rPr>
        <w:br w:type="page"/>
      </w:r>
    </w:p>
    <w:p w14:paraId="7B4FF012" w14:textId="421A556A" w:rsidR="006C567F" w:rsidRPr="00286865" w:rsidRDefault="006C567F" w:rsidP="008349F0">
      <w:pPr>
        <w:pStyle w:val="Heading2"/>
        <w:rPr>
          <w:rFonts w:eastAsia="Times New Roman"/>
        </w:rPr>
      </w:pPr>
      <w:bookmarkStart w:id="101" w:name="_Toc179356103"/>
      <w:r w:rsidRPr="00286865">
        <w:rPr>
          <w:rFonts w:eastAsia="Times New Roman"/>
        </w:rPr>
        <w:lastRenderedPageBreak/>
        <w:t>3.4. Pašu ieņēmumi un ārvalstu finanšu palīdzība</w:t>
      </w:r>
      <w:bookmarkEnd w:id="101"/>
    </w:p>
    <w:p w14:paraId="207CC773" w14:textId="77777777" w:rsidR="00286865" w:rsidRPr="00C74630" w:rsidRDefault="00286865" w:rsidP="008349F0">
      <w:pPr>
        <w:rPr>
          <w:rFonts w:eastAsia="Times New Roman" w:cs="Times New Roman"/>
          <w:sz w:val="22"/>
          <w:szCs w:val="20"/>
          <w:lang w:eastAsia="en-US"/>
        </w:rPr>
      </w:pPr>
      <w:r w:rsidRPr="00C74630">
        <w:rPr>
          <w:rFonts w:eastAsia="Times New Roman" w:cs="Times New Roman"/>
          <w:szCs w:val="20"/>
          <w:lang w:eastAsia="en-US"/>
        </w:rPr>
        <w:t>Ieņēmumi no maksas pakalpojumiem un citiem pašu ieņēmumiem valsts pamat</w:t>
      </w:r>
      <w:r w:rsidRPr="00C74630">
        <w:rPr>
          <w:rFonts w:eastAsia="Times New Roman" w:cs="Times New Roman"/>
          <w:szCs w:val="20"/>
          <w:lang w:eastAsia="en-US"/>
        </w:rPr>
        <w:softHyphen/>
        <w:t>budžetā 202</w:t>
      </w:r>
      <w:r>
        <w:rPr>
          <w:rFonts w:eastAsia="Times New Roman" w:cs="Times New Roman"/>
          <w:szCs w:val="20"/>
          <w:lang w:eastAsia="en-US"/>
        </w:rPr>
        <w:t>5</w:t>
      </w:r>
      <w:r w:rsidRPr="00C74630">
        <w:rPr>
          <w:rFonts w:eastAsia="Times New Roman" w:cs="Times New Roman"/>
          <w:szCs w:val="20"/>
          <w:lang w:eastAsia="en-US"/>
        </w:rPr>
        <w:t>. gadā tiek plānoti 1</w:t>
      </w:r>
      <w:r>
        <w:rPr>
          <w:rFonts w:eastAsia="Times New Roman" w:cs="Times New Roman"/>
          <w:szCs w:val="20"/>
          <w:lang w:eastAsia="en-US"/>
        </w:rPr>
        <w:t>41</w:t>
      </w:r>
      <w:r w:rsidRPr="00C74630">
        <w:rPr>
          <w:rFonts w:eastAsia="Times New Roman" w:cs="Times New Roman"/>
          <w:szCs w:val="20"/>
          <w:lang w:eastAsia="en-US"/>
        </w:rPr>
        <w:t>,</w:t>
      </w:r>
      <w:r>
        <w:rPr>
          <w:rFonts w:eastAsia="Times New Roman" w:cs="Times New Roman"/>
          <w:szCs w:val="20"/>
          <w:lang w:eastAsia="en-US"/>
        </w:rPr>
        <w:t>7</w:t>
      </w:r>
      <w:r w:rsidRPr="00C74630">
        <w:rPr>
          <w:rFonts w:eastAsia="Times New Roman" w:cs="Times New Roman"/>
          <w:szCs w:val="20"/>
          <w:lang w:eastAsia="en-US"/>
        </w:rPr>
        <w:t xml:space="preserve"> milj. </w:t>
      </w:r>
      <w:proofErr w:type="spellStart"/>
      <w:r w:rsidRPr="00C74630">
        <w:rPr>
          <w:rFonts w:eastAsia="Times New Roman" w:cs="Times New Roman"/>
          <w:i/>
          <w:iCs/>
          <w:szCs w:val="20"/>
          <w:lang w:eastAsia="en-US"/>
        </w:rPr>
        <w:t>euro</w:t>
      </w:r>
      <w:proofErr w:type="spellEnd"/>
      <w:r w:rsidRPr="00C74630">
        <w:rPr>
          <w:rFonts w:eastAsia="Times New Roman" w:cs="Times New Roman"/>
          <w:szCs w:val="20"/>
          <w:lang w:eastAsia="en-US"/>
        </w:rPr>
        <w:t xml:space="preserve"> apmērā, kas ir par </w:t>
      </w:r>
      <w:r>
        <w:rPr>
          <w:rFonts w:eastAsia="Times New Roman" w:cs="Times New Roman"/>
          <w:szCs w:val="20"/>
          <w:lang w:eastAsia="en-US"/>
        </w:rPr>
        <w:t>16</w:t>
      </w:r>
      <w:r w:rsidRPr="00C74630">
        <w:rPr>
          <w:rFonts w:eastAsia="Times New Roman" w:cs="Times New Roman"/>
          <w:szCs w:val="20"/>
          <w:lang w:eastAsia="en-US"/>
        </w:rPr>
        <w:t>,</w:t>
      </w:r>
      <w:r>
        <w:rPr>
          <w:rFonts w:eastAsia="Times New Roman" w:cs="Times New Roman"/>
          <w:szCs w:val="20"/>
          <w:lang w:eastAsia="en-US"/>
        </w:rPr>
        <w:t>0</w:t>
      </w:r>
      <w:r w:rsidRPr="00C74630">
        <w:rPr>
          <w:rFonts w:eastAsia="Times New Roman" w:cs="Times New Roman"/>
          <w:szCs w:val="20"/>
          <w:lang w:eastAsia="en-US"/>
        </w:rPr>
        <w:t xml:space="preserve"> milj. </w:t>
      </w:r>
      <w:proofErr w:type="spellStart"/>
      <w:r w:rsidRPr="00C74630">
        <w:rPr>
          <w:rFonts w:eastAsia="Times New Roman" w:cs="Times New Roman"/>
          <w:i/>
          <w:iCs/>
          <w:szCs w:val="20"/>
          <w:lang w:eastAsia="en-US"/>
        </w:rPr>
        <w:t>euro</w:t>
      </w:r>
      <w:proofErr w:type="spellEnd"/>
      <w:r w:rsidRPr="00C74630">
        <w:rPr>
          <w:rFonts w:eastAsia="Times New Roman" w:cs="Times New Roman"/>
          <w:szCs w:val="20"/>
          <w:lang w:eastAsia="en-US"/>
        </w:rPr>
        <w:t xml:space="preserve"> jeb </w:t>
      </w:r>
      <w:r>
        <w:rPr>
          <w:rFonts w:eastAsia="Times New Roman" w:cs="Times New Roman"/>
          <w:szCs w:val="20"/>
          <w:lang w:eastAsia="en-US"/>
        </w:rPr>
        <w:t>12</w:t>
      </w:r>
      <w:r w:rsidRPr="00C74630">
        <w:rPr>
          <w:rFonts w:eastAsia="Times New Roman" w:cs="Times New Roman"/>
          <w:szCs w:val="20"/>
          <w:lang w:eastAsia="en-US"/>
        </w:rPr>
        <w:t>,</w:t>
      </w:r>
      <w:r>
        <w:rPr>
          <w:rFonts w:eastAsia="Times New Roman" w:cs="Times New Roman"/>
          <w:szCs w:val="20"/>
          <w:lang w:eastAsia="en-US"/>
        </w:rPr>
        <w:t>7</w:t>
      </w:r>
      <w:r w:rsidRPr="00C74630">
        <w:rPr>
          <w:rFonts w:eastAsia="Times New Roman" w:cs="Times New Roman"/>
          <w:szCs w:val="20"/>
          <w:lang w:eastAsia="en-US"/>
        </w:rPr>
        <w:t>% vairāk nekā plānots 202</w:t>
      </w:r>
      <w:r>
        <w:rPr>
          <w:rFonts w:eastAsia="Times New Roman" w:cs="Times New Roman"/>
          <w:szCs w:val="20"/>
          <w:lang w:eastAsia="en-US"/>
        </w:rPr>
        <w:t>4</w:t>
      </w:r>
      <w:r w:rsidRPr="00C74630">
        <w:rPr>
          <w:rFonts w:eastAsia="Times New Roman" w:cs="Times New Roman"/>
          <w:szCs w:val="20"/>
          <w:lang w:eastAsia="en-US"/>
        </w:rPr>
        <w:t>. gadā. 202</w:t>
      </w:r>
      <w:r>
        <w:rPr>
          <w:rFonts w:eastAsia="Times New Roman" w:cs="Times New Roman"/>
          <w:szCs w:val="20"/>
          <w:lang w:eastAsia="en-US"/>
        </w:rPr>
        <w:t>3</w:t>
      </w:r>
      <w:r w:rsidRPr="00C74630">
        <w:rPr>
          <w:rFonts w:eastAsia="Times New Roman" w:cs="Times New Roman"/>
          <w:szCs w:val="20"/>
          <w:lang w:eastAsia="en-US"/>
        </w:rPr>
        <w:t>. gadā valsts pamatbudžetā ieņēmumi no maksas pakal</w:t>
      </w:r>
      <w:r w:rsidRPr="00C74630">
        <w:rPr>
          <w:rFonts w:eastAsia="Times New Roman" w:cs="Times New Roman"/>
          <w:szCs w:val="20"/>
          <w:lang w:eastAsia="en-US"/>
        </w:rPr>
        <w:softHyphen/>
        <w:t>pojumiem un citiem pašu ieņēmumiem bija plānoti 1</w:t>
      </w:r>
      <w:r>
        <w:rPr>
          <w:rFonts w:eastAsia="Times New Roman" w:cs="Times New Roman"/>
          <w:szCs w:val="20"/>
          <w:lang w:eastAsia="en-US"/>
        </w:rPr>
        <w:t>22</w:t>
      </w:r>
      <w:r w:rsidRPr="00C74630">
        <w:rPr>
          <w:rFonts w:eastAsia="Times New Roman" w:cs="Times New Roman"/>
          <w:szCs w:val="20"/>
          <w:lang w:eastAsia="en-US"/>
        </w:rPr>
        <w:t>,</w:t>
      </w:r>
      <w:r>
        <w:rPr>
          <w:rFonts w:eastAsia="Times New Roman" w:cs="Times New Roman"/>
          <w:szCs w:val="20"/>
          <w:lang w:eastAsia="en-US"/>
        </w:rPr>
        <w:t>1</w:t>
      </w:r>
      <w:r w:rsidRPr="00C74630">
        <w:rPr>
          <w:rFonts w:eastAsia="Times New Roman" w:cs="Times New Roman"/>
          <w:szCs w:val="20"/>
          <w:lang w:eastAsia="en-US"/>
        </w:rPr>
        <w:t xml:space="preserve"> milj. </w:t>
      </w:r>
      <w:proofErr w:type="spellStart"/>
      <w:r w:rsidRPr="00C74630">
        <w:rPr>
          <w:rFonts w:eastAsia="Times New Roman" w:cs="Times New Roman"/>
          <w:i/>
          <w:iCs/>
          <w:szCs w:val="20"/>
          <w:lang w:eastAsia="en-US"/>
        </w:rPr>
        <w:t>euro</w:t>
      </w:r>
      <w:proofErr w:type="spellEnd"/>
      <w:r w:rsidRPr="00C74630">
        <w:rPr>
          <w:rFonts w:eastAsia="Times New Roman" w:cs="Times New Roman"/>
          <w:szCs w:val="20"/>
          <w:lang w:eastAsia="en-US"/>
        </w:rPr>
        <w:t xml:space="preserve"> apmērā. Valsts speciālajā budžetā ieņēmumi no maksas pakalpojumiem un citiem pašu ieņēmumiem 202</w:t>
      </w:r>
      <w:r>
        <w:rPr>
          <w:rFonts w:eastAsia="Times New Roman" w:cs="Times New Roman"/>
          <w:szCs w:val="20"/>
          <w:lang w:eastAsia="en-US"/>
        </w:rPr>
        <w:t>5</w:t>
      </w:r>
      <w:r w:rsidRPr="00C74630">
        <w:rPr>
          <w:rFonts w:eastAsia="Times New Roman" w:cs="Times New Roman"/>
          <w:szCs w:val="20"/>
          <w:lang w:eastAsia="en-US"/>
        </w:rPr>
        <w:t xml:space="preserve">. gadā plānoti </w:t>
      </w:r>
      <w:r>
        <w:rPr>
          <w:rFonts w:eastAsia="Times New Roman" w:cs="Times New Roman"/>
          <w:szCs w:val="20"/>
          <w:lang w:eastAsia="en-US"/>
        </w:rPr>
        <w:t xml:space="preserve">tādā pašā apmērā kā 2024. un 2023. gadā </w:t>
      </w:r>
      <w:r>
        <w:rPr>
          <w:rFonts w:eastAsia="Times New Roman" w:cs="Times New Roman"/>
          <w:szCs w:val="20"/>
          <w:lang w:eastAsia="en-US"/>
        </w:rPr>
        <w:softHyphen/>
      </w:r>
      <w:r>
        <w:rPr>
          <w:rFonts w:eastAsia="Times New Roman" w:cs="Times New Roman"/>
          <w:szCs w:val="20"/>
          <w:lang w:eastAsia="en-US"/>
        </w:rPr>
        <w:softHyphen/>
      </w:r>
      <w:r>
        <w:rPr>
          <w:rFonts w:eastAsia="Times New Roman" w:cs="Times New Roman"/>
          <w:szCs w:val="20"/>
          <w:lang w:eastAsia="en-US"/>
        </w:rPr>
        <w:softHyphen/>
      </w:r>
      <w:r>
        <w:rPr>
          <w:rFonts w:eastAsia="Times New Roman" w:cs="Times New Roman"/>
          <w:szCs w:val="20"/>
          <w:lang w:eastAsia="en-US"/>
        </w:rPr>
        <w:noBreakHyphen/>
        <w:t xml:space="preserve"> </w:t>
      </w:r>
      <w:r w:rsidRPr="00C74630">
        <w:rPr>
          <w:rFonts w:eastAsia="Times New Roman" w:cs="Times New Roman"/>
          <w:szCs w:val="20"/>
          <w:lang w:eastAsia="en-US"/>
        </w:rPr>
        <w:t xml:space="preserve">0,06 milj. </w:t>
      </w:r>
      <w:proofErr w:type="spellStart"/>
      <w:r w:rsidRPr="00C74630">
        <w:rPr>
          <w:rFonts w:eastAsia="Times New Roman" w:cs="Times New Roman"/>
          <w:i/>
          <w:iCs/>
          <w:szCs w:val="20"/>
          <w:lang w:eastAsia="en-US"/>
        </w:rPr>
        <w:t>euro</w:t>
      </w:r>
      <w:proofErr w:type="spellEnd"/>
      <w:r w:rsidRPr="00C74630">
        <w:rPr>
          <w:rFonts w:eastAsia="Times New Roman" w:cs="Times New Roman"/>
          <w:szCs w:val="20"/>
          <w:lang w:eastAsia="en-US"/>
        </w:rPr>
        <w:t>.</w:t>
      </w:r>
    </w:p>
    <w:p w14:paraId="6DFC384D" w14:textId="289835FB" w:rsidR="00286865" w:rsidRPr="00C74630" w:rsidRDefault="00286865" w:rsidP="008349F0">
      <w:pPr>
        <w:rPr>
          <w:rFonts w:eastAsia="Times New Roman" w:cs="Times New Roman"/>
          <w:szCs w:val="20"/>
          <w:lang w:eastAsia="en-US"/>
        </w:rPr>
      </w:pPr>
      <w:r w:rsidRPr="00C74630">
        <w:rPr>
          <w:rFonts w:eastAsia="Times New Roman" w:cs="Times New Roman"/>
          <w:szCs w:val="20"/>
          <w:lang w:eastAsia="en-US"/>
        </w:rPr>
        <w:t xml:space="preserve">Valsts pamatbudžetā ieņēmumi no </w:t>
      </w:r>
      <w:r w:rsidR="00F87D38">
        <w:rPr>
          <w:rFonts w:eastAsia="Times New Roman" w:cs="Times New Roman"/>
          <w:szCs w:val="20"/>
          <w:lang w:eastAsia="en-US"/>
        </w:rPr>
        <w:t>ĀFP</w:t>
      </w:r>
      <w:r w:rsidRPr="00C74630">
        <w:rPr>
          <w:rFonts w:eastAsia="Times New Roman" w:cs="Times New Roman"/>
          <w:szCs w:val="20"/>
          <w:lang w:eastAsia="en-US"/>
        </w:rPr>
        <w:t xml:space="preserve"> 202</w:t>
      </w:r>
      <w:r>
        <w:rPr>
          <w:rFonts w:eastAsia="Times New Roman" w:cs="Times New Roman"/>
          <w:szCs w:val="20"/>
          <w:lang w:eastAsia="en-US"/>
        </w:rPr>
        <w:t>5</w:t>
      </w:r>
      <w:r w:rsidRPr="00C74630">
        <w:rPr>
          <w:rFonts w:eastAsia="Times New Roman" w:cs="Times New Roman"/>
          <w:szCs w:val="20"/>
          <w:lang w:eastAsia="en-US"/>
        </w:rPr>
        <w:t>. gadā tiek plānoti 1 </w:t>
      </w:r>
      <w:r>
        <w:rPr>
          <w:rFonts w:eastAsia="Times New Roman" w:cs="Times New Roman"/>
          <w:szCs w:val="20"/>
          <w:lang w:eastAsia="en-US"/>
        </w:rPr>
        <w:t>742</w:t>
      </w:r>
      <w:r w:rsidRPr="00C74630">
        <w:rPr>
          <w:rFonts w:eastAsia="Times New Roman" w:cs="Times New Roman"/>
          <w:szCs w:val="20"/>
          <w:lang w:eastAsia="en-US"/>
        </w:rPr>
        <w:t>,</w:t>
      </w:r>
      <w:r>
        <w:rPr>
          <w:rFonts w:eastAsia="Times New Roman" w:cs="Times New Roman"/>
          <w:szCs w:val="20"/>
          <w:lang w:eastAsia="en-US"/>
        </w:rPr>
        <w:t>9</w:t>
      </w:r>
      <w:r w:rsidRPr="00C74630">
        <w:rPr>
          <w:rFonts w:eastAsia="Times New Roman" w:cs="Times New Roman"/>
          <w:szCs w:val="20"/>
          <w:lang w:eastAsia="en-US"/>
        </w:rPr>
        <w:t xml:space="preserve"> milj. </w:t>
      </w:r>
      <w:proofErr w:type="spellStart"/>
      <w:r w:rsidRPr="00C74630">
        <w:rPr>
          <w:rFonts w:eastAsia="Times New Roman" w:cs="Times New Roman"/>
          <w:i/>
          <w:iCs/>
          <w:szCs w:val="20"/>
          <w:lang w:eastAsia="en-US"/>
        </w:rPr>
        <w:t>euro</w:t>
      </w:r>
      <w:proofErr w:type="spellEnd"/>
      <w:r w:rsidRPr="00C74630">
        <w:rPr>
          <w:rFonts w:eastAsia="Times New Roman" w:cs="Times New Roman"/>
          <w:szCs w:val="20"/>
          <w:lang w:eastAsia="en-US"/>
        </w:rPr>
        <w:t xml:space="preserve"> apmērā, kas ir par </w:t>
      </w:r>
      <w:r>
        <w:rPr>
          <w:rFonts w:eastAsia="Times New Roman" w:cs="Times New Roman"/>
          <w:szCs w:val="20"/>
          <w:lang w:eastAsia="en-US"/>
        </w:rPr>
        <w:t>106,4</w:t>
      </w:r>
      <w:r w:rsidRPr="00C74630">
        <w:rPr>
          <w:rFonts w:eastAsia="Times New Roman" w:cs="Times New Roman"/>
          <w:szCs w:val="20"/>
          <w:lang w:eastAsia="en-US"/>
        </w:rPr>
        <w:t xml:space="preserve"> milj. </w:t>
      </w:r>
      <w:proofErr w:type="spellStart"/>
      <w:r w:rsidRPr="00C74630">
        <w:rPr>
          <w:rFonts w:eastAsia="Times New Roman" w:cs="Times New Roman"/>
          <w:i/>
          <w:iCs/>
          <w:szCs w:val="20"/>
          <w:lang w:eastAsia="en-US"/>
        </w:rPr>
        <w:t>euro</w:t>
      </w:r>
      <w:proofErr w:type="spellEnd"/>
      <w:r w:rsidRPr="00C74630">
        <w:rPr>
          <w:rFonts w:eastAsia="Times New Roman" w:cs="Times New Roman"/>
          <w:i/>
          <w:iCs/>
          <w:szCs w:val="20"/>
          <w:lang w:eastAsia="en-US"/>
        </w:rPr>
        <w:t xml:space="preserve"> </w:t>
      </w:r>
      <w:r w:rsidRPr="00C74630">
        <w:rPr>
          <w:rFonts w:eastAsia="Times New Roman" w:cs="Times New Roman"/>
          <w:szCs w:val="20"/>
          <w:lang w:eastAsia="en-US"/>
        </w:rPr>
        <w:t xml:space="preserve">jeb </w:t>
      </w:r>
      <w:r>
        <w:rPr>
          <w:rFonts w:eastAsia="Times New Roman" w:cs="Times New Roman"/>
          <w:szCs w:val="20"/>
          <w:lang w:eastAsia="en-US"/>
        </w:rPr>
        <w:t>5,8</w:t>
      </w:r>
      <w:r w:rsidRPr="00C74630">
        <w:rPr>
          <w:rFonts w:eastAsia="Times New Roman" w:cs="Times New Roman"/>
          <w:szCs w:val="20"/>
          <w:lang w:eastAsia="en-US"/>
        </w:rPr>
        <w:t xml:space="preserve">% </w:t>
      </w:r>
      <w:r>
        <w:rPr>
          <w:rFonts w:eastAsia="Times New Roman" w:cs="Times New Roman"/>
          <w:szCs w:val="20"/>
          <w:lang w:eastAsia="en-US"/>
        </w:rPr>
        <w:t>mazāk</w:t>
      </w:r>
      <w:r w:rsidRPr="00C74630">
        <w:rPr>
          <w:rFonts w:eastAsia="Times New Roman" w:cs="Times New Roman"/>
          <w:szCs w:val="20"/>
          <w:lang w:eastAsia="en-US"/>
        </w:rPr>
        <w:t xml:space="preserve"> nekā plānots 202</w:t>
      </w:r>
      <w:r>
        <w:rPr>
          <w:rFonts w:eastAsia="Times New Roman" w:cs="Times New Roman"/>
          <w:szCs w:val="20"/>
          <w:lang w:eastAsia="en-US"/>
        </w:rPr>
        <w:t>4</w:t>
      </w:r>
      <w:r w:rsidRPr="00C74630">
        <w:rPr>
          <w:rFonts w:eastAsia="Times New Roman" w:cs="Times New Roman"/>
          <w:szCs w:val="20"/>
          <w:lang w:eastAsia="en-US"/>
        </w:rPr>
        <w:t>. gadā. 202</w:t>
      </w:r>
      <w:r>
        <w:rPr>
          <w:rFonts w:eastAsia="Times New Roman" w:cs="Times New Roman"/>
          <w:szCs w:val="20"/>
          <w:lang w:eastAsia="en-US"/>
        </w:rPr>
        <w:t>3</w:t>
      </w:r>
      <w:r w:rsidRPr="00C74630">
        <w:rPr>
          <w:rFonts w:eastAsia="Times New Roman" w:cs="Times New Roman"/>
          <w:szCs w:val="20"/>
          <w:lang w:eastAsia="en-US"/>
        </w:rPr>
        <w:t xml:space="preserve">. gadā valsts pamatbudžetā ieņēmumi no </w:t>
      </w:r>
      <w:r w:rsidR="00F87D38">
        <w:rPr>
          <w:rFonts w:eastAsia="Times New Roman" w:cs="Times New Roman"/>
          <w:szCs w:val="20"/>
          <w:lang w:eastAsia="en-US"/>
        </w:rPr>
        <w:t>ĀFP</w:t>
      </w:r>
      <w:r w:rsidRPr="00C74630">
        <w:rPr>
          <w:rFonts w:eastAsia="Times New Roman" w:cs="Times New Roman"/>
          <w:szCs w:val="20"/>
          <w:lang w:eastAsia="en-US"/>
        </w:rPr>
        <w:t xml:space="preserve"> bija plānoti 1 </w:t>
      </w:r>
      <w:r>
        <w:rPr>
          <w:rFonts w:eastAsia="Times New Roman" w:cs="Times New Roman"/>
          <w:szCs w:val="20"/>
          <w:lang w:eastAsia="en-US"/>
        </w:rPr>
        <w:t>510</w:t>
      </w:r>
      <w:r w:rsidRPr="00C74630">
        <w:rPr>
          <w:rFonts w:eastAsia="Times New Roman" w:cs="Times New Roman"/>
          <w:szCs w:val="20"/>
          <w:lang w:eastAsia="en-US"/>
        </w:rPr>
        <w:t>,</w:t>
      </w:r>
      <w:r>
        <w:rPr>
          <w:rFonts w:eastAsia="Times New Roman" w:cs="Times New Roman"/>
          <w:szCs w:val="20"/>
          <w:lang w:eastAsia="en-US"/>
        </w:rPr>
        <w:t>4</w:t>
      </w:r>
      <w:r w:rsidRPr="00C74630">
        <w:rPr>
          <w:rFonts w:eastAsia="Times New Roman" w:cs="Times New Roman"/>
          <w:szCs w:val="20"/>
          <w:lang w:eastAsia="en-US"/>
        </w:rPr>
        <w:t xml:space="preserve"> milj. </w:t>
      </w:r>
      <w:proofErr w:type="spellStart"/>
      <w:r w:rsidRPr="00C74630">
        <w:rPr>
          <w:rFonts w:eastAsia="Times New Roman" w:cs="Times New Roman"/>
          <w:i/>
          <w:iCs/>
          <w:szCs w:val="20"/>
          <w:lang w:eastAsia="en-US"/>
        </w:rPr>
        <w:t>euro</w:t>
      </w:r>
      <w:proofErr w:type="spellEnd"/>
      <w:r w:rsidRPr="00C74630">
        <w:rPr>
          <w:rFonts w:eastAsia="Times New Roman" w:cs="Times New Roman"/>
          <w:szCs w:val="20"/>
          <w:lang w:eastAsia="en-US"/>
        </w:rPr>
        <w:t xml:space="preserve"> apmērā.</w:t>
      </w:r>
    </w:p>
    <w:p w14:paraId="3BFBC622" w14:textId="05EBF794" w:rsidR="00FB33CF" w:rsidRPr="00663F20" w:rsidRDefault="006C567F" w:rsidP="008349F0">
      <w:pPr>
        <w:pStyle w:val="Heading2"/>
        <w:rPr>
          <w:rFonts w:eastAsia="Times New Roman"/>
        </w:rPr>
      </w:pPr>
      <w:bookmarkStart w:id="102" w:name="_Toc179356104"/>
      <w:r w:rsidRPr="00663F20">
        <w:rPr>
          <w:rFonts w:eastAsia="Times New Roman"/>
        </w:rPr>
        <w:t>3.5. Nodokļu atvieglojumu (atlaižu) un nodokļu parādu summas</w:t>
      </w:r>
      <w:bookmarkEnd w:id="102"/>
    </w:p>
    <w:p w14:paraId="28D7F4CF" w14:textId="0B861546" w:rsidR="006C567F" w:rsidRPr="00663F20" w:rsidRDefault="006C567F" w:rsidP="008349F0">
      <w:pPr>
        <w:pStyle w:val="Heading3"/>
        <w:numPr>
          <w:ilvl w:val="0"/>
          <w:numId w:val="0"/>
        </w:numPr>
      </w:pPr>
      <w:bookmarkStart w:id="103" w:name="_Toc179356105"/>
      <w:r w:rsidRPr="00663F20">
        <w:t>3.5.1. Nodokļu atvieglojumi un atlaides</w:t>
      </w:r>
      <w:bookmarkEnd w:id="103"/>
    </w:p>
    <w:p w14:paraId="6DB2591A" w14:textId="77777777" w:rsidR="00663F20" w:rsidRPr="00663F20" w:rsidRDefault="00663F20" w:rsidP="00663F20">
      <w:pPr>
        <w:rPr>
          <w:rFonts w:eastAsia="Calibri" w:cs="Times New Roman"/>
          <w:szCs w:val="24"/>
        </w:rPr>
      </w:pPr>
      <w:r w:rsidRPr="00663F20">
        <w:rPr>
          <w:rFonts w:eastAsia="Calibri" w:cs="Times New Roman"/>
          <w:szCs w:val="24"/>
        </w:rPr>
        <w:t xml:space="preserve">Par nodokļu atvieglojumu var uzskatīt jebkuras novirzes no attiecīgās valsts likumos noteiktā vispārējā nodokļu režīma, kas kādam nodokļu maksātājam vai maksātāju grupai paredz nodokļa sloga samazinājumu vai izdevīgāku nodokļa nomaksas kārtību, vadoties pēc kritērija, ka nodokļu maksātājs vai to grupa atbilst nodokļu likumā noteiktai pazīmei (ienākumu apmērs, ģimenes stāvoklis, saimnieciskās darbības veids u.tml.). Nodokļu atvieglojumiem var būt dažādas formas: izņēmumi ar nodokli apliekamajā bāzē, ar nodokli neapliekamā bāzes daļa (piemēram, neapliekamais minimums), samazinātas likmes, atlikts nodokļa maksājums, samazinājums nodokļu saistībās. </w:t>
      </w:r>
    </w:p>
    <w:p w14:paraId="6E112238" w14:textId="77777777" w:rsidR="00663F20" w:rsidRPr="00663F20" w:rsidRDefault="00663F20" w:rsidP="00663F20">
      <w:pPr>
        <w:rPr>
          <w:rFonts w:eastAsia="Calibri" w:cs="Times New Roman"/>
          <w:szCs w:val="24"/>
        </w:rPr>
      </w:pPr>
      <w:r w:rsidRPr="00663F20">
        <w:rPr>
          <w:rFonts w:eastAsia="Calibri" w:cs="Times New Roman"/>
          <w:szCs w:val="24"/>
        </w:rPr>
        <w:t>Tā kā nodokļu atvieglojumi nav faktiskie budžeta izdevumi, bet gan valsts neiegūtie ieņēmumi, kas veidojas piemērojot nodokļu atvieglojumus un atbrīvojumus, tad to apmērs tiek noteikts attiecībā pret vispārējā kārtībā apliekamo bāzi un piemērojamām nodokļu likmēm. Nodokļu atvieglojumi ir svarīgs instruments nodokļu politikas, kā arī valsts ilgtspējīgas attīstības un vides politikas mērķu īsteno</w:t>
      </w:r>
      <w:r w:rsidRPr="00663F20">
        <w:rPr>
          <w:rFonts w:eastAsia="Calibri" w:cs="Times New Roman"/>
          <w:szCs w:val="24"/>
        </w:rPr>
        <w:softHyphen/>
        <w:t xml:space="preserve">šanai, sniedzot vērā ņemamu atbalstu iedzīvotājiem, īpaši sociāli mazāk aizsargātiem iedzīvotājiem (piemēram, zemu ienākumu saņēmējiem, pensionāriem un personām, kurām apgādībā ir bērni). </w:t>
      </w:r>
    </w:p>
    <w:p w14:paraId="225AAE37" w14:textId="77777777" w:rsidR="00663F20" w:rsidRPr="00663F20" w:rsidRDefault="00663F20" w:rsidP="00663F20">
      <w:pPr>
        <w:rPr>
          <w:rFonts w:eastAsia="Calibri" w:cs="Times New Roman"/>
          <w:szCs w:val="24"/>
        </w:rPr>
      </w:pPr>
      <w:r w:rsidRPr="00663F20">
        <w:rPr>
          <w:rFonts w:eastAsia="Calibri" w:cs="Times New Roman"/>
          <w:szCs w:val="24"/>
        </w:rPr>
        <w:t>Plašāka informācija par nodokļu atvieglojumiem pieejama FM mājaslapā pie nozares politikas “</w:t>
      </w:r>
      <w:r w:rsidRPr="00663F20">
        <w:rPr>
          <w:rFonts w:eastAsia="Calibri" w:cs="Times New Roman"/>
          <w:i/>
          <w:iCs/>
          <w:szCs w:val="24"/>
        </w:rPr>
        <w:t>Nodokļu un nodevu politika</w:t>
      </w:r>
      <w:r w:rsidRPr="00663F20">
        <w:rPr>
          <w:rFonts w:eastAsia="Calibri" w:cs="Times New Roman"/>
          <w:szCs w:val="24"/>
        </w:rPr>
        <w:t>” – sadaļā “</w:t>
      </w:r>
      <w:r w:rsidRPr="00663F20">
        <w:rPr>
          <w:rFonts w:eastAsia="Calibri" w:cs="Times New Roman"/>
          <w:i/>
          <w:iCs/>
          <w:szCs w:val="24"/>
        </w:rPr>
        <w:t>Nodokļu atvieglojumi</w:t>
      </w:r>
      <w:r w:rsidRPr="00663F20">
        <w:rPr>
          <w:rFonts w:eastAsia="Calibri" w:cs="Times New Roman"/>
          <w:szCs w:val="24"/>
        </w:rPr>
        <w:t>”, kā arī sadaļas “</w:t>
      </w:r>
      <w:r w:rsidRPr="00663F20">
        <w:rPr>
          <w:rFonts w:eastAsia="Calibri" w:cs="Times New Roman"/>
          <w:i/>
          <w:iCs/>
          <w:szCs w:val="24"/>
        </w:rPr>
        <w:t>Noderīga informācija</w:t>
      </w:r>
      <w:r w:rsidRPr="00663F20">
        <w:rPr>
          <w:rFonts w:eastAsia="Calibri" w:cs="Times New Roman"/>
          <w:szCs w:val="24"/>
        </w:rPr>
        <w:t xml:space="preserve">” </w:t>
      </w:r>
      <w:proofErr w:type="spellStart"/>
      <w:r w:rsidRPr="00663F20">
        <w:rPr>
          <w:rFonts w:eastAsia="Calibri" w:cs="Times New Roman"/>
          <w:szCs w:val="24"/>
        </w:rPr>
        <w:t>apakšsadaļā</w:t>
      </w:r>
      <w:proofErr w:type="spellEnd"/>
      <w:r w:rsidRPr="00663F20">
        <w:rPr>
          <w:rFonts w:eastAsia="Calibri" w:cs="Times New Roman"/>
          <w:szCs w:val="24"/>
        </w:rPr>
        <w:t xml:space="preserve"> “</w:t>
      </w:r>
      <w:r w:rsidRPr="00663F20">
        <w:rPr>
          <w:rFonts w:eastAsia="Calibri" w:cs="Times New Roman"/>
          <w:i/>
          <w:iCs/>
          <w:szCs w:val="24"/>
        </w:rPr>
        <w:t>Informatīvie ziņojumi un pētījumi</w:t>
      </w:r>
      <w:r w:rsidRPr="00663F20">
        <w:rPr>
          <w:rFonts w:eastAsia="Calibri" w:cs="Times New Roman"/>
          <w:szCs w:val="24"/>
        </w:rPr>
        <w:t>”, kur ir publicēta detalizētāka informācija par piemērotajiem nodokļu atvieglojumiem.</w:t>
      </w:r>
    </w:p>
    <w:p w14:paraId="0BDA2ECD" w14:textId="77777777" w:rsidR="00663F20" w:rsidRPr="00663F20" w:rsidRDefault="00663F20" w:rsidP="00663F20">
      <w:pPr>
        <w:spacing w:before="240"/>
        <w:jc w:val="center"/>
        <w:rPr>
          <w:rFonts w:cs="Times New Roman"/>
          <w:b/>
          <w:bCs/>
          <w:iCs/>
          <w:sz w:val="28"/>
          <w:szCs w:val="28"/>
        </w:rPr>
      </w:pPr>
      <w:r w:rsidRPr="00663F20">
        <w:rPr>
          <w:rFonts w:cs="Times New Roman"/>
          <w:b/>
          <w:bCs/>
          <w:iCs/>
          <w:sz w:val="28"/>
          <w:szCs w:val="28"/>
        </w:rPr>
        <w:t>Uzņēmumu ienākuma nodoklis (UIN)</w:t>
      </w:r>
    </w:p>
    <w:p w14:paraId="4C423880" w14:textId="62209B74" w:rsidR="00663F20" w:rsidRPr="00663F20" w:rsidRDefault="00663F20" w:rsidP="006D3E62">
      <w:pPr>
        <w:spacing w:before="120"/>
        <w:rPr>
          <w:rFonts w:cs="Times New Roman"/>
          <w:szCs w:val="24"/>
        </w:rPr>
      </w:pPr>
      <w:r w:rsidRPr="00663F20">
        <w:rPr>
          <w:rFonts w:cs="Times New Roman"/>
          <w:szCs w:val="24"/>
        </w:rPr>
        <w:t>Saskaņā ar UIN deklarāciju datiem, aprēķinātās UIN atlaides 2023. gadā bija 52,7 milj. </w:t>
      </w:r>
      <w:proofErr w:type="spellStart"/>
      <w:r w:rsidRPr="00663F20">
        <w:rPr>
          <w:rFonts w:cs="Times New Roman"/>
          <w:i/>
          <w:iCs/>
          <w:szCs w:val="24"/>
        </w:rPr>
        <w:t>euro</w:t>
      </w:r>
      <w:proofErr w:type="spellEnd"/>
      <w:r w:rsidRPr="00663F20">
        <w:rPr>
          <w:rFonts w:cs="Times New Roman"/>
          <w:szCs w:val="24"/>
        </w:rPr>
        <w:t>, kas ir par 7,7 milj. </w:t>
      </w:r>
      <w:proofErr w:type="spellStart"/>
      <w:r w:rsidRPr="00663F20">
        <w:rPr>
          <w:rFonts w:cs="Times New Roman"/>
          <w:i/>
          <w:iCs/>
          <w:szCs w:val="24"/>
        </w:rPr>
        <w:t>euro</w:t>
      </w:r>
      <w:proofErr w:type="spellEnd"/>
      <w:r w:rsidRPr="00663F20">
        <w:rPr>
          <w:rFonts w:cs="Times New Roman"/>
          <w:szCs w:val="24"/>
        </w:rPr>
        <w:t xml:space="preserve"> jeb 17,2% vairāk nekā tika aprēķināts 2022. gadā (skatīt 3.20. tabulu).</w:t>
      </w:r>
    </w:p>
    <w:p w14:paraId="237E7206" w14:textId="77777777" w:rsidR="00663F20" w:rsidRPr="00663F20" w:rsidRDefault="00663F20" w:rsidP="00663F20">
      <w:pPr>
        <w:keepNext/>
        <w:keepLines/>
        <w:spacing w:before="240" w:after="0"/>
        <w:ind w:firstLine="0"/>
        <w:jc w:val="right"/>
        <w:rPr>
          <w:rFonts w:eastAsia="Calibri" w:cs="Times New Roman"/>
          <w:b/>
          <w:i/>
          <w:szCs w:val="24"/>
        </w:rPr>
      </w:pPr>
      <w:r w:rsidRPr="00663F20">
        <w:rPr>
          <w:rFonts w:eastAsia="Calibri" w:cs="Times New Roman"/>
          <w:b/>
          <w:i/>
          <w:szCs w:val="24"/>
        </w:rPr>
        <w:lastRenderedPageBreak/>
        <w:t>3.20. tabula. Nodokļu maksātāju iesniegto UIN 2022. un 2023. taksācijas gada deklarāciju rindu apkopojums</w:t>
      </w:r>
    </w:p>
    <w:tbl>
      <w:tblPr>
        <w:tblW w:w="5262" w:type="pct"/>
        <w:jc w:val="center"/>
        <w:tblCellMar>
          <w:left w:w="30" w:type="dxa"/>
          <w:right w:w="30" w:type="dxa"/>
        </w:tblCellMar>
        <w:tblLook w:val="0000" w:firstRow="0" w:lastRow="0" w:firstColumn="0" w:lastColumn="0" w:noHBand="0" w:noVBand="0"/>
      </w:tblPr>
      <w:tblGrid>
        <w:gridCol w:w="5662"/>
        <w:gridCol w:w="1042"/>
        <w:gridCol w:w="896"/>
        <w:gridCol w:w="1317"/>
        <w:gridCol w:w="612"/>
      </w:tblGrid>
      <w:tr w:rsidR="00663F20" w:rsidRPr="00663F20" w14:paraId="29C54558" w14:textId="77777777" w:rsidTr="008E1E6C">
        <w:trPr>
          <w:trHeight w:val="292"/>
          <w:tblHeader/>
          <w:jc w:val="center"/>
        </w:trPr>
        <w:tc>
          <w:tcPr>
            <w:tcW w:w="2971" w:type="pct"/>
            <w:vMerge w:val="restart"/>
            <w:tcBorders>
              <w:top w:val="single" w:sz="6" w:space="0" w:color="auto"/>
              <w:left w:val="single" w:sz="6" w:space="0" w:color="auto"/>
              <w:right w:val="single" w:sz="6" w:space="0" w:color="auto"/>
            </w:tcBorders>
            <w:shd w:val="clear" w:color="auto" w:fill="8EAADB" w:themeFill="accent5" w:themeFillTint="99"/>
            <w:vAlign w:val="center"/>
          </w:tcPr>
          <w:p w14:paraId="44E91CC2" w14:textId="77777777" w:rsidR="00663F20" w:rsidRPr="00663F20" w:rsidRDefault="00663F20" w:rsidP="00663F20">
            <w:pPr>
              <w:keepNext/>
              <w:keepLines/>
              <w:spacing w:after="0"/>
              <w:ind w:firstLine="0"/>
              <w:jc w:val="center"/>
              <w:rPr>
                <w:rFonts w:eastAsia="Calibri" w:cs="Times New Roman"/>
                <w:b/>
                <w:bCs/>
                <w:sz w:val="20"/>
                <w:szCs w:val="24"/>
              </w:rPr>
            </w:pPr>
            <w:r w:rsidRPr="00663F20">
              <w:rPr>
                <w:rFonts w:eastAsia="Calibri" w:cs="Times New Roman"/>
                <w:b/>
                <w:bCs/>
                <w:sz w:val="20"/>
                <w:szCs w:val="24"/>
              </w:rPr>
              <w:t>Nodokļa atlaides/ atvieglojumi</w:t>
            </w:r>
          </w:p>
        </w:tc>
        <w:tc>
          <w:tcPr>
            <w:tcW w:w="1017" w:type="pct"/>
            <w:gridSpan w:val="2"/>
            <w:tcBorders>
              <w:top w:val="single" w:sz="6" w:space="0" w:color="auto"/>
              <w:left w:val="single" w:sz="6" w:space="0" w:color="auto"/>
              <w:bottom w:val="single" w:sz="6" w:space="0" w:color="auto"/>
              <w:right w:val="single" w:sz="6" w:space="0" w:color="auto"/>
            </w:tcBorders>
            <w:shd w:val="clear" w:color="auto" w:fill="8EAADB" w:themeFill="accent5" w:themeFillTint="99"/>
            <w:vAlign w:val="center"/>
          </w:tcPr>
          <w:p w14:paraId="3E010A61" w14:textId="77777777" w:rsidR="00663F20" w:rsidRPr="00663F20" w:rsidRDefault="00663F20" w:rsidP="00663F20">
            <w:pPr>
              <w:keepNext/>
              <w:keepLines/>
              <w:spacing w:after="0"/>
              <w:ind w:firstLine="0"/>
              <w:jc w:val="center"/>
              <w:rPr>
                <w:rFonts w:eastAsia="Calibri" w:cs="Times New Roman"/>
                <w:b/>
                <w:bCs/>
                <w:sz w:val="20"/>
                <w:szCs w:val="24"/>
              </w:rPr>
            </w:pPr>
            <w:r w:rsidRPr="00663F20">
              <w:rPr>
                <w:rFonts w:eastAsia="Calibri" w:cs="Times New Roman"/>
                <w:b/>
                <w:bCs/>
                <w:sz w:val="20"/>
                <w:szCs w:val="24"/>
              </w:rPr>
              <w:t>Deklarētā nodokļa atlaižu summa</w:t>
            </w:r>
            <w:r w:rsidRPr="00663F20">
              <w:rPr>
                <w:rFonts w:eastAsia="Calibri" w:cs="Times New Roman"/>
                <w:b/>
                <w:bCs/>
                <w:sz w:val="20"/>
                <w:szCs w:val="24"/>
                <w:vertAlign w:val="superscript"/>
              </w:rPr>
              <w:t>1</w:t>
            </w:r>
            <w:r w:rsidRPr="00663F20">
              <w:rPr>
                <w:rFonts w:eastAsia="Calibri" w:cs="Times New Roman"/>
                <w:b/>
                <w:bCs/>
                <w:sz w:val="20"/>
                <w:szCs w:val="24"/>
              </w:rPr>
              <w:t xml:space="preserve">, </w:t>
            </w:r>
          </w:p>
          <w:p w14:paraId="48F80527" w14:textId="77777777" w:rsidR="00663F20" w:rsidRPr="00663F20" w:rsidRDefault="00663F20" w:rsidP="00663F20">
            <w:pPr>
              <w:keepNext/>
              <w:keepLines/>
              <w:spacing w:after="0"/>
              <w:ind w:firstLine="0"/>
              <w:jc w:val="center"/>
              <w:rPr>
                <w:rFonts w:eastAsia="Calibri" w:cs="Times New Roman"/>
                <w:sz w:val="20"/>
                <w:szCs w:val="24"/>
              </w:rPr>
            </w:pPr>
            <w:r w:rsidRPr="00663F20">
              <w:rPr>
                <w:rFonts w:eastAsia="Calibri" w:cs="Times New Roman"/>
                <w:sz w:val="20"/>
                <w:szCs w:val="24"/>
              </w:rPr>
              <w:t>tūkst.</w:t>
            </w:r>
            <w:r w:rsidRPr="00663F20">
              <w:rPr>
                <w:rFonts w:eastAsia="Calibri" w:cs="Times New Roman"/>
                <w:i/>
                <w:iCs/>
                <w:sz w:val="20"/>
                <w:szCs w:val="24"/>
              </w:rPr>
              <w:t xml:space="preserve"> </w:t>
            </w:r>
            <w:proofErr w:type="spellStart"/>
            <w:r w:rsidRPr="00663F20">
              <w:rPr>
                <w:rFonts w:eastAsia="Calibri" w:cs="Times New Roman"/>
                <w:i/>
                <w:iCs/>
                <w:sz w:val="20"/>
                <w:szCs w:val="24"/>
              </w:rPr>
              <w:t>euro</w:t>
            </w:r>
            <w:proofErr w:type="spellEnd"/>
          </w:p>
        </w:tc>
        <w:tc>
          <w:tcPr>
            <w:tcW w:w="1012" w:type="pct"/>
            <w:gridSpan w:val="2"/>
            <w:tcBorders>
              <w:top w:val="single" w:sz="6" w:space="0" w:color="auto"/>
              <w:left w:val="single" w:sz="6" w:space="0" w:color="auto"/>
              <w:bottom w:val="single" w:sz="6" w:space="0" w:color="auto"/>
              <w:right w:val="single" w:sz="6" w:space="0" w:color="auto"/>
            </w:tcBorders>
            <w:shd w:val="clear" w:color="auto" w:fill="8EAADB" w:themeFill="accent5" w:themeFillTint="99"/>
            <w:vAlign w:val="center"/>
          </w:tcPr>
          <w:p w14:paraId="6DEA81CE" w14:textId="77777777" w:rsidR="00663F20" w:rsidRPr="00663F20" w:rsidRDefault="00663F20" w:rsidP="00663F20">
            <w:pPr>
              <w:keepNext/>
              <w:keepLines/>
              <w:spacing w:after="0"/>
              <w:ind w:firstLine="0"/>
              <w:jc w:val="center"/>
              <w:rPr>
                <w:rFonts w:eastAsia="Calibri" w:cs="Times New Roman"/>
                <w:b/>
                <w:bCs/>
                <w:sz w:val="20"/>
                <w:szCs w:val="24"/>
              </w:rPr>
            </w:pPr>
            <w:r w:rsidRPr="00663F20">
              <w:rPr>
                <w:rFonts w:eastAsia="Calibri" w:cs="Times New Roman"/>
                <w:b/>
                <w:bCs/>
                <w:sz w:val="20"/>
                <w:szCs w:val="24"/>
              </w:rPr>
              <w:t>Izmaiņas</w:t>
            </w:r>
          </w:p>
          <w:p w14:paraId="5882B777" w14:textId="77777777" w:rsidR="00663F20" w:rsidRPr="00663F20" w:rsidRDefault="00663F20" w:rsidP="00663F20">
            <w:pPr>
              <w:keepNext/>
              <w:keepLines/>
              <w:spacing w:after="0"/>
              <w:ind w:firstLine="0"/>
              <w:jc w:val="center"/>
              <w:rPr>
                <w:rFonts w:eastAsia="Calibri" w:cs="Times New Roman"/>
                <w:b/>
                <w:bCs/>
                <w:sz w:val="20"/>
                <w:szCs w:val="24"/>
              </w:rPr>
            </w:pPr>
            <w:r w:rsidRPr="00663F20">
              <w:rPr>
                <w:rFonts w:eastAsia="Calibri" w:cs="Times New Roman"/>
                <w:b/>
                <w:bCs/>
                <w:sz w:val="20"/>
                <w:szCs w:val="24"/>
              </w:rPr>
              <w:t>(2023.g. – 2022.g.)</w:t>
            </w:r>
          </w:p>
        </w:tc>
      </w:tr>
      <w:tr w:rsidR="006D3E62" w:rsidRPr="00663F20" w14:paraId="271DFC61" w14:textId="77777777" w:rsidTr="008E1E6C">
        <w:trPr>
          <w:trHeight w:val="292"/>
          <w:tblHeader/>
          <w:jc w:val="center"/>
        </w:trPr>
        <w:tc>
          <w:tcPr>
            <w:tcW w:w="2971" w:type="pct"/>
            <w:vMerge/>
            <w:tcBorders>
              <w:left w:val="single" w:sz="6" w:space="0" w:color="auto"/>
              <w:bottom w:val="single" w:sz="6" w:space="0" w:color="auto"/>
              <w:right w:val="single" w:sz="6" w:space="0" w:color="auto"/>
            </w:tcBorders>
            <w:shd w:val="clear" w:color="auto" w:fill="9CC2E5" w:themeFill="accent1" w:themeFillTint="99"/>
            <w:vAlign w:val="center"/>
          </w:tcPr>
          <w:p w14:paraId="10021724" w14:textId="77777777" w:rsidR="00663F20" w:rsidRPr="00663F20" w:rsidRDefault="00663F20" w:rsidP="00663F20">
            <w:pPr>
              <w:keepNext/>
              <w:keepLines/>
              <w:spacing w:after="0"/>
              <w:ind w:firstLine="0"/>
              <w:jc w:val="center"/>
              <w:rPr>
                <w:rFonts w:eastAsia="Calibri" w:cs="Times New Roman"/>
                <w:b/>
                <w:bCs/>
                <w:sz w:val="20"/>
                <w:szCs w:val="24"/>
              </w:rPr>
            </w:pPr>
          </w:p>
        </w:tc>
        <w:tc>
          <w:tcPr>
            <w:tcW w:w="547" w:type="pct"/>
            <w:tcBorders>
              <w:top w:val="single" w:sz="6" w:space="0" w:color="auto"/>
              <w:left w:val="single" w:sz="6" w:space="0" w:color="auto"/>
              <w:bottom w:val="single" w:sz="6" w:space="0" w:color="auto"/>
              <w:right w:val="single" w:sz="6" w:space="0" w:color="auto"/>
            </w:tcBorders>
            <w:shd w:val="clear" w:color="auto" w:fill="B4C6E7" w:themeFill="accent5" w:themeFillTint="66"/>
            <w:vAlign w:val="center"/>
          </w:tcPr>
          <w:p w14:paraId="3B3E6F35" w14:textId="77777777" w:rsidR="00663F20" w:rsidRPr="00663F20" w:rsidRDefault="00663F20" w:rsidP="00663F20">
            <w:pPr>
              <w:keepNext/>
              <w:keepLines/>
              <w:spacing w:after="0"/>
              <w:ind w:firstLine="0"/>
              <w:jc w:val="center"/>
              <w:rPr>
                <w:rFonts w:eastAsia="Calibri" w:cs="Times New Roman"/>
                <w:b/>
                <w:bCs/>
                <w:sz w:val="20"/>
                <w:szCs w:val="24"/>
              </w:rPr>
            </w:pPr>
            <w:r w:rsidRPr="00663F20">
              <w:rPr>
                <w:rFonts w:eastAsia="Calibri" w:cs="Times New Roman"/>
                <w:b/>
                <w:bCs/>
                <w:sz w:val="20"/>
                <w:szCs w:val="24"/>
              </w:rPr>
              <w:t>2022.g.</w:t>
            </w:r>
          </w:p>
        </w:tc>
        <w:tc>
          <w:tcPr>
            <w:tcW w:w="470" w:type="pct"/>
            <w:tcBorders>
              <w:top w:val="single" w:sz="6" w:space="0" w:color="auto"/>
              <w:left w:val="single" w:sz="6" w:space="0" w:color="auto"/>
              <w:bottom w:val="single" w:sz="6" w:space="0" w:color="auto"/>
              <w:right w:val="single" w:sz="6" w:space="0" w:color="auto"/>
            </w:tcBorders>
            <w:shd w:val="clear" w:color="auto" w:fill="B4C6E7" w:themeFill="accent5" w:themeFillTint="66"/>
            <w:vAlign w:val="center"/>
          </w:tcPr>
          <w:p w14:paraId="653D27C2" w14:textId="77777777" w:rsidR="00663F20" w:rsidRPr="00663F20" w:rsidRDefault="00663F20" w:rsidP="00663F20">
            <w:pPr>
              <w:keepNext/>
              <w:keepLines/>
              <w:spacing w:after="0"/>
              <w:ind w:firstLine="0"/>
              <w:jc w:val="center"/>
              <w:rPr>
                <w:rFonts w:eastAsia="Calibri" w:cs="Times New Roman"/>
                <w:b/>
                <w:bCs/>
                <w:sz w:val="20"/>
                <w:szCs w:val="24"/>
              </w:rPr>
            </w:pPr>
            <w:r w:rsidRPr="00663F20">
              <w:rPr>
                <w:rFonts w:eastAsia="Calibri" w:cs="Times New Roman"/>
                <w:b/>
                <w:bCs/>
                <w:sz w:val="20"/>
                <w:szCs w:val="24"/>
              </w:rPr>
              <w:t>2023.g.</w:t>
            </w:r>
          </w:p>
        </w:tc>
        <w:tc>
          <w:tcPr>
            <w:tcW w:w="691" w:type="pct"/>
            <w:tcBorders>
              <w:top w:val="single" w:sz="6" w:space="0" w:color="auto"/>
              <w:left w:val="single" w:sz="6" w:space="0" w:color="auto"/>
              <w:bottom w:val="single" w:sz="6" w:space="0" w:color="auto"/>
              <w:right w:val="single" w:sz="6" w:space="0" w:color="auto"/>
            </w:tcBorders>
            <w:shd w:val="clear" w:color="auto" w:fill="B4C6E7" w:themeFill="accent5" w:themeFillTint="66"/>
            <w:vAlign w:val="center"/>
          </w:tcPr>
          <w:p w14:paraId="762B1FB4" w14:textId="77777777" w:rsidR="00663F20" w:rsidRPr="00663F20" w:rsidRDefault="00663F20" w:rsidP="00663F20">
            <w:pPr>
              <w:keepNext/>
              <w:keepLines/>
              <w:spacing w:after="0"/>
              <w:ind w:firstLine="0"/>
              <w:jc w:val="center"/>
              <w:rPr>
                <w:rFonts w:eastAsia="Calibri" w:cs="Times New Roman"/>
                <w:b/>
                <w:bCs/>
                <w:sz w:val="20"/>
                <w:szCs w:val="24"/>
              </w:rPr>
            </w:pPr>
            <w:r w:rsidRPr="00663F20">
              <w:rPr>
                <w:rFonts w:eastAsia="Calibri" w:cs="Times New Roman"/>
                <w:b/>
                <w:bCs/>
                <w:sz w:val="20"/>
                <w:szCs w:val="24"/>
              </w:rPr>
              <w:t xml:space="preserve"> tūkst. </w:t>
            </w:r>
            <w:proofErr w:type="spellStart"/>
            <w:r w:rsidRPr="00663F20">
              <w:rPr>
                <w:rFonts w:eastAsia="Calibri" w:cs="Times New Roman"/>
                <w:b/>
                <w:bCs/>
                <w:i/>
                <w:iCs/>
                <w:sz w:val="20"/>
                <w:szCs w:val="24"/>
              </w:rPr>
              <w:t>euro</w:t>
            </w:r>
            <w:proofErr w:type="spellEnd"/>
          </w:p>
        </w:tc>
        <w:tc>
          <w:tcPr>
            <w:tcW w:w="321" w:type="pct"/>
            <w:tcBorders>
              <w:top w:val="single" w:sz="6" w:space="0" w:color="auto"/>
              <w:left w:val="single" w:sz="6" w:space="0" w:color="auto"/>
              <w:bottom w:val="single" w:sz="6" w:space="0" w:color="auto"/>
              <w:right w:val="single" w:sz="6" w:space="0" w:color="auto"/>
            </w:tcBorders>
            <w:shd w:val="clear" w:color="auto" w:fill="B4C6E7" w:themeFill="accent5" w:themeFillTint="66"/>
            <w:vAlign w:val="center"/>
          </w:tcPr>
          <w:p w14:paraId="6F6C419C" w14:textId="77777777" w:rsidR="00663F20" w:rsidRPr="00663F20" w:rsidRDefault="00663F20" w:rsidP="00663F20">
            <w:pPr>
              <w:keepNext/>
              <w:keepLines/>
              <w:spacing w:after="0"/>
              <w:ind w:firstLine="0"/>
              <w:jc w:val="center"/>
              <w:rPr>
                <w:rFonts w:eastAsia="Calibri" w:cs="Times New Roman"/>
                <w:b/>
                <w:bCs/>
                <w:sz w:val="20"/>
                <w:szCs w:val="24"/>
              </w:rPr>
            </w:pPr>
            <w:r w:rsidRPr="00663F20">
              <w:rPr>
                <w:rFonts w:eastAsia="Calibri" w:cs="Times New Roman"/>
                <w:b/>
                <w:bCs/>
                <w:sz w:val="20"/>
                <w:szCs w:val="24"/>
              </w:rPr>
              <w:t> %</w:t>
            </w:r>
          </w:p>
        </w:tc>
      </w:tr>
      <w:tr w:rsidR="00663F20" w:rsidRPr="00663F20" w14:paraId="6C2E12EF" w14:textId="77777777" w:rsidTr="006D3E62">
        <w:trPr>
          <w:trHeight w:val="221"/>
          <w:jc w:val="center"/>
        </w:trPr>
        <w:tc>
          <w:tcPr>
            <w:tcW w:w="2971" w:type="pct"/>
            <w:tcBorders>
              <w:top w:val="single" w:sz="6" w:space="0" w:color="auto"/>
              <w:left w:val="single" w:sz="6" w:space="0" w:color="auto"/>
              <w:bottom w:val="single" w:sz="6" w:space="0" w:color="auto"/>
              <w:right w:val="single" w:sz="6" w:space="0" w:color="auto"/>
            </w:tcBorders>
            <w:vAlign w:val="center"/>
          </w:tcPr>
          <w:p w14:paraId="4467CEB5"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Nodokļa atlaide par veiktajiem ziedojumiem (</w:t>
            </w:r>
            <w:r w:rsidRPr="00663F20">
              <w:rPr>
                <w:rFonts w:eastAsia="Calibri" w:cs="Times New Roman"/>
                <w:i/>
                <w:iCs/>
                <w:noProof/>
                <w:sz w:val="18"/>
                <w:szCs w:val="24"/>
              </w:rPr>
              <w:t>85% no ziedotās summas</w:t>
            </w:r>
            <w:r w:rsidRPr="00663F20">
              <w:rPr>
                <w:rFonts w:eastAsia="Calibri" w:cs="Times New Roman"/>
                <w:noProof/>
                <w:sz w:val="18"/>
                <w:szCs w:val="24"/>
              </w:rPr>
              <w:t>)</w:t>
            </w:r>
          </w:p>
        </w:tc>
        <w:tc>
          <w:tcPr>
            <w:tcW w:w="547" w:type="pct"/>
            <w:tcBorders>
              <w:top w:val="single" w:sz="6" w:space="0" w:color="auto"/>
              <w:left w:val="single" w:sz="6" w:space="0" w:color="auto"/>
              <w:bottom w:val="single" w:sz="6" w:space="0" w:color="auto"/>
              <w:right w:val="single" w:sz="6" w:space="0" w:color="auto"/>
            </w:tcBorders>
            <w:vAlign w:val="center"/>
          </w:tcPr>
          <w:p w14:paraId="5D71DBCE"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333333"/>
                <w:sz w:val="18"/>
                <w:szCs w:val="18"/>
              </w:rPr>
              <w:t>8 818,7</w:t>
            </w:r>
          </w:p>
        </w:tc>
        <w:tc>
          <w:tcPr>
            <w:tcW w:w="470" w:type="pct"/>
            <w:tcBorders>
              <w:top w:val="single" w:sz="6" w:space="0" w:color="auto"/>
              <w:left w:val="single" w:sz="6" w:space="0" w:color="auto"/>
              <w:bottom w:val="single" w:sz="6" w:space="0" w:color="auto"/>
              <w:right w:val="single" w:sz="6" w:space="0" w:color="auto"/>
            </w:tcBorders>
            <w:vAlign w:val="center"/>
          </w:tcPr>
          <w:p w14:paraId="740A56CF"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333333"/>
                <w:sz w:val="18"/>
                <w:szCs w:val="18"/>
              </w:rPr>
              <w:t>13 456,3</w:t>
            </w:r>
          </w:p>
        </w:tc>
        <w:tc>
          <w:tcPr>
            <w:tcW w:w="691" w:type="pct"/>
            <w:tcBorders>
              <w:top w:val="single" w:sz="6" w:space="0" w:color="auto"/>
              <w:left w:val="single" w:sz="6" w:space="0" w:color="auto"/>
              <w:bottom w:val="single" w:sz="6" w:space="0" w:color="auto"/>
              <w:right w:val="single" w:sz="6" w:space="0" w:color="auto"/>
            </w:tcBorders>
            <w:vAlign w:val="center"/>
          </w:tcPr>
          <w:p w14:paraId="4BB12F65" w14:textId="77777777" w:rsidR="00663F20" w:rsidRPr="00663F20" w:rsidRDefault="00663F20" w:rsidP="00663F20">
            <w:pPr>
              <w:spacing w:after="0"/>
              <w:ind w:firstLine="0"/>
              <w:jc w:val="right"/>
              <w:rPr>
                <w:rFonts w:eastAsia="Calibri" w:cs="Times New Roman"/>
                <w:noProof/>
                <w:sz w:val="18"/>
                <w:szCs w:val="18"/>
              </w:rPr>
            </w:pPr>
            <w:r w:rsidRPr="00663F20">
              <w:rPr>
                <w:rFonts w:eastAsia="Calibri" w:cs="Times New Roman"/>
                <w:noProof/>
                <w:sz w:val="18"/>
                <w:szCs w:val="18"/>
              </w:rPr>
              <w:t>+4 637,7</w:t>
            </w:r>
          </w:p>
        </w:tc>
        <w:tc>
          <w:tcPr>
            <w:tcW w:w="321" w:type="pct"/>
            <w:tcBorders>
              <w:top w:val="single" w:sz="6" w:space="0" w:color="auto"/>
              <w:left w:val="single" w:sz="6" w:space="0" w:color="auto"/>
              <w:bottom w:val="single" w:sz="6" w:space="0" w:color="auto"/>
              <w:right w:val="single" w:sz="6" w:space="0" w:color="auto"/>
            </w:tcBorders>
            <w:vAlign w:val="center"/>
          </w:tcPr>
          <w:p w14:paraId="67741A9E" w14:textId="77777777" w:rsidR="00663F20" w:rsidRPr="00663F20" w:rsidRDefault="00663F20" w:rsidP="00663F20">
            <w:pPr>
              <w:spacing w:after="0"/>
              <w:ind w:firstLine="0"/>
              <w:jc w:val="right"/>
              <w:rPr>
                <w:rFonts w:eastAsia="Calibri" w:cs="Times New Roman"/>
                <w:noProof/>
                <w:sz w:val="18"/>
                <w:szCs w:val="18"/>
              </w:rPr>
            </w:pPr>
            <w:r w:rsidRPr="00663F20">
              <w:rPr>
                <w:rFonts w:eastAsia="Calibri" w:cs="Times New Roman"/>
                <w:noProof/>
                <w:sz w:val="18"/>
                <w:szCs w:val="18"/>
              </w:rPr>
              <w:t>+52,6</w:t>
            </w:r>
          </w:p>
        </w:tc>
      </w:tr>
      <w:tr w:rsidR="00663F20" w:rsidRPr="00663F20" w14:paraId="1EF13B8D" w14:textId="77777777" w:rsidTr="006D3E62">
        <w:trPr>
          <w:trHeight w:val="366"/>
          <w:jc w:val="center"/>
        </w:trPr>
        <w:tc>
          <w:tcPr>
            <w:tcW w:w="2971" w:type="pct"/>
            <w:tcBorders>
              <w:top w:val="single" w:sz="6" w:space="0" w:color="auto"/>
              <w:left w:val="single" w:sz="6" w:space="0" w:color="auto"/>
              <w:bottom w:val="single" w:sz="6" w:space="0" w:color="auto"/>
              <w:right w:val="single" w:sz="6" w:space="0" w:color="auto"/>
            </w:tcBorders>
            <w:vAlign w:val="center"/>
          </w:tcPr>
          <w:p w14:paraId="3E995E79"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Atlaides summa, kuru aprēķina nodokļa maksātājs, kurš turpina piemērot UIN atlaidi saskaņā ar likuma "</w:t>
            </w:r>
            <w:r w:rsidRPr="00663F20">
              <w:rPr>
                <w:rFonts w:eastAsia="Calibri" w:cs="Times New Roman"/>
                <w:i/>
                <w:iCs/>
                <w:noProof/>
                <w:sz w:val="18"/>
                <w:szCs w:val="24"/>
              </w:rPr>
              <w:t>Par nodokļa piemērošanu brīvostās un speciālajās ekonomiskajās zonās</w:t>
            </w:r>
            <w:r w:rsidRPr="00663F20">
              <w:rPr>
                <w:rFonts w:eastAsia="Calibri" w:cs="Times New Roman"/>
                <w:noProof/>
                <w:sz w:val="18"/>
                <w:szCs w:val="24"/>
              </w:rPr>
              <w:t>"</w:t>
            </w:r>
          </w:p>
        </w:tc>
        <w:tc>
          <w:tcPr>
            <w:tcW w:w="547" w:type="pct"/>
            <w:tcBorders>
              <w:top w:val="single" w:sz="6" w:space="0" w:color="auto"/>
              <w:left w:val="single" w:sz="6" w:space="0" w:color="auto"/>
              <w:bottom w:val="single" w:sz="6" w:space="0" w:color="auto"/>
              <w:right w:val="single" w:sz="6" w:space="0" w:color="auto"/>
            </w:tcBorders>
            <w:vAlign w:val="center"/>
          </w:tcPr>
          <w:p w14:paraId="1CCA2758"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6 400,2</w:t>
            </w:r>
          </w:p>
        </w:tc>
        <w:tc>
          <w:tcPr>
            <w:tcW w:w="470" w:type="pct"/>
            <w:tcBorders>
              <w:top w:val="single" w:sz="6" w:space="0" w:color="auto"/>
              <w:left w:val="single" w:sz="6" w:space="0" w:color="auto"/>
              <w:bottom w:val="single" w:sz="6" w:space="0" w:color="auto"/>
              <w:right w:val="single" w:sz="6" w:space="0" w:color="auto"/>
            </w:tcBorders>
            <w:vAlign w:val="center"/>
          </w:tcPr>
          <w:p w14:paraId="12541737"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6 792,8</w:t>
            </w:r>
          </w:p>
        </w:tc>
        <w:tc>
          <w:tcPr>
            <w:tcW w:w="691" w:type="pct"/>
            <w:tcBorders>
              <w:top w:val="single" w:sz="6" w:space="0" w:color="auto"/>
              <w:left w:val="single" w:sz="6" w:space="0" w:color="auto"/>
              <w:bottom w:val="single" w:sz="6" w:space="0" w:color="auto"/>
              <w:right w:val="single" w:sz="6" w:space="0" w:color="auto"/>
            </w:tcBorders>
            <w:vAlign w:val="center"/>
          </w:tcPr>
          <w:p w14:paraId="3F0B4DF5"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sz w:val="18"/>
                <w:szCs w:val="18"/>
              </w:rPr>
              <w:t>+392,7</w:t>
            </w:r>
          </w:p>
        </w:tc>
        <w:tc>
          <w:tcPr>
            <w:tcW w:w="321" w:type="pct"/>
            <w:tcBorders>
              <w:top w:val="single" w:sz="6" w:space="0" w:color="auto"/>
              <w:left w:val="single" w:sz="6" w:space="0" w:color="auto"/>
              <w:bottom w:val="single" w:sz="6" w:space="0" w:color="auto"/>
              <w:right w:val="single" w:sz="6" w:space="0" w:color="auto"/>
            </w:tcBorders>
            <w:vAlign w:val="center"/>
          </w:tcPr>
          <w:p w14:paraId="2FBA7397"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sz w:val="18"/>
                <w:szCs w:val="18"/>
              </w:rPr>
              <w:t>+6,1</w:t>
            </w:r>
          </w:p>
        </w:tc>
      </w:tr>
      <w:tr w:rsidR="00663F20" w:rsidRPr="00663F20" w14:paraId="439785F7" w14:textId="77777777" w:rsidTr="006D3E62">
        <w:trPr>
          <w:trHeight w:val="366"/>
          <w:jc w:val="center"/>
        </w:trPr>
        <w:tc>
          <w:tcPr>
            <w:tcW w:w="2971" w:type="pct"/>
            <w:tcBorders>
              <w:top w:val="single" w:sz="6" w:space="0" w:color="auto"/>
              <w:left w:val="single" w:sz="6" w:space="0" w:color="auto"/>
              <w:bottom w:val="single" w:sz="6" w:space="0" w:color="auto"/>
              <w:right w:val="single" w:sz="6" w:space="0" w:color="auto"/>
            </w:tcBorders>
            <w:vAlign w:val="center"/>
          </w:tcPr>
          <w:p w14:paraId="278665F1"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Atlaisdes summa, kuru aprēķina nodokļa maksātājs, kurš turpina piemērot UIN atlaidi saskaņā ar likuma "</w:t>
            </w:r>
            <w:r w:rsidRPr="00663F20">
              <w:rPr>
                <w:rFonts w:eastAsia="Calibri" w:cs="Times New Roman"/>
                <w:i/>
                <w:iCs/>
                <w:noProof/>
                <w:sz w:val="18"/>
                <w:szCs w:val="24"/>
              </w:rPr>
              <w:t>Par uzņēmumu ienākuma nodokli</w:t>
            </w:r>
            <w:r w:rsidRPr="00663F20">
              <w:rPr>
                <w:rFonts w:eastAsia="Calibri" w:cs="Times New Roman"/>
                <w:noProof/>
                <w:sz w:val="18"/>
                <w:szCs w:val="24"/>
              </w:rPr>
              <w:t>" 17.</w:t>
            </w:r>
            <w:r w:rsidRPr="00663F20">
              <w:rPr>
                <w:rFonts w:eastAsia="Calibri" w:cs="Times New Roman"/>
                <w:noProof/>
                <w:sz w:val="18"/>
                <w:szCs w:val="24"/>
                <w:vertAlign w:val="superscript"/>
              </w:rPr>
              <w:t>2</w:t>
            </w:r>
            <w:r w:rsidRPr="00663F20">
              <w:rPr>
                <w:rFonts w:eastAsia="Calibri" w:cs="Times New Roman"/>
                <w:noProof/>
                <w:sz w:val="18"/>
                <w:szCs w:val="24"/>
              </w:rPr>
              <w:t xml:space="preserve"> pantu (</w:t>
            </w:r>
            <w:r w:rsidRPr="00663F20">
              <w:rPr>
                <w:rFonts w:eastAsia="Calibri" w:cs="Times New Roman"/>
                <w:i/>
                <w:iCs/>
                <w:noProof/>
                <w:sz w:val="18"/>
                <w:szCs w:val="24"/>
              </w:rPr>
              <w:t>kas spēkā līdz 31.12.2017.</w:t>
            </w:r>
            <w:r w:rsidRPr="00663F20">
              <w:rPr>
                <w:rFonts w:eastAsia="Calibri" w:cs="Times New Roman"/>
                <w:noProof/>
                <w:sz w:val="18"/>
                <w:szCs w:val="24"/>
              </w:rPr>
              <w:t>)</w:t>
            </w:r>
          </w:p>
        </w:tc>
        <w:tc>
          <w:tcPr>
            <w:tcW w:w="547" w:type="pct"/>
            <w:tcBorders>
              <w:top w:val="single" w:sz="6" w:space="0" w:color="auto"/>
              <w:left w:val="single" w:sz="6" w:space="0" w:color="auto"/>
              <w:bottom w:val="single" w:sz="6" w:space="0" w:color="auto"/>
              <w:right w:val="single" w:sz="6" w:space="0" w:color="auto"/>
            </w:tcBorders>
            <w:vAlign w:val="center"/>
          </w:tcPr>
          <w:p w14:paraId="6A01A098"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958,1</w:t>
            </w:r>
          </w:p>
        </w:tc>
        <w:tc>
          <w:tcPr>
            <w:tcW w:w="470" w:type="pct"/>
            <w:tcBorders>
              <w:top w:val="single" w:sz="6" w:space="0" w:color="auto"/>
              <w:left w:val="single" w:sz="6" w:space="0" w:color="auto"/>
              <w:bottom w:val="single" w:sz="6" w:space="0" w:color="auto"/>
              <w:right w:val="single" w:sz="6" w:space="0" w:color="auto"/>
            </w:tcBorders>
            <w:vAlign w:val="center"/>
          </w:tcPr>
          <w:p w14:paraId="5B7AE373"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4 970,7</w:t>
            </w:r>
          </w:p>
        </w:tc>
        <w:tc>
          <w:tcPr>
            <w:tcW w:w="691" w:type="pct"/>
            <w:tcBorders>
              <w:top w:val="single" w:sz="6" w:space="0" w:color="auto"/>
              <w:left w:val="single" w:sz="6" w:space="0" w:color="auto"/>
              <w:bottom w:val="single" w:sz="6" w:space="0" w:color="auto"/>
              <w:right w:val="single" w:sz="6" w:space="0" w:color="auto"/>
            </w:tcBorders>
            <w:vAlign w:val="center"/>
          </w:tcPr>
          <w:p w14:paraId="147492C3"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sz w:val="18"/>
                <w:szCs w:val="18"/>
              </w:rPr>
              <w:t>+4 012,6</w:t>
            </w:r>
          </w:p>
        </w:tc>
        <w:tc>
          <w:tcPr>
            <w:tcW w:w="321" w:type="pct"/>
            <w:tcBorders>
              <w:top w:val="single" w:sz="6" w:space="0" w:color="auto"/>
              <w:left w:val="single" w:sz="6" w:space="0" w:color="auto"/>
              <w:bottom w:val="single" w:sz="6" w:space="0" w:color="auto"/>
              <w:right w:val="single" w:sz="6" w:space="0" w:color="auto"/>
            </w:tcBorders>
            <w:vAlign w:val="center"/>
          </w:tcPr>
          <w:p w14:paraId="572F1077" w14:textId="77777777" w:rsidR="00663F20" w:rsidRPr="00663F20" w:rsidRDefault="00663F20" w:rsidP="00663F20">
            <w:pPr>
              <w:spacing w:after="0"/>
              <w:ind w:firstLine="0"/>
              <w:jc w:val="right"/>
              <w:rPr>
                <w:rFonts w:eastAsia="Calibri" w:cs="Times New Roman"/>
                <w:noProof/>
                <w:sz w:val="18"/>
                <w:szCs w:val="18"/>
              </w:rPr>
            </w:pPr>
            <w:r w:rsidRPr="00663F20">
              <w:rPr>
                <w:rFonts w:eastAsia="Calibri" w:cs="Times New Roman"/>
                <w:noProof/>
                <w:sz w:val="18"/>
                <w:szCs w:val="18"/>
              </w:rPr>
              <w:t>+418,8</w:t>
            </w:r>
          </w:p>
        </w:tc>
      </w:tr>
      <w:tr w:rsidR="00663F20" w:rsidRPr="00663F20" w14:paraId="74AC1F36" w14:textId="77777777" w:rsidTr="006D3E62">
        <w:trPr>
          <w:trHeight w:val="366"/>
          <w:jc w:val="center"/>
        </w:trPr>
        <w:tc>
          <w:tcPr>
            <w:tcW w:w="2971" w:type="pct"/>
            <w:tcBorders>
              <w:top w:val="single" w:sz="6" w:space="0" w:color="auto"/>
              <w:left w:val="single" w:sz="6" w:space="0" w:color="auto"/>
              <w:bottom w:val="single" w:sz="6" w:space="0" w:color="auto"/>
              <w:right w:val="single" w:sz="6" w:space="0" w:color="auto"/>
            </w:tcBorders>
            <w:vAlign w:val="center"/>
          </w:tcPr>
          <w:p w14:paraId="26FB1B51"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50 % no summas, kas saņemta subsīdiju veidā kā valsts atbalsts lauksaimniecībai vai ES atbalsts lauksaimniecībai un lauku attīstībai</w:t>
            </w:r>
          </w:p>
        </w:tc>
        <w:tc>
          <w:tcPr>
            <w:tcW w:w="547" w:type="pct"/>
            <w:tcBorders>
              <w:top w:val="single" w:sz="6" w:space="0" w:color="auto"/>
              <w:left w:val="single" w:sz="6" w:space="0" w:color="auto"/>
              <w:bottom w:val="single" w:sz="6" w:space="0" w:color="auto"/>
              <w:right w:val="single" w:sz="6" w:space="0" w:color="auto"/>
            </w:tcBorders>
            <w:vAlign w:val="center"/>
          </w:tcPr>
          <w:p w14:paraId="0A53A9F4"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23 138,2</w:t>
            </w:r>
          </w:p>
        </w:tc>
        <w:tc>
          <w:tcPr>
            <w:tcW w:w="470" w:type="pct"/>
            <w:tcBorders>
              <w:top w:val="single" w:sz="6" w:space="0" w:color="auto"/>
              <w:left w:val="single" w:sz="6" w:space="0" w:color="auto"/>
              <w:bottom w:val="single" w:sz="6" w:space="0" w:color="auto"/>
              <w:right w:val="single" w:sz="6" w:space="0" w:color="auto"/>
            </w:tcBorders>
            <w:vAlign w:val="center"/>
          </w:tcPr>
          <w:p w14:paraId="46AB999B"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22 879,6</w:t>
            </w:r>
          </w:p>
        </w:tc>
        <w:tc>
          <w:tcPr>
            <w:tcW w:w="691" w:type="pct"/>
            <w:tcBorders>
              <w:top w:val="single" w:sz="6" w:space="0" w:color="auto"/>
              <w:left w:val="single" w:sz="6" w:space="0" w:color="auto"/>
              <w:bottom w:val="single" w:sz="6" w:space="0" w:color="auto"/>
              <w:right w:val="single" w:sz="6" w:space="0" w:color="auto"/>
            </w:tcBorders>
            <w:vAlign w:val="center"/>
          </w:tcPr>
          <w:p w14:paraId="4030B057"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sz w:val="18"/>
                <w:szCs w:val="18"/>
              </w:rPr>
              <w:t>-258,6</w:t>
            </w:r>
          </w:p>
        </w:tc>
        <w:tc>
          <w:tcPr>
            <w:tcW w:w="321" w:type="pct"/>
            <w:tcBorders>
              <w:top w:val="single" w:sz="6" w:space="0" w:color="auto"/>
              <w:left w:val="single" w:sz="6" w:space="0" w:color="auto"/>
              <w:bottom w:val="single" w:sz="6" w:space="0" w:color="auto"/>
              <w:right w:val="single" w:sz="6" w:space="0" w:color="auto"/>
            </w:tcBorders>
            <w:vAlign w:val="center"/>
          </w:tcPr>
          <w:p w14:paraId="26E9DC10"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sz w:val="18"/>
                <w:szCs w:val="18"/>
              </w:rPr>
              <w:t>-1,1</w:t>
            </w:r>
          </w:p>
        </w:tc>
      </w:tr>
      <w:tr w:rsidR="00663F20" w:rsidRPr="00663F20" w14:paraId="666961EA" w14:textId="77777777" w:rsidTr="006D3E62">
        <w:trPr>
          <w:trHeight w:val="366"/>
          <w:jc w:val="center"/>
        </w:trPr>
        <w:tc>
          <w:tcPr>
            <w:tcW w:w="2971" w:type="pct"/>
            <w:tcBorders>
              <w:top w:val="single" w:sz="6" w:space="0" w:color="auto"/>
              <w:left w:val="single" w:sz="6" w:space="0" w:color="auto"/>
              <w:bottom w:val="single" w:sz="6" w:space="0" w:color="auto"/>
              <w:right w:val="single" w:sz="6" w:space="0" w:color="auto"/>
            </w:tcBorders>
            <w:vAlign w:val="center"/>
          </w:tcPr>
          <w:p w14:paraId="0A364CD0" w14:textId="77777777" w:rsidR="00663F20" w:rsidRPr="00663F20" w:rsidRDefault="00663F20" w:rsidP="00663F20">
            <w:pPr>
              <w:keepNext/>
              <w:keepLines/>
              <w:spacing w:after="0"/>
              <w:ind w:firstLine="0"/>
              <w:jc w:val="left"/>
              <w:rPr>
                <w:rFonts w:eastAsia="Calibri" w:cs="Times New Roman"/>
                <w:b/>
                <w:bCs/>
                <w:noProof/>
                <w:sz w:val="18"/>
                <w:szCs w:val="24"/>
              </w:rPr>
            </w:pPr>
            <w:r w:rsidRPr="00663F20">
              <w:rPr>
                <w:rFonts w:eastAsia="Calibri" w:cs="Times New Roman"/>
                <w:b/>
                <w:bCs/>
                <w:noProof/>
                <w:sz w:val="18"/>
                <w:szCs w:val="24"/>
              </w:rPr>
              <w:t>Kopā</w:t>
            </w:r>
          </w:p>
        </w:tc>
        <w:tc>
          <w:tcPr>
            <w:tcW w:w="547" w:type="pct"/>
            <w:tcBorders>
              <w:top w:val="single" w:sz="6" w:space="0" w:color="auto"/>
              <w:left w:val="single" w:sz="6" w:space="0" w:color="auto"/>
              <w:bottom w:val="single" w:sz="6" w:space="0" w:color="auto"/>
              <w:right w:val="single" w:sz="6" w:space="0" w:color="auto"/>
            </w:tcBorders>
            <w:vAlign w:val="center"/>
          </w:tcPr>
          <w:p w14:paraId="602D7425" w14:textId="77777777" w:rsidR="00663F20" w:rsidRPr="00663F20" w:rsidRDefault="00663F20" w:rsidP="00663F20">
            <w:pPr>
              <w:spacing w:after="0"/>
              <w:ind w:firstLine="0"/>
              <w:jc w:val="right"/>
              <w:rPr>
                <w:rFonts w:eastAsia="Calibri" w:cs="Times New Roman"/>
                <w:b/>
                <w:bCs/>
                <w:noProof/>
                <w:sz w:val="18"/>
                <w:szCs w:val="24"/>
              </w:rPr>
            </w:pPr>
            <w:r w:rsidRPr="00663F20">
              <w:rPr>
                <w:rFonts w:cs="Times New Roman"/>
                <w:b/>
                <w:bCs/>
                <w:noProof/>
                <w:sz w:val="18"/>
                <w:szCs w:val="24"/>
              </w:rPr>
              <w:t>45 007,0</w:t>
            </w:r>
          </w:p>
        </w:tc>
        <w:tc>
          <w:tcPr>
            <w:tcW w:w="470" w:type="pct"/>
            <w:tcBorders>
              <w:top w:val="single" w:sz="6" w:space="0" w:color="auto"/>
              <w:left w:val="single" w:sz="6" w:space="0" w:color="auto"/>
              <w:bottom w:val="single" w:sz="6" w:space="0" w:color="auto"/>
              <w:right w:val="single" w:sz="6" w:space="0" w:color="auto"/>
            </w:tcBorders>
            <w:vAlign w:val="center"/>
          </w:tcPr>
          <w:p w14:paraId="4ACD8C34" w14:textId="77777777" w:rsidR="00663F20" w:rsidRPr="00663F20" w:rsidRDefault="00663F20" w:rsidP="00663F20">
            <w:pPr>
              <w:spacing w:after="0"/>
              <w:ind w:firstLine="0"/>
              <w:jc w:val="right"/>
              <w:rPr>
                <w:rFonts w:eastAsia="Calibri" w:cs="Times New Roman"/>
                <w:b/>
                <w:bCs/>
                <w:noProof/>
                <w:sz w:val="18"/>
                <w:szCs w:val="24"/>
              </w:rPr>
            </w:pPr>
            <w:r w:rsidRPr="00663F20">
              <w:rPr>
                <w:rFonts w:cs="Times New Roman"/>
                <w:b/>
                <w:bCs/>
                <w:noProof/>
                <w:sz w:val="18"/>
                <w:szCs w:val="24"/>
              </w:rPr>
              <w:t>52 738,0</w:t>
            </w:r>
          </w:p>
        </w:tc>
        <w:tc>
          <w:tcPr>
            <w:tcW w:w="691" w:type="pct"/>
            <w:tcBorders>
              <w:top w:val="single" w:sz="6" w:space="0" w:color="auto"/>
              <w:left w:val="single" w:sz="6" w:space="0" w:color="auto"/>
              <w:bottom w:val="single" w:sz="6" w:space="0" w:color="auto"/>
              <w:right w:val="single" w:sz="6" w:space="0" w:color="auto"/>
            </w:tcBorders>
            <w:vAlign w:val="center"/>
          </w:tcPr>
          <w:p w14:paraId="4A887BC9" w14:textId="77777777" w:rsidR="00663F20" w:rsidRPr="00663F20" w:rsidRDefault="00663F20" w:rsidP="00663F20">
            <w:pPr>
              <w:spacing w:after="0"/>
              <w:ind w:firstLine="0"/>
              <w:jc w:val="right"/>
              <w:rPr>
                <w:rFonts w:eastAsia="Calibri" w:cs="Times New Roman"/>
                <w:b/>
                <w:bCs/>
                <w:noProof/>
                <w:sz w:val="18"/>
                <w:szCs w:val="24"/>
              </w:rPr>
            </w:pPr>
            <w:r w:rsidRPr="00663F20">
              <w:rPr>
                <w:rFonts w:cs="Times New Roman"/>
                <w:b/>
                <w:bCs/>
                <w:noProof/>
                <w:sz w:val="18"/>
                <w:szCs w:val="24"/>
              </w:rPr>
              <w:t>+7 731,1</w:t>
            </w:r>
          </w:p>
        </w:tc>
        <w:tc>
          <w:tcPr>
            <w:tcW w:w="321" w:type="pct"/>
            <w:tcBorders>
              <w:top w:val="single" w:sz="6" w:space="0" w:color="auto"/>
              <w:left w:val="single" w:sz="6" w:space="0" w:color="auto"/>
              <w:bottom w:val="single" w:sz="6" w:space="0" w:color="auto"/>
              <w:right w:val="single" w:sz="6" w:space="0" w:color="auto"/>
            </w:tcBorders>
            <w:vAlign w:val="center"/>
          </w:tcPr>
          <w:p w14:paraId="7101A023" w14:textId="77777777" w:rsidR="00663F20" w:rsidRPr="00663F20" w:rsidRDefault="00663F20" w:rsidP="00663F20">
            <w:pPr>
              <w:spacing w:after="0"/>
              <w:ind w:firstLine="0"/>
              <w:jc w:val="right"/>
              <w:rPr>
                <w:rFonts w:eastAsia="Calibri" w:cs="Times New Roman"/>
                <w:b/>
                <w:bCs/>
                <w:noProof/>
                <w:sz w:val="18"/>
                <w:szCs w:val="24"/>
              </w:rPr>
            </w:pPr>
            <w:r w:rsidRPr="00663F20">
              <w:rPr>
                <w:rFonts w:cs="Times New Roman"/>
                <w:b/>
                <w:bCs/>
                <w:noProof/>
                <w:sz w:val="18"/>
                <w:szCs w:val="24"/>
              </w:rPr>
              <w:t>+17,2</w:t>
            </w:r>
          </w:p>
        </w:tc>
      </w:tr>
    </w:tbl>
    <w:p w14:paraId="73DE29F1" w14:textId="77777777" w:rsidR="00663F20" w:rsidRPr="00663F20" w:rsidRDefault="00663F20" w:rsidP="00663F20">
      <w:pPr>
        <w:spacing w:after="0"/>
        <w:ind w:firstLine="0"/>
        <w:rPr>
          <w:rFonts w:eastAsia="Calibri" w:cs="Times New Roman"/>
          <w:sz w:val="18"/>
          <w:szCs w:val="18"/>
          <w:lang w:eastAsia="en-US"/>
        </w:rPr>
      </w:pPr>
      <w:r w:rsidRPr="00663F20">
        <w:rPr>
          <w:rFonts w:eastAsia="Calibri" w:cs="Times New Roman"/>
          <w:sz w:val="18"/>
          <w:szCs w:val="18"/>
          <w:vertAlign w:val="superscript"/>
          <w:lang w:eastAsia="en-US"/>
        </w:rPr>
        <w:t>1</w:t>
      </w:r>
      <w:r w:rsidRPr="00663F20">
        <w:rPr>
          <w:rFonts w:eastAsia="Calibri" w:cs="Times New Roman"/>
          <w:sz w:val="18"/>
          <w:szCs w:val="18"/>
          <w:lang w:eastAsia="en-US"/>
        </w:rPr>
        <w:t> Dati uz 17.09.2024.</w:t>
      </w:r>
    </w:p>
    <w:p w14:paraId="2CFBFDE2" w14:textId="013A515D" w:rsidR="00663F20" w:rsidRPr="00663F20" w:rsidRDefault="00663F20" w:rsidP="006D3E62">
      <w:pPr>
        <w:spacing w:before="240"/>
        <w:rPr>
          <w:rFonts w:cs="Times New Roman"/>
          <w:szCs w:val="24"/>
        </w:rPr>
      </w:pPr>
      <w:r w:rsidRPr="00663F20">
        <w:rPr>
          <w:rFonts w:cs="Times New Roman"/>
          <w:szCs w:val="24"/>
        </w:rPr>
        <w:t>No deklarētās nodokļa atlaižu summas 2023. gadā 43,4% jeb 22,9 milj. </w:t>
      </w:r>
      <w:proofErr w:type="spellStart"/>
      <w:r w:rsidRPr="00663F20">
        <w:rPr>
          <w:rFonts w:cs="Times New Roman"/>
          <w:i/>
          <w:iCs/>
          <w:szCs w:val="24"/>
        </w:rPr>
        <w:t>euro</w:t>
      </w:r>
      <w:proofErr w:type="spellEnd"/>
      <w:r w:rsidRPr="00663F20">
        <w:rPr>
          <w:rFonts w:cs="Times New Roman"/>
          <w:szCs w:val="24"/>
        </w:rPr>
        <w:t xml:space="preserve"> ir pārskata gada ar nodokli apliekamās bāzes samazinājums apjomā, kas atbilst 50,0% no summas, kas saņemta kā valsts atbalsts lauksaimniecībai vai </w:t>
      </w:r>
      <w:r w:rsidR="006D3E62">
        <w:rPr>
          <w:rFonts w:cs="Times New Roman"/>
          <w:szCs w:val="24"/>
        </w:rPr>
        <w:t>ES</w:t>
      </w:r>
      <w:r w:rsidRPr="00663F20">
        <w:rPr>
          <w:rFonts w:cs="Times New Roman"/>
          <w:szCs w:val="24"/>
        </w:rPr>
        <w:t xml:space="preserve"> atbalsts lauksaimniecībai un lauku attīstībai, bet ne vairāk kā par taksācijas periodā ar nodokli apliekamajā bāzē iekļauto ar nodokli apliekamo objektu kopsummu.</w:t>
      </w:r>
    </w:p>
    <w:p w14:paraId="5A47A057" w14:textId="38DC0AAF" w:rsidR="00663F20" w:rsidRPr="00663F20" w:rsidRDefault="00663F20" w:rsidP="006D3E62">
      <w:pPr>
        <w:rPr>
          <w:rFonts w:cs="Times New Roman"/>
          <w:szCs w:val="24"/>
        </w:rPr>
      </w:pPr>
      <w:r w:rsidRPr="00663F20">
        <w:rPr>
          <w:rFonts w:cs="Times New Roman"/>
          <w:szCs w:val="24"/>
        </w:rPr>
        <w:t xml:space="preserve">Saskaņā ar </w:t>
      </w:r>
      <w:r w:rsidRPr="00663F20">
        <w:rPr>
          <w:rFonts w:cs="Times New Roman"/>
          <w:i/>
          <w:iCs/>
          <w:szCs w:val="24"/>
        </w:rPr>
        <w:t>Uzņēmumu ienākuma nodokļa likuma</w:t>
      </w:r>
      <w:r w:rsidRPr="00663F20">
        <w:rPr>
          <w:rFonts w:cs="Times New Roman"/>
          <w:szCs w:val="24"/>
        </w:rPr>
        <w:t xml:space="preserve"> pārejas noteikumu 40. punktu laikposmā no 2020. gada 1.janvāra līdz 2022. gada 31. decembrim nodokļa maksātājiem pārskata gadā, kas sākas 2020., 2021. un 2022. gadā, bija tiesības samazināt taksācijas periodā par pārskata gadā aprēķinātajām dividendēm aprēķināto UIN par 85% no ziedotās summas, bet nepārsniedzot 30% no aprēķinātās UIN summas par aprēķinātajām dividendēm. Kopš 2022. gada 21. aprīļa šī norma ir iekļauta </w:t>
      </w:r>
      <w:r w:rsidRPr="00663F20">
        <w:rPr>
          <w:rFonts w:cs="Times New Roman"/>
          <w:i/>
          <w:iCs/>
          <w:szCs w:val="24"/>
        </w:rPr>
        <w:t>Uzņēmumu ienākuma nodokļa likuma</w:t>
      </w:r>
      <w:r w:rsidRPr="00663F20">
        <w:rPr>
          <w:rFonts w:cs="Times New Roman"/>
          <w:szCs w:val="24"/>
        </w:rPr>
        <w:t xml:space="preserve"> 12. panta pirmās daļas 3. punktā, kā pamatnorma. 2023. gadā, salīdzinot ar 2022. gadu, nodokļa atlaide par ziedojumiem palielinājusies par 4,6 milj. </w:t>
      </w:r>
      <w:proofErr w:type="spellStart"/>
      <w:r w:rsidRPr="00663F20">
        <w:rPr>
          <w:rFonts w:cs="Times New Roman"/>
          <w:i/>
          <w:iCs/>
          <w:szCs w:val="24"/>
        </w:rPr>
        <w:t>euro</w:t>
      </w:r>
      <w:proofErr w:type="spellEnd"/>
      <w:r w:rsidRPr="00663F20">
        <w:rPr>
          <w:rFonts w:cs="Times New Roman"/>
          <w:szCs w:val="24"/>
        </w:rPr>
        <w:t xml:space="preserve"> jeb 52,6%.</w:t>
      </w:r>
    </w:p>
    <w:p w14:paraId="08DF1043" w14:textId="77777777" w:rsidR="00663F20" w:rsidRPr="00663F20" w:rsidRDefault="00663F20" w:rsidP="006D3E62">
      <w:pPr>
        <w:rPr>
          <w:rFonts w:cs="Times New Roman"/>
          <w:szCs w:val="24"/>
        </w:rPr>
      </w:pPr>
      <w:r w:rsidRPr="00663F20">
        <w:rPr>
          <w:rFonts w:cs="Times New Roman"/>
          <w:szCs w:val="24"/>
        </w:rPr>
        <w:t>Bez tam ievērojami palielinājusies atlaides summa, kuru aprēķina nodokļa maksātāji, kuri turpina piemērot UIN atlaidi saskaņā ar likuma “</w:t>
      </w:r>
      <w:r w:rsidRPr="00663F20">
        <w:rPr>
          <w:rFonts w:cs="Times New Roman"/>
          <w:i/>
          <w:iCs/>
          <w:szCs w:val="24"/>
        </w:rPr>
        <w:t>Par uzņēmumu ienākuma nodokli</w:t>
      </w:r>
      <w:r w:rsidRPr="00663F20">
        <w:rPr>
          <w:rFonts w:cs="Times New Roman"/>
          <w:szCs w:val="24"/>
        </w:rPr>
        <w:t>” 17.</w:t>
      </w:r>
      <w:r w:rsidRPr="00663F20">
        <w:rPr>
          <w:rFonts w:cs="Times New Roman"/>
          <w:szCs w:val="24"/>
          <w:vertAlign w:val="superscript"/>
        </w:rPr>
        <w:t>2</w:t>
      </w:r>
      <w:r w:rsidRPr="00663F20">
        <w:rPr>
          <w:rFonts w:cs="Times New Roman"/>
          <w:szCs w:val="24"/>
        </w:rPr>
        <w:t> pantu jeb nodokļa atlaide par atbalstāmo investīciju projekta ietvaros veiktajiem sākotnējiem ilgtermiņa ieguldījumiem. Salīdzinot ar 2022. gadu, tā palielinājusies par 4,0 milj. </w:t>
      </w:r>
      <w:proofErr w:type="spellStart"/>
      <w:r w:rsidRPr="00663F20">
        <w:rPr>
          <w:rFonts w:cs="Times New Roman"/>
          <w:i/>
          <w:iCs/>
          <w:szCs w:val="24"/>
        </w:rPr>
        <w:t>euro</w:t>
      </w:r>
      <w:proofErr w:type="spellEnd"/>
      <w:r w:rsidRPr="00663F20">
        <w:rPr>
          <w:rFonts w:cs="Times New Roman"/>
          <w:szCs w:val="24"/>
        </w:rPr>
        <w:t xml:space="preserve"> jeb 5,2 reizes.</w:t>
      </w:r>
    </w:p>
    <w:p w14:paraId="707F87F8" w14:textId="77777777" w:rsidR="00663F20" w:rsidRPr="00663F20" w:rsidRDefault="00663F20" w:rsidP="00663F20">
      <w:pPr>
        <w:spacing w:before="480"/>
        <w:jc w:val="center"/>
        <w:rPr>
          <w:rFonts w:cs="Times New Roman"/>
          <w:b/>
          <w:bCs/>
          <w:iCs/>
          <w:sz w:val="28"/>
          <w:szCs w:val="28"/>
        </w:rPr>
      </w:pPr>
      <w:r w:rsidRPr="00663F20">
        <w:rPr>
          <w:rFonts w:cs="Times New Roman"/>
          <w:b/>
          <w:bCs/>
          <w:iCs/>
          <w:sz w:val="28"/>
          <w:szCs w:val="28"/>
        </w:rPr>
        <w:t>Iedzīvotāju ienākuma nodoklis (IIN)</w:t>
      </w:r>
    </w:p>
    <w:p w14:paraId="679026AF" w14:textId="003B7F3F" w:rsidR="00663F20" w:rsidRPr="00663F20" w:rsidRDefault="00663F20" w:rsidP="00663F20">
      <w:pPr>
        <w:rPr>
          <w:rFonts w:eastAsia="Calibri" w:cs="Times New Roman"/>
          <w:szCs w:val="24"/>
        </w:rPr>
      </w:pPr>
      <w:r w:rsidRPr="00663F20">
        <w:rPr>
          <w:rFonts w:eastAsia="Calibri" w:cs="Times New Roman"/>
          <w:szCs w:val="24"/>
        </w:rPr>
        <w:t>Saskaņā ar paziņojumu par fiziskaj</w:t>
      </w:r>
      <w:r w:rsidR="008608D4">
        <w:rPr>
          <w:rFonts w:eastAsia="Calibri" w:cs="Times New Roman"/>
          <w:szCs w:val="24"/>
        </w:rPr>
        <w:t>ām</w:t>
      </w:r>
      <w:r w:rsidRPr="00663F20">
        <w:rPr>
          <w:rFonts w:eastAsia="Calibri" w:cs="Times New Roman"/>
          <w:szCs w:val="24"/>
        </w:rPr>
        <w:t xml:space="preserve"> personām izmaksātajām summām un IIN deklarāciju datiem par saimnieciskā darba veicējiem, vērtēto piešķirto IIN atvieglojumu apmēri 2023. gadā bija ap 5,8 m</w:t>
      </w:r>
      <w:r w:rsidR="006D3E62">
        <w:rPr>
          <w:rFonts w:eastAsia="Calibri" w:cs="Times New Roman"/>
          <w:szCs w:val="24"/>
        </w:rPr>
        <w:t>ljrd.</w:t>
      </w:r>
      <w:r w:rsidRPr="00663F20">
        <w:rPr>
          <w:rFonts w:eastAsia="Calibri" w:cs="Times New Roman"/>
          <w:szCs w:val="24"/>
        </w:rPr>
        <w:t> </w:t>
      </w:r>
      <w:proofErr w:type="spellStart"/>
      <w:r w:rsidRPr="00663F20">
        <w:rPr>
          <w:rFonts w:eastAsia="Calibri" w:cs="Times New Roman"/>
          <w:i/>
          <w:iCs/>
          <w:szCs w:val="24"/>
        </w:rPr>
        <w:t>euro</w:t>
      </w:r>
      <w:proofErr w:type="spellEnd"/>
      <w:r w:rsidRPr="00663F20">
        <w:rPr>
          <w:rFonts w:eastAsia="Calibri" w:cs="Times New Roman"/>
          <w:szCs w:val="24"/>
        </w:rPr>
        <w:t>, kas ir par 6,8 % vairāk nekā 2022. gadā (skatīt 3.21. tabulu).</w:t>
      </w:r>
    </w:p>
    <w:p w14:paraId="2028EF81" w14:textId="77777777" w:rsidR="00663F20" w:rsidRPr="00663F20" w:rsidRDefault="00663F20" w:rsidP="00663F20">
      <w:pPr>
        <w:ind w:firstLine="0"/>
        <w:jc w:val="right"/>
        <w:rPr>
          <w:rFonts w:eastAsia="Calibri" w:cs="Times New Roman"/>
          <w:b/>
          <w:i/>
          <w:szCs w:val="24"/>
        </w:rPr>
      </w:pPr>
      <w:r w:rsidRPr="00663F20">
        <w:rPr>
          <w:rFonts w:eastAsia="Calibri" w:cs="Times New Roman"/>
          <w:b/>
          <w:i/>
          <w:szCs w:val="24"/>
        </w:rPr>
        <w:t>3.21. tabula. Paziņojumu par fiziskai personai izmaksātajām summām un fizisko personu saimnieciskā darba veicēju iesniegto 2022. un 2023. gada ienākumu deklarāciju apkopojums</w:t>
      </w:r>
    </w:p>
    <w:tbl>
      <w:tblPr>
        <w:tblW w:w="5110" w:type="pct"/>
        <w:jc w:val="center"/>
        <w:tblLook w:val="04A0" w:firstRow="1" w:lastRow="0" w:firstColumn="1" w:lastColumn="0" w:noHBand="0" w:noVBand="1"/>
      </w:tblPr>
      <w:tblGrid>
        <w:gridCol w:w="3329"/>
        <w:gridCol w:w="1583"/>
        <w:gridCol w:w="1274"/>
        <w:gridCol w:w="1276"/>
        <w:gridCol w:w="1154"/>
        <w:gridCol w:w="644"/>
      </w:tblGrid>
      <w:tr w:rsidR="00663F20" w:rsidRPr="00663F20" w14:paraId="73E3ACEA" w14:textId="77777777" w:rsidTr="008E1E6C">
        <w:trPr>
          <w:trHeight w:val="265"/>
          <w:tblHeader/>
          <w:jc w:val="center"/>
        </w:trPr>
        <w:tc>
          <w:tcPr>
            <w:tcW w:w="2651" w:type="pct"/>
            <w:gridSpan w:val="2"/>
            <w:vMerge w:val="restart"/>
            <w:tcBorders>
              <w:top w:val="single" w:sz="4" w:space="0" w:color="auto"/>
              <w:left w:val="single" w:sz="4" w:space="0" w:color="auto"/>
              <w:bottom w:val="single" w:sz="4" w:space="0" w:color="auto"/>
              <w:right w:val="single" w:sz="4" w:space="0" w:color="auto"/>
            </w:tcBorders>
            <w:shd w:val="clear" w:color="auto" w:fill="8EAADB" w:themeFill="accent5" w:themeFillTint="99"/>
            <w:vAlign w:val="center"/>
            <w:hideMark/>
          </w:tcPr>
          <w:p w14:paraId="5D78D8DD" w14:textId="77777777" w:rsidR="00663F20" w:rsidRPr="00663F20" w:rsidRDefault="00663F20" w:rsidP="00663F20">
            <w:pPr>
              <w:keepNext/>
              <w:keepLines/>
              <w:spacing w:after="0"/>
              <w:ind w:firstLine="0"/>
              <w:contextualSpacing/>
              <w:jc w:val="center"/>
              <w:rPr>
                <w:rFonts w:eastAsia="Calibri" w:cs="Times New Roman"/>
                <w:b/>
                <w:bCs/>
                <w:sz w:val="20"/>
                <w:szCs w:val="20"/>
              </w:rPr>
            </w:pPr>
            <w:r w:rsidRPr="00663F20">
              <w:rPr>
                <w:rFonts w:eastAsia="Calibri" w:cs="Times New Roman"/>
                <w:b/>
                <w:bCs/>
                <w:sz w:val="20"/>
                <w:szCs w:val="20"/>
              </w:rPr>
              <w:t>Nodokļa atvieglojumi</w:t>
            </w:r>
          </w:p>
        </w:tc>
        <w:tc>
          <w:tcPr>
            <w:tcW w:w="1377" w:type="pct"/>
            <w:gridSpan w:val="2"/>
            <w:tcBorders>
              <w:top w:val="single" w:sz="4" w:space="0" w:color="auto"/>
              <w:left w:val="nil"/>
              <w:bottom w:val="single" w:sz="4" w:space="0" w:color="auto"/>
              <w:right w:val="single" w:sz="4" w:space="0" w:color="auto"/>
            </w:tcBorders>
            <w:shd w:val="clear" w:color="auto" w:fill="8EAADB" w:themeFill="accent5" w:themeFillTint="99"/>
            <w:vAlign w:val="center"/>
            <w:hideMark/>
          </w:tcPr>
          <w:p w14:paraId="00248E8D" w14:textId="77777777" w:rsidR="00663F20" w:rsidRPr="00663F20" w:rsidRDefault="00663F20" w:rsidP="00663F20">
            <w:pPr>
              <w:keepNext/>
              <w:keepLines/>
              <w:spacing w:after="0"/>
              <w:ind w:firstLine="0"/>
              <w:contextualSpacing/>
              <w:jc w:val="center"/>
              <w:rPr>
                <w:rFonts w:eastAsia="Calibri" w:cs="Times New Roman"/>
                <w:b/>
                <w:bCs/>
                <w:sz w:val="20"/>
                <w:szCs w:val="20"/>
              </w:rPr>
            </w:pPr>
            <w:r w:rsidRPr="00663F20">
              <w:rPr>
                <w:rFonts w:eastAsia="Calibri" w:cs="Times New Roman"/>
                <w:b/>
                <w:bCs/>
                <w:sz w:val="20"/>
                <w:szCs w:val="20"/>
              </w:rPr>
              <w:t>Aprēķinātā atvieglojumu summa</w:t>
            </w:r>
            <w:r w:rsidRPr="00663F20">
              <w:rPr>
                <w:rFonts w:eastAsia="Calibri" w:cs="Times New Roman"/>
                <w:b/>
                <w:bCs/>
                <w:sz w:val="20"/>
                <w:szCs w:val="20"/>
                <w:vertAlign w:val="superscript"/>
              </w:rPr>
              <w:t>1</w:t>
            </w:r>
            <w:r w:rsidRPr="00663F20">
              <w:rPr>
                <w:rFonts w:eastAsia="Calibri" w:cs="Times New Roman"/>
                <w:b/>
                <w:bCs/>
                <w:sz w:val="20"/>
                <w:szCs w:val="20"/>
              </w:rPr>
              <w:t xml:space="preserve">, </w:t>
            </w:r>
            <w:r w:rsidRPr="00663F20">
              <w:rPr>
                <w:rFonts w:eastAsia="Calibri" w:cs="Times New Roman"/>
                <w:sz w:val="20"/>
                <w:szCs w:val="20"/>
              </w:rPr>
              <w:t>tūkst.</w:t>
            </w:r>
            <w:r w:rsidRPr="00663F20">
              <w:rPr>
                <w:rFonts w:eastAsia="Calibri" w:cs="Times New Roman"/>
                <w:i/>
                <w:iCs/>
                <w:sz w:val="20"/>
                <w:szCs w:val="20"/>
              </w:rPr>
              <w:t xml:space="preserve"> </w:t>
            </w:r>
            <w:proofErr w:type="spellStart"/>
            <w:r w:rsidRPr="00663F20">
              <w:rPr>
                <w:rFonts w:eastAsia="Calibri" w:cs="Times New Roman"/>
                <w:i/>
                <w:iCs/>
                <w:sz w:val="20"/>
                <w:szCs w:val="20"/>
              </w:rPr>
              <w:t>euro</w:t>
            </w:r>
            <w:proofErr w:type="spellEnd"/>
          </w:p>
        </w:tc>
        <w:tc>
          <w:tcPr>
            <w:tcW w:w="972" w:type="pct"/>
            <w:gridSpan w:val="2"/>
            <w:tcBorders>
              <w:top w:val="single" w:sz="4" w:space="0" w:color="auto"/>
              <w:left w:val="nil"/>
              <w:bottom w:val="single" w:sz="4" w:space="0" w:color="auto"/>
              <w:right w:val="single" w:sz="4" w:space="0" w:color="000000"/>
            </w:tcBorders>
            <w:shd w:val="clear" w:color="auto" w:fill="8EAADB" w:themeFill="accent5" w:themeFillTint="99"/>
            <w:vAlign w:val="center"/>
            <w:hideMark/>
          </w:tcPr>
          <w:p w14:paraId="157D58CB" w14:textId="77777777" w:rsidR="00663F20" w:rsidRPr="00663F20" w:rsidRDefault="00663F20" w:rsidP="00663F20">
            <w:pPr>
              <w:keepNext/>
              <w:keepLines/>
              <w:spacing w:after="0"/>
              <w:ind w:firstLine="0"/>
              <w:jc w:val="center"/>
              <w:rPr>
                <w:rFonts w:eastAsia="Calibri" w:cs="Times New Roman"/>
                <w:b/>
                <w:bCs/>
                <w:sz w:val="20"/>
                <w:szCs w:val="20"/>
              </w:rPr>
            </w:pPr>
            <w:r w:rsidRPr="00663F20">
              <w:rPr>
                <w:rFonts w:eastAsia="Calibri" w:cs="Times New Roman"/>
                <w:b/>
                <w:bCs/>
                <w:sz w:val="20"/>
                <w:szCs w:val="20"/>
              </w:rPr>
              <w:t>Izmaiņas</w:t>
            </w:r>
          </w:p>
          <w:p w14:paraId="04C4259D" w14:textId="77777777" w:rsidR="00663F20" w:rsidRPr="00663F20" w:rsidRDefault="00663F20" w:rsidP="00663F20">
            <w:pPr>
              <w:keepNext/>
              <w:keepLines/>
              <w:spacing w:after="0"/>
              <w:ind w:firstLine="0"/>
              <w:contextualSpacing/>
              <w:jc w:val="center"/>
              <w:rPr>
                <w:rFonts w:eastAsia="Calibri" w:cs="Times New Roman"/>
                <w:b/>
                <w:bCs/>
                <w:sz w:val="20"/>
                <w:szCs w:val="20"/>
              </w:rPr>
            </w:pPr>
            <w:r w:rsidRPr="00663F20">
              <w:rPr>
                <w:rFonts w:eastAsia="Calibri" w:cs="Times New Roman"/>
                <w:b/>
                <w:bCs/>
                <w:sz w:val="20"/>
                <w:szCs w:val="20"/>
              </w:rPr>
              <w:t>(2023.g. – 2022.g.)</w:t>
            </w:r>
          </w:p>
        </w:tc>
      </w:tr>
      <w:tr w:rsidR="00663F20" w:rsidRPr="00663F20" w14:paraId="5F4C5E10" w14:textId="77777777" w:rsidTr="008E1E6C">
        <w:trPr>
          <w:trHeight w:val="263"/>
          <w:tblHeader/>
          <w:jc w:val="center"/>
        </w:trPr>
        <w:tc>
          <w:tcPr>
            <w:tcW w:w="2651" w:type="pct"/>
            <w:gridSpan w:val="2"/>
            <w:vMerge/>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006D77D7" w14:textId="77777777" w:rsidR="00663F20" w:rsidRPr="00663F20" w:rsidRDefault="00663F20" w:rsidP="00663F20">
            <w:pPr>
              <w:keepNext/>
              <w:keepLines/>
              <w:spacing w:after="0"/>
              <w:ind w:firstLine="0"/>
              <w:contextualSpacing/>
              <w:jc w:val="center"/>
              <w:rPr>
                <w:rFonts w:eastAsia="Calibri" w:cs="Times New Roman"/>
                <w:b/>
                <w:bCs/>
                <w:sz w:val="20"/>
                <w:szCs w:val="20"/>
              </w:rPr>
            </w:pPr>
          </w:p>
        </w:tc>
        <w:tc>
          <w:tcPr>
            <w:tcW w:w="688" w:type="pct"/>
            <w:tcBorders>
              <w:top w:val="nil"/>
              <w:left w:val="nil"/>
              <w:bottom w:val="single" w:sz="4" w:space="0" w:color="auto"/>
              <w:right w:val="single" w:sz="4" w:space="0" w:color="auto"/>
            </w:tcBorders>
            <w:shd w:val="clear" w:color="auto" w:fill="B4C6E7" w:themeFill="accent5" w:themeFillTint="66"/>
            <w:vAlign w:val="center"/>
            <w:hideMark/>
          </w:tcPr>
          <w:p w14:paraId="029B2F47" w14:textId="77777777" w:rsidR="00663F20" w:rsidRPr="00663F20" w:rsidRDefault="00663F20" w:rsidP="00663F20">
            <w:pPr>
              <w:keepNext/>
              <w:keepLines/>
              <w:spacing w:after="0"/>
              <w:ind w:firstLine="0"/>
              <w:contextualSpacing/>
              <w:jc w:val="center"/>
              <w:rPr>
                <w:rFonts w:eastAsia="Calibri" w:cs="Times New Roman"/>
                <w:b/>
                <w:bCs/>
                <w:sz w:val="20"/>
                <w:szCs w:val="20"/>
              </w:rPr>
            </w:pPr>
            <w:r w:rsidRPr="00663F20">
              <w:rPr>
                <w:rFonts w:eastAsia="Calibri" w:cs="Times New Roman"/>
                <w:b/>
                <w:bCs/>
                <w:sz w:val="20"/>
                <w:szCs w:val="20"/>
              </w:rPr>
              <w:t>2022.g.</w:t>
            </w:r>
          </w:p>
        </w:tc>
        <w:tc>
          <w:tcPr>
            <w:tcW w:w="688" w:type="pct"/>
            <w:tcBorders>
              <w:top w:val="nil"/>
              <w:left w:val="nil"/>
              <w:bottom w:val="single" w:sz="4" w:space="0" w:color="auto"/>
              <w:right w:val="single" w:sz="4" w:space="0" w:color="auto"/>
            </w:tcBorders>
            <w:shd w:val="clear" w:color="auto" w:fill="B4C6E7" w:themeFill="accent5" w:themeFillTint="66"/>
            <w:vAlign w:val="center"/>
            <w:hideMark/>
          </w:tcPr>
          <w:p w14:paraId="167164CE" w14:textId="77777777" w:rsidR="00663F20" w:rsidRPr="00663F20" w:rsidRDefault="00663F20" w:rsidP="00663F20">
            <w:pPr>
              <w:keepNext/>
              <w:keepLines/>
              <w:spacing w:after="0"/>
              <w:ind w:firstLine="0"/>
              <w:contextualSpacing/>
              <w:jc w:val="center"/>
              <w:rPr>
                <w:rFonts w:eastAsia="Calibri" w:cs="Times New Roman"/>
                <w:b/>
                <w:bCs/>
                <w:sz w:val="20"/>
                <w:szCs w:val="20"/>
              </w:rPr>
            </w:pPr>
            <w:r w:rsidRPr="00663F20">
              <w:rPr>
                <w:rFonts w:eastAsia="Calibri" w:cs="Times New Roman"/>
                <w:b/>
                <w:bCs/>
                <w:sz w:val="20"/>
                <w:szCs w:val="20"/>
              </w:rPr>
              <w:t>2023.g.</w:t>
            </w:r>
          </w:p>
        </w:tc>
        <w:tc>
          <w:tcPr>
            <w:tcW w:w="623" w:type="pct"/>
            <w:tcBorders>
              <w:top w:val="nil"/>
              <w:left w:val="nil"/>
              <w:bottom w:val="single" w:sz="4" w:space="0" w:color="auto"/>
              <w:right w:val="single" w:sz="4" w:space="0" w:color="auto"/>
            </w:tcBorders>
            <w:shd w:val="clear" w:color="auto" w:fill="B4C6E7" w:themeFill="accent5" w:themeFillTint="66"/>
            <w:noWrap/>
            <w:vAlign w:val="center"/>
            <w:hideMark/>
          </w:tcPr>
          <w:p w14:paraId="1734DFAE" w14:textId="77777777" w:rsidR="00663F20" w:rsidRPr="00663F20" w:rsidRDefault="00663F20" w:rsidP="00663F20">
            <w:pPr>
              <w:keepNext/>
              <w:keepLines/>
              <w:spacing w:after="0"/>
              <w:ind w:firstLine="0"/>
              <w:contextualSpacing/>
              <w:jc w:val="center"/>
              <w:rPr>
                <w:rFonts w:eastAsia="Calibri" w:cs="Times New Roman"/>
                <w:b/>
                <w:bCs/>
                <w:sz w:val="20"/>
                <w:szCs w:val="20"/>
              </w:rPr>
            </w:pPr>
            <w:r w:rsidRPr="00663F20">
              <w:rPr>
                <w:rFonts w:eastAsia="Calibri" w:cs="Times New Roman"/>
                <w:b/>
                <w:bCs/>
                <w:sz w:val="20"/>
                <w:szCs w:val="20"/>
              </w:rPr>
              <w:t>tūkst.</w:t>
            </w:r>
            <w:r w:rsidRPr="00663F20">
              <w:rPr>
                <w:rFonts w:eastAsia="Calibri" w:cs="Times New Roman"/>
                <w:b/>
                <w:bCs/>
                <w:i/>
                <w:iCs/>
                <w:sz w:val="20"/>
                <w:szCs w:val="20"/>
              </w:rPr>
              <w:t xml:space="preserve"> </w:t>
            </w:r>
            <w:proofErr w:type="spellStart"/>
            <w:r w:rsidRPr="00663F20">
              <w:rPr>
                <w:rFonts w:eastAsia="Calibri" w:cs="Times New Roman"/>
                <w:b/>
                <w:bCs/>
                <w:i/>
                <w:iCs/>
                <w:sz w:val="20"/>
                <w:szCs w:val="20"/>
              </w:rPr>
              <w:t>euro</w:t>
            </w:r>
            <w:proofErr w:type="spellEnd"/>
          </w:p>
        </w:tc>
        <w:tc>
          <w:tcPr>
            <w:tcW w:w="349" w:type="pct"/>
            <w:tcBorders>
              <w:top w:val="nil"/>
              <w:left w:val="nil"/>
              <w:bottom w:val="single" w:sz="4" w:space="0" w:color="auto"/>
              <w:right w:val="single" w:sz="4" w:space="0" w:color="auto"/>
            </w:tcBorders>
            <w:shd w:val="clear" w:color="auto" w:fill="B4C6E7" w:themeFill="accent5" w:themeFillTint="66"/>
            <w:noWrap/>
            <w:vAlign w:val="center"/>
            <w:hideMark/>
          </w:tcPr>
          <w:p w14:paraId="6275E12D" w14:textId="77777777" w:rsidR="00663F20" w:rsidRPr="00663F20" w:rsidRDefault="00663F20" w:rsidP="00663F20">
            <w:pPr>
              <w:keepNext/>
              <w:keepLines/>
              <w:spacing w:after="0"/>
              <w:ind w:firstLine="0"/>
              <w:contextualSpacing/>
              <w:jc w:val="center"/>
              <w:rPr>
                <w:rFonts w:eastAsia="Calibri" w:cs="Times New Roman"/>
                <w:b/>
                <w:bCs/>
                <w:sz w:val="20"/>
                <w:szCs w:val="20"/>
              </w:rPr>
            </w:pPr>
            <w:r w:rsidRPr="00663F20">
              <w:rPr>
                <w:rFonts w:eastAsia="Calibri" w:cs="Times New Roman"/>
                <w:b/>
                <w:bCs/>
                <w:i/>
                <w:iCs/>
                <w:sz w:val="20"/>
                <w:szCs w:val="20"/>
              </w:rPr>
              <w:t> %</w:t>
            </w:r>
          </w:p>
        </w:tc>
      </w:tr>
      <w:tr w:rsidR="00663F20" w:rsidRPr="00663F20" w14:paraId="42B425A7" w14:textId="77777777" w:rsidTr="006D3E62">
        <w:trPr>
          <w:trHeight w:val="293"/>
          <w:jc w:val="center"/>
        </w:trPr>
        <w:tc>
          <w:tcPr>
            <w:tcW w:w="1797" w:type="pct"/>
            <w:vMerge w:val="restart"/>
            <w:tcBorders>
              <w:top w:val="nil"/>
              <w:left w:val="single" w:sz="4" w:space="0" w:color="auto"/>
              <w:bottom w:val="single" w:sz="4" w:space="0" w:color="auto"/>
              <w:right w:val="single" w:sz="4" w:space="0" w:color="auto"/>
            </w:tcBorders>
            <w:shd w:val="clear" w:color="auto" w:fill="auto"/>
            <w:vAlign w:val="center"/>
            <w:hideMark/>
          </w:tcPr>
          <w:p w14:paraId="0FC184C0"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t>Neapliekamais minimums</w:t>
            </w:r>
            <w:r w:rsidRPr="00663F20">
              <w:rPr>
                <w:rFonts w:eastAsia="Times New Roman" w:cs="Times New Roman"/>
                <w:sz w:val="18"/>
                <w:szCs w:val="18"/>
                <w:vertAlign w:val="superscript"/>
              </w:rPr>
              <w:t>2</w:t>
            </w:r>
          </w:p>
        </w:tc>
        <w:tc>
          <w:tcPr>
            <w:tcW w:w="855" w:type="pct"/>
            <w:tcBorders>
              <w:top w:val="nil"/>
              <w:left w:val="nil"/>
              <w:bottom w:val="single" w:sz="4" w:space="0" w:color="auto"/>
              <w:right w:val="single" w:sz="4" w:space="0" w:color="auto"/>
            </w:tcBorders>
            <w:shd w:val="clear" w:color="auto" w:fill="auto"/>
            <w:noWrap/>
            <w:vAlign w:val="center"/>
            <w:hideMark/>
          </w:tcPr>
          <w:p w14:paraId="0E0E73AC"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t>pensionāra</w:t>
            </w:r>
          </w:p>
        </w:tc>
        <w:tc>
          <w:tcPr>
            <w:tcW w:w="688" w:type="pct"/>
            <w:tcBorders>
              <w:top w:val="nil"/>
              <w:left w:val="nil"/>
              <w:bottom w:val="single" w:sz="4" w:space="0" w:color="auto"/>
              <w:right w:val="single" w:sz="4" w:space="0" w:color="auto"/>
            </w:tcBorders>
            <w:shd w:val="clear" w:color="auto" w:fill="auto"/>
            <w:noWrap/>
            <w:vAlign w:val="center"/>
          </w:tcPr>
          <w:p w14:paraId="5B78509E"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2 221 810,6</w:t>
            </w:r>
          </w:p>
        </w:tc>
        <w:tc>
          <w:tcPr>
            <w:tcW w:w="688" w:type="pct"/>
            <w:tcBorders>
              <w:top w:val="nil"/>
              <w:left w:val="nil"/>
              <w:bottom w:val="single" w:sz="4" w:space="0" w:color="auto"/>
              <w:right w:val="single" w:sz="4" w:space="0" w:color="auto"/>
            </w:tcBorders>
            <w:shd w:val="clear" w:color="auto" w:fill="auto"/>
            <w:noWrap/>
            <w:vAlign w:val="center"/>
          </w:tcPr>
          <w:p w14:paraId="31B9B403"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2 564 212,0</w:t>
            </w:r>
          </w:p>
        </w:tc>
        <w:tc>
          <w:tcPr>
            <w:tcW w:w="623" w:type="pct"/>
            <w:tcBorders>
              <w:top w:val="nil"/>
              <w:left w:val="nil"/>
              <w:bottom w:val="single" w:sz="4" w:space="0" w:color="auto"/>
              <w:right w:val="single" w:sz="4" w:space="0" w:color="auto"/>
            </w:tcBorders>
            <w:shd w:val="clear" w:color="auto" w:fill="auto"/>
            <w:noWrap/>
            <w:vAlign w:val="center"/>
          </w:tcPr>
          <w:p w14:paraId="3C3B9F2C"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+342 401,4</w:t>
            </w:r>
          </w:p>
        </w:tc>
        <w:tc>
          <w:tcPr>
            <w:tcW w:w="349" w:type="pct"/>
            <w:tcBorders>
              <w:top w:val="nil"/>
              <w:left w:val="nil"/>
              <w:bottom w:val="single" w:sz="4" w:space="0" w:color="auto"/>
              <w:right w:val="single" w:sz="4" w:space="0" w:color="auto"/>
            </w:tcBorders>
            <w:shd w:val="clear" w:color="auto" w:fill="auto"/>
            <w:noWrap/>
            <w:vAlign w:val="center"/>
          </w:tcPr>
          <w:p w14:paraId="56562AC8"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+15,4</w:t>
            </w:r>
          </w:p>
        </w:tc>
      </w:tr>
      <w:tr w:rsidR="00663F20" w:rsidRPr="00663F20" w14:paraId="208EBC37" w14:textId="77777777" w:rsidTr="006D3E62">
        <w:trPr>
          <w:trHeight w:val="293"/>
          <w:jc w:val="center"/>
        </w:trPr>
        <w:tc>
          <w:tcPr>
            <w:tcW w:w="1797" w:type="pct"/>
            <w:vMerge/>
            <w:tcBorders>
              <w:top w:val="nil"/>
              <w:left w:val="single" w:sz="4" w:space="0" w:color="auto"/>
              <w:bottom w:val="single" w:sz="4" w:space="0" w:color="auto"/>
              <w:right w:val="single" w:sz="4" w:space="0" w:color="auto"/>
            </w:tcBorders>
            <w:vAlign w:val="center"/>
            <w:hideMark/>
          </w:tcPr>
          <w:p w14:paraId="14156032" w14:textId="77777777" w:rsidR="00663F20" w:rsidRPr="00663F20" w:rsidRDefault="00663F20" w:rsidP="00663F20">
            <w:pPr>
              <w:keepLines/>
              <w:spacing w:after="0"/>
              <w:ind w:firstLine="0"/>
              <w:contextualSpacing/>
              <w:jc w:val="left"/>
              <w:rPr>
                <w:rFonts w:eastAsia="Calibri" w:cs="Times New Roman"/>
                <w:sz w:val="18"/>
                <w:szCs w:val="18"/>
              </w:rPr>
            </w:pPr>
          </w:p>
        </w:tc>
        <w:tc>
          <w:tcPr>
            <w:tcW w:w="855" w:type="pct"/>
            <w:tcBorders>
              <w:top w:val="nil"/>
              <w:left w:val="nil"/>
              <w:bottom w:val="single" w:sz="4" w:space="0" w:color="auto"/>
              <w:right w:val="single" w:sz="4" w:space="0" w:color="auto"/>
            </w:tcBorders>
            <w:shd w:val="clear" w:color="auto" w:fill="auto"/>
            <w:noWrap/>
            <w:vAlign w:val="center"/>
            <w:hideMark/>
          </w:tcPr>
          <w:p w14:paraId="1318208E"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t>pārējiem</w:t>
            </w:r>
          </w:p>
        </w:tc>
        <w:tc>
          <w:tcPr>
            <w:tcW w:w="688" w:type="pct"/>
            <w:tcBorders>
              <w:top w:val="nil"/>
              <w:left w:val="nil"/>
              <w:bottom w:val="single" w:sz="4" w:space="0" w:color="auto"/>
              <w:right w:val="single" w:sz="4" w:space="0" w:color="auto"/>
            </w:tcBorders>
            <w:shd w:val="clear" w:color="auto" w:fill="auto"/>
            <w:noWrap/>
            <w:vAlign w:val="center"/>
          </w:tcPr>
          <w:p w14:paraId="1FA59884"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1 868 382,2</w:t>
            </w:r>
          </w:p>
        </w:tc>
        <w:tc>
          <w:tcPr>
            <w:tcW w:w="688" w:type="pct"/>
            <w:tcBorders>
              <w:top w:val="nil"/>
              <w:left w:val="nil"/>
              <w:bottom w:val="single" w:sz="4" w:space="0" w:color="auto"/>
              <w:right w:val="single" w:sz="4" w:space="0" w:color="auto"/>
            </w:tcBorders>
            <w:shd w:val="clear" w:color="auto" w:fill="auto"/>
            <w:noWrap/>
            <w:vAlign w:val="center"/>
          </w:tcPr>
          <w:p w14:paraId="2ED8CAE2"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1 897 210,6</w:t>
            </w:r>
          </w:p>
        </w:tc>
        <w:tc>
          <w:tcPr>
            <w:tcW w:w="623" w:type="pct"/>
            <w:tcBorders>
              <w:top w:val="nil"/>
              <w:left w:val="nil"/>
              <w:bottom w:val="single" w:sz="4" w:space="0" w:color="auto"/>
              <w:right w:val="single" w:sz="4" w:space="0" w:color="auto"/>
            </w:tcBorders>
            <w:shd w:val="clear" w:color="auto" w:fill="auto"/>
            <w:noWrap/>
            <w:vAlign w:val="center"/>
          </w:tcPr>
          <w:p w14:paraId="4DEC0C27"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+28 828,3</w:t>
            </w:r>
          </w:p>
        </w:tc>
        <w:tc>
          <w:tcPr>
            <w:tcW w:w="349" w:type="pct"/>
            <w:tcBorders>
              <w:top w:val="nil"/>
              <w:left w:val="nil"/>
              <w:bottom w:val="single" w:sz="4" w:space="0" w:color="auto"/>
              <w:right w:val="single" w:sz="4" w:space="0" w:color="auto"/>
            </w:tcBorders>
            <w:shd w:val="clear" w:color="auto" w:fill="auto"/>
            <w:noWrap/>
            <w:vAlign w:val="center"/>
          </w:tcPr>
          <w:p w14:paraId="739B1C04"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+1,5</w:t>
            </w:r>
          </w:p>
        </w:tc>
      </w:tr>
      <w:tr w:rsidR="00663F20" w:rsidRPr="00663F20" w14:paraId="1ED48519" w14:textId="77777777" w:rsidTr="006D3E62">
        <w:trPr>
          <w:trHeight w:val="293"/>
          <w:jc w:val="center"/>
        </w:trPr>
        <w:tc>
          <w:tcPr>
            <w:tcW w:w="265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76013"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t>Par apgādājamiem</w:t>
            </w:r>
            <w:r w:rsidRPr="00663F20">
              <w:rPr>
                <w:rFonts w:eastAsia="Times New Roman" w:cs="Times New Roman"/>
                <w:sz w:val="18"/>
                <w:szCs w:val="18"/>
                <w:vertAlign w:val="superscript"/>
              </w:rPr>
              <w:t>2</w:t>
            </w:r>
          </w:p>
        </w:tc>
        <w:tc>
          <w:tcPr>
            <w:tcW w:w="688" w:type="pct"/>
            <w:tcBorders>
              <w:top w:val="nil"/>
              <w:left w:val="nil"/>
              <w:bottom w:val="single" w:sz="4" w:space="0" w:color="auto"/>
              <w:right w:val="single" w:sz="4" w:space="0" w:color="auto"/>
            </w:tcBorders>
            <w:shd w:val="clear" w:color="auto" w:fill="auto"/>
            <w:noWrap/>
            <w:vAlign w:val="center"/>
          </w:tcPr>
          <w:p w14:paraId="478D876D"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880 844,6</w:t>
            </w:r>
          </w:p>
        </w:tc>
        <w:tc>
          <w:tcPr>
            <w:tcW w:w="688" w:type="pct"/>
            <w:tcBorders>
              <w:top w:val="nil"/>
              <w:left w:val="nil"/>
              <w:bottom w:val="single" w:sz="4" w:space="0" w:color="auto"/>
              <w:right w:val="single" w:sz="4" w:space="0" w:color="auto"/>
            </w:tcBorders>
            <w:shd w:val="clear" w:color="auto" w:fill="auto"/>
            <w:noWrap/>
            <w:vAlign w:val="center"/>
          </w:tcPr>
          <w:p w14:paraId="1B91483A"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898 051,8</w:t>
            </w:r>
          </w:p>
        </w:tc>
        <w:tc>
          <w:tcPr>
            <w:tcW w:w="623" w:type="pct"/>
            <w:tcBorders>
              <w:top w:val="nil"/>
              <w:left w:val="nil"/>
              <w:bottom w:val="single" w:sz="4" w:space="0" w:color="auto"/>
              <w:right w:val="single" w:sz="4" w:space="0" w:color="auto"/>
            </w:tcBorders>
            <w:shd w:val="clear" w:color="auto" w:fill="auto"/>
            <w:noWrap/>
            <w:vAlign w:val="center"/>
          </w:tcPr>
          <w:p w14:paraId="2F8C9491"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+17 207,2</w:t>
            </w:r>
          </w:p>
        </w:tc>
        <w:tc>
          <w:tcPr>
            <w:tcW w:w="349" w:type="pct"/>
            <w:tcBorders>
              <w:top w:val="nil"/>
              <w:left w:val="nil"/>
              <w:bottom w:val="single" w:sz="4" w:space="0" w:color="auto"/>
              <w:right w:val="single" w:sz="4" w:space="0" w:color="auto"/>
            </w:tcBorders>
            <w:shd w:val="clear" w:color="auto" w:fill="auto"/>
            <w:noWrap/>
            <w:vAlign w:val="center"/>
          </w:tcPr>
          <w:p w14:paraId="3F2C3AB2"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+2,0</w:t>
            </w:r>
          </w:p>
        </w:tc>
      </w:tr>
      <w:tr w:rsidR="00663F20" w:rsidRPr="00663F20" w14:paraId="6B8554D6" w14:textId="77777777" w:rsidTr="006D3E62">
        <w:trPr>
          <w:trHeight w:val="293"/>
          <w:jc w:val="center"/>
        </w:trPr>
        <w:tc>
          <w:tcPr>
            <w:tcW w:w="265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2E007"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lastRenderedPageBreak/>
              <w:t>Par invaliditāti</w:t>
            </w:r>
            <w:r w:rsidRPr="00663F20">
              <w:rPr>
                <w:rFonts w:eastAsia="Times New Roman" w:cs="Times New Roman"/>
                <w:sz w:val="18"/>
                <w:szCs w:val="18"/>
                <w:vertAlign w:val="superscript"/>
              </w:rPr>
              <w:t>2</w:t>
            </w:r>
          </w:p>
        </w:tc>
        <w:tc>
          <w:tcPr>
            <w:tcW w:w="688" w:type="pct"/>
            <w:tcBorders>
              <w:top w:val="nil"/>
              <w:left w:val="nil"/>
              <w:bottom w:val="single" w:sz="4" w:space="0" w:color="auto"/>
              <w:right w:val="single" w:sz="4" w:space="0" w:color="auto"/>
            </w:tcBorders>
            <w:shd w:val="clear" w:color="auto" w:fill="auto"/>
            <w:noWrap/>
            <w:vAlign w:val="center"/>
          </w:tcPr>
          <w:p w14:paraId="3B59657A"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123 924,2</w:t>
            </w:r>
          </w:p>
        </w:tc>
        <w:tc>
          <w:tcPr>
            <w:tcW w:w="688" w:type="pct"/>
            <w:tcBorders>
              <w:top w:val="nil"/>
              <w:left w:val="nil"/>
              <w:bottom w:val="single" w:sz="4" w:space="0" w:color="auto"/>
              <w:right w:val="single" w:sz="4" w:space="0" w:color="auto"/>
            </w:tcBorders>
            <w:shd w:val="clear" w:color="auto" w:fill="auto"/>
            <w:noWrap/>
            <w:vAlign w:val="center"/>
          </w:tcPr>
          <w:p w14:paraId="6F96D99A"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126 766,1</w:t>
            </w:r>
          </w:p>
        </w:tc>
        <w:tc>
          <w:tcPr>
            <w:tcW w:w="623" w:type="pct"/>
            <w:tcBorders>
              <w:top w:val="nil"/>
              <w:left w:val="nil"/>
              <w:bottom w:val="single" w:sz="4" w:space="0" w:color="auto"/>
              <w:right w:val="single" w:sz="4" w:space="0" w:color="auto"/>
            </w:tcBorders>
            <w:shd w:val="clear" w:color="auto" w:fill="auto"/>
            <w:noWrap/>
            <w:vAlign w:val="center"/>
          </w:tcPr>
          <w:p w14:paraId="0926D273"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+2 842,0</w:t>
            </w:r>
          </w:p>
        </w:tc>
        <w:tc>
          <w:tcPr>
            <w:tcW w:w="349" w:type="pct"/>
            <w:tcBorders>
              <w:top w:val="nil"/>
              <w:left w:val="nil"/>
              <w:bottom w:val="single" w:sz="4" w:space="0" w:color="auto"/>
              <w:right w:val="single" w:sz="4" w:space="0" w:color="auto"/>
            </w:tcBorders>
            <w:shd w:val="clear" w:color="auto" w:fill="auto"/>
            <w:noWrap/>
            <w:vAlign w:val="center"/>
          </w:tcPr>
          <w:p w14:paraId="31642FAA"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+2,3</w:t>
            </w:r>
          </w:p>
        </w:tc>
      </w:tr>
      <w:tr w:rsidR="00663F20" w:rsidRPr="00663F20" w14:paraId="606AA027" w14:textId="77777777" w:rsidTr="006D3E62">
        <w:trPr>
          <w:trHeight w:val="293"/>
          <w:jc w:val="center"/>
        </w:trPr>
        <w:tc>
          <w:tcPr>
            <w:tcW w:w="265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48BE7"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t>Politiski represētajām personām</w:t>
            </w:r>
            <w:r w:rsidRPr="00663F20">
              <w:rPr>
                <w:rFonts w:eastAsia="Times New Roman" w:cs="Times New Roman"/>
                <w:sz w:val="18"/>
                <w:szCs w:val="18"/>
                <w:vertAlign w:val="superscript"/>
              </w:rPr>
              <w:t>2</w:t>
            </w:r>
          </w:p>
        </w:tc>
        <w:tc>
          <w:tcPr>
            <w:tcW w:w="688" w:type="pct"/>
            <w:tcBorders>
              <w:top w:val="nil"/>
              <w:left w:val="nil"/>
              <w:bottom w:val="single" w:sz="4" w:space="0" w:color="auto"/>
              <w:right w:val="single" w:sz="4" w:space="0" w:color="auto"/>
            </w:tcBorders>
            <w:shd w:val="clear" w:color="auto" w:fill="auto"/>
            <w:noWrap/>
            <w:vAlign w:val="center"/>
          </w:tcPr>
          <w:p w14:paraId="304807FE"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9 232,0</w:t>
            </w:r>
          </w:p>
        </w:tc>
        <w:tc>
          <w:tcPr>
            <w:tcW w:w="688" w:type="pct"/>
            <w:tcBorders>
              <w:top w:val="nil"/>
              <w:left w:val="nil"/>
              <w:bottom w:val="single" w:sz="4" w:space="0" w:color="auto"/>
              <w:right w:val="single" w:sz="4" w:space="0" w:color="auto"/>
            </w:tcBorders>
            <w:shd w:val="clear" w:color="auto" w:fill="auto"/>
            <w:noWrap/>
            <w:vAlign w:val="center"/>
          </w:tcPr>
          <w:p w14:paraId="5667647A"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8 756,0</w:t>
            </w:r>
          </w:p>
        </w:tc>
        <w:tc>
          <w:tcPr>
            <w:tcW w:w="623" w:type="pct"/>
            <w:tcBorders>
              <w:top w:val="nil"/>
              <w:left w:val="nil"/>
              <w:bottom w:val="single" w:sz="4" w:space="0" w:color="auto"/>
              <w:right w:val="single" w:sz="4" w:space="0" w:color="auto"/>
            </w:tcBorders>
            <w:shd w:val="clear" w:color="auto" w:fill="auto"/>
            <w:noWrap/>
            <w:vAlign w:val="center"/>
          </w:tcPr>
          <w:p w14:paraId="578687EB"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-476,1</w:t>
            </w:r>
          </w:p>
        </w:tc>
        <w:tc>
          <w:tcPr>
            <w:tcW w:w="349" w:type="pct"/>
            <w:tcBorders>
              <w:top w:val="nil"/>
              <w:left w:val="nil"/>
              <w:bottom w:val="single" w:sz="4" w:space="0" w:color="auto"/>
              <w:right w:val="single" w:sz="4" w:space="0" w:color="auto"/>
            </w:tcBorders>
            <w:shd w:val="clear" w:color="auto" w:fill="auto"/>
            <w:noWrap/>
            <w:vAlign w:val="center"/>
          </w:tcPr>
          <w:p w14:paraId="5F1915EA"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-5,2</w:t>
            </w:r>
          </w:p>
        </w:tc>
      </w:tr>
      <w:tr w:rsidR="00663F20" w:rsidRPr="00663F20" w14:paraId="0A01E298" w14:textId="77777777" w:rsidTr="006D3E62">
        <w:trPr>
          <w:trHeight w:val="293"/>
          <w:jc w:val="center"/>
        </w:trPr>
        <w:tc>
          <w:tcPr>
            <w:tcW w:w="265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ED274"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t>Nacionālās pretošanās kustības dalībniekiem</w:t>
            </w:r>
            <w:r w:rsidRPr="00663F20">
              <w:rPr>
                <w:rFonts w:eastAsia="Times New Roman" w:cs="Times New Roman"/>
                <w:sz w:val="18"/>
                <w:szCs w:val="18"/>
                <w:vertAlign w:val="superscript"/>
              </w:rPr>
              <w:t>2</w:t>
            </w:r>
          </w:p>
        </w:tc>
        <w:tc>
          <w:tcPr>
            <w:tcW w:w="688" w:type="pct"/>
            <w:tcBorders>
              <w:top w:val="nil"/>
              <w:left w:val="nil"/>
              <w:bottom w:val="single" w:sz="4" w:space="0" w:color="auto"/>
              <w:right w:val="single" w:sz="4" w:space="0" w:color="auto"/>
            </w:tcBorders>
            <w:shd w:val="clear" w:color="auto" w:fill="auto"/>
            <w:noWrap/>
            <w:vAlign w:val="center"/>
          </w:tcPr>
          <w:p w14:paraId="032CA7A0"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23,0</w:t>
            </w:r>
          </w:p>
        </w:tc>
        <w:tc>
          <w:tcPr>
            <w:tcW w:w="688" w:type="pct"/>
            <w:tcBorders>
              <w:top w:val="nil"/>
              <w:left w:val="nil"/>
              <w:bottom w:val="single" w:sz="4" w:space="0" w:color="auto"/>
              <w:right w:val="single" w:sz="4" w:space="0" w:color="auto"/>
            </w:tcBorders>
            <w:shd w:val="clear" w:color="auto" w:fill="auto"/>
            <w:noWrap/>
            <w:vAlign w:val="center"/>
          </w:tcPr>
          <w:p w14:paraId="632765C9"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22,1</w:t>
            </w:r>
          </w:p>
        </w:tc>
        <w:tc>
          <w:tcPr>
            <w:tcW w:w="623" w:type="pct"/>
            <w:tcBorders>
              <w:top w:val="nil"/>
              <w:left w:val="nil"/>
              <w:bottom w:val="single" w:sz="4" w:space="0" w:color="auto"/>
              <w:right w:val="single" w:sz="4" w:space="0" w:color="auto"/>
            </w:tcBorders>
            <w:shd w:val="clear" w:color="auto" w:fill="auto"/>
            <w:noWrap/>
            <w:vAlign w:val="center"/>
          </w:tcPr>
          <w:p w14:paraId="7978C6DB"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-0,9</w:t>
            </w:r>
          </w:p>
        </w:tc>
        <w:tc>
          <w:tcPr>
            <w:tcW w:w="349" w:type="pct"/>
            <w:tcBorders>
              <w:top w:val="nil"/>
              <w:left w:val="nil"/>
              <w:bottom w:val="single" w:sz="4" w:space="0" w:color="auto"/>
              <w:right w:val="single" w:sz="4" w:space="0" w:color="auto"/>
            </w:tcBorders>
            <w:shd w:val="clear" w:color="auto" w:fill="auto"/>
            <w:noWrap/>
            <w:vAlign w:val="center"/>
          </w:tcPr>
          <w:p w14:paraId="2971B38D"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-3,8</w:t>
            </w:r>
          </w:p>
        </w:tc>
      </w:tr>
      <w:tr w:rsidR="00663F20" w:rsidRPr="00663F20" w14:paraId="2BF6FAF0" w14:textId="77777777" w:rsidTr="006D3E62">
        <w:trPr>
          <w:trHeight w:val="293"/>
          <w:jc w:val="center"/>
        </w:trPr>
        <w:tc>
          <w:tcPr>
            <w:tcW w:w="26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55EA7CE"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t>Ar IIN neapliekamie ienākumi no lauksaimnieciskās ražošanas (</w:t>
            </w:r>
            <w:r w:rsidRPr="00663F20">
              <w:rPr>
                <w:rFonts w:eastAsia="Calibri" w:cs="Times New Roman"/>
                <w:i/>
                <w:iCs/>
                <w:sz w:val="18"/>
                <w:szCs w:val="18"/>
              </w:rPr>
              <w:t>gada ienākumu deklarācijas D3 lapas 5. rinda</w:t>
            </w:r>
            <w:r w:rsidRPr="00663F20">
              <w:rPr>
                <w:rFonts w:eastAsia="Calibri" w:cs="Times New Roman"/>
                <w:sz w:val="18"/>
                <w:szCs w:val="18"/>
              </w:rPr>
              <w:t>)</w:t>
            </w:r>
            <w:r w:rsidRPr="00663F20">
              <w:rPr>
                <w:rFonts w:eastAsia="Calibri" w:cs="Times New Roman"/>
                <w:sz w:val="18"/>
                <w:szCs w:val="18"/>
                <w:vertAlign w:val="superscript"/>
              </w:rPr>
              <w:t>3</w:t>
            </w:r>
          </w:p>
        </w:tc>
        <w:tc>
          <w:tcPr>
            <w:tcW w:w="688" w:type="pct"/>
            <w:tcBorders>
              <w:top w:val="nil"/>
              <w:left w:val="nil"/>
              <w:bottom w:val="single" w:sz="4" w:space="0" w:color="auto"/>
              <w:right w:val="single" w:sz="4" w:space="0" w:color="auto"/>
            </w:tcBorders>
            <w:shd w:val="clear" w:color="auto" w:fill="auto"/>
            <w:noWrap/>
            <w:vAlign w:val="center"/>
          </w:tcPr>
          <w:p w14:paraId="1B58415C" w14:textId="77777777" w:rsidR="00663F20" w:rsidRPr="00663F20" w:rsidRDefault="00663F20" w:rsidP="00663F20">
            <w:pPr>
              <w:spacing w:after="0"/>
              <w:ind w:firstLine="0"/>
              <w:contextualSpacing/>
              <w:jc w:val="right"/>
              <w:rPr>
                <w:rFonts w:eastAsia="Calibri" w:cs="Times New Roman"/>
                <w:sz w:val="18"/>
                <w:szCs w:val="18"/>
              </w:rPr>
            </w:pPr>
            <w:r w:rsidRPr="00663F20">
              <w:rPr>
                <w:rFonts w:eastAsia="Calibri" w:cs="Times New Roman"/>
                <w:sz w:val="18"/>
                <w:szCs w:val="18"/>
              </w:rPr>
              <w:t>16 806,1</w:t>
            </w:r>
          </w:p>
        </w:tc>
        <w:tc>
          <w:tcPr>
            <w:tcW w:w="688" w:type="pct"/>
            <w:tcBorders>
              <w:top w:val="nil"/>
              <w:left w:val="nil"/>
              <w:bottom w:val="single" w:sz="4" w:space="0" w:color="auto"/>
              <w:right w:val="single" w:sz="4" w:space="0" w:color="auto"/>
            </w:tcBorders>
            <w:shd w:val="clear" w:color="auto" w:fill="auto"/>
            <w:noWrap/>
            <w:vAlign w:val="center"/>
          </w:tcPr>
          <w:p w14:paraId="23D030C1" w14:textId="77777777" w:rsidR="00663F20" w:rsidRPr="00663F20" w:rsidRDefault="00663F20" w:rsidP="00663F20">
            <w:pPr>
              <w:spacing w:after="0"/>
              <w:ind w:firstLine="0"/>
              <w:contextualSpacing/>
              <w:jc w:val="right"/>
              <w:rPr>
                <w:rFonts w:eastAsia="Calibri" w:cs="Times New Roman"/>
                <w:sz w:val="18"/>
                <w:szCs w:val="18"/>
              </w:rPr>
            </w:pPr>
            <w:r w:rsidRPr="00663F20">
              <w:rPr>
                <w:rFonts w:eastAsia="Calibri" w:cs="Times New Roman"/>
                <w:sz w:val="18"/>
                <w:szCs w:val="18"/>
              </w:rPr>
              <w:t>-</w:t>
            </w:r>
          </w:p>
        </w:tc>
        <w:tc>
          <w:tcPr>
            <w:tcW w:w="623" w:type="pct"/>
            <w:tcBorders>
              <w:top w:val="nil"/>
              <w:left w:val="nil"/>
              <w:bottom w:val="single" w:sz="4" w:space="0" w:color="auto"/>
              <w:right w:val="single" w:sz="4" w:space="0" w:color="auto"/>
            </w:tcBorders>
            <w:shd w:val="clear" w:color="auto" w:fill="auto"/>
            <w:noWrap/>
            <w:vAlign w:val="center"/>
          </w:tcPr>
          <w:p w14:paraId="04EB16C9" w14:textId="77777777" w:rsidR="00663F20" w:rsidRPr="00663F20" w:rsidRDefault="00663F20" w:rsidP="00663F20">
            <w:pPr>
              <w:spacing w:after="0"/>
              <w:ind w:firstLine="0"/>
              <w:contextualSpacing/>
              <w:jc w:val="right"/>
              <w:rPr>
                <w:rFonts w:eastAsia="Calibri" w:cs="Times New Roman"/>
                <w:sz w:val="18"/>
                <w:szCs w:val="18"/>
              </w:rPr>
            </w:pPr>
            <w:r w:rsidRPr="00663F20">
              <w:rPr>
                <w:rFonts w:eastAsia="Calibri" w:cs="Times New Roman"/>
                <w:sz w:val="18"/>
                <w:szCs w:val="18"/>
              </w:rPr>
              <w:t>-</w:t>
            </w:r>
          </w:p>
        </w:tc>
        <w:tc>
          <w:tcPr>
            <w:tcW w:w="349" w:type="pct"/>
            <w:tcBorders>
              <w:top w:val="nil"/>
              <w:left w:val="nil"/>
              <w:bottom w:val="single" w:sz="4" w:space="0" w:color="auto"/>
              <w:right w:val="single" w:sz="4" w:space="0" w:color="auto"/>
            </w:tcBorders>
            <w:shd w:val="clear" w:color="auto" w:fill="auto"/>
            <w:noWrap/>
            <w:vAlign w:val="center"/>
          </w:tcPr>
          <w:p w14:paraId="49D5D91D" w14:textId="77777777" w:rsidR="00663F20" w:rsidRPr="00663F20" w:rsidRDefault="00663F20" w:rsidP="00663F20">
            <w:pPr>
              <w:spacing w:after="0"/>
              <w:ind w:firstLine="0"/>
              <w:contextualSpacing/>
              <w:jc w:val="right"/>
              <w:rPr>
                <w:rFonts w:eastAsia="Calibri" w:cs="Times New Roman"/>
                <w:sz w:val="18"/>
                <w:szCs w:val="18"/>
              </w:rPr>
            </w:pPr>
            <w:r w:rsidRPr="00663F20">
              <w:rPr>
                <w:rFonts w:eastAsia="Calibri" w:cs="Times New Roman"/>
                <w:sz w:val="18"/>
                <w:szCs w:val="18"/>
              </w:rPr>
              <w:t>-</w:t>
            </w:r>
          </w:p>
        </w:tc>
      </w:tr>
      <w:tr w:rsidR="00663F20" w:rsidRPr="00663F20" w14:paraId="325C26FB" w14:textId="77777777" w:rsidTr="006D3E62">
        <w:trPr>
          <w:trHeight w:val="293"/>
          <w:jc w:val="center"/>
        </w:trPr>
        <w:tc>
          <w:tcPr>
            <w:tcW w:w="26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D059504"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t>Fizisko personu deklarētie attaisnotie izdevumi izglītības un specialitātes iegūšanai, kvalifikācijas paaugstināšanai un medicīnas un ārstnieciskajiem pakalpojumiem, ziedojumiem un dāvinājumiem kopā (</w:t>
            </w:r>
            <w:r w:rsidRPr="00663F20">
              <w:rPr>
                <w:rFonts w:eastAsia="Calibri" w:cs="Times New Roman"/>
                <w:i/>
                <w:iCs/>
                <w:sz w:val="18"/>
                <w:szCs w:val="18"/>
              </w:rPr>
              <w:t>gada ienākumu deklarācijas D lapas 6. rinda</w:t>
            </w:r>
            <w:r w:rsidRPr="00663F20">
              <w:rPr>
                <w:rFonts w:eastAsia="Calibri" w:cs="Times New Roman"/>
                <w:sz w:val="18"/>
                <w:szCs w:val="18"/>
              </w:rPr>
              <w:t>)</w:t>
            </w:r>
          </w:p>
        </w:tc>
        <w:tc>
          <w:tcPr>
            <w:tcW w:w="688" w:type="pct"/>
            <w:tcBorders>
              <w:top w:val="nil"/>
              <w:left w:val="nil"/>
              <w:bottom w:val="single" w:sz="4" w:space="0" w:color="auto"/>
              <w:right w:val="single" w:sz="4" w:space="0" w:color="auto"/>
            </w:tcBorders>
            <w:shd w:val="clear" w:color="auto" w:fill="auto"/>
            <w:noWrap/>
            <w:vAlign w:val="center"/>
          </w:tcPr>
          <w:p w14:paraId="1A328D67"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164 236,9</w:t>
            </w:r>
          </w:p>
        </w:tc>
        <w:tc>
          <w:tcPr>
            <w:tcW w:w="688" w:type="pct"/>
            <w:tcBorders>
              <w:top w:val="nil"/>
              <w:left w:val="nil"/>
              <w:bottom w:val="single" w:sz="4" w:space="0" w:color="auto"/>
              <w:right w:val="single" w:sz="4" w:space="0" w:color="auto"/>
            </w:tcBorders>
            <w:shd w:val="clear" w:color="auto" w:fill="auto"/>
            <w:noWrap/>
            <w:vAlign w:val="center"/>
          </w:tcPr>
          <w:p w14:paraId="20675ED1"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167 208,2</w:t>
            </w:r>
          </w:p>
        </w:tc>
        <w:tc>
          <w:tcPr>
            <w:tcW w:w="623" w:type="pct"/>
            <w:tcBorders>
              <w:top w:val="nil"/>
              <w:left w:val="nil"/>
              <w:bottom w:val="single" w:sz="4" w:space="0" w:color="auto"/>
              <w:right w:val="single" w:sz="4" w:space="0" w:color="auto"/>
            </w:tcBorders>
            <w:shd w:val="clear" w:color="auto" w:fill="auto"/>
            <w:noWrap/>
            <w:vAlign w:val="center"/>
          </w:tcPr>
          <w:p w14:paraId="38AD4CD2"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+2 971,3</w:t>
            </w:r>
          </w:p>
        </w:tc>
        <w:tc>
          <w:tcPr>
            <w:tcW w:w="349" w:type="pct"/>
            <w:tcBorders>
              <w:top w:val="nil"/>
              <w:left w:val="nil"/>
              <w:bottom w:val="single" w:sz="4" w:space="0" w:color="auto"/>
              <w:right w:val="single" w:sz="4" w:space="0" w:color="auto"/>
            </w:tcBorders>
            <w:shd w:val="clear" w:color="auto" w:fill="auto"/>
            <w:noWrap/>
            <w:vAlign w:val="center"/>
          </w:tcPr>
          <w:p w14:paraId="6B68E668"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+1,8</w:t>
            </w:r>
          </w:p>
        </w:tc>
      </w:tr>
      <w:tr w:rsidR="00663F20" w:rsidRPr="00663F20" w14:paraId="799F9503" w14:textId="77777777" w:rsidTr="006D3E62">
        <w:trPr>
          <w:trHeight w:val="293"/>
          <w:jc w:val="center"/>
        </w:trPr>
        <w:tc>
          <w:tcPr>
            <w:tcW w:w="26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04720" w14:textId="77777777" w:rsidR="00663F20" w:rsidRPr="00663F20" w:rsidRDefault="00663F20" w:rsidP="00663F20">
            <w:pPr>
              <w:keepLines/>
              <w:spacing w:after="0"/>
              <w:ind w:firstLine="0"/>
              <w:contextualSpacing/>
              <w:jc w:val="left"/>
              <w:rPr>
                <w:rFonts w:eastAsia="Calibri" w:cs="Times New Roman"/>
                <w:sz w:val="18"/>
                <w:szCs w:val="18"/>
              </w:rPr>
            </w:pPr>
            <w:r w:rsidRPr="00663F20">
              <w:rPr>
                <w:rFonts w:eastAsia="Calibri" w:cs="Times New Roman"/>
                <w:sz w:val="18"/>
                <w:szCs w:val="18"/>
              </w:rPr>
              <w:t>Privātajos pensiju fondos izdarītās iemaksas un apdrošināšanas prēmiju maksājumi atbilstoši dzīvības apdrošināšanas līgumam (ar līdzekļu uzkrāšanu) (</w:t>
            </w:r>
            <w:r w:rsidRPr="00663F20">
              <w:rPr>
                <w:rFonts w:eastAsia="Calibri" w:cs="Times New Roman"/>
                <w:i/>
                <w:iCs/>
                <w:sz w:val="18"/>
                <w:szCs w:val="18"/>
              </w:rPr>
              <w:t>gada ienākumu deklarācijas D lapas 7. rinda</w:t>
            </w:r>
            <w:r w:rsidRPr="00663F20">
              <w:rPr>
                <w:rFonts w:eastAsia="Calibri" w:cs="Times New Roman"/>
                <w:sz w:val="18"/>
                <w:szCs w:val="18"/>
              </w:rPr>
              <w:t>)</w:t>
            </w:r>
          </w:p>
        </w:tc>
        <w:tc>
          <w:tcPr>
            <w:tcW w:w="688" w:type="pct"/>
            <w:tcBorders>
              <w:top w:val="nil"/>
              <w:left w:val="nil"/>
              <w:bottom w:val="single" w:sz="4" w:space="0" w:color="auto"/>
              <w:right w:val="single" w:sz="4" w:space="0" w:color="auto"/>
            </w:tcBorders>
            <w:shd w:val="clear" w:color="auto" w:fill="auto"/>
            <w:noWrap/>
            <w:vAlign w:val="center"/>
          </w:tcPr>
          <w:p w14:paraId="66C5453A"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121 505,7</w:t>
            </w:r>
          </w:p>
        </w:tc>
        <w:tc>
          <w:tcPr>
            <w:tcW w:w="688" w:type="pct"/>
            <w:tcBorders>
              <w:top w:val="nil"/>
              <w:left w:val="nil"/>
              <w:bottom w:val="single" w:sz="4" w:space="0" w:color="auto"/>
              <w:right w:val="single" w:sz="4" w:space="0" w:color="auto"/>
            </w:tcBorders>
            <w:shd w:val="clear" w:color="auto" w:fill="auto"/>
            <w:noWrap/>
            <w:vAlign w:val="center"/>
          </w:tcPr>
          <w:p w14:paraId="38FDC186"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114 434,2</w:t>
            </w:r>
          </w:p>
        </w:tc>
        <w:tc>
          <w:tcPr>
            <w:tcW w:w="623" w:type="pct"/>
            <w:tcBorders>
              <w:top w:val="nil"/>
              <w:left w:val="nil"/>
              <w:bottom w:val="single" w:sz="4" w:space="0" w:color="auto"/>
              <w:right w:val="single" w:sz="4" w:space="0" w:color="auto"/>
            </w:tcBorders>
            <w:shd w:val="clear" w:color="auto" w:fill="auto"/>
            <w:noWrap/>
            <w:vAlign w:val="center"/>
          </w:tcPr>
          <w:p w14:paraId="79F60A64"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-7 071,5</w:t>
            </w:r>
          </w:p>
        </w:tc>
        <w:tc>
          <w:tcPr>
            <w:tcW w:w="349" w:type="pct"/>
            <w:tcBorders>
              <w:top w:val="nil"/>
              <w:left w:val="nil"/>
              <w:bottom w:val="single" w:sz="4" w:space="0" w:color="auto"/>
              <w:right w:val="single" w:sz="4" w:space="0" w:color="auto"/>
            </w:tcBorders>
            <w:shd w:val="clear" w:color="auto" w:fill="auto"/>
            <w:noWrap/>
            <w:vAlign w:val="center"/>
          </w:tcPr>
          <w:p w14:paraId="6EF9A0ED" w14:textId="77777777" w:rsidR="00663F20" w:rsidRPr="00663F20" w:rsidRDefault="00663F20" w:rsidP="00663F20">
            <w:pPr>
              <w:spacing w:after="0"/>
              <w:ind w:firstLine="0"/>
              <w:contextualSpacing/>
              <w:jc w:val="right"/>
              <w:rPr>
                <w:rFonts w:eastAsia="Calibri" w:cs="Times New Roman"/>
                <w:sz w:val="18"/>
                <w:szCs w:val="18"/>
              </w:rPr>
            </w:pPr>
            <w:r w:rsidRPr="00663F20">
              <w:rPr>
                <w:rFonts w:cs="Times New Roman"/>
                <w:color w:val="000000"/>
                <w:sz w:val="18"/>
                <w:szCs w:val="18"/>
              </w:rPr>
              <w:t>-5,8</w:t>
            </w:r>
          </w:p>
        </w:tc>
      </w:tr>
    </w:tbl>
    <w:p w14:paraId="7A248A19" w14:textId="77777777" w:rsidR="00663F20" w:rsidRPr="00663F20" w:rsidRDefault="00663F20" w:rsidP="00663F20">
      <w:pPr>
        <w:spacing w:after="240"/>
        <w:ind w:firstLine="0"/>
        <w:contextualSpacing/>
        <w:rPr>
          <w:rFonts w:eastAsia="Calibri" w:cs="Times New Roman"/>
          <w:sz w:val="16"/>
          <w:szCs w:val="16"/>
          <w:lang w:eastAsia="en-US"/>
        </w:rPr>
      </w:pPr>
      <w:r w:rsidRPr="00663F20">
        <w:rPr>
          <w:rFonts w:eastAsia="Calibri" w:cs="Times New Roman"/>
          <w:sz w:val="16"/>
          <w:szCs w:val="16"/>
          <w:vertAlign w:val="superscript"/>
          <w:lang w:eastAsia="en-US"/>
        </w:rPr>
        <w:t>1</w:t>
      </w:r>
      <w:r w:rsidRPr="00663F20">
        <w:rPr>
          <w:rFonts w:eastAsia="Calibri" w:cs="Times New Roman"/>
          <w:sz w:val="16"/>
          <w:szCs w:val="16"/>
          <w:lang w:eastAsia="en-US"/>
        </w:rPr>
        <w:t xml:space="preserve"> Dati uz 09.10.2024. </w:t>
      </w:r>
    </w:p>
    <w:p w14:paraId="66D2E494" w14:textId="77777777" w:rsidR="00663F20" w:rsidRPr="00663F20" w:rsidRDefault="00663F20" w:rsidP="00663F20">
      <w:pPr>
        <w:spacing w:after="240"/>
        <w:ind w:firstLine="0"/>
        <w:contextualSpacing/>
        <w:rPr>
          <w:rFonts w:eastAsia="Calibri" w:cs="Times New Roman"/>
          <w:sz w:val="16"/>
          <w:szCs w:val="16"/>
          <w:lang w:eastAsia="en-US"/>
        </w:rPr>
      </w:pPr>
      <w:r w:rsidRPr="00663F20">
        <w:rPr>
          <w:rFonts w:eastAsia="Calibri" w:cs="Times New Roman"/>
          <w:sz w:val="16"/>
          <w:szCs w:val="16"/>
          <w:vertAlign w:val="superscript"/>
          <w:lang w:eastAsia="en-US"/>
        </w:rPr>
        <w:t>2</w:t>
      </w:r>
      <w:r w:rsidRPr="00663F20">
        <w:rPr>
          <w:rFonts w:eastAsia="Calibri" w:cs="Times New Roman"/>
          <w:sz w:val="16"/>
          <w:szCs w:val="16"/>
          <w:lang w:eastAsia="en-US"/>
        </w:rPr>
        <w:t> Informācija no paziņojumiem par fiziskajai personai izmaksātajām summām un no gada ienākumu deklarācijām par saimnieciskā darba veicējiem.</w:t>
      </w:r>
    </w:p>
    <w:p w14:paraId="4397F993" w14:textId="77777777" w:rsidR="00663F20" w:rsidRPr="00663F20" w:rsidRDefault="00663F20" w:rsidP="00663F20">
      <w:pPr>
        <w:spacing w:after="240"/>
        <w:ind w:firstLine="0"/>
        <w:contextualSpacing/>
        <w:rPr>
          <w:rFonts w:eastAsia="Calibri" w:cs="Times New Roman"/>
          <w:sz w:val="16"/>
          <w:szCs w:val="16"/>
          <w:lang w:eastAsia="en-US"/>
        </w:rPr>
      </w:pPr>
      <w:r w:rsidRPr="00663F20">
        <w:rPr>
          <w:rFonts w:eastAsia="Calibri" w:cs="Times New Roman"/>
          <w:sz w:val="16"/>
          <w:szCs w:val="16"/>
          <w:vertAlign w:val="superscript"/>
          <w:lang w:eastAsia="en-US"/>
        </w:rPr>
        <w:t>3</w:t>
      </w:r>
      <w:r w:rsidRPr="00663F20">
        <w:rPr>
          <w:rFonts w:eastAsia="Calibri" w:cs="Times New Roman"/>
          <w:sz w:val="16"/>
          <w:szCs w:val="16"/>
          <w:lang w:eastAsia="en-US"/>
        </w:rPr>
        <w:t xml:space="preserve"> Sākot no 2023. gada ienākumu deklarācijas D3 pielikumā vairs netiek atspoguļota rinda “</w:t>
      </w:r>
      <w:r w:rsidRPr="00663F20">
        <w:rPr>
          <w:rFonts w:eastAsia="Calibri" w:cs="Times New Roman"/>
          <w:i/>
          <w:iCs/>
          <w:sz w:val="16"/>
          <w:szCs w:val="16"/>
          <w:lang w:eastAsia="en-US"/>
        </w:rPr>
        <w:t>Ar iedzīvotāju ienākuma nodokli neapliekamie ienākumi no lauksaimnieciskās ražošanas</w:t>
      </w:r>
      <w:r w:rsidRPr="00663F20">
        <w:rPr>
          <w:rFonts w:eastAsia="Calibri" w:cs="Times New Roman"/>
          <w:sz w:val="16"/>
          <w:szCs w:val="16"/>
          <w:lang w:eastAsia="en-US"/>
        </w:rPr>
        <w:t>”.</w:t>
      </w:r>
    </w:p>
    <w:p w14:paraId="384E6740" w14:textId="77777777" w:rsidR="00663F20" w:rsidRPr="00663F20" w:rsidRDefault="00663F20" w:rsidP="00663F20">
      <w:pPr>
        <w:rPr>
          <w:rFonts w:cs="Times New Roman"/>
        </w:rPr>
      </w:pPr>
    </w:p>
    <w:p w14:paraId="32DBDCD7" w14:textId="77777777" w:rsidR="00663F20" w:rsidRPr="00663F20" w:rsidRDefault="00663F20" w:rsidP="00663F20">
      <w:pPr>
        <w:keepNext/>
        <w:keepLines/>
        <w:spacing w:before="200"/>
        <w:ind w:left="426" w:firstLine="0"/>
        <w:jc w:val="center"/>
        <w:outlineLvl w:val="2"/>
        <w:rPr>
          <w:rFonts w:eastAsia="Calibri" w:cs="Times New Roman"/>
          <w:b/>
          <w:bCs/>
          <w:color w:val="000000" w:themeColor="text1"/>
          <w:sz w:val="28"/>
          <w:szCs w:val="28"/>
        </w:rPr>
      </w:pPr>
      <w:bookmarkStart w:id="104" w:name="_Toc126236669"/>
      <w:bookmarkStart w:id="105" w:name="_Toc179356106"/>
      <w:r w:rsidRPr="00663F20">
        <w:rPr>
          <w:rFonts w:eastAsia="Calibri" w:cs="Times New Roman"/>
          <w:b/>
          <w:bCs/>
          <w:color w:val="000000" w:themeColor="text1"/>
          <w:sz w:val="32"/>
          <w:szCs w:val="32"/>
        </w:rPr>
        <w:t>3.5.2. Valsts ieņēmumu dienesta administrēto kopbudžeta maksājumu parādi</w:t>
      </w:r>
      <w:bookmarkEnd w:id="104"/>
      <w:bookmarkEnd w:id="105"/>
    </w:p>
    <w:p w14:paraId="37B3EEBC" w14:textId="716FE0EA" w:rsidR="00663F20" w:rsidRPr="00663F20" w:rsidRDefault="00663F20" w:rsidP="00CB6A85">
      <w:pPr>
        <w:rPr>
          <w:rFonts w:eastAsia="Calibri" w:cs="Times New Roman"/>
          <w:szCs w:val="24"/>
        </w:rPr>
      </w:pPr>
      <w:r w:rsidRPr="00663F20">
        <w:rPr>
          <w:rFonts w:eastAsia="Calibri" w:cs="Times New Roman"/>
          <w:szCs w:val="24"/>
        </w:rPr>
        <w:t>VID administrēto kopbudžeta maksājumu parāds 2024. gada 1. janvārī bija 862,3 milj. </w:t>
      </w:r>
      <w:proofErr w:type="spellStart"/>
      <w:r w:rsidRPr="00663F20">
        <w:rPr>
          <w:rFonts w:eastAsia="Calibri" w:cs="Times New Roman"/>
          <w:i/>
          <w:iCs/>
          <w:szCs w:val="24"/>
        </w:rPr>
        <w:t>euro</w:t>
      </w:r>
      <w:proofErr w:type="spellEnd"/>
      <w:r w:rsidRPr="00663F20">
        <w:rPr>
          <w:rFonts w:eastAsia="Calibri" w:cs="Times New Roman"/>
          <w:szCs w:val="24"/>
        </w:rPr>
        <w:t>. Salīdzinot ar 2023. gada 1. janvāri, kopējais parāds ir samazinājies par 14,5 milj. </w:t>
      </w:r>
      <w:proofErr w:type="spellStart"/>
      <w:r w:rsidRPr="00663F20">
        <w:rPr>
          <w:rFonts w:eastAsia="Calibri" w:cs="Times New Roman"/>
          <w:i/>
          <w:iCs/>
          <w:szCs w:val="24"/>
        </w:rPr>
        <w:t>euro</w:t>
      </w:r>
      <w:proofErr w:type="spellEnd"/>
      <w:r w:rsidRPr="00663F20">
        <w:rPr>
          <w:rFonts w:eastAsia="Calibri" w:cs="Times New Roman"/>
          <w:szCs w:val="24"/>
        </w:rPr>
        <w:t xml:space="preserve"> jeb 1,6% (skat. 3.22. tabulu). </w:t>
      </w:r>
    </w:p>
    <w:p w14:paraId="019CF4A8" w14:textId="77777777" w:rsidR="006D3E62" w:rsidRDefault="00663F20" w:rsidP="00CB6A85">
      <w:pPr>
        <w:rPr>
          <w:rFonts w:cs="Times New Roman"/>
          <w:szCs w:val="24"/>
        </w:rPr>
      </w:pPr>
      <w:r w:rsidRPr="00663F20">
        <w:rPr>
          <w:rFonts w:cs="Times New Roman"/>
          <w:szCs w:val="24"/>
        </w:rPr>
        <w:t>Kopējā parāda samazinājums 2024. gada 1. janvārī, salīdzinot ar 2023. gada 1. janvāri, skaidrojams ar termiņa pagarinājumu atlikuma summas kritumu par 47,2 milj. </w:t>
      </w:r>
      <w:proofErr w:type="spellStart"/>
      <w:r w:rsidRPr="00663F20">
        <w:rPr>
          <w:rFonts w:cs="Times New Roman"/>
          <w:i/>
          <w:iCs/>
          <w:szCs w:val="24"/>
        </w:rPr>
        <w:t>euro</w:t>
      </w:r>
      <w:proofErr w:type="spellEnd"/>
      <w:r w:rsidRPr="00663F20">
        <w:rPr>
          <w:rFonts w:cs="Times New Roman"/>
          <w:szCs w:val="24"/>
        </w:rPr>
        <w:t xml:space="preserve"> jeb 33,4%, kā arī apturēto parādu samazinājumu par 32,8 milj. </w:t>
      </w:r>
      <w:proofErr w:type="spellStart"/>
      <w:r w:rsidRPr="00663F20">
        <w:rPr>
          <w:rFonts w:cs="Times New Roman"/>
          <w:i/>
          <w:iCs/>
          <w:szCs w:val="24"/>
        </w:rPr>
        <w:t>euro</w:t>
      </w:r>
      <w:proofErr w:type="spellEnd"/>
      <w:r w:rsidRPr="00663F20">
        <w:rPr>
          <w:rFonts w:cs="Times New Roman"/>
          <w:szCs w:val="24"/>
        </w:rPr>
        <w:t xml:space="preserve"> jeb 12,8%.</w:t>
      </w:r>
    </w:p>
    <w:p w14:paraId="1BA3BABF" w14:textId="2C423FCF" w:rsidR="006D3E62" w:rsidRPr="006D3E62" w:rsidRDefault="006D3E62" w:rsidP="006D3E62">
      <w:pPr>
        <w:ind w:firstLine="709"/>
        <w:jc w:val="right"/>
        <w:rPr>
          <w:rFonts w:cs="Times New Roman"/>
          <w:b/>
          <w:bCs/>
          <w:szCs w:val="24"/>
        </w:rPr>
      </w:pPr>
      <w:r w:rsidRPr="006D3E62">
        <w:rPr>
          <w:rFonts w:cs="Times New Roman"/>
          <w:b/>
          <w:bCs/>
          <w:szCs w:val="24"/>
        </w:rPr>
        <w:t>3.22. tabula. Valsts ieņēmumu dienesta administrēto kopbudžeta maksājumu parāds</w:t>
      </w:r>
    </w:p>
    <w:tbl>
      <w:tblPr>
        <w:tblpPr w:leftFromText="180" w:rightFromText="180" w:vertAnchor="text" w:horzAnchor="page" w:tblpX="2631" w:tblpY="210"/>
        <w:tblW w:w="4207" w:type="pct"/>
        <w:tblCellMar>
          <w:left w:w="30" w:type="dxa"/>
          <w:right w:w="30" w:type="dxa"/>
        </w:tblCellMar>
        <w:tblLook w:val="0000" w:firstRow="0" w:lastRow="0" w:firstColumn="0" w:lastColumn="0" w:noHBand="0" w:noVBand="0"/>
      </w:tblPr>
      <w:tblGrid>
        <w:gridCol w:w="2637"/>
        <w:gridCol w:w="1245"/>
        <w:gridCol w:w="1245"/>
        <w:gridCol w:w="1221"/>
        <w:gridCol w:w="1271"/>
      </w:tblGrid>
      <w:tr w:rsidR="006D3E62" w:rsidRPr="00663F20" w14:paraId="6DCC1F8D" w14:textId="77777777" w:rsidTr="008E1E6C">
        <w:trPr>
          <w:trHeight w:val="292"/>
          <w:tblHeader/>
        </w:trPr>
        <w:tc>
          <w:tcPr>
            <w:tcW w:w="1731" w:type="pct"/>
            <w:vMerge w:val="restart"/>
            <w:tcBorders>
              <w:top w:val="single" w:sz="6" w:space="0" w:color="auto"/>
              <w:left w:val="single" w:sz="6" w:space="0" w:color="auto"/>
              <w:right w:val="nil"/>
            </w:tcBorders>
            <w:shd w:val="clear" w:color="auto" w:fill="8EAADB" w:themeFill="accent5" w:themeFillTint="99"/>
            <w:vAlign w:val="center"/>
          </w:tcPr>
          <w:p w14:paraId="46D1B4C8" w14:textId="77777777" w:rsidR="006D3E62" w:rsidRPr="00663F20" w:rsidRDefault="006D3E62" w:rsidP="006D3E62">
            <w:pPr>
              <w:keepNext/>
              <w:keepLines/>
              <w:spacing w:after="0"/>
              <w:ind w:firstLine="0"/>
              <w:contextualSpacing/>
              <w:jc w:val="center"/>
              <w:rPr>
                <w:rFonts w:eastAsia="Calibri" w:cs="Times New Roman"/>
                <w:b/>
                <w:bCs/>
                <w:sz w:val="20"/>
                <w:szCs w:val="24"/>
              </w:rPr>
            </w:pPr>
          </w:p>
        </w:tc>
        <w:tc>
          <w:tcPr>
            <w:tcW w:w="817" w:type="pct"/>
            <w:tcBorders>
              <w:top w:val="single" w:sz="6" w:space="0" w:color="auto"/>
              <w:left w:val="single" w:sz="6" w:space="0" w:color="auto"/>
              <w:bottom w:val="single" w:sz="4" w:space="0" w:color="auto"/>
              <w:right w:val="single" w:sz="6" w:space="0" w:color="auto"/>
            </w:tcBorders>
            <w:shd w:val="clear" w:color="auto" w:fill="8EAADB" w:themeFill="accent5" w:themeFillTint="99"/>
            <w:vAlign w:val="center"/>
          </w:tcPr>
          <w:p w14:paraId="76112CC1" w14:textId="77777777" w:rsidR="006D3E62" w:rsidRPr="00663F20" w:rsidRDefault="006D3E62" w:rsidP="006D3E62">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01.01.2023.</w:t>
            </w:r>
          </w:p>
        </w:tc>
        <w:tc>
          <w:tcPr>
            <w:tcW w:w="817" w:type="pct"/>
            <w:tcBorders>
              <w:top w:val="single" w:sz="6" w:space="0" w:color="auto"/>
              <w:left w:val="single" w:sz="6" w:space="0" w:color="auto"/>
              <w:bottom w:val="single" w:sz="4" w:space="0" w:color="auto"/>
              <w:right w:val="single" w:sz="6" w:space="0" w:color="auto"/>
            </w:tcBorders>
            <w:shd w:val="clear" w:color="auto" w:fill="8EAADB" w:themeFill="accent5" w:themeFillTint="99"/>
            <w:vAlign w:val="center"/>
          </w:tcPr>
          <w:p w14:paraId="0BEEDFA1" w14:textId="77777777" w:rsidR="006D3E62" w:rsidRPr="00663F20" w:rsidRDefault="006D3E62" w:rsidP="006D3E62">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01.01.2024.</w:t>
            </w:r>
          </w:p>
        </w:tc>
        <w:tc>
          <w:tcPr>
            <w:tcW w:w="1635" w:type="pct"/>
            <w:gridSpan w:val="2"/>
            <w:tcBorders>
              <w:top w:val="single" w:sz="6" w:space="0" w:color="auto"/>
              <w:left w:val="single" w:sz="6" w:space="0" w:color="auto"/>
              <w:bottom w:val="single" w:sz="6" w:space="0" w:color="auto"/>
              <w:right w:val="single" w:sz="6" w:space="0" w:color="auto"/>
            </w:tcBorders>
            <w:shd w:val="clear" w:color="auto" w:fill="8EAADB" w:themeFill="accent5" w:themeFillTint="99"/>
            <w:vAlign w:val="center"/>
          </w:tcPr>
          <w:p w14:paraId="6605CC2C" w14:textId="77777777" w:rsidR="006D3E62" w:rsidRPr="00663F20" w:rsidRDefault="006D3E62" w:rsidP="006D3E62">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Izmaiņas</w:t>
            </w:r>
          </w:p>
          <w:p w14:paraId="0776A607" w14:textId="77777777" w:rsidR="006D3E62" w:rsidRPr="00663F20" w:rsidRDefault="006D3E62" w:rsidP="006D3E62">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(01.01.2024. - 01.01.2023.)</w:t>
            </w:r>
          </w:p>
        </w:tc>
      </w:tr>
      <w:tr w:rsidR="006D3E62" w:rsidRPr="00663F20" w14:paraId="75B51AE0" w14:textId="77777777" w:rsidTr="008E1E6C">
        <w:trPr>
          <w:trHeight w:val="241"/>
          <w:tblHeader/>
        </w:trPr>
        <w:tc>
          <w:tcPr>
            <w:tcW w:w="1731" w:type="pct"/>
            <w:vMerge/>
            <w:tcBorders>
              <w:left w:val="single" w:sz="6" w:space="0" w:color="auto"/>
              <w:bottom w:val="nil"/>
              <w:right w:val="nil"/>
            </w:tcBorders>
            <w:shd w:val="clear" w:color="auto" w:fill="9CC2E5" w:themeFill="accent1" w:themeFillTint="99"/>
            <w:vAlign w:val="center"/>
          </w:tcPr>
          <w:p w14:paraId="4AE3493A" w14:textId="77777777" w:rsidR="006D3E62" w:rsidRPr="00663F20" w:rsidRDefault="006D3E62" w:rsidP="006D3E62">
            <w:pPr>
              <w:keepNext/>
              <w:keepLines/>
              <w:spacing w:after="0"/>
              <w:ind w:firstLine="0"/>
              <w:contextualSpacing/>
              <w:jc w:val="center"/>
              <w:rPr>
                <w:rFonts w:eastAsia="Calibri" w:cs="Times New Roman"/>
                <w:b/>
                <w:bCs/>
                <w:sz w:val="20"/>
                <w:szCs w:val="24"/>
              </w:rPr>
            </w:pPr>
          </w:p>
        </w:tc>
        <w:tc>
          <w:tcPr>
            <w:tcW w:w="817" w:type="pct"/>
            <w:tcBorders>
              <w:top w:val="single" w:sz="4" w:space="0" w:color="auto"/>
              <w:left w:val="single" w:sz="6" w:space="0" w:color="auto"/>
              <w:bottom w:val="single" w:sz="6" w:space="0" w:color="auto"/>
              <w:right w:val="single" w:sz="6" w:space="0" w:color="auto"/>
            </w:tcBorders>
            <w:shd w:val="clear" w:color="auto" w:fill="B4C6E7" w:themeFill="accent5" w:themeFillTint="66"/>
            <w:vAlign w:val="center"/>
          </w:tcPr>
          <w:p w14:paraId="0C7D0A38" w14:textId="77777777" w:rsidR="006D3E62" w:rsidRPr="00663F20" w:rsidRDefault="006D3E62" w:rsidP="006D3E62">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 xml:space="preserve">milj. </w:t>
            </w:r>
            <w:proofErr w:type="spellStart"/>
            <w:r w:rsidRPr="00663F20">
              <w:rPr>
                <w:rFonts w:eastAsia="Calibri" w:cs="Times New Roman"/>
                <w:b/>
                <w:bCs/>
                <w:i/>
                <w:iCs/>
                <w:sz w:val="20"/>
                <w:szCs w:val="24"/>
              </w:rPr>
              <w:t>euro</w:t>
            </w:r>
            <w:proofErr w:type="spellEnd"/>
          </w:p>
        </w:tc>
        <w:tc>
          <w:tcPr>
            <w:tcW w:w="817" w:type="pct"/>
            <w:tcBorders>
              <w:top w:val="single" w:sz="4" w:space="0" w:color="auto"/>
              <w:left w:val="single" w:sz="6" w:space="0" w:color="auto"/>
              <w:bottom w:val="single" w:sz="6" w:space="0" w:color="auto"/>
              <w:right w:val="single" w:sz="6" w:space="0" w:color="auto"/>
            </w:tcBorders>
            <w:shd w:val="clear" w:color="auto" w:fill="B4C6E7" w:themeFill="accent5" w:themeFillTint="66"/>
            <w:vAlign w:val="center"/>
          </w:tcPr>
          <w:p w14:paraId="33FDB925" w14:textId="77777777" w:rsidR="006D3E62" w:rsidRPr="00663F20" w:rsidRDefault="006D3E62" w:rsidP="006D3E62">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 xml:space="preserve">milj. </w:t>
            </w:r>
            <w:proofErr w:type="spellStart"/>
            <w:r w:rsidRPr="00663F20">
              <w:rPr>
                <w:rFonts w:eastAsia="Calibri" w:cs="Times New Roman"/>
                <w:b/>
                <w:bCs/>
                <w:i/>
                <w:iCs/>
                <w:sz w:val="20"/>
                <w:szCs w:val="24"/>
              </w:rPr>
              <w:t>euro</w:t>
            </w:r>
            <w:proofErr w:type="spellEnd"/>
          </w:p>
        </w:tc>
        <w:tc>
          <w:tcPr>
            <w:tcW w:w="801" w:type="pct"/>
            <w:tcBorders>
              <w:top w:val="single" w:sz="4" w:space="0" w:color="auto"/>
              <w:left w:val="single" w:sz="6" w:space="0" w:color="auto"/>
              <w:bottom w:val="single" w:sz="6" w:space="0" w:color="auto"/>
              <w:right w:val="single" w:sz="6" w:space="0" w:color="auto"/>
            </w:tcBorders>
            <w:shd w:val="clear" w:color="auto" w:fill="B4C6E7" w:themeFill="accent5" w:themeFillTint="66"/>
            <w:vAlign w:val="center"/>
          </w:tcPr>
          <w:p w14:paraId="27B4A020" w14:textId="77777777" w:rsidR="006D3E62" w:rsidRPr="00663F20" w:rsidRDefault="006D3E62" w:rsidP="006D3E62">
            <w:pPr>
              <w:keepNext/>
              <w:keepLines/>
              <w:spacing w:after="0"/>
              <w:ind w:firstLine="0"/>
              <w:contextualSpacing/>
              <w:jc w:val="center"/>
              <w:rPr>
                <w:rFonts w:eastAsia="Calibri" w:cs="Times New Roman"/>
                <w:b/>
                <w:bCs/>
                <w:i/>
                <w:iCs/>
                <w:sz w:val="20"/>
                <w:szCs w:val="24"/>
              </w:rPr>
            </w:pPr>
            <w:r w:rsidRPr="00663F20">
              <w:rPr>
                <w:rFonts w:eastAsia="Calibri" w:cs="Times New Roman"/>
                <w:b/>
                <w:bCs/>
                <w:sz w:val="20"/>
                <w:szCs w:val="24"/>
              </w:rPr>
              <w:t xml:space="preserve">milj. </w:t>
            </w:r>
            <w:proofErr w:type="spellStart"/>
            <w:r w:rsidRPr="00663F20">
              <w:rPr>
                <w:rFonts w:eastAsia="Calibri" w:cs="Times New Roman"/>
                <w:b/>
                <w:bCs/>
                <w:i/>
                <w:iCs/>
                <w:sz w:val="20"/>
                <w:szCs w:val="24"/>
              </w:rPr>
              <w:t>euro</w:t>
            </w:r>
            <w:proofErr w:type="spellEnd"/>
          </w:p>
        </w:tc>
        <w:tc>
          <w:tcPr>
            <w:tcW w:w="834" w:type="pct"/>
            <w:tcBorders>
              <w:top w:val="single" w:sz="6" w:space="0" w:color="auto"/>
              <w:left w:val="single" w:sz="6" w:space="0" w:color="auto"/>
              <w:bottom w:val="single" w:sz="6" w:space="0" w:color="auto"/>
              <w:right w:val="single" w:sz="6" w:space="0" w:color="auto"/>
            </w:tcBorders>
            <w:shd w:val="clear" w:color="auto" w:fill="B4C6E7" w:themeFill="accent5" w:themeFillTint="66"/>
            <w:vAlign w:val="center"/>
          </w:tcPr>
          <w:p w14:paraId="576FC3BD" w14:textId="77777777" w:rsidR="006D3E62" w:rsidRPr="00663F20" w:rsidRDefault="006D3E62" w:rsidP="006D3E62">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 %</w:t>
            </w:r>
          </w:p>
        </w:tc>
      </w:tr>
      <w:tr w:rsidR="006D3E62" w:rsidRPr="00663F20" w14:paraId="1D671E8C"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3FD4EED3" w14:textId="77777777" w:rsidR="006D3E62" w:rsidRPr="00663F20" w:rsidRDefault="006D3E62" w:rsidP="006D3E62">
            <w:pPr>
              <w:keepNext/>
              <w:keepLines/>
              <w:spacing w:after="0"/>
              <w:ind w:firstLine="0"/>
              <w:jc w:val="left"/>
              <w:rPr>
                <w:rFonts w:eastAsia="Calibri" w:cs="Times New Roman"/>
                <w:b/>
                <w:bCs/>
                <w:noProof/>
                <w:sz w:val="18"/>
                <w:szCs w:val="24"/>
              </w:rPr>
            </w:pPr>
            <w:r w:rsidRPr="00663F20">
              <w:rPr>
                <w:rFonts w:eastAsia="Calibri" w:cs="Times New Roman"/>
                <w:b/>
                <w:bCs/>
                <w:noProof/>
                <w:sz w:val="18"/>
                <w:szCs w:val="24"/>
              </w:rPr>
              <w:t>Parāda summa kopā</w:t>
            </w:r>
            <w:r w:rsidRPr="00663F20">
              <w:rPr>
                <w:rFonts w:eastAsia="Calibri" w:cs="Times New Roman"/>
                <w:noProof/>
                <w:sz w:val="18"/>
                <w:szCs w:val="24"/>
              </w:rPr>
              <w:t>, t.sk.:</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66DADA69"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876,8</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74F9CC1A"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862,3</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2E17F91B"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-14,5</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68BC5DCB"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-1,6</w:t>
            </w:r>
          </w:p>
        </w:tc>
      </w:tr>
      <w:tr w:rsidR="006D3E62" w:rsidRPr="00663F20" w14:paraId="4AEF35CB"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180BA69F"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1203D95D"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479,8</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38B66FB8"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545,3</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49E8C2C1"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+65,5</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018448F3"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+13,7</w:t>
            </w:r>
          </w:p>
        </w:tc>
      </w:tr>
      <w:tr w:rsidR="006D3E62" w:rsidRPr="00663F20" w14:paraId="7CFF7EA6"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55EF8A55"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619ABF29"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141,3</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08A47166"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94,0</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279EFFF1"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-47,2</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19CD88A2"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-33,4</w:t>
            </w:r>
          </w:p>
        </w:tc>
      </w:tr>
      <w:tr w:rsidR="006D3E62" w:rsidRPr="00663F20" w14:paraId="263BED0A"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70AA914D"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5A951F7F"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255,8</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25E633F7"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223,0</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0B6442A1"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-32,8</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205CE14C"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-12,8</w:t>
            </w:r>
          </w:p>
        </w:tc>
      </w:tr>
      <w:tr w:rsidR="006D3E62" w:rsidRPr="00663F20" w14:paraId="556891D4"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64015699" w14:textId="77777777" w:rsidR="006D3E62" w:rsidRPr="00663F20" w:rsidRDefault="006D3E62" w:rsidP="006D3E62">
            <w:pPr>
              <w:keepNext/>
              <w:keepLines/>
              <w:spacing w:after="0"/>
              <w:ind w:firstLine="0"/>
              <w:jc w:val="left"/>
              <w:rPr>
                <w:rFonts w:eastAsia="Calibri" w:cs="Times New Roman"/>
                <w:b/>
                <w:bCs/>
                <w:noProof/>
                <w:sz w:val="18"/>
                <w:szCs w:val="24"/>
              </w:rPr>
            </w:pPr>
            <w:r w:rsidRPr="00663F20">
              <w:rPr>
                <w:rFonts w:eastAsia="Calibri" w:cs="Times New Roman"/>
                <w:b/>
                <w:bCs/>
                <w:noProof/>
                <w:sz w:val="18"/>
                <w:szCs w:val="24"/>
              </w:rPr>
              <w:t xml:space="preserve">UIN, </w:t>
            </w:r>
            <w:r w:rsidRPr="00663F20">
              <w:rPr>
                <w:rFonts w:eastAsia="Calibri" w:cs="Times New Roman"/>
                <w:noProof/>
                <w:sz w:val="18"/>
                <w:szCs w:val="24"/>
              </w:rPr>
              <w:t>t.sk.:</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22640DBD"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51,7</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736FE38C"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49,7</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26797489"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-1,9</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1C787D38"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-3,7</w:t>
            </w:r>
          </w:p>
        </w:tc>
      </w:tr>
      <w:tr w:rsidR="006D3E62" w:rsidRPr="00663F20" w14:paraId="54329FE4"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27AF4C9B"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0B1AA0F1"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19,9</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179CEDBC"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22,2</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7A58F0E7"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+2,2</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411EC32E"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+11,2</w:t>
            </w:r>
          </w:p>
        </w:tc>
      </w:tr>
      <w:tr w:rsidR="006D3E62" w:rsidRPr="00663F20" w14:paraId="65B6C854"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352CC20C"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111D267F"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9,5</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265A8B56"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5,3</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7AA03ABB"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-4,2</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6FFA05A0"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-43,9</w:t>
            </w:r>
          </w:p>
        </w:tc>
      </w:tr>
      <w:tr w:rsidR="006D3E62" w:rsidRPr="00663F20" w14:paraId="3FAD602D"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30302C70"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43258A12"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22,2</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122EB606"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22,2</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2509C3B9"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+0,02</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02A644E3"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+0,1</w:t>
            </w:r>
          </w:p>
        </w:tc>
      </w:tr>
      <w:tr w:rsidR="006D3E62" w:rsidRPr="00663F20" w14:paraId="54668AE8"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794F8287" w14:textId="77777777" w:rsidR="006D3E62" w:rsidRPr="00663F20" w:rsidRDefault="006D3E62" w:rsidP="006D3E62">
            <w:pPr>
              <w:keepNext/>
              <w:keepLines/>
              <w:spacing w:after="0"/>
              <w:ind w:firstLine="0"/>
              <w:jc w:val="left"/>
              <w:rPr>
                <w:rFonts w:eastAsia="Calibri" w:cs="Times New Roman"/>
                <w:b/>
                <w:bCs/>
                <w:noProof/>
                <w:sz w:val="18"/>
                <w:szCs w:val="24"/>
              </w:rPr>
            </w:pPr>
            <w:r w:rsidRPr="00663F20">
              <w:rPr>
                <w:rFonts w:eastAsia="Calibri" w:cs="Times New Roman"/>
                <w:b/>
                <w:bCs/>
                <w:noProof/>
                <w:sz w:val="18"/>
                <w:szCs w:val="24"/>
              </w:rPr>
              <w:t>PVN</w:t>
            </w:r>
            <w:r w:rsidRPr="00663F20">
              <w:rPr>
                <w:rFonts w:eastAsia="Calibri" w:cs="Times New Roman"/>
                <w:noProof/>
                <w:sz w:val="18"/>
                <w:szCs w:val="24"/>
              </w:rPr>
              <w:t>, t.sk.:</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7A4F6043"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290,2</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522CE7D8"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265,4</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1FC72CE7"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-24,8</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37124ED1"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-8,5</w:t>
            </w:r>
          </w:p>
        </w:tc>
      </w:tr>
      <w:tr w:rsidR="006D3E62" w:rsidRPr="00663F20" w14:paraId="678F4152"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7CEBBE18"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7AE89A6C"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127,7</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48791D3E"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142,5</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69639EAD"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+14,8</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2DCB33CE"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+11,6</w:t>
            </w:r>
          </w:p>
        </w:tc>
      </w:tr>
      <w:tr w:rsidR="006D3E62" w:rsidRPr="00663F20" w14:paraId="3482A3BE"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7DC9DEAC"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44705E4D"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49,6</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25DE8684"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34,1</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64DB47EC"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-15,5</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4B631DFF"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-31,2</w:t>
            </w:r>
          </w:p>
        </w:tc>
      </w:tr>
      <w:tr w:rsidR="006D3E62" w:rsidRPr="00663F20" w14:paraId="3BC3FA65"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12D07D47"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6362CAAF"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112,9</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600676C3"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88,8</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7306F2D9"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-24,1</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6C9F7121"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-21,3</w:t>
            </w:r>
          </w:p>
        </w:tc>
      </w:tr>
      <w:tr w:rsidR="006D3E62" w:rsidRPr="00663F20" w14:paraId="64F9FD0D"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6869D4D2" w14:textId="77777777" w:rsidR="006D3E62" w:rsidRPr="00663F20" w:rsidRDefault="006D3E62" w:rsidP="006D3E62">
            <w:pPr>
              <w:keepNext/>
              <w:keepLines/>
              <w:spacing w:after="0"/>
              <w:ind w:firstLine="0"/>
              <w:jc w:val="left"/>
              <w:rPr>
                <w:rFonts w:eastAsia="Calibri" w:cs="Times New Roman"/>
                <w:b/>
                <w:bCs/>
                <w:noProof/>
                <w:sz w:val="18"/>
                <w:szCs w:val="24"/>
              </w:rPr>
            </w:pPr>
            <w:r w:rsidRPr="00663F20">
              <w:rPr>
                <w:rFonts w:eastAsia="Calibri" w:cs="Times New Roman"/>
                <w:b/>
                <w:bCs/>
                <w:noProof/>
                <w:sz w:val="18"/>
                <w:szCs w:val="24"/>
              </w:rPr>
              <w:t xml:space="preserve">Akcīzes nodoklis, </w:t>
            </w:r>
            <w:r w:rsidRPr="00663F20">
              <w:rPr>
                <w:rFonts w:eastAsia="Calibri" w:cs="Times New Roman"/>
                <w:noProof/>
                <w:sz w:val="18"/>
                <w:szCs w:val="24"/>
              </w:rPr>
              <w:t>t.sk.:</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3F167E37"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44,7</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5CF4DC78"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54,3</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38BAD54A"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+9,6</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72954EB9"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+21,4</w:t>
            </w:r>
          </w:p>
        </w:tc>
      </w:tr>
      <w:tr w:rsidR="006D3E62" w:rsidRPr="00663F20" w14:paraId="28417979"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656DC0A6"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3E8493D8"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6,7</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7F28A2C0"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19,9</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54F8A56C"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+13,2</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61EEFBDF"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+198,8</w:t>
            </w:r>
          </w:p>
        </w:tc>
      </w:tr>
      <w:tr w:rsidR="006D3E62" w:rsidRPr="00663F20" w14:paraId="3FB483DC"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72DDDA2A"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44077AD6"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8,8</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6E004E10"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5,2</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1CBFB25A"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-3,6</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0129E7F6"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-40,9</w:t>
            </w:r>
          </w:p>
        </w:tc>
      </w:tr>
      <w:tr w:rsidR="006D3E62" w:rsidRPr="00663F20" w14:paraId="6817A852"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0B33714F"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4F8E8F3B"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29,3</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2B19B8BB"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29,2</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14D09FCC"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-0,1</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228F21FD"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-0,3</w:t>
            </w:r>
          </w:p>
        </w:tc>
      </w:tr>
      <w:tr w:rsidR="006D3E62" w:rsidRPr="00663F20" w14:paraId="0D6078D9"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6EA14194" w14:textId="77777777" w:rsidR="006D3E62" w:rsidRPr="00663F20" w:rsidRDefault="006D3E62" w:rsidP="006D3E62">
            <w:pPr>
              <w:keepNext/>
              <w:keepLines/>
              <w:spacing w:after="0"/>
              <w:ind w:firstLine="0"/>
              <w:jc w:val="left"/>
              <w:rPr>
                <w:rFonts w:eastAsia="Calibri" w:cs="Times New Roman"/>
                <w:b/>
                <w:bCs/>
                <w:noProof/>
                <w:sz w:val="18"/>
                <w:szCs w:val="24"/>
              </w:rPr>
            </w:pPr>
            <w:r w:rsidRPr="00663F20">
              <w:rPr>
                <w:rFonts w:eastAsia="Calibri" w:cs="Times New Roman"/>
                <w:b/>
                <w:bCs/>
                <w:noProof/>
                <w:sz w:val="18"/>
                <w:szCs w:val="24"/>
              </w:rPr>
              <w:t>IIN</w:t>
            </w:r>
            <w:r w:rsidRPr="00663F20">
              <w:rPr>
                <w:rFonts w:eastAsia="Calibri" w:cs="Times New Roman"/>
                <w:noProof/>
                <w:sz w:val="18"/>
                <w:szCs w:val="24"/>
              </w:rPr>
              <w:t>, t.sk.:</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3B5DCB45"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280,8</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184BDD53"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288,0</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31768907"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+7,3</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2B739D26"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+2,6</w:t>
            </w:r>
          </w:p>
        </w:tc>
      </w:tr>
      <w:tr w:rsidR="006D3E62" w:rsidRPr="00663F20" w14:paraId="37F48CF2"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4908DF98"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74769DFC"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217,2</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0597CF9A"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233,7</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2C03EE95"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+16,4</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2DE4A757"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+7,6</w:t>
            </w:r>
          </w:p>
        </w:tc>
      </w:tr>
      <w:tr w:rsidR="006D3E62" w:rsidRPr="00663F20" w14:paraId="120F6E2A"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3BCFFFAC"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35904892"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23,4</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7B3CCFC5"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22,6</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66FBA463"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-0,8</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5EDE527D"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-3,3</w:t>
            </w:r>
          </w:p>
        </w:tc>
      </w:tr>
      <w:tr w:rsidR="006D3E62" w:rsidRPr="00663F20" w14:paraId="1618B43C"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7501F22F"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66B4E65D"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40,2</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44F67033"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31,7</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3D3B3C61"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-8,4</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248825A3"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-20,9</w:t>
            </w:r>
          </w:p>
        </w:tc>
      </w:tr>
      <w:tr w:rsidR="006D3E62" w:rsidRPr="00663F20" w14:paraId="2BEC19BD"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4CC7295A" w14:textId="77777777" w:rsidR="006D3E62" w:rsidRPr="00663F20" w:rsidRDefault="006D3E62" w:rsidP="006D3E62">
            <w:pPr>
              <w:keepNext/>
              <w:keepLines/>
              <w:spacing w:after="0"/>
              <w:ind w:firstLine="0"/>
              <w:jc w:val="left"/>
              <w:rPr>
                <w:rFonts w:eastAsia="Calibri" w:cs="Times New Roman"/>
                <w:b/>
                <w:bCs/>
                <w:noProof/>
                <w:sz w:val="18"/>
                <w:szCs w:val="24"/>
              </w:rPr>
            </w:pPr>
            <w:r w:rsidRPr="00663F20">
              <w:rPr>
                <w:rFonts w:eastAsia="Calibri" w:cs="Times New Roman"/>
                <w:b/>
                <w:bCs/>
                <w:noProof/>
                <w:sz w:val="18"/>
                <w:szCs w:val="24"/>
              </w:rPr>
              <w:lastRenderedPageBreak/>
              <w:t xml:space="preserve">VSAOI, </w:t>
            </w:r>
            <w:r w:rsidRPr="00663F20">
              <w:rPr>
                <w:rFonts w:eastAsia="Calibri" w:cs="Times New Roman"/>
                <w:noProof/>
                <w:sz w:val="18"/>
                <w:szCs w:val="24"/>
              </w:rPr>
              <w:t>t.sk.:</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0F8A4D72"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176,4</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47C9C988"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176,0</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23454C50"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-0,4</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348D4DBD" w14:textId="77777777" w:rsidR="006D3E62" w:rsidRPr="00663F20" w:rsidRDefault="006D3E62" w:rsidP="006D3E62">
            <w:pPr>
              <w:spacing w:after="0"/>
              <w:ind w:firstLine="0"/>
              <w:jc w:val="right"/>
              <w:rPr>
                <w:rFonts w:eastAsia="Calibri" w:cs="Times New Roman"/>
                <w:b/>
                <w:bCs/>
                <w:noProof/>
                <w:sz w:val="18"/>
                <w:szCs w:val="18"/>
              </w:rPr>
            </w:pPr>
            <w:r w:rsidRPr="00663F20">
              <w:rPr>
                <w:rFonts w:cs="Times New Roman"/>
                <w:b/>
                <w:bCs/>
                <w:noProof/>
                <w:sz w:val="18"/>
                <w:szCs w:val="18"/>
              </w:rPr>
              <w:t>-0,2</w:t>
            </w:r>
          </w:p>
        </w:tc>
      </w:tr>
      <w:tr w:rsidR="006D3E62" w:rsidRPr="00663F20" w14:paraId="579351CB"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1BA4257B"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033E8D8B"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91,2</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11C8C745"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112,3</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5E915744"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+21,2</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08CDBB33"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+23,2</w:t>
            </w:r>
          </w:p>
        </w:tc>
      </w:tr>
      <w:tr w:rsidR="006D3E62" w:rsidRPr="00663F20" w14:paraId="4E16DD96"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49B5B069"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5A3D99EA"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48,4</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084683D2"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26,5</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143BD2A7"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-21,9</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560D0F75"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-45,3</w:t>
            </w:r>
          </w:p>
        </w:tc>
      </w:tr>
      <w:tr w:rsidR="006D3E62" w:rsidRPr="00663F20" w14:paraId="3307EED5" w14:textId="77777777" w:rsidTr="006D3E62">
        <w:trPr>
          <w:trHeight w:val="84"/>
        </w:trPr>
        <w:tc>
          <w:tcPr>
            <w:tcW w:w="1731" w:type="pct"/>
            <w:tcBorders>
              <w:top w:val="single" w:sz="6" w:space="0" w:color="auto"/>
              <w:left w:val="single" w:sz="6" w:space="0" w:color="auto"/>
              <w:bottom w:val="single" w:sz="6" w:space="0" w:color="auto"/>
              <w:right w:val="single" w:sz="6" w:space="0" w:color="auto"/>
            </w:tcBorders>
            <w:shd w:val="clear" w:color="auto" w:fill="auto"/>
          </w:tcPr>
          <w:p w14:paraId="5E3F946A" w14:textId="77777777" w:rsidR="006D3E62" w:rsidRPr="00663F20" w:rsidRDefault="006D3E62" w:rsidP="006D3E62">
            <w:pPr>
              <w:keepNext/>
              <w:keepLines/>
              <w:spacing w:after="0"/>
              <w:ind w:firstLine="0"/>
              <w:jc w:val="left"/>
              <w:rPr>
                <w:rFonts w:eastAsia="Calibri" w:cs="Times New Roman"/>
                <w:noProof/>
                <w:sz w:val="18"/>
                <w:szCs w:val="24"/>
              </w:rPr>
            </w:pPr>
            <w:r w:rsidRPr="00663F2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482D86F1"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36,9</w:t>
            </w:r>
          </w:p>
        </w:tc>
        <w:tc>
          <w:tcPr>
            <w:tcW w:w="817" w:type="pct"/>
            <w:tcBorders>
              <w:top w:val="single" w:sz="6" w:space="0" w:color="auto"/>
              <w:left w:val="single" w:sz="6" w:space="0" w:color="auto"/>
              <w:bottom w:val="single" w:sz="6" w:space="0" w:color="auto"/>
              <w:right w:val="single" w:sz="6" w:space="0" w:color="auto"/>
            </w:tcBorders>
            <w:shd w:val="clear" w:color="auto" w:fill="auto"/>
            <w:vAlign w:val="center"/>
          </w:tcPr>
          <w:p w14:paraId="159E9CA0"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37,2</w:t>
            </w:r>
          </w:p>
        </w:tc>
        <w:tc>
          <w:tcPr>
            <w:tcW w:w="801" w:type="pct"/>
            <w:tcBorders>
              <w:top w:val="single" w:sz="6" w:space="0" w:color="auto"/>
              <w:left w:val="single" w:sz="6" w:space="0" w:color="auto"/>
              <w:bottom w:val="single" w:sz="6" w:space="0" w:color="auto"/>
              <w:right w:val="single" w:sz="6" w:space="0" w:color="auto"/>
            </w:tcBorders>
            <w:shd w:val="clear" w:color="auto" w:fill="auto"/>
            <w:vAlign w:val="center"/>
          </w:tcPr>
          <w:p w14:paraId="00EB6E23"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+0,3</w:t>
            </w:r>
          </w:p>
        </w:tc>
        <w:tc>
          <w:tcPr>
            <w:tcW w:w="834" w:type="pct"/>
            <w:tcBorders>
              <w:top w:val="single" w:sz="6" w:space="0" w:color="auto"/>
              <w:left w:val="single" w:sz="6" w:space="0" w:color="auto"/>
              <w:bottom w:val="single" w:sz="6" w:space="0" w:color="auto"/>
              <w:right w:val="single" w:sz="6" w:space="0" w:color="auto"/>
            </w:tcBorders>
            <w:shd w:val="clear" w:color="auto" w:fill="auto"/>
            <w:vAlign w:val="center"/>
          </w:tcPr>
          <w:p w14:paraId="62ECD72E" w14:textId="77777777" w:rsidR="006D3E62" w:rsidRPr="00663F20" w:rsidRDefault="006D3E62" w:rsidP="006D3E62">
            <w:pPr>
              <w:spacing w:after="0"/>
              <w:ind w:firstLine="0"/>
              <w:jc w:val="right"/>
              <w:rPr>
                <w:rFonts w:eastAsia="Calibri" w:cs="Times New Roman"/>
                <w:noProof/>
                <w:sz w:val="18"/>
                <w:szCs w:val="18"/>
              </w:rPr>
            </w:pPr>
            <w:r w:rsidRPr="00663F20">
              <w:rPr>
                <w:rFonts w:cs="Times New Roman"/>
                <w:noProof/>
                <w:color w:val="000000"/>
                <w:sz w:val="18"/>
                <w:szCs w:val="18"/>
              </w:rPr>
              <w:t>+0,9</w:t>
            </w:r>
          </w:p>
        </w:tc>
      </w:tr>
    </w:tbl>
    <w:p w14:paraId="45D8D40A" w14:textId="77777777" w:rsidR="006D3E62" w:rsidRDefault="006D3E62" w:rsidP="00663F20">
      <w:pPr>
        <w:ind w:firstLine="709"/>
        <w:rPr>
          <w:rFonts w:cs="Times New Roman"/>
          <w:szCs w:val="24"/>
        </w:rPr>
      </w:pPr>
    </w:p>
    <w:p w14:paraId="3931B2D2" w14:textId="77777777" w:rsidR="006D3E62" w:rsidRDefault="006D3E62" w:rsidP="00663F20">
      <w:pPr>
        <w:ind w:firstLine="709"/>
        <w:rPr>
          <w:rFonts w:cs="Times New Roman"/>
          <w:szCs w:val="24"/>
        </w:rPr>
      </w:pPr>
    </w:p>
    <w:p w14:paraId="73E05A01" w14:textId="77777777" w:rsidR="006D3E62" w:rsidRDefault="006D3E62" w:rsidP="00663F20">
      <w:pPr>
        <w:ind w:firstLine="709"/>
        <w:rPr>
          <w:rFonts w:cs="Times New Roman"/>
          <w:szCs w:val="24"/>
        </w:rPr>
      </w:pPr>
    </w:p>
    <w:p w14:paraId="51CCD96D" w14:textId="77777777" w:rsidR="006D3E62" w:rsidRDefault="006D3E62" w:rsidP="00663F20">
      <w:pPr>
        <w:ind w:firstLine="709"/>
        <w:rPr>
          <w:rFonts w:cs="Times New Roman"/>
          <w:szCs w:val="24"/>
        </w:rPr>
      </w:pPr>
    </w:p>
    <w:p w14:paraId="27092685" w14:textId="77777777" w:rsidR="006D3E62" w:rsidRDefault="006D3E62" w:rsidP="006D3E62">
      <w:pPr>
        <w:spacing w:after="0"/>
        <w:ind w:firstLine="709"/>
        <w:rPr>
          <w:rFonts w:cs="Times New Roman"/>
          <w:szCs w:val="24"/>
        </w:rPr>
      </w:pPr>
    </w:p>
    <w:p w14:paraId="47D19B6E" w14:textId="0496C4D1" w:rsidR="00663F20" w:rsidRPr="00663F20" w:rsidRDefault="00663F20" w:rsidP="00CB6A85">
      <w:pPr>
        <w:rPr>
          <w:rFonts w:cs="Times New Roman"/>
          <w:szCs w:val="24"/>
        </w:rPr>
      </w:pPr>
      <w:r w:rsidRPr="00663F20">
        <w:rPr>
          <w:rFonts w:cs="Times New Roman"/>
          <w:szCs w:val="24"/>
        </w:rPr>
        <w:t>Sadalījumā pa lielākajiem nodokļu veidiem lielākais samazinājums ir PVN parādiem – par 24,8 milj. </w:t>
      </w:r>
      <w:proofErr w:type="spellStart"/>
      <w:r w:rsidRPr="00663F20">
        <w:rPr>
          <w:rFonts w:cs="Times New Roman"/>
          <w:i/>
          <w:iCs/>
          <w:szCs w:val="24"/>
        </w:rPr>
        <w:t>euro</w:t>
      </w:r>
      <w:proofErr w:type="spellEnd"/>
      <w:r w:rsidRPr="00663F20">
        <w:rPr>
          <w:rFonts w:cs="Times New Roman"/>
          <w:szCs w:val="24"/>
        </w:rPr>
        <w:t xml:space="preserve"> jeb 8,5%, kamēr akcīzes nodokļa parādi palielinājušies par 9,6 milj. </w:t>
      </w:r>
      <w:proofErr w:type="spellStart"/>
      <w:r w:rsidRPr="00663F20">
        <w:rPr>
          <w:rFonts w:cs="Times New Roman"/>
          <w:i/>
          <w:iCs/>
          <w:szCs w:val="24"/>
        </w:rPr>
        <w:t>euro</w:t>
      </w:r>
      <w:proofErr w:type="spellEnd"/>
      <w:r w:rsidRPr="00663F20">
        <w:rPr>
          <w:rFonts w:cs="Times New Roman"/>
          <w:szCs w:val="24"/>
        </w:rPr>
        <w:t xml:space="preserve"> jeb 21,4%, bet IIN parādi – par 7,3 milj. </w:t>
      </w:r>
      <w:proofErr w:type="spellStart"/>
      <w:r w:rsidRPr="00663F20">
        <w:rPr>
          <w:rFonts w:cs="Times New Roman"/>
          <w:i/>
          <w:iCs/>
          <w:szCs w:val="24"/>
        </w:rPr>
        <w:t>euro</w:t>
      </w:r>
      <w:proofErr w:type="spellEnd"/>
      <w:r w:rsidRPr="00663F20">
        <w:rPr>
          <w:rFonts w:cs="Times New Roman"/>
          <w:szCs w:val="24"/>
        </w:rPr>
        <w:t xml:space="preserve"> jeb 2,6%.</w:t>
      </w:r>
    </w:p>
    <w:p w14:paraId="4F44A10E" w14:textId="33ED6B71" w:rsidR="00663F20" w:rsidRPr="00663F20" w:rsidRDefault="00663F20" w:rsidP="00CB6A85">
      <w:pPr>
        <w:rPr>
          <w:rFonts w:eastAsia="Calibri" w:cs="Times New Roman"/>
          <w:szCs w:val="24"/>
        </w:rPr>
      </w:pPr>
      <w:r w:rsidRPr="00663F20">
        <w:rPr>
          <w:rFonts w:eastAsia="Calibri" w:cs="Times New Roman"/>
          <w:szCs w:val="24"/>
        </w:rPr>
        <w:t>2024. gada 1. janvārī aktuālo parādu kopsumma bija 545,3 milj. </w:t>
      </w:r>
      <w:proofErr w:type="spellStart"/>
      <w:r w:rsidRPr="00663F20">
        <w:rPr>
          <w:rFonts w:eastAsia="Calibri" w:cs="Times New Roman"/>
          <w:i/>
          <w:iCs/>
          <w:szCs w:val="24"/>
        </w:rPr>
        <w:t>euro</w:t>
      </w:r>
      <w:proofErr w:type="spellEnd"/>
      <w:r w:rsidRPr="00663F20">
        <w:rPr>
          <w:rFonts w:eastAsia="Calibri" w:cs="Times New Roman"/>
          <w:szCs w:val="24"/>
        </w:rPr>
        <w:t>, kas, salīdzinot ar 2023. gada 1. janvāri, ir palielinājusies par 65,5 milj. </w:t>
      </w:r>
      <w:proofErr w:type="spellStart"/>
      <w:r w:rsidRPr="00663F20">
        <w:rPr>
          <w:rFonts w:eastAsia="Calibri" w:cs="Times New Roman"/>
          <w:i/>
          <w:iCs/>
          <w:szCs w:val="24"/>
        </w:rPr>
        <w:t>euro</w:t>
      </w:r>
      <w:proofErr w:type="spellEnd"/>
      <w:r w:rsidRPr="00663F20">
        <w:rPr>
          <w:rFonts w:eastAsia="Calibri" w:cs="Times New Roman"/>
          <w:szCs w:val="24"/>
        </w:rPr>
        <w:t xml:space="preserve"> jeb 13,7%.</w:t>
      </w:r>
    </w:p>
    <w:p w14:paraId="16E3649D" w14:textId="77777777" w:rsidR="00663F20" w:rsidRPr="00663F20" w:rsidRDefault="00663F20" w:rsidP="00CB6A85">
      <w:pPr>
        <w:rPr>
          <w:rFonts w:eastAsia="Calibri" w:cs="Times New Roman"/>
          <w:szCs w:val="24"/>
        </w:rPr>
      </w:pPr>
      <w:r w:rsidRPr="00663F20">
        <w:rPr>
          <w:rFonts w:cs="Times New Roman"/>
          <w:szCs w:val="24"/>
        </w:rPr>
        <w:t>Kopumā 10 132 nodokļu samaksas termiņa pagarinājumi, kuru sākuma datums ir 2023. gadā, piešķirti 4 371 nodokļu maksātājam par kopējo summu 129,7 milj. </w:t>
      </w:r>
      <w:proofErr w:type="spellStart"/>
      <w:r w:rsidRPr="00663F20">
        <w:rPr>
          <w:rFonts w:cs="Times New Roman"/>
          <w:i/>
          <w:iCs/>
          <w:szCs w:val="24"/>
        </w:rPr>
        <w:t>euro</w:t>
      </w:r>
      <w:proofErr w:type="spellEnd"/>
      <w:r w:rsidRPr="00663F20">
        <w:rPr>
          <w:rFonts w:cs="Times New Roman"/>
          <w:szCs w:val="24"/>
        </w:rPr>
        <w:t xml:space="preserve"> </w:t>
      </w:r>
      <w:r w:rsidRPr="00663F20">
        <w:rPr>
          <w:rFonts w:eastAsia="Calibri" w:cs="Times New Roman"/>
          <w:szCs w:val="24"/>
        </w:rPr>
        <w:t>(skat. 3.23. tabulu).</w:t>
      </w:r>
    </w:p>
    <w:p w14:paraId="2C979C4D" w14:textId="77777777" w:rsidR="00663F20" w:rsidRPr="00663F20" w:rsidRDefault="00663F20" w:rsidP="00663F20">
      <w:pPr>
        <w:keepNext/>
        <w:keepLines/>
        <w:spacing w:before="240" w:after="0"/>
        <w:ind w:firstLine="0"/>
        <w:jc w:val="right"/>
        <w:rPr>
          <w:rFonts w:eastAsia="Calibri" w:cs="Times New Roman"/>
          <w:b/>
          <w:i/>
          <w:szCs w:val="24"/>
        </w:rPr>
      </w:pPr>
      <w:r w:rsidRPr="00663F20">
        <w:rPr>
          <w:rFonts w:eastAsia="Calibri" w:cs="Times New Roman"/>
          <w:b/>
          <w:i/>
          <w:szCs w:val="24"/>
        </w:rPr>
        <w:t>3.23. tabula. Nodokļu samaksas termiņa pagarinājumi, kuru sākuma datums ir 2023. gadā</w:t>
      </w:r>
    </w:p>
    <w:tbl>
      <w:tblPr>
        <w:tblW w:w="4692" w:type="pct"/>
        <w:jc w:val="center"/>
        <w:tblCellMar>
          <w:left w:w="30" w:type="dxa"/>
          <w:right w:w="30" w:type="dxa"/>
        </w:tblCellMar>
        <w:tblLook w:val="0000" w:firstRow="0" w:lastRow="0" w:firstColumn="0" w:lastColumn="0" w:noHBand="0" w:noVBand="0"/>
      </w:tblPr>
      <w:tblGrid>
        <w:gridCol w:w="2550"/>
        <w:gridCol w:w="1846"/>
        <w:gridCol w:w="1703"/>
        <w:gridCol w:w="2398"/>
      </w:tblGrid>
      <w:tr w:rsidR="00663F20" w:rsidRPr="00663F20" w14:paraId="1BDD2F12" w14:textId="77777777" w:rsidTr="008E1E6C">
        <w:trPr>
          <w:trHeight w:val="850"/>
          <w:tblHeader/>
          <w:jc w:val="center"/>
        </w:trPr>
        <w:tc>
          <w:tcPr>
            <w:tcW w:w="1501" w:type="pct"/>
            <w:tcBorders>
              <w:top w:val="single" w:sz="6" w:space="0" w:color="auto"/>
              <w:left w:val="single" w:sz="6" w:space="0" w:color="auto"/>
              <w:bottom w:val="single" w:sz="6" w:space="0" w:color="auto"/>
              <w:right w:val="single" w:sz="6" w:space="0" w:color="auto"/>
            </w:tcBorders>
            <w:shd w:val="clear" w:color="auto" w:fill="B4C6E7" w:themeFill="accent5" w:themeFillTint="66"/>
            <w:vAlign w:val="center"/>
          </w:tcPr>
          <w:p w14:paraId="4F53F177" w14:textId="77777777" w:rsidR="00663F20" w:rsidRPr="00663F20" w:rsidRDefault="00663F20" w:rsidP="00663F20">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Nodokļa veids</w:t>
            </w:r>
          </w:p>
        </w:tc>
        <w:tc>
          <w:tcPr>
            <w:tcW w:w="1086" w:type="pct"/>
            <w:tcBorders>
              <w:top w:val="single" w:sz="6" w:space="0" w:color="auto"/>
              <w:left w:val="single" w:sz="6" w:space="0" w:color="auto"/>
              <w:bottom w:val="single" w:sz="6" w:space="0" w:color="auto"/>
              <w:right w:val="single" w:sz="6" w:space="0" w:color="auto"/>
            </w:tcBorders>
            <w:shd w:val="clear" w:color="auto" w:fill="B4C6E7" w:themeFill="accent5" w:themeFillTint="66"/>
            <w:vAlign w:val="center"/>
          </w:tcPr>
          <w:p w14:paraId="6263449C" w14:textId="77777777" w:rsidR="00663F20" w:rsidRPr="00663F20" w:rsidRDefault="00663F20" w:rsidP="00663F20">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Nodokļu maksātāju skaits</w:t>
            </w:r>
            <w:r w:rsidRPr="00663F20">
              <w:rPr>
                <w:rFonts w:eastAsia="Calibri" w:cs="Times New Roman"/>
                <w:b/>
                <w:bCs/>
                <w:sz w:val="20"/>
                <w:szCs w:val="24"/>
                <w:vertAlign w:val="superscript"/>
              </w:rPr>
              <w:t>1</w:t>
            </w:r>
          </w:p>
        </w:tc>
        <w:tc>
          <w:tcPr>
            <w:tcW w:w="1002" w:type="pct"/>
            <w:tcBorders>
              <w:top w:val="single" w:sz="6" w:space="0" w:color="auto"/>
              <w:left w:val="single" w:sz="6" w:space="0" w:color="auto"/>
              <w:bottom w:val="single" w:sz="6" w:space="0" w:color="auto"/>
              <w:right w:val="single" w:sz="6" w:space="0" w:color="auto"/>
            </w:tcBorders>
            <w:shd w:val="clear" w:color="auto" w:fill="B4C6E7" w:themeFill="accent5" w:themeFillTint="66"/>
            <w:vAlign w:val="center"/>
          </w:tcPr>
          <w:p w14:paraId="154C0178" w14:textId="77777777" w:rsidR="00663F20" w:rsidRPr="00663F20" w:rsidRDefault="00663F20" w:rsidP="00663F20">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Piešķirto nodokļu samaksas termiņa pagarinājumu skaits</w:t>
            </w:r>
            <w:r w:rsidRPr="00663F20">
              <w:rPr>
                <w:rFonts w:eastAsia="Calibri" w:cs="Times New Roman"/>
                <w:b/>
                <w:bCs/>
                <w:sz w:val="20"/>
                <w:szCs w:val="24"/>
                <w:vertAlign w:val="superscript"/>
              </w:rPr>
              <w:t>1</w:t>
            </w:r>
          </w:p>
        </w:tc>
        <w:tc>
          <w:tcPr>
            <w:tcW w:w="1411" w:type="pct"/>
            <w:tcBorders>
              <w:top w:val="single" w:sz="6" w:space="0" w:color="auto"/>
              <w:left w:val="single" w:sz="6" w:space="0" w:color="auto"/>
              <w:bottom w:val="single" w:sz="6" w:space="0" w:color="auto"/>
              <w:right w:val="single" w:sz="6" w:space="0" w:color="auto"/>
            </w:tcBorders>
            <w:shd w:val="clear" w:color="auto" w:fill="B4C6E7" w:themeFill="accent5" w:themeFillTint="66"/>
            <w:vAlign w:val="center"/>
          </w:tcPr>
          <w:p w14:paraId="1FE1288B" w14:textId="77777777" w:rsidR="00663F20" w:rsidRPr="00663F20" w:rsidRDefault="00663F20" w:rsidP="00663F20">
            <w:pPr>
              <w:keepNext/>
              <w:keepLines/>
              <w:spacing w:after="0"/>
              <w:ind w:firstLine="0"/>
              <w:contextualSpacing/>
              <w:jc w:val="center"/>
              <w:rPr>
                <w:rFonts w:eastAsia="Calibri" w:cs="Times New Roman"/>
                <w:b/>
                <w:bCs/>
                <w:sz w:val="20"/>
                <w:szCs w:val="24"/>
              </w:rPr>
            </w:pPr>
            <w:r w:rsidRPr="00663F20">
              <w:rPr>
                <w:rFonts w:eastAsia="Calibri" w:cs="Times New Roman"/>
                <w:b/>
                <w:bCs/>
                <w:sz w:val="20"/>
                <w:szCs w:val="24"/>
              </w:rPr>
              <w:t>Piešķirto nodokļu samaksas termiņa pagarinājumu summa</w:t>
            </w:r>
            <w:r w:rsidRPr="00663F20">
              <w:rPr>
                <w:rFonts w:eastAsia="Calibri" w:cs="Times New Roman"/>
                <w:b/>
                <w:bCs/>
                <w:sz w:val="20"/>
                <w:szCs w:val="24"/>
                <w:vertAlign w:val="superscript"/>
              </w:rPr>
              <w:t>1</w:t>
            </w:r>
            <w:r w:rsidRPr="00663F20">
              <w:rPr>
                <w:rFonts w:eastAsia="Calibri" w:cs="Times New Roman"/>
                <w:b/>
                <w:bCs/>
                <w:sz w:val="20"/>
                <w:szCs w:val="24"/>
              </w:rPr>
              <w:t xml:space="preserve">, </w:t>
            </w:r>
            <w:r w:rsidRPr="00663F20">
              <w:rPr>
                <w:rFonts w:eastAsia="Calibri" w:cs="Times New Roman"/>
                <w:i/>
                <w:iCs/>
                <w:sz w:val="20"/>
                <w:szCs w:val="24"/>
              </w:rPr>
              <w:t xml:space="preserve">tūkst. </w:t>
            </w:r>
            <w:proofErr w:type="spellStart"/>
            <w:r w:rsidRPr="00663F20">
              <w:rPr>
                <w:rFonts w:eastAsia="Calibri" w:cs="Times New Roman"/>
                <w:i/>
                <w:iCs/>
                <w:sz w:val="20"/>
                <w:szCs w:val="24"/>
              </w:rPr>
              <w:t>euro</w:t>
            </w:r>
            <w:proofErr w:type="spellEnd"/>
          </w:p>
        </w:tc>
      </w:tr>
      <w:tr w:rsidR="00663F20" w:rsidRPr="00663F20" w14:paraId="72C5F091" w14:textId="77777777" w:rsidTr="00723ACD">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0F637F76"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PVN</w:t>
            </w:r>
          </w:p>
        </w:tc>
        <w:tc>
          <w:tcPr>
            <w:tcW w:w="1086" w:type="pct"/>
            <w:tcBorders>
              <w:top w:val="single" w:sz="6" w:space="0" w:color="auto"/>
              <w:left w:val="single" w:sz="6" w:space="0" w:color="auto"/>
              <w:bottom w:val="single" w:sz="6" w:space="0" w:color="auto"/>
              <w:right w:val="single" w:sz="6" w:space="0" w:color="auto"/>
            </w:tcBorders>
            <w:vAlign w:val="center"/>
          </w:tcPr>
          <w:p w14:paraId="771D9500"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1 279</w:t>
            </w:r>
          </w:p>
        </w:tc>
        <w:tc>
          <w:tcPr>
            <w:tcW w:w="1002" w:type="pct"/>
            <w:tcBorders>
              <w:top w:val="single" w:sz="6" w:space="0" w:color="auto"/>
              <w:left w:val="single" w:sz="6" w:space="0" w:color="auto"/>
              <w:bottom w:val="single" w:sz="6" w:space="0" w:color="auto"/>
              <w:right w:val="single" w:sz="6" w:space="0" w:color="auto"/>
            </w:tcBorders>
            <w:vAlign w:val="center"/>
          </w:tcPr>
          <w:p w14:paraId="44EA179D"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1 927</w:t>
            </w:r>
          </w:p>
        </w:tc>
        <w:tc>
          <w:tcPr>
            <w:tcW w:w="1411" w:type="pct"/>
            <w:tcBorders>
              <w:top w:val="single" w:sz="6" w:space="0" w:color="auto"/>
              <w:left w:val="single" w:sz="6" w:space="0" w:color="auto"/>
              <w:bottom w:val="single" w:sz="6" w:space="0" w:color="auto"/>
              <w:right w:val="single" w:sz="6" w:space="0" w:color="auto"/>
            </w:tcBorders>
            <w:vAlign w:val="center"/>
          </w:tcPr>
          <w:p w14:paraId="6398AA30"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52 026,6</w:t>
            </w:r>
          </w:p>
        </w:tc>
      </w:tr>
      <w:tr w:rsidR="00663F20" w:rsidRPr="00663F20" w14:paraId="25EE8CE0" w14:textId="77777777" w:rsidTr="00723ACD">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2EAAD18E"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VSAOI</w:t>
            </w:r>
          </w:p>
        </w:tc>
        <w:tc>
          <w:tcPr>
            <w:tcW w:w="1086" w:type="pct"/>
            <w:tcBorders>
              <w:top w:val="single" w:sz="6" w:space="0" w:color="auto"/>
              <w:left w:val="single" w:sz="6" w:space="0" w:color="auto"/>
              <w:bottom w:val="single" w:sz="6" w:space="0" w:color="auto"/>
              <w:right w:val="single" w:sz="6" w:space="0" w:color="auto"/>
            </w:tcBorders>
            <w:vAlign w:val="center"/>
          </w:tcPr>
          <w:p w14:paraId="6A35F732"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1 668</w:t>
            </w:r>
          </w:p>
        </w:tc>
        <w:tc>
          <w:tcPr>
            <w:tcW w:w="1002" w:type="pct"/>
            <w:tcBorders>
              <w:top w:val="single" w:sz="6" w:space="0" w:color="auto"/>
              <w:left w:val="single" w:sz="6" w:space="0" w:color="auto"/>
              <w:bottom w:val="single" w:sz="6" w:space="0" w:color="auto"/>
              <w:right w:val="single" w:sz="6" w:space="0" w:color="auto"/>
            </w:tcBorders>
            <w:vAlign w:val="center"/>
          </w:tcPr>
          <w:p w14:paraId="3359255D"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2 580</w:t>
            </w:r>
          </w:p>
        </w:tc>
        <w:tc>
          <w:tcPr>
            <w:tcW w:w="1411" w:type="pct"/>
            <w:tcBorders>
              <w:top w:val="single" w:sz="6" w:space="0" w:color="auto"/>
              <w:left w:val="single" w:sz="6" w:space="0" w:color="auto"/>
              <w:bottom w:val="single" w:sz="6" w:space="0" w:color="auto"/>
              <w:right w:val="single" w:sz="6" w:space="0" w:color="auto"/>
            </w:tcBorders>
            <w:vAlign w:val="center"/>
          </w:tcPr>
          <w:p w14:paraId="7DFB1F59"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38 366,1</w:t>
            </w:r>
          </w:p>
        </w:tc>
      </w:tr>
      <w:tr w:rsidR="00663F20" w:rsidRPr="00663F20" w14:paraId="19DE3864" w14:textId="77777777" w:rsidTr="00723ACD">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4B9F2472"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IIN</w:t>
            </w:r>
          </w:p>
        </w:tc>
        <w:tc>
          <w:tcPr>
            <w:tcW w:w="1086" w:type="pct"/>
            <w:tcBorders>
              <w:top w:val="single" w:sz="6" w:space="0" w:color="auto"/>
              <w:left w:val="single" w:sz="6" w:space="0" w:color="auto"/>
              <w:bottom w:val="single" w:sz="6" w:space="0" w:color="auto"/>
              <w:right w:val="single" w:sz="6" w:space="0" w:color="auto"/>
            </w:tcBorders>
            <w:vAlign w:val="center"/>
          </w:tcPr>
          <w:p w14:paraId="334616A9"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3 262</w:t>
            </w:r>
          </w:p>
        </w:tc>
        <w:tc>
          <w:tcPr>
            <w:tcW w:w="1002" w:type="pct"/>
            <w:tcBorders>
              <w:top w:val="single" w:sz="6" w:space="0" w:color="auto"/>
              <w:left w:val="single" w:sz="6" w:space="0" w:color="auto"/>
              <w:bottom w:val="single" w:sz="6" w:space="0" w:color="auto"/>
              <w:right w:val="single" w:sz="6" w:space="0" w:color="auto"/>
            </w:tcBorders>
            <w:vAlign w:val="center"/>
          </w:tcPr>
          <w:p w14:paraId="22E024CB"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5 135</w:t>
            </w:r>
          </w:p>
        </w:tc>
        <w:tc>
          <w:tcPr>
            <w:tcW w:w="1411" w:type="pct"/>
            <w:tcBorders>
              <w:top w:val="single" w:sz="6" w:space="0" w:color="auto"/>
              <w:left w:val="single" w:sz="6" w:space="0" w:color="auto"/>
              <w:bottom w:val="single" w:sz="6" w:space="0" w:color="auto"/>
              <w:right w:val="single" w:sz="6" w:space="0" w:color="auto"/>
            </w:tcBorders>
            <w:vAlign w:val="center"/>
          </w:tcPr>
          <w:p w14:paraId="0BF03998"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27 391,3</w:t>
            </w:r>
          </w:p>
        </w:tc>
      </w:tr>
      <w:tr w:rsidR="00663F20" w:rsidRPr="00663F20" w14:paraId="54AD8FD5" w14:textId="77777777" w:rsidTr="00723ACD">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7D260255"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Akcīzes nodoklis</w:t>
            </w:r>
          </w:p>
        </w:tc>
        <w:tc>
          <w:tcPr>
            <w:tcW w:w="1086" w:type="pct"/>
            <w:tcBorders>
              <w:top w:val="single" w:sz="6" w:space="0" w:color="auto"/>
              <w:left w:val="single" w:sz="6" w:space="0" w:color="auto"/>
              <w:bottom w:val="single" w:sz="6" w:space="0" w:color="auto"/>
              <w:right w:val="single" w:sz="6" w:space="0" w:color="auto"/>
            </w:tcBorders>
            <w:vAlign w:val="center"/>
          </w:tcPr>
          <w:p w14:paraId="363464F3"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21</w:t>
            </w:r>
          </w:p>
        </w:tc>
        <w:tc>
          <w:tcPr>
            <w:tcW w:w="1002" w:type="pct"/>
            <w:tcBorders>
              <w:top w:val="single" w:sz="6" w:space="0" w:color="auto"/>
              <w:left w:val="single" w:sz="6" w:space="0" w:color="auto"/>
              <w:bottom w:val="single" w:sz="6" w:space="0" w:color="auto"/>
              <w:right w:val="single" w:sz="6" w:space="0" w:color="auto"/>
            </w:tcBorders>
            <w:vAlign w:val="center"/>
          </w:tcPr>
          <w:p w14:paraId="131191AD"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37</w:t>
            </w:r>
          </w:p>
        </w:tc>
        <w:tc>
          <w:tcPr>
            <w:tcW w:w="1411" w:type="pct"/>
            <w:tcBorders>
              <w:top w:val="single" w:sz="6" w:space="0" w:color="auto"/>
              <w:left w:val="single" w:sz="6" w:space="0" w:color="auto"/>
              <w:bottom w:val="single" w:sz="6" w:space="0" w:color="auto"/>
              <w:right w:val="single" w:sz="6" w:space="0" w:color="auto"/>
            </w:tcBorders>
            <w:vAlign w:val="center"/>
          </w:tcPr>
          <w:p w14:paraId="240E53B2"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11 094,9</w:t>
            </w:r>
          </w:p>
        </w:tc>
      </w:tr>
      <w:tr w:rsidR="00663F20" w:rsidRPr="00663F20" w14:paraId="7E0ED27A" w14:textId="77777777" w:rsidTr="00723ACD">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2173B2C0"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Dabas resursu nodoklis</w:t>
            </w:r>
          </w:p>
        </w:tc>
        <w:tc>
          <w:tcPr>
            <w:tcW w:w="1086" w:type="pct"/>
            <w:tcBorders>
              <w:top w:val="single" w:sz="6" w:space="0" w:color="auto"/>
              <w:left w:val="single" w:sz="6" w:space="0" w:color="auto"/>
              <w:bottom w:val="single" w:sz="6" w:space="0" w:color="auto"/>
              <w:right w:val="single" w:sz="6" w:space="0" w:color="auto"/>
            </w:tcBorders>
            <w:vAlign w:val="center"/>
          </w:tcPr>
          <w:p w14:paraId="6E9D3774"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41</w:t>
            </w:r>
          </w:p>
        </w:tc>
        <w:tc>
          <w:tcPr>
            <w:tcW w:w="1002" w:type="pct"/>
            <w:tcBorders>
              <w:top w:val="single" w:sz="6" w:space="0" w:color="auto"/>
              <w:left w:val="single" w:sz="6" w:space="0" w:color="auto"/>
              <w:bottom w:val="single" w:sz="6" w:space="0" w:color="auto"/>
              <w:right w:val="single" w:sz="6" w:space="0" w:color="auto"/>
            </w:tcBorders>
            <w:vAlign w:val="center"/>
          </w:tcPr>
          <w:p w14:paraId="206556D4"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51</w:t>
            </w:r>
          </w:p>
        </w:tc>
        <w:tc>
          <w:tcPr>
            <w:tcW w:w="1411" w:type="pct"/>
            <w:tcBorders>
              <w:top w:val="single" w:sz="6" w:space="0" w:color="auto"/>
              <w:left w:val="single" w:sz="6" w:space="0" w:color="auto"/>
              <w:bottom w:val="single" w:sz="6" w:space="0" w:color="auto"/>
              <w:right w:val="single" w:sz="6" w:space="0" w:color="auto"/>
            </w:tcBorders>
            <w:vAlign w:val="center"/>
          </w:tcPr>
          <w:p w14:paraId="6AC0B5E4"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376,8</w:t>
            </w:r>
          </w:p>
        </w:tc>
      </w:tr>
      <w:tr w:rsidR="00663F20" w:rsidRPr="00663F20" w14:paraId="0F078998" w14:textId="77777777" w:rsidTr="00723ACD">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19AD8CAE"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Mikrouzņēmumu nodoklis</w:t>
            </w:r>
          </w:p>
        </w:tc>
        <w:tc>
          <w:tcPr>
            <w:tcW w:w="1086" w:type="pct"/>
            <w:tcBorders>
              <w:top w:val="single" w:sz="6" w:space="0" w:color="auto"/>
              <w:left w:val="single" w:sz="6" w:space="0" w:color="auto"/>
              <w:bottom w:val="single" w:sz="6" w:space="0" w:color="auto"/>
              <w:right w:val="single" w:sz="6" w:space="0" w:color="auto"/>
            </w:tcBorders>
            <w:vAlign w:val="center"/>
          </w:tcPr>
          <w:p w14:paraId="31FABA84"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208</w:t>
            </w:r>
          </w:p>
        </w:tc>
        <w:tc>
          <w:tcPr>
            <w:tcW w:w="1002" w:type="pct"/>
            <w:tcBorders>
              <w:top w:val="single" w:sz="6" w:space="0" w:color="auto"/>
              <w:left w:val="single" w:sz="6" w:space="0" w:color="auto"/>
              <w:bottom w:val="single" w:sz="6" w:space="0" w:color="auto"/>
              <w:right w:val="single" w:sz="6" w:space="0" w:color="auto"/>
            </w:tcBorders>
            <w:vAlign w:val="center"/>
          </w:tcPr>
          <w:p w14:paraId="7AD2227B"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321</w:t>
            </w:r>
          </w:p>
        </w:tc>
        <w:tc>
          <w:tcPr>
            <w:tcW w:w="1411" w:type="pct"/>
            <w:tcBorders>
              <w:top w:val="single" w:sz="6" w:space="0" w:color="auto"/>
              <w:left w:val="single" w:sz="6" w:space="0" w:color="auto"/>
              <w:bottom w:val="single" w:sz="6" w:space="0" w:color="auto"/>
              <w:right w:val="single" w:sz="6" w:space="0" w:color="auto"/>
            </w:tcBorders>
            <w:vAlign w:val="center"/>
          </w:tcPr>
          <w:p w14:paraId="6A81C24A"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294,6</w:t>
            </w:r>
          </w:p>
        </w:tc>
      </w:tr>
      <w:tr w:rsidR="00663F20" w:rsidRPr="00663F20" w14:paraId="40EB4BBA" w14:textId="77777777" w:rsidTr="00723ACD">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2F365799" w14:textId="77777777" w:rsidR="00663F20" w:rsidRPr="00663F20" w:rsidRDefault="00663F20" w:rsidP="00663F20">
            <w:pPr>
              <w:keepNext/>
              <w:keepLines/>
              <w:spacing w:after="0"/>
              <w:ind w:firstLine="0"/>
              <w:jc w:val="left"/>
              <w:rPr>
                <w:rFonts w:eastAsia="Calibri" w:cs="Times New Roman"/>
                <w:noProof/>
                <w:sz w:val="18"/>
                <w:szCs w:val="24"/>
              </w:rPr>
            </w:pPr>
            <w:r w:rsidRPr="00663F20">
              <w:rPr>
                <w:rFonts w:eastAsia="Calibri" w:cs="Times New Roman"/>
                <w:noProof/>
                <w:sz w:val="18"/>
                <w:szCs w:val="24"/>
              </w:rPr>
              <w:t>UIN</w:t>
            </w:r>
          </w:p>
        </w:tc>
        <w:tc>
          <w:tcPr>
            <w:tcW w:w="1086" w:type="pct"/>
            <w:tcBorders>
              <w:top w:val="single" w:sz="6" w:space="0" w:color="auto"/>
              <w:left w:val="single" w:sz="6" w:space="0" w:color="auto"/>
              <w:bottom w:val="single" w:sz="6" w:space="0" w:color="auto"/>
              <w:right w:val="single" w:sz="6" w:space="0" w:color="auto"/>
            </w:tcBorders>
            <w:vAlign w:val="center"/>
          </w:tcPr>
          <w:p w14:paraId="52CB5815"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69</w:t>
            </w:r>
          </w:p>
        </w:tc>
        <w:tc>
          <w:tcPr>
            <w:tcW w:w="1002" w:type="pct"/>
            <w:tcBorders>
              <w:top w:val="single" w:sz="6" w:space="0" w:color="auto"/>
              <w:left w:val="single" w:sz="6" w:space="0" w:color="auto"/>
              <w:bottom w:val="single" w:sz="6" w:space="0" w:color="auto"/>
              <w:right w:val="single" w:sz="6" w:space="0" w:color="auto"/>
            </w:tcBorders>
            <w:vAlign w:val="center"/>
          </w:tcPr>
          <w:p w14:paraId="5DFEECC0"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81</w:t>
            </w:r>
          </w:p>
        </w:tc>
        <w:tc>
          <w:tcPr>
            <w:tcW w:w="1411" w:type="pct"/>
            <w:tcBorders>
              <w:top w:val="single" w:sz="6" w:space="0" w:color="auto"/>
              <w:left w:val="single" w:sz="6" w:space="0" w:color="auto"/>
              <w:bottom w:val="single" w:sz="6" w:space="0" w:color="auto"/>
              <w:right w:val="single" w:sz="6" w:space="0" w:color="auto"/>
            </w:tcBorders>
            <w:vAlign w:val="center"/>
          </w:tcPr>
          <w:p w14:paraId="17CD7AC3" w14:textId="77777777" w:rsidR="00663F20" w:rsidRPr="00663F20" w:rsidRDefault="00663F20" w:rsidP="00663F20">
            <w:pPr>
              <w:spacing w:after="0"/>
              <w:ind w:firstLine="0"/>
              <w:jc w:val="right"/>
              <w:rPr>
                <w:rFonts w:eastAsia="Calibri" w:cs="Times New Roman"/>
                <w:noProof/>
                <w:sz w:val="18"/>
                <w:szCs w:val="18"/>
              </w:rPr>
            </w:pPr>
            <w:r w:rsidRPr="00663F20">
              <w:rPr>
                <w:rFonts w:cs="Times New Roman"/>
                <w:noProof/>
                <w:color w:val="000000"/>
                <w:sz w:val="18"/>
                <w:szCs w:val="18"/>
              </w:rPr>
              <w:t>129,2</w:t>
            </w:r>
          </w:p>
        </w:tc>
      </w:tr>
      <w:tr w:rsidR="00663F20" w:rsidRPr="00663F20" w14:paraId="4476EA3F" w14:textId="77777777" w:rsidTr="00723ACD">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1DC503F3" w14:textId="77777777" w:rsidR="00663F20" w:rsidRPr="00663F20" w:rsidRDefault="00663F20" w:rsidP="00663F20">
            <w:pPr>
              <w:keepNext/>
              <w:keepLines/>
              <w:spacing w:after="0"/>
              <w:ind w:firstLine="0"/>
              <w:jc w:val="left"/>
              <w:rPr>
                <w:rFonts w:eastAsia="Calibri" w:cs="Times New Roman"/>
                <w:b/>
                <w:bCs/>
                <w:noProof/>
                <w:sz w:val="18"/>
                <w:szCs w:val="24"/>
              </w:rPr>
            </w:pPr>
            <w:r w:rsidRPr="00663F20">
              <w:rPr>
                <w:rFonts w:eastAsia="Calibri" w:cs="Times New Roman"/>
                <w:b/>
                <w:bCs/>
                <w:noProof/>
                <w:sz w:val="18"/>
                <w:szCs w:val="24"/>
              </w:rPr>
              <w:t>Kopā</w:t>
            </w:r>
          </w:p>
        </w:tc>
        <w:tc>
          <w:tcPr>
            <w:tcW w:w="1086" w:type="pct"/>
            <w:tcBorders>
              <w:top w:val="single" w:sz="6" w:space="0" w:color="auto"/>
              <w:left w:val="single" w:sz="6" w:space="0" w:color="auto"/>
              <w:bottom w:val="single" w:sz="6" w:space="0" w:color="auto"/>
              <w:right w:val="single" w:sz="6" w:space="0" w:color="auto"/>
            </w:tcBorders>
            <w:vAlign w:val="center"/>
          </w:tcPr>
          <w:p w14:paraId="2A3551E7" w14:textId="77777777" w:rsidR="00663F20" w:rsidRPr="00663F20" w:rsidRDefault="00663F20" w:rsidP="00663F20">
            <w:pPr>
              <w:spacing w:after="0"/>
              <w:ind w:firstLine="0"/>
              <w:jc w:val="right"/>
              <w:rPr>
                <w:rFonts w:eastAsia="Calibri" w:cs="Times New Roman"/>
                <w:b/>
                <w:bCs/>
                <w:noProof/>
                <w:sz w:val="18"/>
                <w:szCs w:val="18"/>
              </w:rPr>
            </w:pPr>
            <w:r w:rsidRPr="00663F20">
              <w:rPr>
                <w:rFonts w:cs="Times New Roman"/>
                <w:b/>
                <w:bCs/>
                <w:noProof/>
                <w:color w:val="000000"/>
                <w:sz w:val="18"/>
                <w:szCs w:val="18"/>
              </w:rPr>
              <w:t>4 371</w:t>
            </w:r>
          </w:p>
        </w:tc>
        <w:tc>
          <w:tcPr>
            <w:tcW w:w="1002" w:type="pct"/>
            <w:tcBorders>
              <w:top w:val="single" w:sz="6" w:space="0" w:color="auto"/>
              <w:left w:val="single" w:sz="6" w:space="0" w:color="auto"/>
              <w:bottom w:val="single" w:sz="6" w:space="0" w:color="auto"/>
              <w:right w:val="single" w:sz="6" w:space="0" w:color="auto"/>
            </w:tcBorders>
            <w:vAlign w:val="center"/>
          </w:tcPr>
          <w:p w14:paraId="5A93CF7A" w14:textId="77777777" w:rsidR="00663F20" w:rsidRPr="00663F20" w:rsidRDefault="00663F20" w:rsidP="00663F20">
            <w:pPr>
              <w:spacing w:after="0"/>
              <w:ind w:firstLine="0"/>
              <w:jc w:val="right"/>
              <w:rPr>
                <w:rFonts w:eastAsia="Calibri" w:cs="Times New Roman"/>
                <w:b/>
                <w:bCs/>
                <w:noProof/>
                <w:sz w:val="18"/>
                <w:szCs w:val="18"/>
              </w:rPr>
            </w:pPr>
            <w:r w:rsidRPr="00663F20">
              <w:rPr>
                <w:rFonts w:cs="Times New Roman"/>
                <w:b/>
                <w:bCs/>
                <w:noProof/>
                <w:color w:val="000000"/>
                <w:sz w:val="18"/>
                <w:szCs w:val="18"/>
              </w:rPr>
              <w:t>10 132</w:t>
            </w:r>
          </w:p>
        </w:tc>
        <w:tc>
          <w:tcPr>
            <w:tcW w:w="1411" w:type="pct"/>
            <w:tcBorders>
              <w:top w:val="single" w:sz="6" w:space="0" w:color="auto"/>
              <w:left w:val="single" w:sz="6" w:space="0" w:color="auto"/>
              <w:bottom w:val="single" w:sz="6" w:space="0" w:color="auto"/>
              <w:right w:val="single" w:sz="6" w:space="0" w:color="auto"/>
            </w:tcBorders>
            <w:vAlign w:val="center"/>
          </w:tcPr>
          <w:p w14:paraId="738B5CE0" w14:textId="77777777" w:rsidR="00663F20" w:rsidRPr="00663F20" w:rsidRDefault="00663F20" w:rsidP="00663F20">
            <w:pPr>
              <w:spacing w:after="0"/>
              <w:ind w:firstLine="0"/>
              <w:jc w:val="right"/>
              <w:rPr>
                <w:rFonts w:eastAsia="Calibri" w:cs="Times New Roman"/>
                <w:b/>
                <w:bCs/>
                <w:noProof/>
                <w:sz w:val="18"/>
                <w:szCs w:val="18"/>
              </w:rPr>
            </w:pPr>
            <w:r w:rsidRPr="00663F20">
              <w:rPr>
                <w:rFonts w:cs="Times New Roman"/>
                <w:b/>
                <w:bCs/>
                <w:noProof/>
                <w:color w:val="000000"/>
                <w:sz w:val="18"/>
                <w:szCs w:val="18"/>
              </w:rPr>
              <w:t>129 679,5</w:t>
            </w:r>
          </w:p>
        </w:tc>
      </w:tr>
    </w:tbl>
    <w:p w14:paraId="210549E1" w14:textId="77777777" w:rsidR="00663F20" w:rsidRPr="00663F20" w:rsidRDefault="00663F20" w:rsidP="00663F20">
      <w:pPr>
        <w:spacing w:after="0"/>
        <w:ind w:left="425" w:firstLine="0"/>
        <w:rPr>
          <w:rFonts w:eastAsia="Calibri" w:cs="Times New Roman"/>
          <w:sz w:val="18"/>
          <w:szCs w:val="18"/>
          <w:lang w:eastAsia="en-US"/>
        </w:rPr>
      </w:pPr>
      <w:r w:rsidRPr="00663F20">
        <w:rPr>
          <w:rFonts w:eastAsia="Calibri" w:cs="Times New Roman"/>
          <w:sz w:val="18"/>
          <w:szCs w:val="18"/>
          <w:vertAlign w:val="superscript"/>
          <w:lang w:eastAsia="en-US"/>
        </w:rPr>
        <w:t>1</w:t>
      </w:r>
      <w:r w:rsidRPr="00663F20">
        <w:rPr>
          <w:rFonts w:eastAsia="Calibri" w:cs="Times New Roman"/>
          <w:sz w:val="18"/>
          <w:szCs w:val="18"/>
          <w:lang w:eastAsia="en-US"/>
        </w:rPr>
        <w:t> Dati uz 17.09.2024.</w:t>
      </w:r>
    </w:p>
    <w:p w14:paraId="62F01228" w14:textId="77777777" w:rsidR="00663F20" w:rsidRPr="00663F20" w:rsidRDefault="00663F20" w:rsidP="00663F20">
      <w:pPr>
        <w:spacing w:after="0"/>
        <w:ind w:left="425" w:firstLine="0"/>
        <w:rPr>
          <w:rFonts w:eastAsia="Calibri" w:cs="Times New Roman"/>
          <w:sz w:val="18"/>
          <w:szCs w:val="18"/>
          <w:lang w:eastAsia="en-US"/>
        </w:rPr>
      </w:pPr>
    </w:p>
    <w:p w14:paraId="17332388" w14:textId="4A67DA42" w:rsidR="00663F20" w:rsidRDefault="00663F20" w:rsidP="00CB6A85">
      <w:pPr>
        <w:rPr>
          <w:rFonts w:cs="Times New Roman"/>
          <w:szCs w:val="24"/>
        </w:rPr>
      </w:pPr>
      <w:r w:rsidRPr="00663F20">
        <w:rPr>
          <w:rFonts w:cs="Times New Roman"/>
          <w:szCs w:val="24"/>
        </w:rPr>
        <w:t>Lielākais termiņa pagarinājumu skaits piešķirts nodokļu maksātājiem, kuru pamatdarbības veids saistīts ar vairumtirdzniecību un mazumtirdzniecību; automobiļu un motociklu remontu, profesionālajiem, zinātniskajiem un tehniskajiem pakalpojumiem vai apstrādes rūpniecību (3 522 jeb 34,8% par kopējo summu 68,7 milj. </w:t>
      </w:r>
      <w:proofErr w:type="spellStart"/>
      <w:r w:rsidRPr="00663F20">
        <w:rPr>
          <w:rFonts w:cs="Times New Roman"/>
          <w:i/>
          <w:iCs/>
          <w:szCs w:val="24"/>
        </w:rPr>
        <w:t>euro</w:t>
      </w:r>
      <w:proofErr w:type="spellEnd"/>
      <w:r w:rsidRPr="00663F20">
        <w:rPr>
          <w:rFonts w:cs="Times New Roman"/>
          <w:szCs w:val="24"/>
        </w:rPr>
        <w:t xml:space="preserve"> jeb 53,0% no visas piešķirtās termiņa pagarinājumu summas). Savukārt lielākā summa piešķirta nodokļu maksātājiem, kuru pamatdarbības veids saistīts ar apstrādes rūpniecību, vairumtirdzniecību un mazumtirdzniecību; automobiļu un motociklu remontu vai transportu un uzglabāšanu (94,2 milj. </w:t>
      </w:r>
      <w:proofErr w:type="spellStart"/>
      <w:r w:rsidRPr="00663F20">
        <w:rPr>
          <w:rFonts w:cs="Times New Roman"/>
          <w:i/>
          <w:iCs/>
          <w:szCs w:val="24"/>
        </w:rPr>
        <w:t>euro</w:t>
      </w:r>
      <w:proofErr w:type="spellEnd"/>
      <w:r w:rsidRPr="00663F20">
        <w:rPr>
          <w:rFonts w:cs="Times New Roman"/>
          <w:szCs w:val="24"/>
        </w:rPr>
        <w:t xml:space="preserve"> jeb 72,6% no kopējās summas).</w:t>
      </w:r>
    </w:p>
    <w:p w14:paraId="3CB5D6A7" w14:textId="77777777" w:rsidR="00663F20" w:rsidRPr="00663F20" w:rsidRDefault="00663F20" w:rsidP="00663F20">
      <w:pPr>
        <w:spacing w:after="0"/>
        <w:ind w:firstLine="709"/>
        <w:rPr>
          <w:rFonts w:cs="Times New Roman"/>
          <w:szCs w:val="24"/>
        </w:rPr>
      </w:pPr>
    </w:p>
    <w:p w14:paraId="0E86482D" w14:textId="437A309D" w:rsidR="0081796C" w:rsidRPr="00E96BB6" w:rsidRDefault="00CB6A85" w:rsidP="00E96BB6">
      <w:pPr>
        <w:spacing w:after="0"/>
        <w:ind w:firstLine="0"/>
        <w:jc w:val="left"/>
      </w:pPr>
      <w:r>
        <w:br w:type="page"/>
      </w:r>
    </w:p>
    <w:p w14:paraId="36A189C7" w14:textId="0D5B9C42" w:rsidR="005218A4" w:rsidRPr="00F7329E" w:rsidRDefault="00E127EF" w:rsidP="0081796C">
      <w:pPr>
        <w:pStyle w:val="Heading1"/>
      </w:pPr>
      <w:bookmarkStart w:id="106" w:name="_Toc179356107"/>
      <w:r w:rsidRPr="00F7329E">
        <w:lastRenderedPageBreak/>
        <w:t xml:space="preserve">4. </w:t>
      </w:r>
      <w:r w:rsidR="006C567F" w:rsidRPr="00F7329E">
        <w:t>Valsts parāda, aizdevumu un galvojumu finansiālo saistību kopsavilkums</w:t>
      </w:r>
      <w:bookmarkEnd w:id="106"/>
    </w:p>
    <w:p w14:paraId="6E994DA4" w14:textId="04BDBA34" w:rsidR="00FB33CF" w:rsidRDefault="00863814" w:rsidP="00663F20">
      <w:pPr>
        <w:pStyle w:val="Heading2"/>
        <w:spacing w:before="240" w:after="0"/>
        <w:rPr>
          <w:rFonts w:eastAsia="Times New Roman"/>
        </w:rPr>
      </w:pPr>
      <w:bookmarkStart w:id="107" w:name="_Toc179356108"/>
      <w:r w:rsidRPr="00F7329E">
        <w:rPr>
          <w:rFonts w:eastAsia="Times New Roman"/>
        </w:rPr>
        <w:t xml:space="preserve">4.1. </w:t>
      </w:r>
      <w:r w:rsidR="00FB33CF" w:rsidRPr="00F7329E">
        <w:rPr>
          <w:rFonts w:eastAsia="Times New Roman"/>
        </w:rPr>
        <w:t>Valdības parāda attīstības tendences vidējā termiņā</w:t>
      </w:r>
      <w:bookmarkEnd w:id="107"/>
    </w:p>
    <w:p w14:paraId="6578F198" w14:textId="77777777" w:rsidR="00663F20" w:rsidRPr="00663F20" w:rsidRDefault="00663F20" w:rsidP="00663F20">
      <w:pPr>
        <w:spacing w:after="0"/>
      </w:pPr>
    </w:p>
    <w:p w14:paraId="64FCBB3D" w14:textId="77777777" w:rsidR="00F7329E" w:rsidRPr="00F7329E" w:rsidRDefault="00F7329E" w:rsidP="008349F0">
      <w:pPr>
        <w:rPr>
          <w:rFonts w:eastAsia="Times New Roman" w:cs="Times New Roman"/>
          <w:szCs w:val="26"/>
          <w:lang w:eastAsia="en-US"/>
        </w:rPr>
      </w:pPr>
      <w:r w:rsidRPr="00F7329E">
        <w:rPr>
          <w:rFonts w:eastAsia="Times New Roman" w:cs="Times New Roman"/>
          <w:szCs w:val="20"/>
          <w:lang w:eastAsia="en-US"/>
        </w:rPr>
        <w:t>Valsts parāda vadības pamatprincipus un uzdevumus vidējam termiņam nosaka Valsts parāda un naudas līdzekļu vadības stratēģija, kuru apstiprina finanšu ministrs. Saskaņā ar  stratēģiju valsts parāda un naudas līdzekļu vadības mērķis ir savlaicīgi nodrošināt finanšu resursu pieejamību finansēšanas nepieciešamības segšanai ar zemām valsts parāda apkalpošanas izmaksām, ierobežojot finanšu riskus un vienlaikus sekmējot iekšējā finanšu tirgus attīstību. Valsts parāda un budžeta saistību izpildē tiek izmantota stratēģiska pieeja valsts aizņemšanās un parāda vadības procesa nodrošināšanā, saglabājot pēc iespējas lielāku elastību finanšu tirgos veicamo aizņēmumu nosacījumu (aizņemšanās laiks, instruments, apjoms, termiņš) izvēlē. Tas ļauj ierobežot finanšu riskus vidējā termiņā, kā arī nodrošināt resursus kopējās finansēšanas nepieciešamības segšanai ar pēc iespējas labvēlīgākiem un izdevīgākiem nosacījumiem.</w:t>
      </w:r>
    </w:p>
    <w:p w14:paraId="4EA7F77D" w14:textId="77777777" w:rsidR="00F7329E" w:rsidRPr="00F7329E" w:rsidRDefault="00F7329E" w:rsidP="008349F0">
      <w:pPr>
        <w:rPr>
          <w:rFonts w:eastAsia="Times New Roman" w:cs="Times New Roman"/>
          <w:szCs w:val="24"/>
          <w:lang w:eastAsia="en-US"/>
        </w:rPr>
      </w:pPr>
      <w:r w:rsidRPr="00F7329E">
        <w:rPr>
          <w:rFonts w:eastAsia="Times New Roman" w:cs="Times New Roman"/>
          <w:szCs w:val="24"/>
          <w:lang w:eastAsia="en-US"/>
        </w:rPr>
        <w:t xml:space="preserve">2023. gadā kopējās finansēšanas nepieciešamības segšanai, t.sk. valsts budžeta deficīta finansēšanai, veikti aizņemšanās darījumi finanšu tirgos 3 649,9 milj. </w:t>
      </w:r>
      <w:proofErr w:type="spellStart"/>
      <w:r w:rsidRPr="00F7329E">
        <w:rPr>
          <w:rFonts w:eastAsia="Times New Roman" w:cs="Times New Roman"/>
          <w:i/>
          <w:szCs w:val="24"/>
          <w:lang w:eastAsia="en-US"/>
        </w:rPr>
        <w:t>euro</w:t>
      </w:r>
      <w:proofErr w:type="spellEnd"/>
      <w:r w:rsidRPr="00F7329E">
        <w:rPr>
          <w:rFonts w:eastAsia="Times New Roman" w:cs="Times New Roman"/>
          <w:szCs w:val="24"/>
          <w:lang w:eastAsia="en-US"/>
        </w:rPr>
        <w:t xml:space="preserve"> apmērā. Izmantojot iepriekš minētos aizņemšanās pasākumus, 2023. gadā tika nodrošināta valsts parāda saistību izpilde saskaņā ar noteiktajiem termiņiem, t.sk. aprīlī dzēstas 2020. gadā emitētās eiroobligācijas 1 000,0 milj. </w:t>
      </w:r>
      <w:proofErr w:type="spellStart"/>
      <w:r w:rsidRPr="00F7329E">
        <w:rPr>
          <w:rFonts w:eastAsia="Times New Roman" w:cs="Times New Roman"/>
          <w:i/>
          <w:szCs w:val="24"/>
          <w:lang w:eastAsia="en-US"/>
        </w:rPr>
        <w:t>euro</w:t>
      </w:r>
      <w:proofErr w:type="spellEnd"/>
      <w:r w:rsidRPr="00F7329E">
        <w:rPr>
          <w:rFonts w:eastAsia="Times New Roman" w:cs="Times New Roman"/>
          <w:szCs w:val="24"/>
          <w:lang w:eastAsia="en-US"/>
        </w:rPr>
        <w:t xml:space="preserve"> apmērā, maijā dzēstas 5 gadu iekšējā aizņēmuma obligācijas 270,0 milj. </w:t>
      </w:r>
      <w:proofErr w:type="spellStart"/>
      <w:r w:rsidRPr="00F7329E">
        <w:rPr>
          <w:rFonts w:eastAsia="Times New Roman" w:cs="Times New Roman"/>
          <w:i/>
          <w:szCs w:val="24"/>
          <w:lang w:eastAsia="en-US"/>
        </w:rPr>
        <w:t>euro</w:t>
      </w:r>
      <w:proofErr w:type="spellEnd"/>
      <w:r w:rsidRPr="00F7329E">
        <w:rPr>
          <w:rFonts w:eastAsia="Times New Roman" w:cs="Times New Roman"/>
          <w:szCs w:val="24"/>
          <w:lang w:eastAsia="en-US"/>
        </w:rPr>
        <w:t xml:space="preserve"> apmērā un novembrī dzēstas 5 gadu iekšējā aizņēmuma obligācijas 250,0 milj. </w:t>
      </w:r>
      <w:proofErr w:type="spellStart"/>
      <w:r w:rsidRPr="00F7329E">
        <w:rPr>
          <w:rFonts w:eastAsia="Times New Roman" w:cs="Times New Roman"/>
          <w:i/>
          <w:szCs w:val="24"/>
          <w:lang w:eastAsia="en-US"/>
        </w:rPr>
        <w:t>euro</w:t>
      </w:r>
      <w:proofErr w:type="spellEnd"/>
      <w:r w:rsidRPr="00F7329E">
        <w:rPr>
          <w:rFonts w:eastAsia="Times New Roman" w:cs="Times New Roman"/>
          <w:szCs w:val="24"/>
          <w:lang w:eastAsia="en-US"/>
        </w:rPr>
        <w:t xml:space="preserve"> apmērā, kā arī 2023. gada aprīlī pirms termiņa veikta Covid-19 pandēmijas negatīvo seku mazināšanai piešķirtā aizņēmuma atmaksa Ziemeļu investīciju bankai 500 milj. </w:t>
      </w:r>
      <w:proofErr w:type="spellStart"/>
      <w:r w:rsidRPr="00F7329E">
        <w:rPr>
          <w:rFonts w:eastAsia="Times New Roman" w:cs="Times New Roman"/>
          <w:i/>
          <w:szCs w:val="24"/>
          <w:lang w:eastAsia="en-US"/>
        </w:rPr>
        <w:t>euro</w:t>
      </w:r>
      <w:proofErr w:type="spellEnd"/>
      <w:r w:rsidRPr="00F7329E">
        <w:rPr>
          <w:rFonts w:eastAsia="Times New Roman" w:cs="Times New Roman"/>
          <w:szCs w:val="24"/>
          <w:lang w:eastAsia="en-US"/>
        </w:rPr>
        <w:t xml:space="preserve"> apmērā.</w:t>
      </w:r>
    </w:p>
    <w:p w14:paraId="1CCE5892" w14:textId="3D9E06CB" w:rsidR="00F7329E" w:rsidRPr="00F7329E" w:rsidRDefault="00F7329E" w:rsidP="008349F0">
      <w:pPr>
        <w:rPr>
          <w:rFonts w:eastAsia="Times New Roman" w:cs="Times New Roman"/>
          <w:szCs w:val="24"/>
          <w:lang w:eastAsia="en-US"/>
        </w:rPr>
      </w:pPr>
      <w:r w:rsidRPr="00F7329E">
        <w:rPr>
          <w:rFonts w:eastAsia="Times New Roman" w:cs="Times New Roman"/>
          <w:szCs w:val="20"/>
          <w:lang w:eastAsia="en-US"/>
        </w:rPr>
        <w:t xml:space="preserve">2024. gada deviņos mēnešos kopējās finansēšanas nepieciešamības segšanai veikti aizņemšanās darījumi finanšu tirgos 3 016,0 milj. </w:t>
      </w:r>
      <w:proofErr w:type="spellStart"/>
      <w:r w:rsidRPr="00F7329E">
        <w:rPr>
          <w:rFonts w:eastAsia="Times New Roman" w:cs="Times New Roman"/>
          <w:i/>
          <w:szCs w:val="20"/>
          <w:lang w:eastAsia="en-US"/>
        </w:rPr>
        <w:t>euro</w:t>
      </w:r>
      <w:proofErr w:type="spellEnd"/>
      <w:r w:rsidRPr="00F7329E">
        <w:rPr>
          <w:rFonts w:eastAsia="Times New Roman" w:cs="Times New Roman"/>
          <w:szCs w:val="20"/>
          <w:lang w:eastAsia="en-US"/>
        </w:rPr>
        <w:t xml:space="preserve"> apmērā. Maijā, pēc 12 gadu pārtraukuma atgriežoties ASV dolāru tirgū, lai paplašinātu investoru bāzi un nodrošinātu plašākas aizņemšanās iespējas ar izdevīgiem nosacījumiem nākotnē, veikta 10 gadu obligāciju emisija 1 250 milj. ASV dolāru apmērā. Lai pilnībā novērstu valūtas risku, vienlaicīgi ar obligāciju emisiju noslēgts valūtas mijmaiņas darījums, faktiskās valsts parāda saistības pārvēršot </w:t>
      </w:r>
      <w:proofErr w:type="spellStart"/>
      <w:r w:rsidRPr="00F7329E">
        <w:rPr>
          <w:rFonts w:eastAsia="Times New Roman" w:cs="Times New Roman"/>
          <w:i/>
          <w:iCs/>
          <w:szCs w:val="20"/>
          <w:lang w:eastAsia="en-US"/>
        </w:rPr>
        <w:t>euro</w:t>
      </w:r>
      <w:proofErr w:type="spellEnd"/>
      <w:r w:rsidRPr="00F7329E">
        <w:rPr>
          <w:rFonts w:eastAsia="Times New Roman" w:cs="Times New Roman"/>
          <w:szCs w:val="20"/>
          <w:lang w:eastAsia="en-US"/>
        </w:rPr>
        <w:t xml:space="preserve">. Attiecīgi, ASV dolāros </w:t>
      </w:r>
      <w:proofErr w:type="spellStart"/>
      <w:r w:rsidRPr="00F7329E">
        <w:rPr>
          <w:rFonts w:eastAsia="Times New Roman" w:cs="Times New Roman"/>
          <w:szCs w:val="20"/>
          <w:lang w:eastAsia="en-US"/>
        </w:rPr>
        <w:t>denominētu</w:t>
      </w:r>
      <w:proofErr w:type="spellEnd"/>
      <w:r w:rsidRPr="00F7329E">
        <w:rPr>
          <w:rFonts w:eastAsia="Times New Roman" w:cs="Times New Roman"/>
          <w:szCs w:val="20"/>
          <w:lang w:eastAsia="en-US"/>
        </w:rPr>
        <w:t xml:space="preserve"> obligāciju efektīvā procentu likme pēc mijmaiņas darījuma ir bijusi zemāka nekā līdzīga termiņa aizņemšanās izmaksas </w:t>
      </w:r>
      <w:proofErr w:type="spellStart"/>
      <w:r w:rsidRPr="00F7329E">
        <w:rPr>
          <w:rFonts w:eastAsia="Times New Roman" w:cs="Times New Roman"/>
          <w:i/>
          <w:iCs/>
          <w:szCs w:val="20"/>
          <w:lang w:eastAsia="en-US"/>
        </w:rPr>
        <w:t>euro</w:t>
      </w:r>
      <w:proofErr w:type="spellEnd"/>
      <w:r w:rsidRPr="00F7329E">
        <w:rPr>
          <w:rFonts w:eastAsia="Times New Roman" w:cs="Times New Roman"/>
          <w:szCs w:val="20"/>
          <w:lang w:eastAsia="en-US"/>
        </w:rPr>
        <w:t xml:space="preserve">. Septembrī veikta 7 gadu eiroobligāciju emisija 600 milj. </w:t>
      </w:r>
      <w:proofErr w:type="spellStart"/>
      <w:r w:rsidRPr="00F7329E">
        <w:rPr>
          <w:rFonts w:eastAsia="Times New Roman" w:cs="Times New Roman"/>
          <w:i/>
          <w:szCs w:val="20"/>
          <w:lang w:eastAsia="en-US"/>
        </w:rPr>
        <w:t>euro</w:t>
      </w:r>
      <w:proofErr w:type="spellEnd"/>
      <w:r w:rsidRPr="00F7329E">
        <w:rPr>
          <w:rFonts w:eastAsia="Times New Roman" w:cs="Times New Roman"/>
          <w:szCs w:val="20"/>
          <w:lang w:eastAsia="en-US"/>
        </w:rPr>
        <w:t xml:space="preserve"> apmērā ar kupona likmi 3,000%. Savukārt, dažāda termiņa eiroobligāciju papildu laidienu izsolēs ar Primāro dīleru starpniecību piesaistīti 1 035,0 milj. </w:t>
      </w:r>
      <w:proofErr w:type="spellStart"/>
      <w:r w:rsidRPr="00F7329E">
        <w:rPr>
          <w:rFonts w:eastAsia="Times New Roman" w:cs="Times New Roman"/>
          <w:i/>
          <w:szCs w:val="20"/>
          <w:lang w:eastAsia="en-US"/>
        </w:rPr>
        <w:t>euro</w:t>
      </w:r>
      <w:proofErr w:type="spellEnd"/>
      <w:r w:rsidRPr="00F7329E">
        <w:rPr>
          <w:rFonts w:eastAsia="Times New Roman" w:cs="Times New Roman"/>
          <w:szCs w:val="20"/>
          <w:lang w:eastAsia="en-US"/>
        </w:rPr>
        <w:t>.</w:t>
      </w:r>
      <w:r w:rsidR="00E276EB">
        <w:rPr>
          <w:rFonts w:eastAsia="Times New Roman" w:cs="Times New Roman"/>
          <w:szCs w:val="20"/>
          <w:lang w:eastAsia="en-US"/>
        </w:rPr>
        <w:t xml:space="preserve"> </w:t>
      </w:r>
      <w:proofErr w:type="spellStart"/>
      <w:r w:rsidRPr="00F7329E">
        <w:rPr>
          <w:rFonts w:eastAsia="Times New Roman" w:cs="Times New Roman"/>
          <w:szCs w:val="20"/>
          <w:lang w:eastAsia="en-US"/>
        </w:rPr>
        <w:t>Krājobligācijas</w:t>
      </w:r>
      <w:proofErr w:type="spellEnd"/>
      <w:r w:rsidRPr="00F7329E">
        <w:rPr>
          <w:rFonts w:eastAsia="Times New Roman" w:cs="Times New Roman"/>
          <w:szCs w:val="20"/>
          <w:lang w:eastAsia="en-US"/>
        </w:rPr>
        <w:t xml:space="preserve"> emitētas 227,7 milj. </w:t>
      </w:r>
      <w:proofErr w:type="spellStart"/>
      <w:r w:rsidRPr="00F7329E">
        <w:rPr>
          <w:rFonts w:eastAsia="Times New Roman" w:cs="Times New Roman"/>
          <w:i/>
          <w:szCs w:val="20"/>
          <w:lang w:eastAsia="en-US"/>
        </w:rPr>
        <w:t>euro</w:t>
      </w:r>
      <w:proofErr w:type="spellEnd"/>
      <w:r w:rsidRPr="00F7329E">
        <w:rPr>
          <w:rFonts w:eastAsia="Times New Roman" w:cs="Times New Roman"/>
          <w:szCs w:val="20"/>
          <w:lang w:eastAsia="en-US"/>
        </w:rPr>
        <w:t xml:space="preserve"> apmērā, saglabājoties lielam iedzīvotāju pieprasījumam pēc šī instrumenta, kā arī vēlmei veikt ieguldījumu atkārtoti pēc 2023. gadā iegādāto </w:t>
      </w:r>
      <w:proofErr w:type="spellStart"/>
      <w:r w:rsidRPr="00F7329E">
        <w:rPr>
          <w:rFonts w:eastAsia="Times New Roman" w:cs="Times New Roman"/>
          <w:szCs w:val="20"/>
          <w:lang w:eastAsia="en-US"/>
        </w:rPr>
        <w:t>krājobligāciju</w:t>
      </w:r>
      <w:proofErr w:type="spellEnd"/>
      <w:r w:rsidRPr="00F7329E">
        <w:rPr>
          <w:rFonts w:eastAsia="Times New Roman" w:cs="Times New Roman"/>
          <w:szCs w:val="20"/>
          <w:lang w:eastAsia="en-US"/>
        </w:rPr>
        <w:t xml:space="preserve"> dzēšanas. </w:t>
      </w:r>
    </w:p>
    <w:p w14:paraId="39E42AAE" w14:textId="77777777" w:rsidR="00BB1D8B" w:rsidRDefault="00F7329E" w:rsidP="00BB1D8B">
      <w:pPr>
        <w:rPr>
          <w:rFonts w:eastAsia="Times New Roman" w:cs="Times New Roman"/>
          <w:szCs w:val="24"/>
          <w:lang w:eastAsia="en-US"/>
        </w:rPr>
      </w:pPr>
      <w:r w:rsidRPr="00F7329E">
        <w:rPr>
          <w:rFonts w:eastAsia="Times New Roman" w:cs="Times New Roman"/>
          <w:szCs w:val="20"/>
          <w:lang w:eastAsia="en-US"/>
        </w:rPr>
        <w:t>2024. gada deviņos mēnešos tika nodrošināta valsts parāda saistību izpilde saskaņā ar noteiktajiem termiņiem, t.sk. dzēstas 2014. gadā emitētās eiroobligācijas 1</w:t>
      </w:r>
      <w:r w:rsidRPr="00F7329E">
        <w:rPr>
          <w:rFonts w:eastAsia="Times New Roman" w:cs="Times New Roman"/>
          <w:i/>
          <w:color w:val="000000"/>
          <w:szCs w:val="20"/>
          <w:lang w:eastAsia="en-US"/>
        </w:rPr>
        <w:t> </w:t>
      </w:r>
      <w:r w:rsidRPr="00F7329E">
        <w:rPr>
          <w:rFonts w:eastAsia="Times New Roman" w:cs="Times New Roman"/>
          <w:szCs w:val="20"/>
          <w:lang w:eastAsia="en-US"/>
        </w:rPr>
        <w:t xml:space="preserve">320,0 milj. </w:t>
      </w:r>
      <w:proofErr w:type="spellStart"/>
      <w:r w:rsidRPr="00F7329E">
        <w:rPr>
          <w:rFonts w:eastAsia="Times New Roman" w:cs="Times New Roman"/>
          <w:i/>
          <w:szCs w:val="20"/>
          <w:lang w:eastAsia="en-US"/>
        </w:rPr>
        <w:t>euro</w:t>
      </w:r>
      <w:proofErr w:type="spellEnd"/>
      <w:r w:rsidRPr="00F7329E">
        <w:rPr>
          <w:rFonts w:eastAsia="Times New Roman" w:cs="Times New Roman"/>
          <w:i/>
          <w:szCs w:val="20"/>
          <w:lang w:eastAsia="en-US"/>
        </w:rPr>
        <w:t xml:space="preserve"> </w:t>
      </w:r>
      <w:r w:rsidRPr="00F7329E">
        <w:rPr>
          <w:rFonts w:eastAsia="Times New Roman" w:cs="Times New Roman"/>
          <w:szCs w:val="20"/>
          <w:lang w:eastAsia="en-US"/>
        </w:rPr>
        <w:t xml:space="preserve">apmērā un </w:t>
      </w:r>
      <w:proofErr w:type="spellStart"/>
      <w:r w:rsidRPr="00F7329E">
        <w:rPr>
          <w:rFonts w:eastAsia="Times New Roman" w:cs="Times New Roman"/>
          <w:szCs w:val="20"/>
          <w:lang w:eastAsia="en-US"/>
        </w:rPr>
        <w:t>krājobligācijas</w:t>
      </w:r>
      <w:proofErr w:type="spellEnd"/>
      <w:r w:rsidRPr="00F7329E">
        <w:rPr>
          <w:rFonts w:eastAsia="Times New Roman" w:cs="Times New Roman"/>
          <w:szCs w:val="20"/>
          <w:lang w:eastAsia="en-US"/>
        </w:rPr>
        <w:t xml:space="preserve"> 162,9 milj. </w:t>
      </w:r>
      <w:proofErr w:type="spellStart"/>
      <w:r w:rsidRPr="00F7329E">
        <w:rPr>
          <w:rFonts w:eastAsia="Times New Roman" w:cs="Times New Roman"/>
          <w:i/>
          <w:iCs/>
          <w:szCs w:val="20"/>
          <w:lang w:eastAsia="en-US"/>
        </w:rPr>
        <w:t>euro</w:t>
      </w:r>
      <w:proofErr w:type="spellEnd"/>
      <w:r w:rsidRPr="00F7329E">
        <w:rPr>
          <w:rFonts w:eastAsia="Times New Roman" w:cs="Times New Roman"/>
          <w:szCs w:val="20"/>
          <w:lang w:eastAsia="en-US"/>
        </w:rPr>
        <w:t xml:space="preserve"> apmērā. </w:t>
      </w:r>
    </w:p>
    <w:p w14:paraId="24348E84" w14:textId="77777777" w:rsidR="0029168E" w:rsidRDefault="0029168E" w:rsidP="00BB1D8B">
      <w:pPr>
        <w:rPr>
          <w:rFonts w:eastAsia="Times New Roman" w:cs="Times New Roman"/>
          <w:szCs w:val="24"/>
          <w:lang w:eastAsia="en-US"/>
        </w:rPr>
      </w:pPr>
    </w:p>
    <w:p w14:paraId="7536EFC4" w14:textId="77777777" w:rsidR="0029168E" w:rsidRDefault="0029168E" w:rsidP="00BB1D8B">
      <w:pPr>
        <w:rPr>
          <w:rFonts w:eastAsia="Times New Roman" w:cs="Times New Roman"/>
          <w:szCs w:val="24"/>
          <w:lang w:eastAsia="en-US"/>
        </w:rPr>
      </w:pPr>
    </w:p>
    <w:p w14:paraId="3558B8FD" w14:textId="0F4C17BA" w:rsidR="00F7329E" w:rsidRPr="00F7329E" w:rsidRDefault="00F7329E" w:rsidP="00BB1D8B">
      <w:pPr>
        <w:rPr>
          <w:rFonts w:eastAsia="Times New Roman" w:cs="Times New Roman"/>
          <w:szCs w:val="24"/>
          <w:lang w:eastAsia="en-US"/>
        </w:rPr>
      </w:pPr>
      <w:r w:rsidRPr="00F7329E">
        <w:rPr>
          <w:rFonts w:eastAsia="Times New Roman" w:cs="Times New Roman"/>
          <w:szCs w:val="24"/>
          <w:lang w:eastAsia="en-US"/>
        </w:rPr>
        <w:lastRenderedPageBreak/>
        <w:t>2023. gada beigās vispārējās valdības parāds pēc EKS metodoloģijas</w:t>
      </w:r>
      <w:r w:rsidRPr="00F7329E">
        <w:rPr>
          <w:rFonts w:eastAsia="Times New Roman" w:cs="Times New Roman"/>
          <w:szCs w:val="24"/>
          <w:vertAlign w:val="superscript"/>
          <w:lang w:eastAsia="en-US"/>
        </w:rPr>
        <w:footnoteReference w:id="36"/>
      </w:r>
      <w:r w:rsidRPr="00F7329E">
        <w:rPr>
          <w:rFonts w:eastAsia="Times New Roman" w:cs="Times New Roman"/>
          <w:szCs w:val="24"/>
          <w:lang w:eastAsia="en-US"/>
        </w:rPr>
        <w:t xml:space="preserve"> bija 17,6 mljrd. </w:t>
      </w:r>
      <w:proofErr w:type="spellStart"/>
      <w:r w:rsidRPr="00F7329E">
        <w:rPr>
          <w:rFonts w:eastAsia="Times New Roman" w:cs="Times New Roman"/>
          <w:i/>
          <w:szCs w:val="24"/>
          <w:lang w:eastAsia="en-US"/>
        </w:rPr>
        <w:t>euro</w:t>
      </w:r>
      <w:proofErr w:type="spellEnd"/>
      <w:r w:rsidRPr="00F7329E">
        <w:rPr>
          <w:rFonts w:eastAsia="Times New Roman" w:cs="Times New Roman"/>
          <w:szCs w:val="24"/>
          <w:lang w:eastAsia="en-US"/>
        </w:rPr>
        <w:t xml:space="preserve"> jeb 43,6% no IKP, kas joprojām ir viens no zemākajiem starp ES un </w:t>
      </w:r>
      <w:proofErr w:type="spellStart"/>
      <w:r w:rsidRPr="00F7329E">
        <w:rPr>
          <w:rFonts w:eastAsia="Times New Roman" w:cs="Times New Roman"/>
          <w:i/>
          <w:iCs/>
          <w:szCs w:val="24"/>
          <w:lang w:eastAsia="en-US"/>
        </w:rPr>
        <w:t>euro</w:t>
      </w:r>
      <w:proofErr w:type="spellEnd"/>
      <w:r w:rsidRPr="00F7329E">
        <w:rPr>
          <w:rFonts w:eastAsia="Times New Roman" w:cs="Times New Roman"/>
          <w:szCs w:val="24"/>
          <w:lang w:eastAsia="en-US"/>
        </w:rPr>
        <w:t xml:space="preserve"> zonas dalībvalstīm. </w:t>
      </w:r>
    </w:p>
    <w:p w14:paraId="27BD935C" w14:textId="77777777" w:rsidR="00F7329E" w:rsidRPr="00F7329E" w:rsidRDefault="00F7329E" w:rsidP="008349F0">
      <w:pPr>
        <w:rPr>
          <w:rFonts w:eastAsia="Times New Roman" w:cs="Times New Roman"/>
          <w:szCs w:val="20"/>
          <w:lang w:eastAsia="en-US"/>
        </w:rPr>
      </w:pPr>
      <w:r w:rsidRPr="00F7329E">
        <w:rPr>
          <w:rFonts w:eastAsia="Times New Roman" w:cs="Times New Roman"/>
          <w:szCs w:val="20"/>
          <w:lang w:eastAsia="en-US"/>
        </w:rPr>
        <w:t>2024. gada septembra beigās valsts parāds pēc nacionālās metodoloģijas</w:t>
      </w:r>
      <w:r w:rsidRPr="00F7329E">
        <w:rPr>
          <w:rFonts w:eastAsia="Times New Roman" w:cs="Times New Roman"/>
          <w:szCs w:val="20"/>
          <w:vertAlign w:val="superscript"/>
          <w:lang w:eastAsia="en-US"/>
        </w:rPr>
        <w:footnoteReference w:id="37"/>
      </w:r>
      <w:r w:rsidRPr="00F7329E">
        <w:rPr>
          <w:rFonts w:eastAsia="Times New Roman" w:cs="Times New Roman"/>
          <w:szCs w:val="20"/>
          <w:lang w:eastAsia="en-US"/>
        </w:rPr>
        <w:t xml:space="preserve"> bija 19,1 mljrd. </w:t>
      </w:r>
      <w:proofErr w:type="spellStart"/>
      <w:r w:rsidRPr="00F7329E">
        <w:rPr>
          <w:rFonts w:eastAsia="Times New Roman" w:cs="Times New Roman"/>
          <w:i/>
          <w:szCs w:val="20"/>
          <w:lang w:eastAsia="en-US"/>
        </w:rPr>
        <w:t>euro</w:t>
      </w:r>
      <w:proofErr w:type="spellEnd"/>
      <w:r w:rsidRPr="00F7329E">
        <w:rPr>
          <w:rFonts w:eastAsia="Times New Roman" w:cs="Times New Roman"/>
          <w:szCs w:val="20"/>
          <w:lang w:eastAsia="en-US"/>
        </w:rPr>
        <w:t xml:space="preserve"> jeb 45,7% no prognozētā IKP. Valsts parāda struktūrā lielāko īpatsvaru (84% no kopējā valsts parāda) veido finanšu tirgos emitētās eiroobligācijas (skat. 4.1. attēlu). </w:t>
      </w:r>
    </w:p>
    <w:p w14:paraId="2ECAF4E8" w14:textId="77777777" w:rsidR="00F7329E" w:rsidRPr="00F7329E" w:rsidRDefault="00F7329E" w:rsidP="008349F0">
      <w:pPr>
        <w:spacing w:after="240"/>
        <w:ind w:firstLine="0"/>
        <w:jc w:val="center"/>
        <w:rPr>
          <w:rFonts w:eastAsia="Times New Roman" w:cs="Times New Roman"/>
          <w:color w:val="000000"/>
          <w:szCs w:val="28"/>
          <w:lang w:eastAsia="en-US"/>
        </w:rPr>
      </w:pPr>
      <w:r w:rsidRPr="00F7329E">
        <w:rPr>
          <w:rFonts w:eastAsia="Times New Roman" w:cs="Times New Roman"/>
          <w:noProof/>
          <w:color w:val="000000"/>
          <w:szCs w:val="28"/>
          <w:lang w:eastAsia="en-US"/>
        </w:rPr>
        <w:drawing>
          <wp:inline distT="0" distB="0" distL="0" distR="0" wp14:anchorId="044B861F" wp14:editId="310DA643">
            <wp:extent cx="4624856" cy="2243931"/>
            <wp:effectExtent l="0" t="0" r="0" b="0"/>
            <wp:docPr id="965796581" name="Picture 5" descr="A blue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796581" name="Picture 5" descr="A blue circle with white tex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60122" cy="2261042"/>
                    </a:xfrm>
                    <a:prstGeom prst="rect">
                      <a:avLst/>
                    </a:prstGeom>
                    <a:noFill/>
                  </pic:spPr>
                </pic:pic>
              </a:graphicData>
            </a:graphic>
          </wp:inline>
        </w:drawing>
      </w:r>
    </w:p>
    <w:p w14:paraId="3B2242DF" w14:textId="2F13EE85" w:rsidR="00F7329E" w:rsidRPr="00F7329E" w:rsidRDefault="00F7329E" w:rsidP="008349F0">
      <w:pPr>
        <w:spacing w:after="240"/>
        <w:ind w:firstLine="0"/>
        <w:jc w:val="center"/>
        <w:rPr>
          <w:rFonts w:eastAsia="Times New Roman" w:cs="Times New Roman"/>
          <w:i/>
          <w:sz w:val="16"/>
          <w:szCs w:val="16"/>
          <w:lang w:eastAsia="en-US"/>
        </w:rPr>
      </w:pPr>
      <w:r w:rsidRPr="00F7329E">
        <w:rPr>
          <w:rFonts w:eastAsia="Times New Roman" w:cs="Times New Roman"/>
          <w:i/>
          <w:sz w:val="16"/>
          <w:szCs w:val="16"/>
          <w:lang w:eastAsia="en-US"/>
        </w:rPr>
        <w:t xml:space="preserve">* aprēķinā izmantots 30.09.2024. </w:t>
      </w:r>
      <w:r w:rsidR="007E066C">
        <w:rPr>
          <w:rFonts w:eastAsia="Times New Roman" w:cs="Times New Roman"/>
          <w:i/>
          <w:sz w:val="16"/>
          <w:szCs w:val="16"/>
          <w:lang w:eastAsia="en-US"/>
        </w:rPr>
        <w:t>ECB</w:t>
      </w:r>
      <w:r w:rsidRPr="00F7329E">
        <w:rPr>
          <w:rFonts w:eastAsia="Times New Roman" w:cs="Times New Roman"/>
          <w:i/>
          <w:sz w:val="16"/>
          <w:szCs w:val="16"/>
          <w:lang w:eastAsia="en-US"/>
        </w:rPr>
        <w:t xml:space="preserve"> noteiktais ASV dolāru valūtas</w:t>
      </w:r>
    </w:p>
    <w:p w14:paraId="2C6C2FA4" w14:textId="77777777" w:rsidR="00F7329E" w:rsidRPr="00F7329E" w:rsidRDefault="00F7329E" w:rsidP="008349F0">
      <w:pPr>
        <w:spacing w:after="0"/>
        <w:ind w:firstLine="0"/>
        <w:jc w:val="center"/>
        <w:rPr>
          <w:rFonts w:eastAsia="Times New Roman" w:cs="Times New Roman"/>
          <w:b/>
          <w:i/>
          <w:color w:val="000000"/>
          <w:szCs w:val="20"/>
          <w:lang w:eastAsia="en-US"/>
        </w:rPr>
      </w:pPr>
      <w:r w:rsidRPr="00F7329E">
        <w:rPr>
          <w:rFonts w:eastAsia="Times New Roman" w:cs="Times New Roman"/>
          <w:b/>
          <w:i/>
          <w:color w:val="000000"/>
          <w:szCs w:val="20"/>
          <w:lang w:eastAsia="en-US"/>
        </w:rPr>
        <w:t xml:space="preserve">4.1. att. Valsts parāda struktūra nominālvērtībā, milj. </w:t>
      </w:r>
      <w:proofErr w:type="spellStart"/>
      <w:r w:rsidRPr="00F7329E">
        <w:rPr>
          <w:rFonts w:eastAsia="Times New Roman" w:cs="Times New Roman"/>
          <w:b/>
          <w:i/>
          <w:color w:val="000000"/>
          <w:szCs w:val="20"/>
          <w:lang w:eastAsia="en-US"/>
        </w:rPr>
        <w:t>euro</w:t>
      </w:r>
      <w:proofErr w:type="spellEnd"/>
      <w:r w:rsidRPr="00F7329E">
        <w:rPr>
          <w:rFonts w:eastAsia="Times New Roman" w:cs="Times New Roman"/>
          <w:b/>
          <w:i/>
          <w:color w:val="000000"/>
          <w:szCs w:val="20"/>
          <w:lang w:eastAsia="en-US"/>
        </w:rPr>
        <w:t xml:space="preserve"> </w:t>
      </w:r>
    </w:p>
    <w:p w14:paraId="4D6C7D1F" w14:textId="77777777" w:rsidR="00F7329E" w:rsidRPr="00F7329E" w:rsidRDefault="00F7329E" w:rsidP="008349F0">
      <w:pPr>
        <w:spacing w:after="0"/>
        <w:ind w:firstLine="0"/>
        <w:jc w:val="center"/>
        <w:rPr>
          <w:rFonts w:eastAsia="Times New Roman" w:cs="Times New Roman"/>
          <w:b/>
          <w:i/>
          <w:color w:val="000000"/>
          <w:szCs w:val="20"/>
          <w:lang w:eastAsia="en-US"/>
        </w:rPr>
      </w:pPr>
      <w:r w:rsidRPr="00F7329E">
        <w:rPr>
          <w:rFonts w:eastAsia="Times New Roman" w:cs="Times New Roman"/>
          <w:b/>
          <w:i/>
          <w:color w:val="000000"/>
          <w:szCs w:val="20"/>
          <w:lang w:eastAsia="en-US"/>
        </w:rPr>
        <w:t>(uz 2024. gada 30. septembri)</w:t>
      </w:r>
    </w:p>
    <w:p w14:paraId="5608E03B" w14:textId="77777777" w:rsidR="00F7329E" w:rsidRPr="00F7329E" w:rsidRDefault="00F7329E" w:rsidP="008349F0">
      <w:pPr>
        <w:spacing w:after="0"/>
        <w:ind w:firstLine="0"/>
        <w:jc w:val="center"/>
        <w:rPr>
          <w:rFonts w:eastAsia="Times New Roman" w:cs="Times New Roman"/>
          <w:b/>
          <w:i/>
          <w:color w:val="000000"/>
          <w:szCs w:val="20"/>
          <w:lang w:eastAsia="en-US"/>
        </w:rPr>
      </w:pPr>
    </w:p>
    <w:p w14:paraId="2D8F2CB3" w14:textId="77777777" w:rsidR="00F7329E" w:rsidRPr="00F7329E" w:rsidRDefault="00F7329E" w:rsidP="008349F0">
      <w:pPr>
        <w:rPr>
          <w:rFonts w:eastAsia="Times New Roman" w:cs="Times New Roman"/>
          <w:szCs w:val="24"/>
          <w:lang w:eastAsia="en-US"/>
        </w:rPr>
      </w:pPr>
      <w:r w:rsidRPr="00F7329E">
        <w:rPr>
          <w:rFonts w:eastAsia="Times New Roman" w:cs="Times New Roman"/>
          <w:szCs w:val="20"/>
          <w:lang w:eastAsia="en-US"/>
        </w:rPr>
        <w:t xml:space="preserve">Aizņemšanās apjomu un valsts parāda līmeni vidējā termiņā ietekmē kopējā finansēšanas nepieciešamība, kuru galvenokārt veido valsts budžeta deficīts, valsts parāda atmaksa, valsts aizdevumu izsniegšana (pašvaldībām, valsts kapitālsabiedrībām, ostām un augstskolām), kā arī resursu rezerves uzturēšana Valsts kases kontos dažādu risku vadībai paaugstinātas nenoteiktības apstākļos. </w:t>
      </w:r>
    </w:p>
    <w:p w14:paraId="68B28CC4" w14:textId="77777777" w:rsidR="00F7329E" w:rsidRPr="00F7329E" w:rsidRDefault="00F7329E" w:rsidP="008349F0">
      <w:pPr>
        <w:rPr>
          <w:rFonts w:eastAsia="Times New Roman" w:cs="Times New Roman"/>
          <w:szCs w:val="24"/>
          <w:lang w:eastAsia="en-US"/>
        </w:rPr>
      </w:pPr>
      <w:r w:rsidRPr="00F7329E">
        <w:rPr>
          <w:rFonts w:eastAsia="Times New Roman" w:cs="Times New Roman"/>
          <w:szCs w:val="20"/>
          <w:lang w:eastAsia="en-US"/>
        </w:rPr>
        <w:t xml:space="preserve">Ņemot vērā līdz 2024. gada 30. septembrim uzņemtās valsts parāda saistības, saskaņā ar valsts parāda atmaksas grafiku 2024. gada oktobrī – 2027. gada decembrī, jāpārfinansē valsts parāda saistības ~5,6 mljrd. </w:t>
      </w:r>
      <w:proofErr w:type="spellStart"/>
      <w:r w:rsidRPr="00F7329E">
        <w:rPr>
          <w:rFonts w:eastAsia="Times New Roman" w:cs="Times New Roman"/>
          <w:i/>
          <w:szCs w:val="20"/>
          <w:lang w:eastAsia="en-US"/>
        </w:rPr>
        <w:t>euro</w:t>
      </w:r>
      <w:proofErr w:type="spellEnd"/>
      <w:r w:rsidRPr="00F7329E">
        <w:rPr>
          <w:rFonts w:eastAsia="Times New Roman" w:cs="Times New Roman"/>
          <w:szCs w:val="20"/>
          <w:lang w:eastAsia="en-US"/>
        </w:rPr>
        <w:t xml:space="preserve"> apmērā (skat. 4.2. attēlu). Lielāko daļu no minētajā periodā pārfinansējamā parāda apjoma veido starptautiskajos finanšu tirgos emitētās eiroobligācijas, kurām iestāsies dzēšanas termiņš. </w:t>
      </w:r>
    </w:p>
    <w:p w14:paraId="24CF2ED2" w14:textId="77777777" w:rsidR="00F7329E" w:rsidRPr="00F7329E" w:rsidRDefault="00F7329E" w:rsidP="008349F0">
      <w:pPr>
        <w:jc w:val="left"/>
        <w:rPr>
          <w:rFonts w:eastAsia="Times New Roman" w:cs="Times New Roman"/>
          <w:color w:val="000000"/>
          <w:szCs w:val="28"/>
          <w:lang w:eastAsia="en-US"/>
        </w:rPr>
      </w:pPr>
    </w:p>
    <w:p w14:paraId="3B43EC2E" w14:textId="77777777" w:rsidR="00F7329E" w:rsidRPr="00F7329E" w:rsidRDefault="00F7329E" w:rsidP="008349F0">
      <w:pPr>
        <w:spacing w:after="0"/>
        <w:ind w:firstLine="0"/>
        <w:jc w:val="center"/>
        <w:rPr>
          <w:rFonts w:eastAsia="Times New Roman" w:cs="Times New Roman"/>
          <w:sz w:val="18"/>
          <w:szCs w:val="18"/>
          <w:lang w:eastAsia="en-US"/>
        </w:rPr>
      </w:pPr>
      <w:r w:rsidRPr="00F7329E">
        <w:rPr>
          <w:rFonts w:eastAsia="Times New Roman" w:cs="Times New Roman"/>
          <w:noProof/>
          <w:sz w:val="18"/>
          <w:szCs w:val="18"/>
          <w:lang w:eastAsia="en-US"/>
        </w:rPr>
        <w:lastRenderedPageBreak/>
        <w:drawing>
          <wp:inline distT="0" distB="0" distL="0" distR="0" wp14:anchorId="1FB1C779" wp14:editId="023E1F17">
            <wp:extent cx="4159727" cy="2368179"/>
            <wp:effectExtent l="0" t="0" r="0" b="0"/>
            <wp:docPr id="943960191" name="Picture 6" descr="A graph of blue and green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960191" name="Picture 6" descr="A graph of blue and green bar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90209" cy="2385533"/>
                    </a:xfrm>
                    <a:prstGeom prst="rect">
                      <a:avLst/>
                    </a:prstGeom>
                    <a:noFill/>
                  </pic:spPr>
                </pic:pic>
              </a:graphicData>
            </a:graphic>
          </wp:inline>
        </w:drawing>
      </w:r>
    </w:p>
    <w:p w14:paraId="37C87BE6" w14:textId="77777777" w:rsidR="00F7329E" w:rsidRPr="00F7329E" w:rsidRDefault="00F7329E" w:rsidP="008349F0">
      <w:pPr>
        <w:spacing w:after="0"/>
        <w:ind w:firstLine="0"/>
        <w:jc w:val="center"/>
        <w:rPr>
          <w:rFonts w:eastAsia="Times New Roman" w:cs="Times New Roman"/>
          <w:i/>
          <w:sz w:val="16"/>
          <w:szCs w:val="16"/>
          <w:lang w:eastAsia="en-US"/>
        </w:rPr>
      </w:pPr>
      <w:bookmarkStart w:id="108" w:name="_Hlk178871389"/>
      <w:r w:rsidRPr="00F7329E">
        <w:rPr>
          <w:rFonts w:eastAsia="Times New Roman" w:cs="Times New Roman"/>
          <w:i/>
          <w:sz w:val="16"/>
          <w:szCs w:val="16"/>
          <w:lang w:eastAsia="en-US"/>
        </w:rPr>
        <w:t xml:space="preserve">* aprēķinā izmantots 30.09.2024. Eiropas Centrālās bankas noteiktais ASV dolāru valūtas </w:t>
      </w:r>
      <w:bookmarkEnd w:id="108"/>
      <w:r w:rsidRPr="00F7329E">
        <w:rPr>
          <w:rFonts w:eastAsia="Times New Roman" w:cs="Times New Roman"/>
          <w:i/>
          <w:sz w:val="16"/>
          <w:szCs w:val="16"/>
          <w:lang w:eastAsia="en-US"/>
        </w:rPr>
        <w:t>kurss</w:t>
      </w:r>
    </w:p>
    <w:p w14:paraId="21460292" w14:textId="77777777" w:rsidR="00F7329E" w:rsidRPr="00F7329E" w:rsidRDefault="00F7329E" w:rsidP="008349F0">
      <w:pPr>
        <w:spacing w:after="0"/>
        <w:ind w:firstLine="0"/>
        <w:rPr>
          <w:rFonts w:eastAsia="Times New Roman" w:cs="Times New Roman"/>
          <w:i/>
          <w:sz w:val="16"/>
          <w:szCs w:val="16"/>
          <w:lang w:eastAsia="en-US"/>
        </w:rPr>
      </w:pPr>
    </w:p>
    <w:p w14:paraId="15DD509E" w14:textId="77777777" w:rsidR="00F7329E" w:rsidRPr="00F7329E" w:rsidRDefault="00F7329E" w:rsidP="008349F0">
      <w:pPr>
        <w:spacing w:after="0"/>
        <w:ind w:firstLine="0"/>
        <w:jc w:val="center"/>
        <w:rPr>
          <w:rFonts w:eastAsia="Times New Roman" w:cs="Times New Roman"/>
          <w:b/>
          <w:i/>
          <w:szCs w:val="20"/>
          <w:lang w:eastAsia="en-US"/>
        </w:rPr>
      </w:pPr>
      <w:r w:rsidRPr="00F7329E">
        <w:rPr>
          <w:rFonts w:eastAsia="Times New Roman" w:cs="Times New Roman"/>
          <w:b/>
          <w:i/>
          <w:szCs w:val="20"/>
          <w:lang w:eastAsia="en-US"/>
        </w:rPr>
        <w:t>4.2. att. Centrālās valdības aizņēmumu atmaksas grafiks</w:t>
      </w:r>
    </w:p>
    <w:p w14:paraId="666A6C00" w14:textId="77777777" w:rsidR="00F7329E" w:rsidRPr="00F7329E" w:rsidRDefault="00F7329E" w:rsidP="008349F0">
      <w:pPr>
        <w:jc w:val="center"/>
        <w:rPr>
          <w:rFonts w:eastAsia="Times New Roman" w:cs="Times New Roman"/>
          <w:b/>
          <w:i/>
          <w:szCs w:val="20"/>
          <w:lang w:eastAsia="en-US"/>
        </w:rPr>
      </w:pPr>
      <w:r w:rsidRPr="00F7329E">
        <w:rPr>
          <w:rFonts w:eastAsia="Times New Roman" w:cs="Times New Roman"/>
          <w:b/>
          <w:i/>
          <w:szCs w:val="20"/>
          <w:lang w:eastAsia="en-US"/>
        </w:rPr>
        <w:t xml:space="preserve">(līdz 2024. gada 30. septembrim uzņemtās saistības, nominālvērtībā, milj. </w:t>
      </w:r>
      <w:proofErr w:type="spellStart"/>
      <w:r w:rsidRPr="00F7329E">
        <w:rPr>
          <w:rFonts w:eastAsia="Times New Roman" w:cs="Times New Roman"/>
          <w:b/>
          <w:i/>
          <w:szCs w:val="20"/>
          <w:lang w:eastAsia="en-US"/>
        </w:rPr>
        <w:t>euro</w:t>
      </w:r>
      <w:proofErr w:type="spellEnd"/>
      <w:r w:rsidRPr="00F7329E">
        <w:rPr>
          <w:rFonts w:eastAsia="Times New Roman" w:cs="Times New Roman"/>
          <w:b/>
          <w:i/>
          <w:szCs w:val="20"/>
          <w:lang w:eastAsia="en-US"/>
        </w:rPr>
        <w:t>)</w:t>
      </w:r>
    </w:p>
    <w:p w14:paraId="1BBE3B75" w14:textId="77777777" w:rsidR="00F7329E" w:rsidRPr="00F7329E" w:rsidRDefault="00F7329E" w:rsidP="008349F0">
      <w:pPr>
        <w:spacing w:after="0"/>
        <w:ind w:firstLine="0"/>
        <w:jc w:val="left"/>
        <w:rPr>
          <w:rFonts w:eastAsia="Times New Roman" w:cs="Times New Roman"/>
          <w:sz w:val="18"/>
          <w:szCs w:val="18"/>
          <w:lang w:eastAsia="en-US"/>
        </w:rPr>
      </w:pPr>
    </w:p>
    <w:p w14:paraId="6BFBA9DA" w14:textId="77777777" w:rsidR="00F7329E" w:rsidRPr="00F7329E" w:rsidRDefault="00F7329E" w:rsidP="008349F0">
      <w:pPr>
        <w:contextualSpacing/>
        <w:rPr>
          <w:rFonts w:eastAsia="Times New Roman" w:cs="Times New Roman"/>
          <w:szCs w:val="20"/>
          <w:lang w:eastAsia="en-US"/>
        </w:rPr>
      </w:pPr>
      <w:r w:rsidRPr="00F7329E">
        <w:rPr>
          <w:rFonts w:eastAsia="Times New Roman" w:cs="Times New Roman"/>
          <w:szCs w:val="20"/>
          <w:lang w:eastAsia="en-US"/>
        </w:rPr>
        <w:t xml:space="preserve">2024. gada atlikušajam periodam, kā arī 2025.-2027. gadā kopējās finansēšanas nepieciešamības segšanai tiks izmantoti Valsts kases kontos pieejamie resursi un aizņemšanās pasākumi finanšu tirgos, pieļaujot arī citu aizņemšanās instrumentu izmantošanu atkarībā no situācijas finanšu tirgos un procentu likmju tendencēm. Aizņemšanos finanšu tirgos plānots nodrošināt galvenokārt ar publiskām etalona apjoma eiroobligāciju emisijām, uzturot iespējami elastīgas aizņemšanās instrumentu izvēles iespējas, kā arī veicot apgrozībā esošo eiroobligāciju papildu laidienu izsoles ar Primāro dīleru starpniecību. Lai nodrošinātu Latvijas iedzīvotājiem drošu ieguldīšanas un uzkrājumu veidošanas instrumentu, tiks uzturēts arī dažādu termiņu </w:t>
      </w:r>
      <w:proofErr w:type="spellStart"/>
      <w:r w:rsidRPr="00F7329E">
        <w:rPr>
          <w:rFonts w:eastAsia="Times New Roman" w:cs="Times New Roman"/>
          <w:szCs w:val="20"/>
          <w:lang w:eastAsia="en-US"/>
        </w:rPr>
        <w:t>krājobligāciju</w:t>
      </w:r>
      <w:proofErr w:type="spellEnd"/>
      <w:r w:rsidRPr="00F7329E">
        <w:rPr>
          <w:rFonts w:eastAsia="Times New Roman" w:cs="Times New Roman"/>
          <w:szCs w:val="20"/>
          <w:lang w:eastAsia="en-US"/>
        </w:rPr>
        <w:t xml:space="preserve"> piedāvājums. </w:t>
      </w:r>
    </w:p>
    <w:p w14:paraId="30B012CC" w14:textId="77777777" w:rsidR="00F7329E" w:rsidRPr="00F7329E" w:rsidRDefault="00F7329E" w:rsidP="008349F0">
      <w:pPr>
        <w:spacing w:after="0"/>
        <w:ind w:firstLine="709"/>
        <w:rPr>
          <w:rFonts w:eastAsia="Times New Roman" w:cs="Times New Roman"/>
          <w:szCs w:val="24"/>
          <w:lang w:eastAsia="en-US"/>
        </w:rPr>
      </w:pPr>
    </w:p>
    <w:p w14:paraId="6DCDE6A9" w14:textId="77777777" w:rsidR="00F7329E" w:rsidRPr="00F7329E" w:rsidRDefault="00F7329E" w:rsidP="008349F0">
      <w:pPr>
        <w:ind w:firstLine="0"/>
        <w:jc w:val="center"/>
        <w:rPr>
          <w:rFonts w:eastAsia="Times New Roman" w:cs="Times New Roman"/>
          <w:szCs w:val="24"/>
          <w:lang w:eastAsia="en-US"/>
        </w:rPr>
      </w:pPr>
      <w:r w:rsidRPr="00F7329E">
        <w:rPr>
          <w:rFonts w:eastAsia="Times New Roman" w:cs="Times New Roman"/>
          <w:noProof/>
          <w:szCs w:val="24"/>
          <w:lang w:eastAsia="en-US"/>
        </w:rPr>
        <w:drawing>
          <wp:inline distT="0" distB="0" distL="0" distR="0" wp14:anchorId="243B5653" wp14:editId="1DCBDDEE">
            <wp:extent cx="4975081" cy="2267501"/>
            <wp:effectExtent l="0" t="0" r="0" b="0"/>
            <wp:docPr id="1226626740" name="Picture 1"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26740" name="Picture 1" descr="A graph with numbers and a lin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02838" cy="2280152"/>
                    </a:xfrm>
                    <a:prstGeom prst="rect">
                      <a:avLst/>
                    </a:prstGeom>
                    <a:noFill/>
                  </pic:spPr>
                </pic:pic>
              </a:graphicData>
            </a:graphic>
          </wp:inline>
        </w:drawing>
      </w:r>
    </w:p>
    <w:p w14:paraId="0F16D756" w14:textId="77777777" w:rsidR="00F7329E" w:rsidRPr="00F7329E" w:rsidRDefault="00F7329E" w:rsidP="008349F0">
      <w:pPr>
        <w:ind w:firstLine="0"/>
        <w:jc w:val="center"/>
        <w:rPr>
          <w:rFonts w:eastAsia="Times New Roman" w:cs="Times New Roman"/>
          <w:i/>
          <w:szCs w:val="24"/>
          <w:lang w:eastAsia="en-US"/>
        </w:rPr>
      </w:pPr>
      <w:bookmarkStart w:id="109" w:name="_Hlk178813632"/>
      <w:r w:rsidRPr="00F7329E">
        <w:rPr>
          <w:rFonts w:eastAsia="Times New Roman" w:cs="Times New Roman"/>
          <w:b/>
          <w:i/>
          <w:szCs w:val="20"/>
          <w:lang w:eastAsia="en-US"/>
        </w:rPr>
        <w:t>4.3. att</w:t>
      </w:r>
      <w:bookmarkEnd w:id="109"/>
      <w:r w:rsidRPr="00F7329E">
        <w:rPr>
          <w:rFonts w:eastAsia="Times New Roman" w:cs="Times New Roman"/>
          <w:b/>
          <w:i/>
          <w:szCs w:val="20"/>
          <w:lang w:eastAsia="en-US"/>
        </w:rPr>
        <w:t xml:space="preserve">. Valsts parāda attīstības tendences </w:t>
      </w:r>
    </w:p>
    <w:p w14:paraId="7A4FAE1E" w14:textId="77777777" w:rsidR="00F7329E" w:rsidRPr="00F7329E" w:rsidRDefault="00F7329E" w:rsidP="008349F0">
      <w:pPr>
        <w:spacing w:after="0"/>
        <w:ind w:firstLine="0"/>
        <w:rPr>
          <w:rFonts w:eastAsia="Times New Roman" w:cs="Times New Roman"/>
          <w:szCs w:val="24"/>
          <w:lang w:eastAsia="en-US"/>
        </w:rPr>
      </w:pPr>
    </w:p>
    <w:p w14:paraId="5DD7B7B9" w14:textId="77777777" w:rsidR="00F7329E" w:rsidRPr="00F7329E" w:rsidRDefault="00F7329E" w:rsidP="008349F0">
      <w:pPr>
        <w:rPr>
          <w:rFonts w:eastAsia="Times New Roman" w:cs="Times New Roman"/>
          <w:szCs w:val="24"/>
          <w:lang w:eastAsia="en-US"/>
        </w:rPr>
      </w:pPr>
      <w:r w:rsidRPr="00F7329E">
        <w:rPr>
          <w:rFonts w:eastAsia="Times New Roman" w:cs="Times New Roman"/>
          <w:szCs w:val="20"/>
          <w:lang w:eastAsia="en-US"/>
        </w:rPr>
        <w:t xml:space="preserve">Plānojot un veicot aizņemšanās pasākumus, tiek ievēroti gadskārtējā valsts budžeta likumā noteiktie ierobežojumi valsts parāda maksimālajam apmēram uz attiecīgā gada beigām.  2025. gada beigās maksimālais valsts parāds noteikts 21,0 mljrd. </w:t>
      </w:r>
      <w:proofErr w:type="spellStart"/>
      <w:r w:rsidRPr="00F7329E">
        <w:rPr>
          <w:rFonts w:eastAsia="Times New Roman" w:cs="Times New Roman"/>
          <w:i/>
          <w:szCs w:val="20"/>
          <w:lang w:eastAsia="en-US"/>
        </w:rPr>
        <w:t>euro</w:t>
      </w:r>
      <w:proofErr w:type="spellEnd"/>
      <w:r w:rsidRPr="00F7329E">
        <w:rPr>
          <w:rFonts w:eastAsia="Times New Roman" w:cs="Times New Roman"/>
          <w:szCs w:val="20"/>
          <w:lang w:eastAsia="en-US"/>
        </w:rPr>
        <w:t xml:space="preserve"> apmērā, paredzot elastību veikt papildu finansēšanas pasākumus, ja iestājas riski ar negatīvu fiskālo ietekmi. </w:t>
      </w:r>
    </w:p>
    <w:p w14:paraId="37B013BE" w14:textId="77777777" w:rsidR="00F7329E" w:rsidRPr="00F7329E" w:rsidRDefault="00F7329E" w:rsidP="008349F0">
      <w:pPr>
        <w:rPr>
          <w:rFonts w:eastAsia="Times New Roman" w:cs="Times New Roman"/>
          <w:szCs w:val="24"/>
          <w:lang w:eastAsia="en-US"/>
        </w:rPr>
      </w:pPr>
      <w:r w:rsidRPr="00F7329E">
        <w:rPr>
          <w:rFonts w:eastAsia="Times New Roman" w:cs="Times New Roman"/>
          <w:szCs w:val="20"/>
          <w:lang w:eastAsia="en-US"/>
        </w:rPr>
        <w:t xml:space="preserve">Valsts parāda tendences vidējā termiņā ietekmē nepieciešamība finansēt plānoto valsts budžeta deficītu, t.sk. ņemot vērā izdevumu pieaugumu valsts aizsardzības kapacitātes stiprināšanai un ES fondu līdzfinansētiem projektiem, kā arī aktualizētās makroekonomisko </w:t>
      </w:r>
      <w:r w:rsidRPr="00F7329E">
        <w:rPr>
          <w:rFonts w:eastAsia="Times New Roman" w:cs="Times New Roman"/>
          <w:szCs w:val="20"/>
          <w:lang w:eastAsia="en-US"/>
        </w:rPr>
        <w:lastRenderedPageBreak/>
        <w:t>rādītāju prognozes, kas paredz zemākus ekonomikas izaugsmes tempus 2024.-2028. gadā. 2027. gada vispārējās valdības parāda apjomu papildus iepriekš minētajiem faktoriem noteiks nepieciešamība savlaicīgi nodrošināt resursus 2028. gada sākumā plānotajai valsts parāda atmaksai. Atbilstoši aktuālajām prognozēm sagaidāms, ka vispārējās valdības parāda līmenis attiecībā pret IKP vidējā termiņā pakāpeniski pieaugs no 46% 2024. gadā līdz 50% 2027. gadā (sk. 4.3. attēlu), taču FDL noteiktais parāda nosacījums (60% no IKP) tiks ievērots. Ilgtermiņā vispārējās valdības parāds tiks uzturēts mērenā, ilgtspējīgā līmenī, nodrošinot parāda saistību pārfinansēšanu ar optimāliem nosacījumiem.</w:t>
      </w:r>
      <w:r w:rsidRPr="00F7329E">
        <w:rPr>
          <w:rFonts w:eastAsia="Times New Roman" w:cs="Times New Roman"/>
          <w:szCs w:val="24"/>
          <w:lang w:eastAsia="en-US"/>
        </w:rPr>
        <w:t xml:space="preserve"> </w:t>
      </w:r>
    </w:p>
    <w:p w14:paraId="78F22A33" w14:textId="77777777" w:rsidR="00F7329E" w:rsidRPr="00F7329E" w:rsidRDefault="00F7329E" w:rsidP="008349F0">
      <w:pPr>
        <w:rPr>
          <w:rFonts w:eastAsia="Times New Roman" w:cs="Times New Roman"/>
          <w:szCs w:val="20"/>
          <w:highlight w:val="green"/>
          <w:lang w:eastAsia="en-US"/>
        </w:rPr>
      </w:pPr>
      <w:r w:rsidRPr="00F7329E">
        <w:rPr>
          <w:rFonts w:eastAsia="Times New Roman" w:cs="Times New Roman"/>
          <w:szCs w:val="20"/>
          <w:lang w:eastAsia="en-US"/>
        </w:rPr>
        <w:t>Procentu maksājumi par valsts parāda saistībām tiek veikti no FM pamatbudžeta apakšprogrammas 31.02.00 “Valsts parāda vadība”. Apakšprogrammas ietvaros veicamo valsts parāda procentu izdevumu prognozi 2025. – 2027. gadam galvenokārt ietekmē iepriekš, t.sk. zemo procentu likmju periodā, uzņemto valsts parāda saistību apkalpošanas (procentu) izdevumi un prognozētie procentu maksājumi par jauniem aizņēmumiem, kuri tiks veikti kārtējā un nākamajos gados finansēšanas nepieciešamības segšanai, t.sk. valsts parāda atmaksai. Jaunu aizņēmumu procentu likmes ietekmēs galvenokārt centrālo banku monetārās politikas lēmumi, kā arī dažādu faktoru, t.sk. ģeopolitisko, izraisīts finanšu tirgus svārstīgums un nenoteiktība.</w:t>
      </w:r>
    </w:p>
    <w:p w14:paraId="7D49DFFC" w14:textId="77777777" w:rsidR="00F7329E" w:rsidRPr="00F7329E" w:rsidRDefault="00F7329E" w:rsidP="008349F0">
      <w:pPr>
        <w:keepNext/>
        <w:keepLines/>
        <w:spacing w:before="240" w:after="0"/>
        <w:ind w:firstLine="0"/>
        <w:jc w:val="center"/>
        <w:rPr>
          <w:rFonts w:eastAsia="Times New Roman" w:cs="Times New Roman"/>
          <w:szCs w:val="24"/>
          <w:lang w:eastAsia="en-US"/>
        </w:rPr>
      </w:pPr>
      <w:r w:rsidRPr="00F7329E">
        <w:rPr>
          <w:rFonts w:eastAsia="Times New Roman" w:cs="Times New Roman"/>
          <w:noProof/>
          <w:szCs w:val="24"/>
          <w:lang w:eastAsia="en-US"/>
        </w:rPr>
        <w:drawing>
          <wp:inline distT="0" distB="0" distL="0" distR="0" wp14:anchorId="1EDA0920" wp14:editId="51C215D1">
            <wp:extent cx="4910071" cy="2563491"/>
            <wp:effectExtent l="0" t="0" r="5080" b="0"/>
            <wp:docPr id="1228387199" name="Picture 2"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387199" name="Picture 2" descr="A graph with a line and a line&#10;&#10;Description automatically generated with medium confidenc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26921" cy="2572288"/>
                    </a:xfrm>
                    <a:prstGeom prst="rect">
                      <a:avLst/>
                    </a:prstGeom>
                    <a:noFill/>
                  </pic:spPr>
                </pic:pic>
              </a:graphicData>
            </a:graphic>
          </wp:inline>
        </w:drawing>
      </w:r>
    </w:p>
    <w:p w14:paraId="1622B153" w14:textId="77777777" w:rsidR="00F7329E" w:rsidRPr="00F7329E" w:rsidRDefault="00F7329E" w:rsidP="008349F0">
      <w:pPr>
        <w:spacing w:after="240"/>
        <w:ind w:firstLine="0"/>
        <w:rPr>
          <w:rFonts w:eastAsia="Times New Roman" w:cs="Times New Roman"/>
          <w:i/>
          <w:sz w:val="18"/>
          <w:szCs w:val="18"/>
          <w:lang w:eastAsia="en-US"/>
        </w:rPr>
      </w:pPr>
      <w:r w:rsidRPr="00F7329E">
        <w:rPr>
          <w:rFonts w:eastAsia="Times New Roman" w:cs="Times New Roman"/>
          <w:i/>
          <w:sz w:val="18"/>
          <w:szCs w:val="18"/>
          <w:lang w:eastAsia="en-US"/>
        </w:rPr>
        <w:t xml:space="preserve">* t.sk. procentu maksājumi Valsts sociālās apdrošināšanas aģentūrai par speciālā budžeta spēkā esošajiem termiņnoguldījumiem Valsts kasē 78,2 milj. </w:t>
      </w:r>
      <w:proofErr w:type="spellStart"/>
      <w:r w:rsidRPr="00F7329E">
        <w:rPr>
          <w:rFonts w:eastAsia="Times New Roman" w:cs="Times New Roman"/>
          <w:i/>
          <w:sz w:val="18"/>
          <w:szCs w:val="18"/>
          <w:lang w:eastAsia="en-US"/>
        </w:rPr>
        <w:t>euro</w:t>
      </w:r>
      <w:proofErr w:type="spellEnd"/>
      <w:r w:rsidRPr="00F7329E">
        <w:rPr>
          <w:rFonts w:eastAsia="Times New Roman" w:cs="Times New Roman"/>
          <w:i/>
          <w:sz w:val="18"/>
          <w:szCs w:val="18"/>
          <w:lang w:eastAsia="en-US"/>
        </w:rPr>
        <w:t xml:space="preserve"> 2025. gadā, 34,9 milj. </w:t>
      </w:r>
      <w:proofErr w:type="spellStart"/>
      <w:r w:rsidRPr="00F7329E">
        <w:rPr>
          <w:rFonts w:eastAsia="Times New Roman" w:cs="Times New Roman"/>
          <w:i/>
          <w:sz w:val="18"/>
          <w:szCs w:val="18"/>
          <w:lang w:eastAsia="en-US"/>
        </w:rPr>
        <w:t>euro</w:t>
      </w:r>
      <w:proofErr w:type="spellEnd"/>
      <w:r w:rsidRPr="00F7329E">
        <w:rPr>
          <w:rFonts w:eastAsia="Times New Roman" w:cs="Times New Roman"/>
          <w:i/>
          <w:sz w:val="18"/>
          <w:szCs w:val="18"/>
          <w:lang w:eastAsia="en-US"/>
        </w:rPr>
        <w:t xml:space="preserve"> 2026. gadā un 22,9 milj. </w:t>
      </w:r>
      <w:proofErr w:type="spellStart"/>
      <w:r w:rsidRPr="00F7329E">
        <w:rPr>
          <w:rFonts w:eastAsia="Times New Roman" w:cs="Times New Roman"/>
          <w:i/>
          <w:sz w:val="18"/>
          <w:szCs w:val="18"/>
          <w:lang w:eastAsia="en-US"/>
        </w:rPr>
        <w:t>euro</w:t>
      </w:r>
      <w:proofErr w:type="spellEnd"/>
      <w:r w:rsidRPr="00F7329E">
        <w:rPr>
          <w:rFonts w:eastAsia="Times New Roman" w:cs="Times New Roman"/>
          <w:i/>
          <w:sz w:val="18"/>
          <w:szCs w:val="18"/>
          <w:lang w:eastAsia="en-US"/>
        </w:rPr>
        <w:t xml:space="preserve"> 2027. gadā</w:t>
      </w:r>
    </w:p>
    <w:p w14:paraId="4BF96A7C" w14:textId="77777777" w:rsidR="00F7329E" w:rsidRPr="00F7329E" w:rsidRDefault="00F7329E" w:rsidP="008349F0">
      <w:pPr>
        <w:keepNext/>
        <w:keepLines/>
        <w:spacing w:before="240" w:after="0"/>
        <w:ind w:firstLine="0"/>
        <w:jc w:val="center"/>
        <w:rPr>
          <w:rFonts w:eastAsia="Times New Roman" w:cs="Times New Roman"/>
          <w:b/>
          <w:i/>
          <w:szCs w:val="24"/>
          <w:lang w:eastAsia="en-US"/>
        </w:rPr>
      </w:pPr>
      <w:r w:rsidRPr="00410A1E">
        <w:rPr>
          <w:rFonts w:eastAsia="Times New Roman" w:cs="Times New Roman"/>
          <w:b/>
          <w:i/>
          <w:lang w:eastAsia="en-US"/>
        </w:rPr>
        <w:t>4.4. att.</w:t>
      </w:r>
      <w:r w:rsidRPr="00F7329E">
        <w:rPr>
          <w:rFonts w:eastAsia="Times New Roman" w:cs="Times New Roman"/>
          <w:b/>
          <w:i/>
          <w:sz w:val="28"/>
          <w:szCs w:val="28"/>
          <w:lang w:eastAsia="en-US"/>
        </w:rPr>
        <w:t xml:space="preserve"> </w:t>
      </w:r>
      <w:r w:rsidRPr="00F7329E">
        <w:rPr>
          <w:rFonts w:eastAsia="Times New Roman" w:cs="Times New Roman"/>
          <w:b/>
          <w:i/>
          <w:szCs w:val="24"/>
          <w:lang w:eastAsia="en-US"/>
        </w:rPr>
        <w:t xml:space="preserve">Valsts budžeta apakšprogrammas 31.02.00 “Valsts parāda vadība” izdevumi </w:t>
      </w:r>
    </w:p>
    <w:p w14:paraId="3A76ECC4" w14:textId="77777777" w:rsidR="00F7329E" w:rsidRPr="00F7329E" w:rsidRDefault="00F7329E" w:rsidP="008349F0">
      <w:pPr>
        <w:spacing w:after="0"/>
        <w:ind w:firstLine="0"/>
        <w:rPr>
          <w:rFonts w:eastAsia="Times New Roman" w:cs="Times New Roman"/>
          <w:szCs w:val="20"/>
          <w:lang w:eastAsia="en-US"/>
        </w:rPr>
      </w:pPr>
    </w:p>
    <w:p w14:paraId="04C3E685" w14:textId="6A6F2779" w:rsidR="00A1034F" w:rsidRPr="00A1034F" w:rsidRDefault="00F7329E" w:rsidP="008349F0">
      <w:pPr>
        <w:rPr>
          <w:rFonts w:eastAsia="Times New Roman" w:cs="Times New Roman"/>
          <w:szCs w:val="20"/>
          <w:lang w:eastAsia="en-US"/>
        </w:rPr>
      </w:pPr>
      <w:r w:rsidRPr="00F7329E">
        <w:rPr>
          <w:rFonts w:eastAsia="Times New Roman" w:cs="Times New Roman"/>
          <w:szCs w:val="20"/>
          <w:lang w:eastAsia="en-US"/>
        </w:rPr>
        <w:t>Atbilstoši šī brīža indikatīvām prognozēm (sk. 4.4. attēlu) nākamajos gados parāda apkalpošanas izdevumi pakāpeniski pieaugs, taču joprojām paliks mērenā līmenī ap 1,3% no prognozētā IKP vidējā termiņā.</w:t>
      </w:r>
    </w:p>
    <w:p w14:paraId="4C570866" w14:textId="77777777" w:rsidR="00A1034F" w:rsidRDefault="00A1034F" w:rsidP="009030BD">
      <w:pPr>
        <w:spacing w:after="0"/>
        <w:rPr>
          <w:rFonts w:eastAsia="Times New Roman"/>
        </w:rPr>
      </w:pPr>
    </w:p>
    <w:p w14:paraId="0A4484FE" w14:textId="454A3EC6" w:rsidR="00FB33CF" w:rsidRPr="00A1034F" w:rsidRDefault="00863814" w:rsidP="009030BD">
      <w:pPr>
        <w:pStyle w:val="Heading2"/>
        <w:spacing w:before="240"/>
        <w:rPr>
          <w:rFonts w:eastAsia="Times New Roman"/>
        </w:rPr>
      </w:pPr>
      <w:bookmarkStart w:id="110" w:name="_Toc179356109"/>
      <w:r w:rsidRPr="00A1034F">
        <w:rPr>
          <w:rFonts w:eastAsia="Times New Roman"/>
        </w:rPr>
        <w:t xml:space="preserve">4.2. </w:t>
      </w:r>
      <w:r w:rsidR="00FB33CF" w:rsidRPr="00A1034F">
        <w:rPr>
          <w:rFonts w:eastAsia="Times New Roman"/>
        </w:rPr>
        <w:t>Valsts budžeta aizdevumi un aizdevumu atmaksas</w:t>
      </w:r>
      <w:bookmarkEnd w:id="110"/>
    </w:p>
    <w:p w14:paraId="6EDC069D" w14:textId="77777777" w:rsidR="00A1034F" w:rsidRPr="00A1034F" w:rsidRDefault="00A1034F" w:rsidP="008349F0">
      <w:pPr>
        <w:rPr>
          <w:rFonts w:eastAsia="Times New Roman" w:cs="Times New Roman"/>
          <w:i/>
          <w:szCs w:val="20"/>
          <w:lang w:eastAsia="en-US"/>
        </w:rPr>
      </w:pPr>
      <w:r w:rsidRPr="00A1034F">
        <w:rPr>
          <w:rFonts w:eastAsia="Times New Roman" w:cs="Times New Roman"/>
          <w:szCs w:val="20"/>
          <w:lang w:eastAsia="en-US"/>
        </w:rPr>
        <w:t xml:space="preserve">Kopējais valsts aizdevumu portfelis  2024. gada 31. augustā veidoja 2 205 milj. </w:t>
      </w:r>
      <w:proofErr w:type="spellStart"/>
      <w:r w:rsidRPr="00A1034F">
        <w:rPr>
          <w:rFonts w:eastAsia="Times New Roman" w:cs="Times New Roman"/>
          <w:i/>
          <w:szCs w:val="20"/>
          <w:lang w:eastAsia="en-US"/>
        </w:rPr>
        <w:t>euro</w:t>
      </w:r>
      <w:proofErr w:type="spellEnd"/>
      <w:r w:rsidRPr="00A1034F">
        <w:rPr>
          <w:rFonts w:eastAsia="Times New Roman" w:cs="Times New Roman"/>
          <w:i/>
          <w:szCs w:val="20"/>
          <w:lang w:eastAsia="en-US"/>
        </w:rPr>
        <w:t>.</w:t>
      </w:r>
    </w:p>
    <w:p w14:paraId="09F6A7AE" w14:textId="20B13C43" w:rsidR="00A1034F" w:rsidRPr="00A1034F" w:rsidRDefault="00A1034F" w:rsidP="008349F0">
      <w:pPr>
        <w:rPr>
          <w:rFonts w:eastAsia="Times New Roman" w:cs="Times New Roman"/>
          <w:bCs/>
          <w:szCs w:val="24"/>
          <w:lang w:eastAsia="en-US"/>
        </w:rPr>
      </w:pPr>
      <w:r w:rsidRPr="00A1034F">
        <w:rPr>
          <w:rFonts w:eastAsia="Times New Roman" w:cs="Times New Roman"/>
          <w:szCs w:val="20"/>
          <w:lang w:eastAsia="en-US"/>
        </w:rPr>
        <w:t xml:space="preserve">Katru gadu valsts budžeta likumā tiek noteikts valsts aizdevumu kopējais palielinājums, t.sk. atsevišķi nosakot pašvaldību aizņēmumu kopējo palielinājumu. Savukārt kopējais gadā pieļaujamais izsniedzamo valsts aizdevumu apmērs ietver gan valsts budžeta likumā noteikto valsts aizdevumu kopējo palielinājumu, gan iepriekšējos gados izsniegto valsts aizdevumu paredzētās atmaksas. </w:t>
      </w:r>
    </w:p>
    <w:p w14:paraId="568B6E64" w14:textId="77777777" w:rsidR="00A1034F" w:rsidRPr="00A1034F" w:rsidRDefault="00A1034F" w:rsidP="008349F0">
      <w:pPr>
        <w:rPr>
          <w:rFonts w:eastAsia="Times New Roman" w:cs="Times New Roman"/>
          <w:bCs/>
          <w:szCs w:val="24"/>
          <w:lang w:eastAsia="en-US"/>
        </w:rPr>
      </w:pPr>
      <w:r w:rsidRPr="00A1034F">
        <w:rPr>
          <w:rFonts w:eastAsia="Times New Roman" w:cs="Times New Roman"/>
          <w:szCs w:val="20"/>
          <w:lang w:eastAsia="en-US"/>
        </w:rPr>
        <w:lastRenderedPageBreak/>
        <w:t xml:space="preserve">Ņemot vērā, ka aizvien aktīvāk tiek izmantotas normatīvajos aktos noteiktās tiesības izņemt valsts aizdevumu vidējā termiņā valsts uzņemtās saistības aizdevumu izmaksai 2025. gadā ir 112,3 milj. </w:t>
      </w:r>
      <w:proofErr w:type="spellStart"/>
      <w:r w:rsidRPr="00A1034F">
        <w:rPr>
          <w:rFonts w:eastAsia="Times New Roman" w:cs="Times New Roman"/>
          <w:i/>
          <w:szCs w:val="20"/>
          <w:lang w:eastAsia="en-US"/>
        </w:rPr>
        <w:t>euro</w:t>
      </w:r>
      <w:proofErr w:type="spellEnd"/>
      <w:r w:rsidRPr="00A1034F">
        <w:rPr>
          <w:rFonts w:eastAsia="Times New Roman" w:cs="Times New Roman"/>
          <w:szCs w:val="20"/>
          <w:lang w:eastAsia="en-US"/>
        </w:rPr>
        <w:t>, tajā skaitā:</w:t>
      </w:r>
    </w:p>
    <w:p w14:paraId="3E16C44D" w14:textId="77777777" w:rsidR="00A1034F" w:rsidRPr="00A1034F" w:rsidRDefault="00A1034F" w:rsidP="008349F0">
      <w:pPr>
        <w:numPr>
          <w:ilvl w:val="0"/>
          <w:numId w:val="9"/>
        </w:numPr>
        <w:spacing w:after="0"/>
        <w:ind w:left="1134" w:firstLine="720"/>
        <w:rPr>
          <w:rFonts w:eastAsia="Times New Roman" w:cs="Times New Roman"/>
          <w:szCs w:val="20"/>
          <w:lang w:eastAsia="en-US"/>
        </w:rPr>
      </w:pPr>
      <w:r w:rsidRPr="00A1034F">
        <w:rPr>
          <w:rFonts w:eastAsia="Times New Roman" w:cs="Times New Roman"/>
          <w:szCs w:val="20"/>
          <w:lang w:eastAsia="en-US"/>
        </w:rPr>
        <w:t xml:space="preserve">57,0  milj. </w:t>
      </w:r>
      <w:proofErr w:type="spellStart"/>
      <w:r w:rsidRPr="00A1034F">
        <w:rPr>
          <w:rFonts w:eastAsia="Times New Roman" w:cs="Times New Roman"/>
          <w:i/>
          <w:szCs w:val="20"/>
          <w:lang w:eastAsia="en-US"/>
        </w:rPr>
        <w:t>euro</w:t>
      </w:r>
      <w:proofErr w:type="spellEnd"/>
      <w:r w:rsidRPr="00A1034F">
        <w:rPr>
          <w:rFonts w:eastAsia="Times New Roman" w:cs="Times New Roman"/>
          <w:szCs w:val="20"/>
          <w:lang w:eastAsia="en-US"/>
        </w:rPr>
        <w:t xml:space="preserve"> aizdevumiem valsts struktūrām;</w:t>
      </w:r>
    </w:p>
    <w:p w14:paraId="0A758CE0" w14:textId="77777777" w:rsidR="00A1034F" w:rsidRPr="00A1034F" w:rsidRDefault="00A1034F" w:rsidP="008349F0">
      <w:pPr>
        <w:numPr>
          <w:ilvl w:val="0"/>
          <w:numId w:val="9"/>
        </w:numPr>
        <w:spacing w:after="0"/>
        <w:ind w:left="1134" w:firstLine="720"/>
        <w:rPr>
          <w:rFonts w:eastAsia="Times New Roman" w:cs="Times New Roman"/>
          <w:szCs w:val="20"/>
          <w:lang w:eastAsia="en-US"/>
        </w:rPr>
      </w:pPr>
      <w:r w:rsidRPr="00A1034F">
        <w:rPr>
          <w:rFonts w:eastAsia="Times New Roman" w:cs="Times New Roman"/>
          <w:szCs w:val="20"/>
          <w:lang w:eastAsia="en-US"/>
        </w:rPr>
        <w:t xml:space="preserve">54,4  milj. </w:t>
      </w:r>
      <w:proofErr w:type="spellStart"/>
      <w:r w:rsidRPr="00A1034F">
        <w:rPr>
          <w:rFonts w:eastAsia="Times New Roman" w:cs="Times New Roman"/>
          <w:i/>
          <w:szCs w:val="20"/>
          <w:lang w:eastAsia="en-US"/>
        </w:rPr>
        <w:t>euro</w:t>
      </w:r>
      <w:proofErr w:type="spellEnd"/>
      <w:r w:rsidRPr="00A1034F">
        <w:rPr>
          <w:rFonts w:eastAsia="Times New Roman" w:cs="Times New Roman"/>
          <w:szCs w:val="20"/>
          <w:lang w:eastAsia="en-US"/>
        </w:rPr>
        <w:t xml:space="preserve"> aizdevumiem pašvaldību struktūrām;</w:t>
      </w:r>
    </w:p>
    <w:p w14:paraId="5AAA2B1D" w14:textId="77777777" w:rsidR="00A1034F" w:rsidRDefault="00A1034F" w:rsidP="008349F0">
      <w:pPr>
        <w:numPr>
          <w:ilvl w:val="0"/>
          <w:numId w:val="9"/>
        </w:numPr>
        <w:spacing w:after="0"/>
        <w:ind w:left="1134" w:firstLine="720"/>
        <w:rPr>
          <w:rFonts w:eastAsia="Times New Roman" w:cs="Times New Roman"/>
          <w:szCs w:val="20"/>
          <w:lang w:eastAsia="en-US"/>
        </w:rPr>
      </w:pPr>
      <w:r w:rsidRPr="00A1034F">
        <w:rPr>
          <w:rFonts w:eastAsia="Times New Roman" w:cs="Times New Roman"/>
          <w:szCs w:val="20"/>
          <w:lang w:eastAsia="en-US"/>
        </w:rPr>
        <w:t xml:space="preserve">0,9  milj. </w:t>
      </w:r>
      <w:proofErr w:type="spellStart"/>
      <w:r w:rsidRPr="00A1034F">
        <w:rPr>
          <w:rFonts w:eastAsia="Times New Roman" w:cs="Times New Roman"/>
          <w:i/>
          <w:szCs w:val="20"/>
          <w:lang w:eastAsia="en-US"/>
        </w:rPr>
        <w:t>euro</w:t>
      </w:r>
      <w:proofErr w:type="spellEnd"/>
      <w:r w:rsidRPr="00A1034F">
        <w:rPr>
          <w:rFonts w:eastAsia="Times New Roman" w:cs="Times New Roman"/>
          <w:szCs w:val="20"/>
          <w:lang w:eastAsia="en-US"/>
        </w:rPr>
        <w:t xml:space="preserve"> aizdevumiem </w:t>
      </w:r>
      <w:proofErr w:type="spellStart"/>
      <w:r w:rsidRPr="00A1034F">
        <w:rPr>
          <w:rFonts w:eastAsia="Times New Roman" w:cs="Times New Roman"/>
          <w:szCs w:val="20"/>
          <w:lang w:eastAsia="en-US"/>
        </w:rPr>
        <w:t>nefinanšu</w:t>
      </w:r>
      <w:proofErr w:type="spellEnd"/>
      <w:r w:rsidRPr="00A1034F">
        <w:rPr>
          <w:rFonts w:eastAsia="Times New Roman" w:cs="Times New Roman"/>
          <w:szCs w:val="20"/>
          <w:lang w:eastAsia="en-US"/>
        </w:rPr>
        <w:t xml:space="preserve"> sabiedrībām.</w:t>
      </w:r>
    </w:p>
    <w:p w14:paraId="291D88A9" w14:textId="77777777" w:rsidR="0006718F" w:rsidRDefault="0006718F" w:rsidP="0006718F">
      <w:pPr>
        <w:spacing w:after="0"/>
        <w:ind w:left="1134" w:firstLine="0"/>
        <w:rPr>
          <w:rFonts w:eastAsia="Times New Roman" w:cs="Times New Roman"/>
          <w:szCs w:val="20"/>
          <w:lang w:eastAsia="en-US"/>
        </w:rPr>
      </w:pPr>
    </w:p>
    <w:p w14:paraId="0902EBB4" w14:textId="77777777" w:rsidR="0006718F" w:rsidRDefault="0006718F" w:rsidP="0006718F">
      <w:pPr>
        <w:rPr>
          <w:rFonts w:eastAsia="Times New Roman" w:cs="Times New Roman"/>
          <w:szCs w:val="20"/>
          <w:lang w:eastAsia="en-US"/>
        </w:rPr>
      </w:pPr>
      <w:r w:rsidRPr="0006718F">
        <w:rPr>
          <w:rFonts w:eastAsia="Times New Roman" w:cs="Times New Roman"/>
          <w:szCs w:val="20"/>
          <w:lang w:eastAsia="en-US"/>
        </w:rPr>
        <w:t xml:space="preserve">Valsts pamatbudžeta aizdevumi (izsniegto aizdevumu un izsniegto aizdevumu saņemtās atmaksas starpība) 2025. gadā plānoti 334,5 milj. </w:t>
      </w:r>
      <w:proofErr w:type="spellStart"/>
      <w:r w:rsidRPr="0006718F">
        <w:rPr>
          <w:rFonts w:eastAsia="Times New Roman" w:cs="Times New Roman"/>
          <w:i/>
          <w:iCs/>
          <w:szCs w:val="20"/>
          <w:lang w:eastAsia="en-US"/>
        </w:rPr>
        <w:t>euro</w:t>
      </w:r>
      <w:proofErr w:type="spellEnd"/>
      <w:r w:rsidRPr="0006718F">
        <w:rPr>
          <w:rFonts w:eastAsia="Times New Roman" w:cs="Times New Roman"/>
          <w:szCs w:val="20"/>
          <w:lang w:eastAsia="en-US"/>
        </w:rPr>
        <w:t xml:space="preserve"> apmērā. </w:t>
      </w:r>
    </w:p>
    <w:p w14:paraId="7EC72F97" w14:textId="37245CA5" w:rsidR="0006718F" w:rsidRPr="0006718F" w:rsidRDefault="0006718F" w:rsidP="0006718F">
      <w:pPr>
        <w:rPr>
          <w:rFonts w:eastAsia="Times New Roman" w:cs="Times New Roman"/>
          <w:szCs w:val="20"/>
          <w:lang w:eastAsia="en-US"/>
        </w:rPr>
      </w:pPr>
      <w:r w:rsidRPr="0006718F">
        <w:rPr>
          <w:rFonts w:eastAsia="Times New Roman" w:cs="Times New Roman"/>
          <w:szCs w:val="20"/>
          <w:lang w:eastAsia="en-US"/>
        </w:rPr>
        <w:t xml:space="preserve">Valsts budžeta izsniegtie aizdevumi plānoti 502,3 milj. </w:t>
      </w:r>
      <w:proofErr w:type="spellStart"/>
      <w:r w:rsidRPr="0006718F">
        <w:rPr>
          <w:rFonts w:eastAsia="Times New Roman" w:cs="Times New Roman"/>
          <w:i/>
          <w:iCs/>
          <w:szCs w:val="20"/>
          <w:lang w:eastAsia="en-US"/>
        </w:rPr>
        <w:t>euro</w:t>
      </w:r>
      <w:proofErr w:type="spellEnd"/>
      <w:r w:rsidRPr="0006718F">
        <w:rPr>
          <w:rFonts w:eastAsia="Times New Roman" w:cs="Times New Roman"/>
          <w:szCs w:val="20"/>
          <w:lang w:eastAsia="en-US"/>
        </w:rPr>
        <w:t xml:space="preserve"> apjomā, tajā skaitā:</w:t>
      </w:r>
    </w:p>
    <w:p w14:paraId="2FB0895A" w14:textId="77777777" w:rsidR="0006718F" w:rsidRDefault="0006718F" w:rsidP="000B47D5">
      <w:pPr>
        <w:numPr>
          <w:ilvl w:val="0"/>
          <w:numId w:val="9"/>
        </w:numPr>
        <w:spacing w:after="0"/>
        <w:ind w:left="1134" w:firstLine="720"/>
        <w:rPr>
          <w:rFonts w:eastAsia="Times New Roman" w:cs="Times New Roman"/>
          <w:szCs w:val="20"/>
          <w:lang w:eastAsia="en-US"/>
        </w:rPr>
      </w:pPr>
      <w:r w:rsidRPr="0006718F">
        <w:rPr>
          <w:rFonts w:eastAsia="Times New Roman" w:cs="Times New Roman"/>
          <w:szCs w:val="20"/>
          <w:lang w:eastAsia="en-US"/>
        </w:rPr>
        <w:t xml:space="preserve">93,1 milj. </w:t>
      </w:r>
      <w:proofErr w:type="spellStart"/>
      <w:r w:rsidRPr="0006718F">
        <w:rPr>
          <w:rFonts w:eastAsia="Times New Roman" w:cs="Times New Roman"/>
          <w:i/>
          <w:iCs/>
          <w:szCs w:val="20"/>
          <w:lang w:eastAsia="en-US"/>
        </w:rPr>
        <w:t>euro</w:t>
      </w:r>
      <w:proofErr w:type="spellEnd"/>
      <w:r w:rsidRPr="0006718F">
        <w:rPr>
          <w:rFonts w:eastAsia="Times New Roman" w:cs="Times New Roman"/>
          <w:szCs w:val="20"/>
          <w:lang w:eastAsia="en-US"/>
        </w:rPr>
        <w:t xml:space="preserve"> aizdevumiem valsts struktūrām;</w:t>
      </w:r>
    </w:p>
    <w:p w14:paraId="7363D7BC" w14:textId="77777777" w:rsidR="0006718F" w:rsidRDefault="0006718F" w:rsidP="000B47D5">
      <w:pPr>
        <w:numPr>
          <w:ilvl w:val="0"/>
          <w:numId w:val="9"/>
        </w:numPr>
        <w:spacing w:after="0"/>
        <w:ind w:left="1134" w:firstLine="720"/>
        <w:rPr>
          <w:rFonts w:eastAsia="Times New Roman" w:cs="Times New Roman"/>
          <w:szCs w:val="20"/>
          <w:lang w:eastAsia="en-US"/>
        </w:rPr>
      </w:pPr>
      <w:r w:rsidRPr="0006718F">
        <w:rPr>
          <w:rFonts w:eastAsia="Times New Roman" w:cs="Times New Roman"/>
          <w:szCs w:val="20"/>
          <w:lang w:eastAsia="en-US"/>
        </w:rPr>
        <w:t xml:space="preserve">333,2 milj. </w:t>
      </w:r>
      <w:proofErr w:type="spellStart"/>
      <w:r w:rsidRPr="0006718F">
        <w:rPr>
          <w:rFonts w:eastAsia="Times New Roman" w:cs="Times New Roman"/>
          <w:i/>
          <w:iCs/>
          <w:szCs w:val="20"/>
          <w:lang w:eastAsia="en-US"/>
        </w:rPr>
        <w:t>euro</w:t>
      </w:r>
      <w:proofErr w:type="spellEnd"/>
      <w:r w:rsidRPr="0006718F">
        <w:rPr>
          <w:rFonts w:eastAsia="Times New Roman" w:cs="Times New Roman"/>
          <w:szCs w:val="20"/>
          <w:lang w:eastAsia="en-US"/>
        </w:rPr>
        <w:t xml:space="preserve"> aizdevumiem pašvaldību struktūrām;</w:t>
      </w:r>
    </w:p>
    <w:p w14:paraId="6491EC75" w14:textId="75A26E06" w:rsidR="0006718F" w:rsidRPr="0006718F" w:rsidRDefault="0006718F" w:rsidP="000B47D5">
      <w:pPr>
        <w:numPr>
          <w:ilvl w:val="0"/>
          <w:numId w:val="9"/>
        </w:numPr>
        <w:spacing w:after="0"/>
        <w:ind w:left="1134" w:firstLine="720"/>
        <w:rPr>
          <w:rFonts w:eastAsia="Times New Roman" w:cs="Times New Roman"/>
          <w:szCs w:val="20"/>
          <w:lang w:eastAsia="en-US"/>
        </w:rPr>
      </w:pPr>
      <w:r w:rsidRPr="0006718F">
        <w:rPr>
          <w:rFonts w:eastAsia="Times New Roman" w:cs="Times New Roman"/>
          <w:szCs w:val="20"/>
          <w:lang w:eastAsia="en-US"/>
        </w:rPr>
        <w:t xml:space="preserve">76,0 milj. </w:t>
      </w:r>
      <w:proofErr w:type="spellStart"/>
      <w:r w:rsidRPr="0006718F">
        <w:rPr>
          <w:rFonts w:eastAsia="Times New Roman" w:cs="Times New Roman"/>
          <w:i/>
          <w:iCs/>
          <w:szCs w:val="20"/>
          <w:lang w:eastAsia="en-US"/>
        </w:rPr>
        <w:t>euro</w:t>
      </w:r>
      <w:proofErr w:type="spellEnd"/>
      <w:r w:rsidRPr="0006718F">
        <w:rPr>
          <w:rFonts w:eastAsia="Times New Roman" w:cs="Times New Roman"/>
          <w:szCs w:val="20"/>
          <w:lang w:eastAsia="en-US"/>
        </w:rPr>
        <w:t xml:space="preserve"> aizdevumiem </w:t>
      </w:r>
      <w:proofErr w:type="spellStart"/>
      <w:r w:rsidRPr="0006718F">
        <w:rPr>
          <w:rFonts w:eastAsia="Times New Roman" w:cs="Times New Roman"/>
          <w:szCs w:val="20"/>
          <w:lang w:eastAsia="en-US"/>
        </w:rPr>
        <w:t>nefinanšu</w:t>
      </w:r>
      <w:proofErr w:type="spellEnd"/>
      <w:r w:rsidRPr="0006718F">
        <w:rPr>
          <w:rFonts w:eastAsia="Times New Roman" w:cs="Times New Roman"/>
          <w:szCs w:val="20"/>
          <w:lang w:eastAsia="en-US"/>
        </w:rPr>
        <w:t xml:space="preserve"> sabiedrībām.</w:t>
      </w:r>
    </w:p>
    <w:p w14:paraId="4D44EB26" w14:textId="6C872E34" w:rsidR="00A1034F" w:rsidRPr="00A1034F" w:rsidRDefault="00A1034F" w:rsidP="008349F0">
      <w:pPr>
        <w:spacing w:before="120" w:after="0"/>
        <w:rPr>
          <w:rFonts w:eastAsia="Times New Roman" w:cs="Times New Roman"/>
          <w:szCs w:val="20"/>
          <w:lang w:eastAsia="en-US"/>
        </w:rPr>
      </w:pPr>
      <w:r w:rsidRPr="00A1034F">
        <w:rPr>
          <w:rFonts w:eastAsia="Times New Roman" w:cs="Times New Roman"/>
          <w:szCs w:val="20"/>
          <w:lang w:eastAsia="en-US"/>
        </w:rPr>
        <w:t>Saskaņā ar iepriekšējos gados noslēgtajos aizdevuma līgumos iekļautajiem aizdevumu atmaksas grafikiem 2025. gadā valsts aizdevumu atmaksas plānotas 167,</w:t>
      </w:r>
      <w:r w:rsidR="0006718F">
        <w:rPr>
          <w:rFonts w:eastAsia="Times New Roman" w:cs="Times New Roman"/>
          <w:szCs w:val="20"/>
          <w:lang w:eastAsia="en-US"/>
        </w:rPr>
        <w:t>8</w:t>
      </w:r>
      <w:r w:rsidRPr="00A1034F">
        <w:rPr>
          <w:rFonts w:eastAsia="Times New Roman" w:cs="Times New Roman"/>
          <w:szCs w:val="20"/>
          <w:lang w:eastAsia="en-US"/>
        </w:rPr>
        <w:t xml:space="preserve">   milj. </w:t>
      </w:r>
      <w:proofErr w:type="spellStart"/>
      <w:r w:rsidRPr="00A1034F">
        <w:rPr>
          <w:rFonts w:eastAsia="Times New Roman" w:cs="Times New Roman"/>
          <w:i/>
          <w:szCs w:val="20"/>
          <w:lang w:eastAsia="en-US"/>
        </w:rPr>
        <w:t>euro</w:t>
      </w:r>
      <w:proofErr w:type="spellEnd"/>
      <w:r w:rsidRPr="00A1034F">
        <w:rPr>
          <w:rFonts w:eastAsia="Times New Roman" w:cs="Times New Roman"/>
          <w:b/>
          <w:szCs w:val="20"/>
          <w:lang w:eastAsia="en-US"/>
        </w:rPr>
        <w:t xml:space="preserve"> </w:t>
      </w:r>
      <w:r w:rsidRPr="00A1034F">
        <w:rPr>
          <w:rFonts w:eastAsia="Times New Roman" w:cs="Times New Roman"/>
          <w:szCs w:val="20"/>
          <w:lang w:eastAsia="en-US"/>
        </w:rPr>
        <w:t>apmērā, tajā skaitā:</w:t>
      </w:r>
    </w:p>
    <w:p w14:paraId="67FDF50E" w14:textId="03FFC352" w:rsidR="00A1034F" w:rsidRPr="00A1034F" w:rsidRDefault="0006718F" w:rsidP="008349F0">
      <w:pPr>
        <w:numPr>
          <w:ilvl w:val="0"/>
          <w:numId w:val="10"/>
        </w:numPr>
        <w:spacing w:after="0"/>
        <w:ind w:left="1134" w:firstLine="720"/>
        <w:rPr>
          <w:rFonts w:eastAsia="Times New Roman" w:cs="Times New Roman"/>
          <w:szCs w:val="20"/>
          <w:lang w:eastAsia="en-US"/>
        </w:rPr>
      </w:pPr>
      <w:r>
        <w:rPr>
          <w:rFonts w:eastAsia="Times New Roman" w:cs="Times New Roman"/>
          <w:szCs w:val="20"/>
          <w:lang w:eastAsia="en-US"/>
        </w:rPr>
        <w:t>13,3</w:t>
      </w:r>
      <w:r w:rsidR="00A1034F" w:rsidRPr="00A1034F">
        <w:rPr>
          <w:rFonts w:eastAsia="Times New Roman" w:cs="Times New Roman"/>
          <w:szCs w:val="20"/>
          <w:lang w:eastAsia="en-US"/>
        </w:rPr>
        <w:t xml:space="preserve">  milj. </w:t>
      </w:r>
      <w:proofErr w:type="spellStart"/>
      <w:r w:rsidR="00A1034F" w:rsidRPr="00A1034F">
        <w:rPr>
          <w:rFonts w:eastAsia="Times New Roman" w:cs="Times New Roman"/>
          <w:i/>
          <w:szCs w:val="20"/>
          <w:lang w:eastAsia="en-US"/>
        </w:rPr>
        <w:t>euro</w:t>
      </w:r>
      <w:proofErr w:type="spellEnd"/>
      <w:r w:rsidR="00A1034F" w:rsidRPr="00A1034F">
        <w:rPr>
          <w:rFonts w:eastAsia="Times New Roman" w:cs="Times New Roman"/>
          <w:szCs w:val="20"/>
          <w:lang w:eastAsia="en-US"/>
        </w:rPr>
        <w:t xml:space="preserve"> no valsts struktūrām;</w:t>
      </w:r>
    </w:p>
    <w:p w14:paraId="14AF1BA4" w14:textId="77777777" w:rsidR="00A1034F" w:rsidRPr="00A1034F" w:rsidRDefault="00A1034F" w:rsidP="008349F0">
      <w:pPr>
        <w:numPr>
          <w:ilvl w:val="0"/>
          <w:numId w:val="10"/>
        </w:numPr>
        <w:spacing w:after="0"/>
        <w:ind w:left="1134" w:firstLine="720"/>
        <w:rPr>
          <w:rFonts w:eastAsia="Times New Roman" w:cs="Times New Roman"/>
          <w:szCs w:val="20"/>
          <w:lang w:eastAsia="en-US"/>
        </w:rPr>
      </w:pPr>
      <w:r w:rsidRPr="00A1034F">
        <w:rPr>
          <w:rFonts w:eastAsia="Times New Roman" w:cs="Times New Roman"/>
          <w:szCs w:val="20"/>
          <w:lang w:eastAsia="en-US"/>
        </w:rPr>
        <w:t xml:space="preserve">141,5  milj. </w:t>
      </w:r>
      <w:proofErr w:type="spellStart"/>
      <w:r w:rsidRPr="00A1034F">
        <w:rPr>
          <w:rFonts w:eastAsia="Times New Roman" w:cs="Times New Roman"/>
          <w:i/>
          <w:szCs w:val="20"/>
          <w:lang w:eastAsia="en-US"/>
        </w:rPr>
        <w:t>euro</w:t>
      </w:r>
      <w:proofErr w:type="spellEnd"/>
      <w:r w:rsidRPr="00A1034F">
        <w:rPr>
          <w:rFonts w:eastAsia="Times New Roman" w:cs="Times New Roman"/>
          <w:szCs w:val="20"/>
          <w:lang w:eastAsia="en-US"/>
        </w:rPr>
        <w:t xml:space="preserve"> no pašvaldību struktūrām;</w:t>
      </w:r>
    </w:p>
    <w:p w14:paraId="1CC4183B" w14:textId="77777777" w:rsidR="00A1034F" w:rsidRPr="00A1034F" w:rsidRDefault="00A1034F" w:rsidP="008349F0">
      <w:pPr>
        <w:numPr>
          <w:ilvl w:val="0"/>
          <w:numId w:val="10"/>
        </w:numPr>
        <w:spacing w:after="0"/>
        <w:ind w:left="1134" w:firstLine="720"/>
        <w:rPr>
          <w:rFonts w:eastAsia="Times New Roman" w:cs="Times New Roman"/>
          <w:szCs w:val="20"/>
          <w:lang w:eastAsia="en-US"/>
        </w:rPr>
      </w:pPr>
      <w:r w:rsidRPr="00A1034F">
        <w:rPr>
          <w:rFonts w:eastAsia="Times New Roman" w:cs="Times New Roman"/>
          <w:szCs w:val="20"/>
          <w:lang w:eastAsia="en-US"/>
        </w:rPr>
        <w:t xml:space="preserve">13,0  milj. </w:t>
      </w:r>
      <w:proofErr w:type="spellStart"/>
      <w:r w:rsidRPr="00A1034F">
        <w:rPr>
          <w:rFonts w:eastAsia="Times New Roman" w:cs="Times New Roman"/>
          <w:i/>
          <w:szCs w:val="20"/>
          <w:lang w:eastAsia="en-US"/>
        </w:rPr>
        <w:t>euro</w:t>
      </w:r>
      <w:proofErr w:type="spellEnd"/>
      <w:r w:rsidRPr="00A1034F">
        <w:rPr>
          <w:rFonts w:eastAsia="Times New Roman" w:cs="Times New Roman"/>
          <w:szCs w:val="20"/>
          <w:lang w:eastAsia="en-US"/>
        </w:rPr>
        <w:t xml:space="preserve"> no </w:t>
      </w:r>
      <w:proofErr w:type="spellStart"/>
      <w:r w:rsidRPr="00A1034F">
        <w:rPr>
          <w:rFonts w:eastAsia="Times New Roman" w:cs="Times New Roman"/>
          <w:szCs w:val="20"/>
          <w:lang w:eastAsia="en-US"/>
        </w:rPr>
        <w:t>nefinanšu</w:t>
      </w:r>
      <w:proofErr w:type="spellEnd"/>
      <w:r w:rsidRPr="00A1034F">
        <w:rPr>
          <w:rFonts w:eastAsia="Times New Roman" w:cs="Times New Roman"/>
          <w:szCs w:val="20"/>
          <w:lang w:eastAsia="en-US"/>
        </w:rPr>
        <w:t xml:space="preserve"> sabiedrībām</w:t>
      </w:r>
      <w:r w:rsidRPr="00A1034F">
        <w:rPr>
          <w:rFonts w:eastAsia="Times New Roman" w:cs="Times New Roman"/>
          <w:i/>
          <w:szCs w:val="20"/>
          <w:lang w:eastAsia="en-US"/>
        </w:rPr>
        <w:t>.</w:t>
      </w:r>
    </w:p>
    <w:p w14:paraId="01AEB3DB" w14:textId="5F32F448" w:rsidR="00FB33CF" w:rsidRPr="00514732" w:rsidRDefault="00863814" w:rsidP="008349F0">
      <w:pPr>
        <w:pStyle w:val="Heading2"/>
        <w:rPr>
          <w:rFonts w:eastAsia="Times New Roman"/>
        </w:rPr>
      </w:pPr>
      <w:bookmarkStart w:id="111" w:name="_Toc179356110"/>
      <w:r w:rsidRPr="00514732">
        <w:rPr>
          <w:rFonts w:eastAsia="Times New Roman"/>
        </w:rPr>
        <w:t xml:space="preserve">4.3. </w:t>
      </w:r>
      <w:r w:rsidR="00FB33CF" w:rsidRPr="00514732">
        <w:rPr>
          <w:rFonts w:eastAsia="Times New Roman"/>
        </w:rPr>
        <w:t>Valsts galvojumu saistības</w:t>
      </w:r>
      <w:bookmarkEnd w:id="111"/>
    </w:p>
    <w:p w14:paraId="22D29783" w14:textId="77777777" w:rsidR="00514732" w:rsidRPr="00514732" w:rsidRDefault="00514732" w:rsidP="008349F0">
      <w:pPr>
        <w:spacing w:after="0"/>
        <w:rPr>
          <w:rFonts w:eastAsia="Times New Roman" w:cs="Times New Roman"/>
          <w:b/>
          <w:bCs/>
          <w:i/>
          <w:sz w:val="18"/>
          <w:szCs w:val="18"/>
        </w:rPr>
      </w:pPr>
      <w:r w:rsidRPr="00514732">
        <w:rPr>
          <w:rFonts w:eastAsia="Times New Roman" w:cs="Times New Roman"/>
          <w:szCs w:val="20"/>
          <w:lang w:eastAsia="en-US"/>
        </w:rPr>
        <w:t xml:space="preserve">Kopējais valsts galvoto aizdevumu atlikums 2024. gada 31. augustā veidoja </w:t>
      </w:r>
      <w:r w:rsidRPr="00514732">
        <w:rPr>
          <w:rFonts w:eastAsia="Times New Roman" w:cs="Times New Roman"/>
          <w:szCs w:val="20"/>
        </w:rPr>
        <w:t xml:space="preserve">354,6  milj. </w:t>
      </w:r>
      <w:proofErr w:type="spellStart"/>
      <w:r w:rsidRPr="00514732">
        <w:rPr>
          <w:rFonts w:eastAsia="Times New Roman" w:cs="Times New Roman"/>
          <w:i/>
          <w:szCs w:val="20"/>
        </w:rPr>
        <w:t>euro</w:t>
      </w:r>
      <w:proofErr w:type="spellEnd"/>
      <w:r w:rsidRPr="00514732">
        <w:rPr>
          <w:rFonts w:eastAsia="Times New Roman" w:cs="Times New Roman"/>
          <w:b/>
          <w:bCs/>
          <w:i/>
          <w:sz w:val="18"/>
          <w:szCs w:val="18"/>
        </w:rPr>
        <w:t xml:space="preserve"> </w:t>
      </w:r>
      <w:r w:rsidRPr="00514732">
        <w:rPr>
          <w:rFonts w:eastAsia="Times New Roman" w:cs="Times New Roman"/>
          <w:szCs w:val="20"/>
          <w:lang w:eastAsia="en-US"/>
        </w:rPr>
        <w:t xml:space="preserve">(t.sk. saistības, par kurām valsts galvojums sniegts </w:t>
      </w:r>
      <w:proofErr w:type="spellStart"/>
      <w:r w:rsidRPr="00514732">
        <w:rPr>
          <w:rFonts w:eastAsia="Times New Roman" w:cs="Times New Roman"/>
          <w:szCs w:val="20"/>
          <w:lang w:eastAsia="en-US"/>
        </w:rPr>
        <w:t>portfeļgarantijas</w:t>
      </w:r>
      <w:proofErr w:type="spellEnd"/>
      <w:r w:rsidRPr="00514732">
        <w:rPr>
          <w:rFonts w:eastAsia="Times New Roman" w:cs="Times New Roman"/>
          <w:szCs w:val="20"/>
          <w:lang w:eastAsia="en-US"/>
        </w:rPr>
        <w:t xml:space="preserve"> veidā un par Eiropas pagaidu atbalsta instrumentu bezdarba riska mazināšanai ārkārtas situācijā (SURE) pēc Covid-19 uzliesmojuma un </w:t>
      </w:r>
      <w:r w:rsidRPr="00514732">
        <w:rPr>
          <w:rFonts w:eastAsia="Calibri" w:cs="Times New Roman"/>
          <w:szCs w:val="20"/>
          <w:lang w:eastAsia="en-US"/>
        </w:rPr>
        <w:t>Latvijas Republikas galvojums Starptautiskās rekonstrukcijas un attīstības bankai un EK atbalstam Ukrainai</w:t>
      </w:r>
      <w:r w:rsidRPr="00514732">
        <w:rPr>
          <w:rFonts w:eastAsia="Times New Roman" w:cs="Times New Roman"/>
          <w:szCs w:val="20"/>
          <w:lang w:eastAsia="en-US"/>
        </w:rPr>
        <w:t xml:space="preserve">). </w:t>
      </w:r>
    </w:p>
    <w:p w14:paraId="040B547C" w14:textId="77777777" w:rsidR="00514732" w:rsidRPr="00514732" w:rsidRDefault="00514732" w:rsidP="008349F0">
      <w:pPr>
        <w:spacing w:after="0"/>
        <w:textAlignment w:val="baseline"/>
        <w:rPr>
          <w:rFonts w:eastAsia="Calibri" w:cs="Times New Roman"/>
          <w:szCs w:val="24"/>
        </w:rPr>
      </w:pPr>
      <w:r w:rsidRPr="00514732">
        <w:rPr>
          <w:rFonts w:eastAsia="Times New Roman" w:cs="Times New Roman"/>
          <w:szCs w:val="24"/>
        </w:rPr>
        <w:t>4.5. attēlā apkopota informācija par valsts galvoto aizdevumu maksājumiem (pamatsummu un procentu maksājumu kopsumma) vidējā termiņā.</w:t>
      </w:r>
    </w:p>
    <w:p w14:paraId="7861AACA" w14:textId="65061B28" w:rsidR="00272E4E" w:rsidRPr="00FD1578" w:rsidRDefault="007E7841" w:rsidP="008349F0">
      <w:pPr>
        <w:ind w:firstLine="0"/>
        <w:jc w:val="center"/>
        <w:rPr>
          <w:rFonts w:eastAsia="Times New Roman" w:cs="Times New Roman"/>
          <w:szCs w:val="24"/>
          <w:highlight w:val="lightGray"/>
          <w:lang w:eastAsia="en-US"/>
        </w:rPr>
      </w:pPr>
      <w:r>
        <w:rPr>
          <w:noProof/>
        </w:rPr>
        <w:drawing>
          <wp:inline distT="0" distB="0" distL="0" distR="0" wp14:anchorId="364CAB6B" wp14:editId="4C7086FC">
            <wp:extent cx="4756704" cy="1880558"/>
            <wp:effectExtent l="0" t="0" r="6350" b="5715"/>
            <wp:docPr id="5578989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898901" name="Picture 1" descr="A screenshot of a computer&#10;&#10;Description automatically generated"/>
                    <pic:cNvPicPr/>
                  </pic:nvPicPr>
                  <pic:blipFill rotWithShape="1">
                    <a:blip r:embed="rId50"/>
                    <a:srcRect l="43581" t="44944" r="24215" b="33946"/>
                    <a:stretch/>
                  </pic:blipFill>
                  <pic:spPr bwMode="auto">
                    <a:xfrm>
                      <a:off x="0" y="0"/>
                      <a:ext cx="4795560" cy="1895920"/>
                    </a:xfrm>
                    <a:prstGeom prst="rect">
                      <a:avLst/>
                    </a:prstGeom>
                    <a:ln>
                      <a:noFill/>
                    </a:ln>
                    <a:extLst>
                      <a:ext uri="{53640926-AAD7-44D8-BBD7-CCE9431645EC}">
                        <a14:shadowObscured xmlns:a14="http://schemas.microsoft.com/office/drawing/2010/main"/>
                      </a:ext>
                    </a:extLst>
                  </pic:spPr>
                </pic:pic>
              </a:graphicData>
            </a:graphic>
          </wp:inline>
        </w:drawing>
      </w:r>
    </w:p>
    <w:p w14:paraId="0EE4A1D1" w14:textId="77777777" w:rsidR="00514732" w:rsidRPr="00514732" w:rsidRDefault="00514732" w:rsidP="008349F0">
      <w:pPr>
        <w:ind w:firstLine="0"/>
        <w:rPr>
          <w:rFonts w:eastAsia="Times New Roman" w:cs="Times New Roman"/>
          <w:i/>
          <w:sz w:val="18"/>
          <w:szCs w:val="18"/>
          <w:lang w:eastAsia="en-US"/>
        </w:rPr>
      </w:pPr>
      <w:r w:rsidRPr="00514732">
        <w:rPr>
          <w:rFonts w:eastAsia="Times New Roman" w:cs="Times New Roman"/>
          <w:i/>
          <w:sz w:val="18"/>
          <w:szCs w:val="18"/>
          <w:lang w:eastAsia="en-US"/>
        </w:rPr>
        <w:t xml:space="preserve">* izņemot saistības, par kurām valsts galvojums sniegts </w:t>
      </w:r>
      <w:proofErr w:type="spellStart"/>
      <w:r w:rsidRPr="00514732">
        <w:rPr>
          <w:rFonts w:eastAsia="Times New Roman" w:cs="Times New Roman"/>
          <w:i/>
          <w:sz w:val="18"/>
          <w:szCs w:val="18"/>
          <w:lang w:eastAsia="en-US"/>
        </w:rPr>
        <w:t>portfeļgarantijas</w:t>
      </w:r>
      <w:proofErr w:type="spellEnd"/>
      <w:r w:rsidRPr="00514732">
        <w:rPr>
          <w:rFonts w:eastAsia="Times New Roman" w:cs="Times New Roman"/>
          <w:i/>
          <w:sz w:val="18"/>
          <w:szCs w:val="18"/>
          <w:lang w:eastAsia="en-US"/>
        </w:rPr>
        <w:t xml:space="preserve"> veidā un par Eiropas pagaidu atbalsta instrumentu bezdarba riska mazināšanai ārkārtas situācijā (SURE) pēc Covid-19 uzliesmojuma</w:t>
      </w:r>
    </w:p>
    <w:p w14:paraId="74209A60" w14:textId="77777777" w:rsidR="00514732" w:rsidRPr="00514732" w:rsidRDefault="00514732" w:rsidP="008349F0">
      <w:pPr>
        <w:ind w:firstLine="0"/>
        <w:jc w:val="center"/>
        <w:rPr>
          <w:rFonts w:eastAsia="Times New Roman" w:cs="Times New Roman"/>
          <w:b/>
          <w:i/>
          <w:szCs w:val="20"/>
          <w:lang w:eastAsia="en-US"/>
        </w:rPr>
      </w:pPr>
      <w:r w:rsidRPr="00514732">
        <w:rPr>
          <w:rFonts w:eastAsia="Times New Roman" w:cs="Times New Roman"/>
          <w:b/>
          <w:i/>
          <w:szCs w:val="20"/>
          <w:lang w:eastAsia="en-US"/>
        </w:rPr>
        <w:t xml:space="preserve">4.5. att. Valsts galvoto aizdevumu plānotās atmaksas un procentu maksājumi </w:t>
      </w:r>
      <w:r w:rsidRPr="00514732">
        <w:rPr>
          <w:rFonts w:eastAsia="Times New Roman" w:cs="Times New Roman"/>
          <w:i/>
          <w:szCs w:val="20"/>
          <w:lang w:eastAsia="en-US"/>
        </w:rPr>
        <w:br/>
      </w:r>
      <w:r w:rsidRPr="00514732">
        <w:rPr>
          <w:rFonts w:eastAsia="Times New Roman" w:cs="Times New Roman"/>
          <w:b/>
          <w:i/>
          <w:szCs w:val="20"/>
          <w:lang w:eastAsia="en-US"/>
        </w:rPr>
        <w:t xml:space="preserve">2025. – 2027. gadā, milj. </w:t>
      </w:r>
      <w:proofErr w:type="spellStart"/>
      <w:r w:rsidRPr="00514732">
        <w:rPr>
          <w:rFonts w:eastAsia="Times New Roman" w:cs="Times New Roman"/>
          <w:b/>
          <w:i/>
          <w:szCs w:val="20"/>
          <w:lang w:eastAsia="en-US"/>
        </w:rPr>
        <w:t>euro</w:t>
      </w:r>
      <w:proofErr w:type="spellEnd"/>
      <w:r w:rsidRPr="00514732">
        <w:rPr>
          <w:rFonts w:eastAsia="Times New Roman" w:cs="Times New Roman"/>
          <w:b/>
          <w:i/>
          <w:szCs w:val="20"/>
          <w:lang w:eastAsia="en-US"/>
        </w:rPr>
        <w:t>*</w:t>
      </w:r>
    </w:p>
    <w:p w14:paraId="21CF51B5" w14:textId="77777777" w:rsidR="00514732" w:rsidRPr="00514732" w:rsidRDefault="00514732" w:rsidP="008349F0">
      <w:pPr>
        <w:spacing w:after="0"/>
        <w:ind w:firstLine="0"/>
        <w:rPr>
          <w:rFonts w:eastAsia="Times New Roman" w:cs="Times New Roman"/>
          <w:szCs w:val="20"/>
          <w:lang w:eastAsia="en-US"/>
        </w:rPr>
      </w:pPr>
    </w:p>
    <w:p w14:paraId="297E57E9" w14:textId="77777777" w:rsidR="00514732" w:rsidRPr="00514732" w:rsidRDefault="00514732" w:rsidP="008349F0">
      <w:pPr>
        <w:rPr>
          <w:rFonts w:eastAsia="Times New Roman" w:cs="Times New Roman"/>
          <w:szCs w:val="20"/>
          <w:lang w:eastAsia="en-US"/>
        </w:rPr>
      </w:pPr>
      <w:r w:rsidRPr="00514732">
        <w:rPr>
          <w:rFonts w:eastAsia="Times New Roman" w:cs="Times New Roman"/>
          <w:szCs w:val="20"/>
          <w:lang w:eastAsia="en-US"/>
        </w:rPr>
        <w:t xml:space="preserve">Izvērtējot pieejamo informāciju par aizņēmēju </w:t>
      </w:r>
      <w:proofErr w:type="spellStart"/>
      <w:r w:rsidRPr="00514732">
        <w:rPr>
          <w:rFonts w:eastAsia="Times New Roman" w:cs="Times New Roman"/>
          <w:szCs w:val="20"/>
          <w:lang w:eastAsia="en-US"/>
        </w:rPr>
        <w:t>kredītvēsturi</w:t>
      </w:r>
      <w:proofErr w:type="spellEnd"/>
      <w:r w:rsidRPr="00514732">
        <w:rPr>
          <w:rFonts w:eastAsia="Times New Roman" w:cs="Times New Roman"/>
          <w:szCs w:val="20"/>
          <w:lang w:eastAsia="en-US"/>
        </w:rPr>
        <w:t xml:space="preserve">, secināts, ka valdības rīcības pieļaujamās robežas, lai segtu izdevumus, kas var rasties, pildot uz valsts budžetu attiecināmās valsts galvotā parāda saistības 2025. gadā, novērtētas 579 tūkst. </w:t>
      </w:r>
      <w:proofErr w:type="spellStart"/>
      <w:r w:rsidRPr="00514732">
        <w:rPr>
          <w:rFonts w:eastAsia="Times New Roman" w:cs="Times New Roman"/>
          <w:i/>
          <w:szCs w:val="20"/>
          <w:lang w:eastAsia="en-US"/>
        </w:rPr>
        <w:t>euro</w:t>
      </w:r>
      <w:proofErr w:type="spellEnd"/>
      <w:r w:rsidRPr="00514732">
        <w:rPr>
          <w:rFonts w:eastAsia="Times New Roman" w:cs="Times New Roman"/>
          <w:szCs w:val="20"/>
          <w:lang w:eastAsia="en-US"/>
        </w:rPr>
        <w:t xml:space="preserve"> apmērā.</w:t>
      </w:r>
    </w:p>
    <w:p w14:paraId="59B7C887" w14:textId="291C7B1A" w:rsidR="005B0C3F" w:rsidRPr="008C2C0D" w:rsidRDefault="00863814" w:rsidP="008349F0">
      <w:pPr>
        <w:pStyle w:val="Heading2"/>
        <w:rPr>
          <w:rFonts w:eastAsia="Times New Roman"/>
        </w:rPr>
      </w:pPr>
      <w:bookmarkStart w:id="112" w:name="_Toc179356111"/>
      <w:r w:rsidRPr="008C2C0D">
        <w:rPr>
          <w:rFonts w:eastAsia="Times New Roman"/>
        </w:rPr>
        <w:lastRenderedPageBreak/>
        <w:t xml:space="preserve">4.4. </w:t>
      </w:r>
      <w:r w:rsidR="00FB33CF" w:rsidRPr="008C2C0D">
        <w:rPr>
          <w:rFonts w:eastAsia="Times New Roman"/>
        </w:rPr>
        <w:t>Valsts saistības kredītu garantijām, ko izsniedz akciju sabiedrība “Attīstības finanšu institūcija “</w:t>
      </w:r>
      <w:proofErr w:type="spellStart"/>
      <w:r w:rsidR="00FB33CF" w:rsidRPr="008C2C0D">
        <w:rPr>
          <w:rFonts w:eastAsia="Times New Roman"/>
        </w:rPr>
        <w:t>Altum</w:t>
      </w:r>
      <w:proofErr w:type="spellEnd"/>
      <w:r w:rsidR="00FB33CF" w:rsidRPr="008C2C0D">
        <w:rPr>
          <w:rFonts w:eastAsia="Times New Roman"/>
        </w:rPr>
        <w:t>””</w:t>
      </w:r>
      <w:bookmarkEnd w:id="112"/>
    </w:p>
    <w:p w14:paraId="7CAB1742" w14:textId="76DC0788" w:rsidR="008C2C0D" w:rsidRPr="008C2C0D" w:rsidRDefault="008C2C0D" w:rsidP="008349F0">
      <w:pPr>
        <w:rPr>
          <w:rFonts w:eastAsia="Times New Roman" w:cs="Times New Roman"/>
          <w:szCs w:val="24"/>
          <w:lang w:eastAsia="en-US"/>
        </w:rPr>
      </w:pPr>
      <w:r w:rsidRPr="008C2C0D">
        <w:rPr>
          <w:rFonts w:eastAsia="Times New Roman" w:cs="Times New Roman"/>
          <w:szCs w:val="24"/>
          <w:lang w:eastAsia="en-US"/>
        </w:rPr>
        <w:t xml:space="preserve">2025. gadā plānots īstenot šādas </w:t>
      </w:r>
      <w:r w:rsidR="00C8255D">
        <w:rPr>
          <w:rFonts w:eastAsia="Times New Roman" w:cs="Times New Roman"/>
          <w:szCs w:val="24"/>
          <w:lang w:eastAsia="en-US"/>
        </w:rPr>
        <w:t>EM</w:t>
      </w:r>
      <w:r w:rsidRPr="008C2C0D">
        <w:rPr>
          <w:rFonts w:eastAsia="Times New Roman" w:cs="Times New Roman"/>
          <w:szCs w:val="24"/>
          <w:lang w:eastAsia="en-US"/>
        </w:rPr>
        <w:t xml:space="preserve"> un </w:t>
      </w:r>
      <w:r w:rsidR="00C8255D">
        <w:rPr>
          <w:rFonts w:eastAsia="Times New Roman" w:cs="Times New Roman"/>
          <w:szCs w:val="24"/>
          <w:lang w:eastAsia="en-US"/>
        </w:rPr>
        <w:t>ZM</w:t>
      </w:r>
      <w:r w:rsidRPr="008C2C0D">
        <w:rPr>
          <w:rFonts w:eastAsia="Times New Roman" w:cs="Times New Roman"/>
          <w:szCs w:val="24"/>
          <w:lang w:eastAsia="en-US"/>
        </w:rPr>
        <w:t xml:space="preserve"> pārraudzībā esošas valsts atbalsta programmas garantijas veidā, kuras tiek iekļautas valsts saistību limitā:</w:t>
      </w:r>
    </w:p>
    <w:p w14:paraId="4AA84672" w14:textId="1F424CFD" w:rsidR="008C2C0D" w:rsidRPr="008C2C0D" w:rsidRDefault="008C2C0D" w:rsidP="00F87D38">
      <w:pPr>
        <w:numPr>
          <w:ilvl w:val="0"/>
          <w:numId w:val="19"/>
        </w:numPr>
        <w:rPr>
          <w:rFonts w:eastAsia="Times New Roman" w:cs="Times New Roman"/>
          <w:b/>
          <w:szCs w:val="24"/>
          <w:lang w:eastAsia="en-US"/>
        </w:rPr>
      </w:pPr>
      <w:r w:rsidRPr="008C2C0D">
        <w:rPr>
          <w:rFonts w:eastAsia="Times New Roman" w:cs="Times New Roman"/>
          <w:b/>
          <w:bCs/>
          <w:szCs w:val="24"/>
          <w:lang w:eastAsia="en-US"/>
        </w:rPr>
        <w:t>Garantijas daudzdzīvokļu dzīvojamo māju energoefektivitātes paaugstināšanas pasākumu īstenošanai</w:t>
      </w:r>
      <w:r w:rsidRPr="008C2C0D">
        <w:rPr>
          <w:rFonts w:eastAsia="Times New Roman" w:cs="Times New Roman"/>
          <w:szCs w:val="24"/>
          <w:lang w:eastAsia="en-US"/>
        </w:rPr>
        <w:t xml:space="preserve"> </w:t>
      </w:r>
      <w:r>
        <w:rPr>
          <w:rFonts w:eastAsia="Times New Roman" w:cs="Times New Roman"/>
          <w:szCs w:val="24"/>
          <w:lang w:eastAsia="en-US"/>
        </w:rPr>
        <w:t>MK</w:t>
      </w:r>
      <w:r w:rsidRPr="008C2C0D">
        <w:rPr>
          <w:rFonts w:eastAsia="Times New Roman" w:cs="Times New Roman"/>
          <w:szCs w:val="24"/>
          <w:lang w:eastAsia="en-US"/>
        </w:rPr>
        <w:t xml:space="preserve"> 2016. gada 15. marta noteikumu Nr. 160 “Darbības programmas "Izaugsme un nodarbinātība" 4.2.1. specifiskā atbalsta mērķa "Veicināt energoefektivitātes paaugstināšanu valsts un dzīvojamās ēkās" 4.2.1.1. specifiskā atbalsta mērķa pasākuma "Veicināt energoefektivitātes paaugstināšanu dzīvojamās ēkās" un 13.1.1. specifiskā atbalsta mērķa "Atveseļošanas pasākumi ekonomikas nozarē" 13.1.1.2. specifiskā atbalsta mērķa pasākuma "Atbalsts daudzdzīvokļu māju siltināšanai" īstenošanas noteikumi” ietvaros. Programmas mērķis: veicināt energoefektivitātes paaugstināšanu un viedas </w:t>
      </w:r>
      <w:proofErr w:type="spellStart"/>
      <w:r w:rsidRPr="008C2C0D">
        <w:rPr>
          <w:rFonts w:eastAsia="Times New Roman" w:cs="Times New Roman"/>
          <w:szCs w:val="24"/>
          <w:lang w:eastAsia="en-US"/>
        </w:rPr>
        <w:t>energovadības</w:t>
      </w:r>
      <w:proofErr w:type="spellEnd"/>
      <w:r w:rsidRPr="008C2C0D">
        <w:rPr>
          <w:rFonts w:eastAsia="Times New Roman" w:cs="Times New Roman"/>
          <w:szCs w:val="24"/>
          <w:lang w:eastAsia="en-US"/>
        </w:rPr>
        <w:t xml:space="preserve"> un atjaunojamo energoresursu izmantošanu daudzdzīvokļu dzīvojamās mājās. Garantija tiek izsniegta par kredītiestādes, starptautiskas finanšu institūcijas vai alternatīvā ieguldījumu fonda izsniegtu investīcijas aizdevumu līdz 80 % no finansējuma pamatsummas ar termiņu līdz 20 gadiem, garantijas summa vienas ēkas energoefektivitātes paaugstināšanas pasākumam nepārsniedz 3 milj. </w:t>
      </w:r>
      <w:proofErr w:type="spellStart"/>
      <w:r w:rsidRPr="008C2C0D">
        <w:rPr>
          <w:rFonts w:eastAsia="Times New Roman" w:cs="Times New Roman"/>
          <w:i/>
          <w:szCs w:val="24"/>
          <w:lang w:eastAsia="en-US"/>
        </w:rPr>
        <w:t>euro</w:t>
      </w:r>
      <w:proofErr w:type="spellEnd"/>
      <w:r w:rsidRPr="008C2C0D">
        <w:rPr>
          <w:rFonts w:eastAsia="Times New Roman" w:cs="Times New Roman"/>
          <w:szCs w:val="24"/>
          <w:lang w:eastAsia="en-US"/>
        </w:rPr>
        <w:t xml:space="preserve">. </w:t>
      </w:r>
      <w:r w:rsidRPr="008C2C0D">
        <w:rPr>
          <w:rFonts w:eastAsia="Times New Roman" w:cs="Times New Roman"/>
          <w:b/>
          <w:bCs/>
          <w:szCs w:val="24"/>
          <w:lang w:eastAsia="en-US"/>
        </w:rPr>
        <w:t>Apstiprinātais programmas finansējums ir 36,8</w:t>
      </w:r>
      <w:r w:rsidR="003F7E64">
        <w:rPr>
          <w:rFonts w:eastAsia="Times New Roman" w:cs="Times New Roman"/>
          <w:b/>
          <w:bCs/>
          <w:szCs w:val="24"/>
          <w:lang w:eastAsia="en-US"/>
        </w:rPr>
        <w:t>7</w:t>
      </w:r>
      <w:r w:rsidRPr="008C2C0D">
        <w:rPr>
          <w:rFonts w:eastAsia="Times New Roman" w:cs="Times New Roman"/>
          <w:b/>
          <w:bCs/>
          <w:szCs w:val="24"/>
          <w:lang w:eastAsia="en-US"/>
        </w:rPr>
        <w:t> milj. </w:t>
      </w:r>
      <w:proofErr w:type="spellStart"/>
      <w:r w:rsidRPr="008C2C0D">
        <w:rPr>
          <w:rFonts w:eastAsia="Times New Roman" w:cs="Times New Roman"/>
          <w:b/>
          <w:bCs/>
          <w:i/>
          <w:szCs w:val="24"/>
          <w:lang w:eastAsia="en-US"/>
        </w:rPr>
        <w:t>euro</w:t>
      </w:r>
      <w:proofErr w:type="spellEnd"/>
      <w:r w:rsidRPr="008C2C0D">
        <w:rPr>
          <w:rFonts w:eastAsia="Times New Roman" w:cs="Times New Roman"/>
          <w:szCs w:val="24"/>
          <w:lang w:eastAsia="en-US"/>
        </w:rPr>
        <w:t xml:space="preserve"> (ERAF un valsts budžeta līdzfinansējums). </w:t>
      </w:r>
      <w:r w:rsidRPr="008C2C0D">
        <w:rPr>
          <w:rFonts w:eastAsia="Times New Roman" w:cs="Times New Roman"/>
          <w:b/>
          <w:bCs/>
          <w:szCs w:val="24"/>
          <w:lang w:eastAsia="en-US"/>
        </w:rPr>
        <w:t>Valsts saistības tiek paredzētas par programmā izsniegtajām garantijām no 2016. gada 1. janvāra līdz 2023. gada</w:t>
      </w:r>
      <w:r w:rsidRPr="008C2C0D">
        <w:rPr>
          <w:rFonts w:eastAsia="Times New Roman" w:cs="Times New Roman"/>
          <w:b/>
          <w:szCs w:val="24"/>
          <w:lang w:eastAsia="en-US"/>
        </w:rPr>
        <w:t xml:space="preserve"> 31. decembrim.</w:t>
      </w:r>
    </w:p>
    <w:p w14:paraId="34A36CD7" w14:textId="112B65B7" w:rsidR="008C2C0D" w:rsidRPr="008C2C0D" w:rsidRDefault="008C2C0D" w:rsidP="00F87D38">
      <w:pPr>
        <w:numPr>
          <w:ilvl w:val="0"/>
          <w:numId w:val="19"/>
        </w:numPr>
        <w:rPr>
          <w:rFonts w:eastAsia="Times New Roman" w:cs="Times New Roman"/>
          <w:b/>
          <w:szCs w:val="24"/>
          <w:lang w:eastAsia="en-US"/>
        </w:rPr>
      </w:pPr>
      <w:r w:rsidRPr="008C2C0D">
        <w:rPr>
          <w:rFonts w:eastAsia="Times New Roman" w:cs="Times New Roman"/>
          <w:b/>
          <w:bCs/>
          <w:szCs w:val="24"/>
          <w:lang w:eastAsia="en-US"/>
        </w:rPr>
        <w:t>Garantijas daudzdzīvokļu dzīvojamo māju energoefektivitātes uzlabošanas pasākumu īstenošanai</w:t>
      </w:r>
      <w:r w:rsidRPr="008C2C0D">
        <w:rPr>
          <w:rFonts w:eastAsia="Times New Roman" w:cs="Times New Roman"/>
          <w:szCs w:val="24"/>
          <w:lang w:eastAsia="en-US"/>
        </w:rPr>
        <w:t xml:space="preserve"> </w:t>
      </w:r>
      <w:r>
        <w:rPr>
          <w:rFonts w:eastAsia="Times New Roman" w:cs="Times New Roman"/>
          <w:szCs w:val="24"/>
          <w:lang w:eastAsia="en-US"/>
        </w:rPr>
        <w:t>MK</w:t>
      </w:r>
      <w:r w:rsidRPr="008C2C0D">
        <w:rPr>
          <w:rFonts w:eastAsia="Times New Roman" w:cs="Times New Roman"/>
          <w:szCs w:val="24"/>
          <w:lang w:eastAsia="en-US"/>
        </w:rPr>
        <w:t xml:space="preserve"> 2022. gada 14. jūlija noteikumu Nr. 460 “Eiropas Savienības Atveseļošanas un noturības mehānisma plāna 1.2. reformu un investīciju virziena "Energoefektivitātes uzlabošana" 1.2.1.1.i. investīcijas "Daudzdzīvokļu māju energoefektivitātes uzlabošana un pāreja uz atjaunojamo energoresursu tehnoloģiju izmantošanu" īstenošanas noteikumi” ietvaros. Programmas mērķis: veikt ieguldījumus daudzdzīvokļu dzīvojamo ēku sektorā, kas veicinās mājokļu jautājuma sakārtošanu Latvijā, palīdzēs sasniegt izvirzītos klimata mērķus siltumnīcefekta gāzu emisiju samazināšanā, palīdzēs samazināt enerģētiskās nabadzības līmeni, kā arī veicinās Latvijas tautsaimniecības attīstību, jo ar energoefektivitātes pasākumu īstenošanu tiek nodrošinātas darba vietas un tiek nodrošināts vietējo būvmateriālu pieprasījums. </w:t>
      </w:r>
      <w:r w:rsidRPr="008C2C0D">
        <w:rPr>
          <w:rFonts w:eastAsia="Times New Roman" w:cs="Times New Roman"/>
          <w:b/>
          <w:bCs/>
          <w:szCs w:val="24"/>
          <w:lang w:eastAsia="en-US"/>
        </w:rPr>
        <w:t>Apstiprinātais programmas finansējums ir 57,28 milj. </w:t>
      </w:r>
      <w:proofErr w:type="spellStart"/>
      <w:r w:rsidRPr="008C2C0D">
        <w:rPr>
          <w:rFonts w:eastAsia="Times New Roman" w:cs="Times New Roman"/>
          <w:b/>
          <w:bCs/>
          <w:i/>
          <w:iCs/>
          <w:szCs w:val="24"/>
          <w:lang w:eastAsia="en-US"/>
        </w:rPr>
        <w:t>euro</w:t>
      </w:r>
      <w:proofErr w:type="spellEnd"/>
      <w:r w:rsidRPr="008C2C0D">
        <w:rPr>
          <w:rFonts w:eastAsia="Times New Roman" w:cs="Times New Roman"/>
          <w:szCs w:val="24"/>
          <w:lang w:eastAsia="en-US"/>
        </w:rPr>
        <w:t xml:space="preserve"> (</w:t>
      </w:r>
      <w:r>
        <w:rPr>
          <w:rFonts w:eastAsia="Times New Roman" w:cs="Times New Roman"/>
          <w:szCs w:val="24"/>
          <w:lang w:eastAsia="en-US"/>
        </w:rPr>
        <w:t>ANM</w:t>
      </w:r>
      <w:r w:rsidRPr="008C2C0D">
        <w:rPr>
          <w:rFonts w:eastAsia="Times New Roman" w:cs="Times New Roman"/>
          <w:szCs w:val="24"/>
          <w:lang w:eastAsia="en-US"/>
        </w:rPr>
        <w:t xml:space="preserve"> finansējums 2022.-2026. gadā). Garantija tiek izsniegta par kredītiestādes izsniegtu aizdevumu projekta īstenošanai, no kura atņemta plānotā kapitāla atlaides summa, līdz 80 % no finansējuma pamatsummas ar termiņu līdz 20 gadiem, garantijas summa vienas ēkas energoefektivitātes paaugstināšanas pasākumam nepārsniedz 3 milj. </w:t>
      </w:r>
      <w:proofErr w:type="spellStart"/>
      <w:r w:rsidRPr="008C2C0D">
        <w:rPr>
          <w:rFonts w:eastAsia="Times New Roman" w:cs="Times New Roman"/>
          <w:i/>
          <w:szCs w:val="24"/>
          <w:lang w:eastAsia="en-US"/>
        </w:rPr>
        <w:t>euro</w:t>
      </w:r>
      <w:proofErr w:type="spellEnd"/>
      <w:r w:rsidRPr="008C2C0D">
        <w:rPr>
          <w:rFonts w:eastAsia="Times New Roman" w:cs="Times New Roman"/>
          <w:szCs w:val="24"/>
          <w:lang w:eastAsia="en-US"/>
        </w:rPr>
        <w:t xml:space="preserve">. </w:t>
      </w:r>
      <w:r w:rsidRPr="008C2C0D">
        <w:rPr>
          <w:rFonts w:eastAsia="Times New Roman" w:cs="Times New Roman"/>
          <w:b/>
          <w:szCs w:val="24"/>
          <w:lang w:eastAsia="en-US"/>
        </w:rPr>
        <w:t xml:space="preserve">Valsts saistības tiek paredzētas par līdz šim programmā izsniegtajām garantijām un </w:t>
      </w:r>
      <w:r w:rsidRPr="008C2C0D">
        <w:rPr>
          <w:rFonts w:eastAsia="Times New Roman" w:cs="Times New Roman"/>
          <w:b/>
          <w:bCs/>
          <w:szCs w:val="24"/>
          <w:lang w:eastAsia="en-US"/>
        </w:rPr>
        <w:t xml:space="preserve">atbilstoši garantiju programmas </w:t>
      </w:r>
      <w:r w:rsidRPr="008C2C0D">
        <w:rPr>
          <w:rFonts w:eastAsia="Times New Roman" w:cs="Times New Roman"/>
          <w:b/>
          <w:szCs w:val="24"/>
          <w:lang w:eastAsia="en-US"/>
        </w:rPr>
        <w:t xml:space="preserve">izsniegšanas </w:t>
      </w:r>
      <w:r w:rsidRPr="008C2C0D">
        <w:rPr>
          <w:rFonts w:eastAsia="Times New Roman" w:cs="Times New Roman"/>
          <w:b/>
          <w:bCs/>
          <w:szCs w:val="24"/>
          <w:lang w:eastAsia="en-US"/>
        </w:rPr>
        <w:t>apjomiem 2025. gadā.</w:t>
      </w:r>
    </w:p>
    <w:p w14:paraId="7C933D62" w14:textId="5738C358" w:rsidR="008C2C0D" w:rsidRPr="008C2C0D" w:rsidRDefault="008C2C0D" w:rsidP="00F87D38">
      <w:pPr>
        <w:numPr>
          <w:ilvl w:val="0"/>
          <w:numId w:val="19"/>
        </w:numPr>
        <w:rPr>
          <w:rFonts w:eastAsia="Times New Roman" w:cs="Times New Roman"/>
          <w:szCs w:val="24"/>
          <w:lang w:eastAsia="en-US"/>
        </w:rPr>
      </w:pPr>
      <w:r w:rsidRPr="008C2C0D">
        <w:rPr>
          <w:rFonts w:eastAsia="Times New Roman" w:cs="Times New Roman"/>
          <w:b/>
          <w:bCs/>
          <w:szCs w:val="24"/>
          <w:lang w:eastAsia="en-US"/>
        </w:rPr>
        <w:t>Kredīta garantijas saimnieciskās darbības veicējiem konkurētspējas uzlabošanai</w:t>
      </w:r>
      <w:r w:rsidRPr="008C2C0D">
        <w:rPr>
          <w:rFonts w:eastAsia="Times New Roman" w:cs="Times New Roman"/>
          <w:szCs w:val="24"/>
          <w:lang w:eastAsia="en-US"/>
        </w:rPr>
        <w:t xml:space="preserve"> </w:t>
      </w:r>
      <w:r>
        <w:rPr>
          <w:rFonts w:eastAsia="Times New Roman" w:cs="Times New Roman"/>
          <w:szCs w:val="24"/>
          <w:lang w:eastAsia="en-US"/>
        </w:rPr>
        <w:t>MK</w:t>
      </w:r>
      <w:r w:rsidRPr="008C2C0D">
        <w:rPr>
          <w:rFonts w:eastAsia="Times New Roman" w:cs="Times New Roman"/>
          <w:szCs w:val="24"/>
          <w:lang w:eastAsia="en-US"/>
        </w:rPr>
        <w:t xml:space="preserve"> 2020. gada 16. jūnija noteikumu Nr. 383 “Noteikumi par garantijām saimnieciskās darbības veicējiem konkurētspējas uzlabošanai” ietvaros. Programmas mērķis: saimnieciskās darbības veicējiem nodrošināt kredītresursus biznesa projektu īstenošanai, ja esošais nodrošinājums nav pietiekams to saņemšanai. Garantija tiek izsniegta par Latvijā reģistrētas kredītiestādes vai tās meitas sabiedrības izsniegtu finanšu pakalpojumu līdz 80 % no finansējuma pamatsummas ar kopējo termiņu līdz 15 gadiem, garantijas summa vienam saimnieciskās darbības veicējam un ar to saistīto personu grupai nepārsniedz 5 milj. </w:t>
      </w:r>
      <w:proofErr w:type="spellStart"/>
      <w:r w:rsidRPr="008C2C0D">
        <w:rPr>
          <w:rFonts w:eastAsia="Times New Roman" w:cs="Times New Roman"/>
          <w:i/>
          <w:szCs w:val="24"/>
          <w:lang w:eastAsia="en-US"/>
        </w:rPr>
        <w:t>euro</w:t>
      </w:r>
      <w:proofErr w:type="spellEnd"/>
      <w:r w:rsidRPr="008C2C0D">
        <w:rPr>
          <w:rFonts w:eastAsia="Times New Roman" w:cs="Times New Roman"/>
          <w:iCs/>
          <w:szCs w:val="24"/>
          <w:lang w:eastAsia="en-US"/>
        </w:rPr>
        <w:t xml:space="preserve"> vai arī nepārsniedz 7 milj. </w:t>
      </w:r>
      <w:proofErr w:type="spellStart"/>
      <w:r w:rsidRPr="008C2C0D">
        <w:rPr>
          <w:rFonts w:eastAsia="Times New Roman" w:cs="Times New Roman"/>
          <w:i/>
          <w:szCs w:val="24"/>
          <w:lang w:eastAsia="en-US"/>
        </w:rPr>
        <w:t>euro</w:t>
      </w:r>
      <w:proofErr w:type="spellEnd"/>
      <w:r w:rsidRPr="008C2C0D">
        <w:rPr>
          <w:rFonts w:eastAsia="Times New Roman" w:cs="Times New Roman"/>
          <w:iCs/>
          <w:szCs w:val="24"/>
          <w:lang w:eastAsia="en-US"/>
        </w:rPr>
        <w:t xml:space="preserve">, ja garantija tiek sniegta 1.2.2.2. pasākuma ietvaros. </w:t>
      </w:r>
      <w:r w:rsidRPr="008C2C0D">
        <w:rPr>
          <w:rFonts w:eastAsia="Times New Roman" w:cs="Times New Roman"/>
          <w:b/>
          <w:bCs/>
          <w:szCs w:val="24"/>
          <w:lang w:eastAsia="en-US"/>
        </w:rPr>
        <w:t>Apstiprinātais programmas finansējums 2016.-2024. gadam ir 69,81 milj. </w:t>
      </w:r>
      <w:proofErr w:type="spellStart"/>
      <w:r w:rsidRPr="008C2C0D">
        <w:rPr>
          <w:rFonts w:eastAsia="Times New Roman" w:cs="Times New Roman"/>
          <w:b/>
          <w:bCs/>
          <w:i/>
          <w:szCs w:val="24"/>
          <w:lang w:eastAsia="en-US"/>
        </w:rPr>
        <w:t>euro</w:t>
      </w:r>
      <w:proofErr w:type="spellEnd"/>
      <w:r w:rsidRPr="008C2C0D">
        <w:rPr>
          <w:rFonts w:eastAsia="Times New Roman" w:cs="Times New Roman"/>
          <w:szCs w:val="24"/>
          <w:lang w:eastAsia="en-US"/>
        </w:rPr>
        <w:t xml:space="preserve"> (t.sk. </w:t>
      </w:r>
      <w:r w:rsidRPr="008C2C0D">
        <w:rPr>
          <w:rFonts w:eastAsia="Times New Roman" w:cs="Times New Roman"/>
          <w:szCs w:val="24"/>
          <w:lang w:eastAsia="en-US"/>
        </w:rPr>
        <w:lastRenderedPageBreak/>
        <w:t>Eiropas Reģionālās attīstības fonda (ERAF) finansējums, atmaksātais finansējums no ES fondu 2007.-2013. gada plānošanas perioda un 2004.-2006. gada plānošanas perioda, valsts budžeta finansējums).</w:t>
      </w:r>
      <w:r w:rsidRPr="008C2C0D">
        <w:rPr>
          <w:rFonts w:eastAsia="Times New Roman" w:cs="Times New Roman"/>
          <w:b/>
          <w:bCs/>
          <w:szCs w:val="24"/>
          <w:lang w:eastAsia="en-US"/>
        </w:rPr>
        <w:t xml:space="preserve"> </w:t>
      </w:r>
      <w:r w:rsidRPr="008C2C0D">
        <w:rPr>
          <w:rFonts w:eastAsia="Times New Roman" w:cs="Times New Roman"/>
          <w:szCs w:val="24"/>
          <w:lang w:eastAsia="en-US"/>
        </w:rPr>
        <w:t>Savukārt 2021.-2027. gada ES fondu plānošanas periodā programmas turpināšanai paredzēts finansējums 29</w:t>
      </w:r>
      <w:r w:rsidR="00E2771C">
        <w:rPr>
          <w:rFonts w:eastAsia="Times New Roman" w:cs="Times New Roman"/>
          <w:szCs w:val="24"/>
          <w:lang w:eastAsia="en-US"/>
        </w:rPr>
        <w:t>,61</w:t>
      </w:r>
      <w:r w:rsidRPr="008C2C0D">
        <w:rPr>
          <w:rFonts w:eastAsia="Times New Roman" w:cs="Times New Roman"/>
          <w:szCs w:val="24"/>
          <w:lang w:eastAsia="en-US"/>
        </w:rPr>
        <w:t xml:space="preserve"> </w:t>
      </w:r>
      <w:r w:rsidR="00E2771C">
        <w:rPr>
          <w:rFonts w:eastAsia="Times New Roman" w:cs="Times New Roman"/>
          <w:szCs w:val="24"/>
          <w:lang w:eastAsia="en-US"/>
        </w:rPr>
        <w:t xml:space="preserve">milj. </w:t>
      </w:r>
      <w:r w:rsidRPr="008C2C0D">
        <w:rPr>
          <w:rFonts w:eastAsia="Times New Roman" w:cs="Times New Roman"/>
          <w:szCs w:val="24"/>
          <w:lang w:eastAsia="en-US"/>
        </w:rPr>
        <w:t xml:space="preserve"> </w:t>
      </w:r>
      <w:proofErr w:type="spellStart"/>
      <w:r w:rsidRPr="008C2C0D">
        <w:rPr>
          <w:rFonts w:eastAsia="Times New Roman" w:cs="Times New Roman"/>
          <w:i/>
          <w:iCs/>
          <w:szCs w:val="24"/>
          <w:lang w:eastAsia="en-US"/>
        </w:rPr>
        <w:t>euro</w:t>
      </w:r>
      <w:proofErr w:type="spellEnd"/>
      <w:r w:rsidRPr="008C2C0D">
        <w:rPr>
          <w:rFonts w:eastAsia="Times New Roman" w:cs="Times New Roman"/>
          <w:szCs w:val="24"/>
          <w:lang w:eastAsia="en-US"/>
        </w:rPr>
        <w:t xml:space="preserve"> , tai skaitā 24</w:t>
      </w:r>
      <w:r w:rsidR="00E2771C">
        <w:rPr>
          <w:rFonts w:eastAsia="Times New Roman" w:cs="Times New Roman"/>
          <w:szCs w:val="24"/>
          <w:lang w:eastAsia="en-US"/>
        </w:rPr>
        <w:t>,</w:t>
      </w:r>
      <w:r w:rsidRPr="008C2C0D">
        <w:rPr>
          <w:rFonts w:eastAsia="Times New Roman" w:cs="Times New Roman"/>
          <w:szCs w:val="24"/>
          <w:lang w:eastAsia="en-US"/>
        </w:rPr>
        <w:t>67</w:t>
      </w:r>
      <w:r w:rsidR="00E2771C">
        <w:rPr>
          <w:rFonts w:eastAsia="Times New Roman" w:cs="Times New Roman"/>
          <w:szCs w:val="24"/>
          <w:lang w:eastAsia="en-US"/>
        </w:rPr>
        <w:t xml:space="preserve"> milj.</w:t>
      </w:r>
      <w:r w:rsidRPr="008C2C0D">
        <w:rPr>
          <w:rFonts w:eastAsia="Times New Roman" w:cs="Times New Roman"/>
          <w:szCs w:val="24"/>
          <w:lang w:eastAsia="en-US"/>
        </w:rPr>
        <w:t xml:space="preserve"> </w:t>
      </w:r>
      <w:proofErr w:type="spellStart"/>
      <w:r w:rsidRPr="008C2C0D">
        <w:rPr>
          <w:rFonts w:eastAsia="Times New Roman" w:cs="Times New Roman"/>
          <w:i/>
          <w:iCs/>
          <w:szCs w:val="24"/>
          <w:lang w:eastAsia="en-US"/>
        </w:rPr>
        <w:t>euro</w:t>
      </w:r>
      <w:proofErr w:type="spellEnd"/>
      <w:r>
        <w:rPr>
          <w:rFonts w:eastAsia="Times New Roman" w:cs="Times New Roman"/>
          <w:szCs w:val="24"/>
          <w:lang w:eastAsia="en-US"/>
        </w:rPr>
        <w:t xml:space="preserve"> </w:t>
      </w:r>
      <w:r w:rsidRPr="008C2C0D">
        <w:rPr>
          <w:rFonts w:eastAsia="Times New Roman" w:cs="Times New Roman"/>
          <w:szCs w:val="24"/>
          <w:lang w:eastAsia="en-US"/>
        </w:rPr>
        <w:t xml:space="preserve">1.2.3.4. pasākuma “Garantijas, </w:t>
      </w:r>
      <w:proofErr w:type="spellStart"/>
      <w:r w:rsidRPr="008C2C0D">
        <w:rPr>
          <w:rFonts w:eastAsia="Times New Roman" w:cs="Times New Roman"/>
          <w:szCs w:val="24"/>
          <w:lang w:eastAsia="en-US"/>
        </w:rPr>
        <w:t>portfeļgarantijas</w:t>
      </w:r>
      <w:proofErr w:type="spellEnd"/>
      <w:r w:rsidRPr="008C2C0D">
        <w:rPr>
          <w:rFonts w:eastAsia="Times New Roman" w:cs="Times New Roman"/>
          <w:szCs w:val="24"/>
          <w:lang w:eastAsia="en-US"/>
        </w:rPr>
        <w:t xml:space="preserve"> pilna cikla uzņēmējdarbībai” ietvaros ( t.sk. valsts budžets 3</w:t>
      </w:r>
      <w:r w:rsidR="00E2771C">
        <w:rPr>
          <w:rFonts w:eastAsia="Times New Roman" w:cs="Times New Roman"/>
          <w:szCs w:val="24"/>
          <w:lang w:eastAsia="en-US"/>
        </w:rPr>
        <w:t>, 70 milj.</w:t>
      </w:r>
      <w:r w:rsidRPr="008C2C0D">
        <w:rPr>
          <w:rFonts w:eastAsia="Times New Roman" w:cs="Times New Roman"/>
          <w:szCs w:val="24"/>
          <w:lang w:eastAsia="en-US"/>
        </w:rPr>
        <w:t xml:space="preserve"> </w:t>
      </w:r>
      <w:proofErr w:type="spellStart"/>
      <w:r w:rsidRPr="008C2C0D">
        <w:rPr>
          <w:rFonts w:eastAsia="Times New Roman" w:cs="Times New Roman"/>
          <w:i/>
          <w:iCs/>
          <w:szCs w:val="24"/>
          <w:lang w:eastAsia="en-US"/>
        </w:rPr>
        <w:t>euro</w:t>
      </w:r>
      <w:proofErr w:type="spellEnd"/>
      <w:r w:rsidRPr="008C2C0D">
        <w:rPr>
          <w:rFonts w:eastAsia="Times New Roman" w:cs="Times New Roman"/>
          <w:szCs w:val="24"/>
          <w:lang w:eastAsia="en-US"/>
        </w:rPr>
        <w:t>, ERAF 20</w:t>
      </w:r>
      <w:r w:rsidR="00E2771C">
        <w:rPr>
          <w:rFonts w:eastAsia="Times New Roman" w:cs="Times New Roman"/>
          <w:szCs w:val="24"/>
          <w:lang w:eastAsia="en-US"/>
        </w:rPr>
        <w:t>,97 milj.</w:t>
      </w:r>
      <w:r w:rsidRPr="008C2C0D">
        <w:rPr>
          <w:rFonts w:eastAsia="Times New Roman" w:cs="Times New Roman"/>
          <w:szCs w:val="24"/>
          <w:lang w:eastAsia="en-US"/>
        </w:rPr>
        <w:t xml:space="preserve"> </w:t>
      </w:r>
      <w:proofErr w:type="spellStart"/>
      <w:r w:rsidRPr="008C2C0D">
        <w:rPr>
          <w:rFonts w:eastAsia="Times New Roman" w:cs="Times New Roman"/>
          <w:i/>
          <w:iCs/>
          <w:szCs w:val="24"/>
          <w:lang w:eastAsia="en-US"/>
        </w:rPr>
        <w:t>euro</w:t>
      </w:r>
      <w:proofErr w:type="spellEnd"/>
      <w:r w:rsidRPr="008C2C0D">
        <w:rPr>
          <w:rFonts w:eastAsia="Times New Roman" w:cs="Times New Roman"/>
          <w:szCs w:val="24"/>
          <w:lang w:eastAsia="en-US"/>
        </w:rPr>
        <w:t xml:space="preserve"> finansējums) un</w:t>
      </w:r>
      <w:r w:rsidR="005735FB">
        <w:rPr>
          <w:rFonts w:eastAsia="Times New Roman" w:cs="Times New Roman"/>
          <w:szCs w:val="24"/>
          <w:lang w:eastAsia="en-US"/>
        </w:rPr>
        <w:t xml:space="preserve"> </w:t>
      </w:r>
      <w:r w:rsidRPr="008C2C0D">
        <w:rPr>
          <w:rFonts w:eastAsia="Times New Roman" w:cs="Times New Roman"/>
          <w:szCs w:val="24"/>
          <w:lang w:eastAsia="en-US"/>
        </w:rPr>
        <w:t>4</w:t>
      </w:r>
      <w:r w:rsidR="00E2771C">
        <w:rPr>
          <w:rFonts w:eastAsia="Times New Roman" w:cs="Times New Roman"/>
          <w:szCs w:val="24"/>
          <w:lang w:eastAsia="en-US"/>
        </w:rPr>
        <w:t>,93 milj.</w:t>
      </w:r>
      <w:r w:rsidRPr="008C2C0D">
        <w:rPr>
          <w:rFonts w:eastAsia="Times New Roman" w:cs="Times New Roman"/>
          <w:szCs w:val="24"/>
          <w:lang w:eastAsia="en-US"/>
        </w:rPr>
        <w:t xml:space="preserve"> </w:t>
      </w:r>
      <w:proofErr w:type="spellStart"/>
      <w:r w:rsidRPr="008C2C0D">
        <w:rPr>
          <w:rFonts w:eastAsia="Times New Roman" w:cs="Times New Roman"/>
          <w:i/>
          <w:iCs/>
          <w:szCs w:val="24"/>
          <w:lang w:eastAsia="en-US"/>
        </w:rPr>
        <w:t>euro</w:t>
      </w:r>
      <w:proofErr w:type="spellEnd"/>
      <w:r w:rsidRPr="008C2C0D">
        <w:rPr>
          <w:rFonts w:eastAsia="Times New Roman" w:cs="Times New Roman"/>
          <w:szCs w:val="24"/>
          <w:lang w:eastAsia="en-US"/>
        </w:rPr>
        <w:t xml:space="preserve"> 1.2.2.2. pasākuma “Individuālās garantijas </w:t>
      </w:r>
      <w:proofErr w:type="spellStart"/>
      <w:r w:rsidRPr="008C2C0D">
        <w:rPr>
          <w:rFonts w:eastAsia="Times New Roman" w:cs="Times New Roman"/>
          <w:szCs w:val="24"/>
          <w:lang w:eastAsia="en-US"/>
        </w:rPr>
        <w:t>digitalizācijai</w:t>
      </w:r>
      <w:proofErr w:type="spellEnd"/>
      <w:r w:rsidRPr="008C2C0D">
        <w:rPr>
          <w:rFonts w:eastAsia="Times New Roman" w:cs="Times New Roman"/>
          <w:szCs w:val="24"/>
          <w:lang w:eastAsia="en-US"/>
        </w:rPr>
        <w:t xml:space="preserve"> un automatizācijai” ietvaros (t.sk. valsts budžets </w:t>
      </w:r>
      <w:r w:rsidR="00E2771C">
        <w:rPr>
          <w:rFonts w:eastAsia="Times New Roman" w:cs="Times New Roman"/>
          <w:szCs w:val="24"/>
          <w:lang w:eastAsia="en-US"/>
        </w:rPr>
        <w:t>0,</w:t>
      </w:r>
      <w:r w:rsidRPr="008C2C0D">
        <w:rPr>
          <w:rFonts w:eastAsia="Times New Roman" w:cs="Times New Roman"/>
          <w:szCs w:val="24"/>
          <w:lang w:eastAsia="en-US"/>
        </w:rPr>
        <w:t>74</w:t>
      </w:r>
      <w:r w:rsidR="00E2771C">
        <w:rPr>
          <w:rFonts w:eastAsia="Times New Roman" w:cs="Times New Roman"/>
          <w:szCs w:val="24"/>
          <w:lang w:eastAsia="en-US"/>
        </w:rPr>
        <w:t xml:space="preserve"> milj. </w:t>
      </w:r>
      <w:proofErr w:type="spellStart"/>
      <w:r w:rsidRPr="008C2C0D">
        <w:rPr>
          <w:rFonts w:eastAsia="Times New Roman" w:cs="Times New Roman"/>
          <w:i/>
          <w:iCs/>
          <w:szCs w:val="24"/>
          <w:lang w:eastAsia="en-US"/>
        </w:rPr>
        <w:t>euro</w:t>
      </w:r>
      <w:proofErr w:type="spellEnd"/>
      <w:r w:rsidRPr="008C2C0D">
        <w:rPr>
          <w:rFonts w:eastAsia="Times New Roman" w:cs="Times New Roman"/>
          <w:szCs w:val="24"/>
          <w:lang w:eastAsia="en-US"/>
        </w:rPr>
        <w:t>, ERAF 4</w:t>
      </w:r>
      <w:r w:rsidR="00E2771C">
        <w:rPr>
          <w:rFonts w:eastAsia="Times New Roman" w:cs="Times New Roman"/>
          <w:szCs w:val="24"/>
          <w:lang w:eastAsia="en-US"/>
        </w:rPr>
        <w:t>,</w:t>
      </w:r>
      <w:r w:rsidRPr="008C2C0D">
        <w:rPr>
          <w:rFonts w:eastAsia="Times New Roman" w:cs="Times New Roman"/>
          <w:szCs w:val="24"/>
          <w:lang w:eastAsia="en-US"/>
        </w:rPr>
        <w:t>19</w:t>
      </w:r>
      <w:r w:rsidR="00E2771C">
        <w:rPr>
          <w:rFonts w:eastAsia="Times New Roman" w:cs="Times New Roman"/>
          <w:szCs w:val="24"/>
          <w:lang w:eastAsia="en-US"/>
        </w:rPr>
        <w:t xml:space="preserve"> milj. </w:t>
      </w:r>
      <w:proofErr w:type="spellStart"/>
      <w:r w:rsidRPr="008C2C0D">
        <w:rPr>
          <w:rFonts w:eastAsia="Times New Roman" w:cs="Times New Roman"/>
          <w:i/>
          <w:iCs/>
          <w:szCs w:val="24"/>
          <w:lang w:eastAsia="en-US"/>
        </w:rPr>
        <w:t>euro</w:t>
      </w:r>
      <w:proofErr w:type="spellEnd"/>
      <w:r w:rsidRPr="008C2C0D">
        <w:rPr>
          <w:rFonts w:eastAsia="Times New Roman" w:cs="Times New Roman"/>
          <w:szCs w:val="24"/>
          <w:lang w:eastAsia="en-US"/>
        </w:rPr>
        <w:t>).</w:t>
      </w:r>
    </w:p>
    <w:p w14:paraId="37A6CB2B" w14:textId="77777777" w:rsidR="008C2C0D" w:rsidRPr="008C2C0D" w:rsidRDefault="008C2C0D" w:rsidP="008349F0">
      <w:pPr>
        <w:rPr>
          <w:rFonts w:eastAsia="Times New Roman" w:cs="Times New Roman"/>
          <w:b/>
          <w:szCs w:val="24"/>
          <w:lang w:eastAsia="en-US"/>
        </w:rPr>
      </w:pPr>
      <w:r w:rsidRPr="008C2C0D">
        <w:rPr>
          <w:rFonts w:eastAsia="Times New Roman" w:cs="Times New Roman"/>
          <w:szCs w:val="24"/>
          <w:lang w:eastAsia="en-US"/>
        </w:rPr>
        <w:t xml:space="preserve"> </w:t>
      </w:r>
      <w:r w:rsidRPr="008C2C0D">
        <w:rPr>
          <w:rFonts w:eastAsia="Times New Roman" w:cs="Times New Roman"/>
          <w:b/>
          <w:bCs/>
          <w:szCs w:val="24"/>
          <w:lang w:eastAsia="en-US"/>
        </w:rPr>
        <w:t>Valsts saistības tiek paredzētas par programmā līdz šim izsniegtajām garantijām un atbilstoši garantiju programmas izsniegšanas apjomiem 2025. gadā.</w:t>
      </w:r>
    </w:p>
    <w:p w14:paraId="14CD001F" w14:textId="35FC0ED6" w:rsidR="008C2C0D" w:rsidRPr="008C2C0D" w:rsidRDefault="008C2C0D" w:rsidP="00F87D38">
      <w:pPr>
        <w:numPr>
          <w:ilvl w:val="0"/>
          <w:numId w:val="19"/>
        </w:numPr>
        <w:rPr>
          <w:rFonts w:eastAsia="Times New Roman" w:cs="Times New Roman"/>
          <w:b/>
          <w:szCs w:val="24"/>
          <w:lang w:eastAsia="en-US"/>
        </w:rPr>
      </w:pPr>
      <w:r w:rsidRPr="008C2C0D">
        <w:rPr>
          <w:rFonts w:eastAsia="Times New Roman" w:cs="Times New Roman"/>
          <w:b/>
          <w:bCs/>
          <w:szCs w:val="24"/>
          <w:lang w:eastAsia="en-US"/>
        </w:rPr>
        <w:t>Kredīta garantijas lauksaimniecības, zivsaimniecības un lauku attīstības pasākumu veicināšanai</w:t>
      </w:r>
      <w:r w:rsidRPr="008C2C0D">
        <w:rPr>
          <w:rFonts w:eastAsia="Times New Roman" w:cs="Times New Roman"/>
          <w:szCs w:val="24"/>
          <w:lang w:eastAsia="en-US"/>
        </w:rPr>
        <w:t xml:space="preserve"> </w:t>
      </w:r>
      <w:r w:rsidR="00DA5749">
        <w:rPr>
          <w:rFonts w:eastAsia="Times New Roman" w:cs="Times New Roman"/>
          <w:szCs w:val="24"/>
          <w:lang w:eastAsia="en-US"/>
        </w:rPr>
        <w:t>MK</w:t>
      </w:r>
      <w:r w:rsidRPr="008C2C0D">
        <w:rPr>
          <w:rFonts w:eastAsia="Times New Roman" w:cs="Times New Roman"/>
          <w:szCs w:val="24"/>
          <w:lang w:eastAsia="en-US"/>
        </w:rPr>
        <w:t xml:space="preserve"> 2019. gada 8. janvāra noteikumu Nr. 9 “Lauksaimniecības, zivsaimniecības un lauku attīstības garantiju programmas noteikumi” ietvaros. Programmas mērķis: saimnieciskās darbības veicējiem lauksaimniecības, zivsaimniecības un lauku attīstības jomā nodrošināt finansējumu pasākumu īstenošanai, ja esošais nodrošinājums nav pietiekams to saņemšanai. Garantija tiek izsniegta par Latvijā reģistrētas kredītiestādes vai tās meitas sabiedrības vai krājaizdevu</w:t>
      </w:r>
      <w:r w:rsidR="00DA5749">
        <w:rPr>
          <w:rFonts w:eastAsia="Times New Roman" w:cs="Times New Roman"/>
          <w:szCs w:val="24"/>
          <w:lang w:eastAsia="en-US"/>
        </w:rPr>
        <w:t>mu</w:t>
      </w:r>
      <w:r w:rsidRPr="008C2C0D">
        <w:rPr>
          <w:rFonts w:eastAsia="Times New Roman" w:cs="Times New Roman"/>
          <w:szCs w:val="24"/>
          <w:lang w:eastAsia="en-US"/>
        </w:rPr>
        <w:t xml:space="preserve"> sabiedrības izsniegtu finanšu pakalpojumu līdz 80 % no finansējuma pamatsummas ar sākotnējo termiņu līdz 10 gadiem, garantijas summa vienam saimnieciskās darbības veicējam un ar to saistīto personu grupai nepārsniedz 3,5 milj. </w:t>
      </w:r>
      <w:proofErr w:type="spellStart"/>
      <w:r w:rsidRPr="008C2C0D">
        <w:rPr>
          <w:rFonts w:eastAsia="Times New Roman" w:cs="Times New Roman"/>
          <w:i/>
          <w:szCs w:val="24"/>
          <w:lang w:eastAsia="en-US"/>
        </w:rPr>
        <w:t>euro</w:t>
      </w:r>
      <w:proofErr w:type="spellEnd"/>
      <w:r w:rsidRPr="008C2C0D">
        <w:rPr>
          <w:rFonts w:eastAsia="Times New Roman" w:cs="Times New Roman"/>
          <w:szCs w:val="24"/>
          <w:lang w:eastAsia="en-US"/>
        </w:rPr>
        <w:t xml:space="preserve">. </w:t>
      </w:r>
      <w:r w:rsidRPr="008C2C0D">
        <w:rPr>
          <w:rFonts w:eastAsia="Times New Roman" w:cs="Times New Roman"/>
          <w:b/>
          <w:bCs/>
          <w:szCs w:val="24"/>
          <w:lang w:eastAsia="en-US"/>
        </w:rPr>
        <w:t>Apstiprinātais programmas finansējums ir</w:t>
      </w:r>
      <w:r w:rsidRPr="008C2C0D">
        <w:rPr>
          <w:rFonts w:eastAsia="Times New Roman" w:cs="Times New Roman"/>
          <w:szCs w:val="24"/>
          <w:lang w:eastAsia="en-US"/>
        </w:rPr>
        <w:t xml:space="preserve"> </w:t>
      </w:r>
      <w:r w:rsidRPr="008C2C0D">
        <w:rPr>
          <w:rFonts w:eastAsia="Times New Roman" w:cs="Times New Roman"/>
          <w:b/>
          <w:bCs/>
          <w:szCs w:val="24"/>
          <w:lang w:eastAsia="en-US"/>
        </w:rPr>
        <w:t>2,8</w:t>
      </w:r>
      <w:r w:rsidR="00E2771C">
        <w:rPr>
          <w:rFonts w:eastAsia="Times New Roman" w:cs="Times New Roman"/>
          <w:b/>
          <w:bCs/>
          <w:szCs w:val="24"/>
          <w:lang w:eastAsia="en-US"/>
        </w:rPr>
        <w:t>3</w:t>
      </w:r>
      <w:r w:rsidRPr="008C2C0D">
        <w:rPr>
          <w:rFonts w:eastAsia="Times New Roman" w:cs="Times New Roman"/>
          <w:b/>
          <w:bCs/>
          <w:szCs w:val="24"/>
          <w:lang w:eastAsia="en-US"/>
        </w:rPr>
        <w:t> milj. </w:t>
      </w:r>
      <w:proofErr w:type="spellStart"/>
      <w:r w:rsidRPr="008C2C0D">
        <w:rPr>
          <w:rFonts w:eastAsia="Times New Roman" w:cs="Times New Roman"/>
          <w:b/>
          <w:bCs/>
          <w:i/>
          <w:szCs w:val="24"/>
          <w:lang w:eastAsia="en-US"/>
        </w:rPr>
        <w:t>euro</w:t>
      </w:r>
      <w:proofErr w:type="spellEnd"/>
      <w:r w:rsidRPr="008C2C0D">
        <w:rPr>
          <w:rFonts w:eastAsia="Times New Roman" w:cs="Times New Roman"/>
          <w:szCs w:val="24"/>
          <w:lang w:eastAsia="en-US"/>
        </w:rPr>
        <w:t xml:space="preserve"> (Latvijas Lauku attīstības programmas 2007.-2013. gadam</w:t>
      </w:r>
      <w:r w:rsidRPr="008C2C0D">
        <w:rPr>
          <w:rFonts w:eastAsia="Times New Roman" w:cs="Times New Roman"/>
          <w:bCs/>
          <w:szCs w:val="24"/>
          <w:lang w:eastAsia="en-US"/>
        </w:rPr>
        <w:t xml:space="preserve"> un Rīcības programmas Eiropas Zivsaimniecības fonda atbalsta ieviešanai Latvijā 2007.-2013. gada plānošanas perioda pasākuma “Kredītu fonds” atmaksu finansējums, Latvijas Lauku attīstības programmas 2014.-2020. gadam īstenošanas pārejas periodā 2021. un 2022. gadā paredzētais finansējums, valsts budžeta līdzekļi</w:t>
      </w:r>
      <w:r w:rsidRPr="008C2C0D">
        <w:rPr>
          <w:rFonts w:eastAsia="Times New Roman" w:cs="Times New Roman"/>
          <w:szCs w:val="24"/>
          <w:lang w:eastAsia="en-US"/>
        </w:rPr>
        <w:t xml:space="preserve">). </w:t>
      </w:r>
      <w:r w:rsidRPr="008C2C0D">
        <w:rPr>
          <w:rFonts w:eastAsia="Times New Roman" w:cs="Times New Roman"/>
          <w:b/>
          <w:szCs w:val="24"/>
          <w:lang w:eastAsia="en-US"/>
        </w:rPr>
        <w:t xml:space="preserve">Valsts saistības tiek paredzētas par programmā </w:t>
      </w:r>
      <w:r w:rsidRPr="008C2C0D">
        <w:rPr>
          <w:rFonts w:eastAsia="Times New Roman" w:cs="Times New Roman"/>
          <w:b/>
          <w:bCs/>
          <w:szCs w:val="24"/>
          <w:lang w:eastAsia="en-US"/>
        </w:rPr>
        <w:t xml:space="preserve">līdz šim </w:t>
      </w:r>
      <w:r w:rsidRPr="008C2C0D">
        <w:rPr>
          <w:rFonts w:eastAsia="Times New Roman" w:cs="Times New Roman"/>
          <w:b/>
          <w:szCs w:val="24"/>
          <w:lang w:eastAsia="en-US"/>
        </w:rPr>
        <w:t xml:space="preserve">izsniegtajām garantijām un atbilstoši garantiju programmas </w:t>
      </w:r>
      <w:r w:rsidRPr="008C2C0D">
        <w:rPr>
          <w:rFonts w:eastAsia="Times New Roman" w:cs="Times New Roman"/>
          <w:b/>
          <w:bCs/>
          <w:szCs w:val="24"/>
          <w:lang w:eastAsia="en-US"/>
        </w:rPr>
        <w:t xml:space="preserve">izsniegšanas </w:t>
      </w:r>
      <w:r w:rsidRPr="008C2C0D">
        <w:rPr>
          <w:rFonts w:eastAsia="Times New Roman" w:cs="Times New Roman"/>
          <w:b/>
          <w:szCs w:val="24"/>
          <w:lang w:eastAsia="en-US"/>
        </w:rPr>
        <w:t>apjomiem 2025. gadā.</w:t>
      </w:r>
    </w:p>
    <w:p w14:paraId="178A7464" w14:textId="43AE43B1" w:rsidR="008C2C0D" w:rsidRPr="008C2C0D" w:rsidRDefault="008C2C0D" w:rsidP="00F87D38">
      <w:pPr>
        <w:numPr>
          <w:ilvl w:val="0"/>
          <w:numId w:val="19"/>
        </w:numPr>
        <w:rPr>
          <w:rFonts w:eastAsia="Times New Roman" w:cs="Times New Roman"/>
          <w:b/>
          <w:szCs w:val="24"/>
          <w:lang w:eastAsia="en-US"/>
        </w:rPr>
      </w:pPr>
      <w:r w:rsidRPr="008C2C0D">
        <w:rPr>
          <w:rFonts w:eastAsia="Times New Roman" w:cs="Times New Roman"/>
          <w:b/>
          <w:bCs/>
          <w:szCs w:val="24"/>
          <w:lang w:eastAsia="en-US"/>
        </w:rPr>
        <w:t>Garantijas ģimenēm ar bērniem (līdz 23 gadiem ieskaitot) un jaunajiem speciālistiem</w:t>
      </w:r>
      <w:r w:rsidRPr="008C2C0D">
        <w:rPr>
          <w:rFonts w:eastAsia="Times New Roman" w:cs="Times New Roman"/>
          <w:szCs w:val="24"/>
          <w:lang w:eastAsia="en-US"/>
        </w:rPr>
        <w:t xml:space="preserve"> (personām, kuras ieguvušas vidējo profesionālo vai augstāko izglītību, un nepārsniedz 35 gadu vecumu) mājokļu iegādei </w:t>
      </w:r>
      <w:r w:rsidR="00DA5749">
        <w:rPr>
          <w:rFonts w:eastAsia="Times New Roman" w:cs="Times New Roman"/>
          <w:szCs w:val="24"/>
          <w:lang w:eastAsia="en-US"/>
        </w:rPr>
        <w:t>MK</w:t>
      </w:r>
      <w:r w:rsidRPr="008C2C0D">
        <w:rPr>
          <w:rFonts w:eastAsia="Times New Roman" w:cs="Times New Roman"/>
          <w:szCs w:val="24"/>
          <w:lang w:eastAsia="en-US"/>
        </w:rPr>
        <w:t xml:space="preserve"> 2018. gada 20. februāra noteikumu Nr. 95 “Noteikumi par valsts palīdzību dzīvojamās telpas iegādei vai būvniecībai” ietvaros. Programmas mērķis: sniegt valsts palīdzību mājokļa iegādei vai būvniecībai ģimenēm ar bērniem un jaunajiem speciālistiem, kā arī garantijas Nacionālo bruņoto spēku karavīriem, kuriem ir pastāvīgi ienākumi, bet nav pietiekamu uzkrājumu pirmās iemaksas veikšanai. Garantija tiek sniegta par Latvijā reģistrētas kredītiestādes, dalībvalstī reģistrētas kredītiestādes, tās filiāles vai ārvalsts kredītiestādes filiāles izsniegtu aizdevumu:</w:t>
      </w:r>
    </w:p>
    <w:p w14:paraId="359FCC9D" w14:textId="023B5F74" w:rsidR="008C2C0D" w:rsidRPr="008C2C0D" w:rsidRDefault="008C2C0D" w:rsidP="008349F0">
      <w:pPr>
        <w:ind w:left="360"/>
        <w:rPr>
          <w:rFonts w:eastAsia="Times New Roman" w:cs="Times New Roman"/>
          <w:szCs w:val="24"/>
          <w:lang w:eastAsia="en-US"/>
        </w:rPr>
      </w:pPr>
      <w:r w:rsidRPr="008C2C0D">
        <w:rPr>
          <w:rFonts w:eastAsia="Times New Roman" w:cs="Times New Roman"/>
          <w:szCs w:val="24"/>
          <w:lang w:eastAsia="en-US"/>
        </w:rPr>
        <w:t>- ģimenēm ar bērniem līdz 50 % no finansējuma pamatsummas ar termiņu līdz 10 gadiem, garantijas summa nepārsniedz 50 tūkst. </w:t>
      </w:r>
      <w:proofErr w:type="spellStart"/>
      <w:r w:rsidRPr="008C2C0D">
        <w:rPr>
          <w:rFonts w:eastAsia="Times New Roman" w:cs="Times New Roman"/>
          <w:i/>
          <w:iCs/>
          <w:szCs w:val="24"/>
          <w:lang w:eastAsia="en-US"/>
        </w:rPr>
        <w:t>euro</w:t>
      </w:r>
      <w:proofErr w:type="spellEnd"/>
      <w:r w:rsidRPr="008C2C0D">
        <w:rPr>
          <w:rFonts w:eastAsia="Times New Roman" w:cs="Times New Roman"/>
          <w:szCs w:val="24"/>
          <w:lang w:eastAsia="en-US"/>
        </w:rPr>
        <w:t xml:space="preserve"> (garantijas nosacījumi tiek noteikti, ņemot vērā bērnu skaitu ģimenē un arī no tā vai mājoklis atrodas Jūrmalas, Rīgas </w:t>
      </w:r>
      <w:proofErr w:type="spellStart"/>
      <w:r w:rsidRPr="008C2C0D">
        <w:rPr>
          <w:rFonts w:eastAsia="Times New Roman" w:cs="Times New Roman"/>
          <w:szCs w:val="24"/>
          <w:lang w:eastAsia="en-US"/>
        </w:rPr>
        <w:t>valstspilsētu</w:t>
      </w:r>
      <w:proofErr w:type="spellEnd"/>
      <w:r w:rsidRPr="008C2C0D">
        <w:rPr>
          <w:rFonts w:eastAsia="Times New Roman" w:cs="Times New Roman"/>
          <w:szCs w:val="24"/>
          <w:lang w:eastAsia="en-US"/>
        </w:rPr>
        <w:t xml:space="preserve"> vai Rīgas </w:t>
      </w:r>
      <w:proofErr w:type="spellStart"/>
      <w:r w:rsidRPr="008C2C0D">
        <w:rPr>
          <w:rFonts w:eastAsia="Times New Roman" w:cs="Times New Roman"/>
          <w:szCs w:val="24"/>
          <w:lang w:eastAsia="en-US"/>
        </w:rPr>
        <w:t>valstspilsētas</w:t>
      </w:r>
      <w:proofErr w:type="spellEnd"/>
      <w:r w:rsidR="005735FB">
        <w:rPr>
          <w:rFonts w:eastAsia="Times New Roman" w:cs="Times New Roman"/>
          <w:szCs w:val="24"/>
          <w:lang w:eastAsia="en-US"/>
        </w:rPr>
        <w:t xml:space="preserve"> </w:t>
      </w:r>
      <w:r w:rsidRPr="008C2C0D">
        <w:rPr>
          <w:rFonts w:eastAsia="Times New Roman" w:cs="Times New Roman"/>
          <w:szCs w:val="24"/>
          <w:lang w:eastAsia="en-US"/>
        </w:rPr>
        <w:t>piegulošo novadu (Mārupes novads, Olaines novads, Ķekavas novads, Salaspils novads, Ropažu novads, Ādažu novads) administratīvajā teritorijā vai ārpus tās);</w:t>
      </w:r>
    </w:p>
    <w:p w14:paraId="4E7963EC" w14:textId="77777777" w:rsidR="008C2C0D" w:rsidRPr="008C2C0D" w:rsidRDefault="008C2C0D" w:rsidP="008349F0">
      <w:pPr>
        <w:ind w:left="360"/>
        <w:rPr>
          <w:rFonts w:eastAsia="Times New Roman" w:cs="Times New Roman"/>
          <w:szCs w:val="24"/>
          <w:lang w:eastAsia="en-US"/>
        </w:rPr>
      </w:pPr>
      <w:r w:rsidRPr="008C2C0D">
        <w:rPr>
          <w:rFonts w:eastAsia="Times New Roman" w:cs="Times New Roman"/>
          <w:szCs w:val="24"/>
          <w:lang w:eastAsia="en-US"/>
        </w:rPr>
        <w:t>- jaunajiem speciālistiem līdz 20 % no aizdevuma pamatsummas un ne vairāk kā 50 tūkst. </w:t>
      </w:r>
      <w:proofErr w:type="spellStart"/>
      <w:r w:rsidRPr="008C2C0D">
        <w:rPr>
          <w:rFonts w:eastAsia="Times New Roman" w:cs="Times New Roman"/>
          <w:i/>
          <w:iCs/>
          <w:szCs w:val="24"/>
          <w:lang w:eastAsia="en-US"/>
        </w:rPr>
        <w:t>euro</w:t>
      </w:r>
      <w:proofErr w:type="spellEnd"/>
      <w:r w:rsidRPr="008C2C0D">
        <w:rPr>
          <w:rFonts w:eastAsia="Times New Roman" w:cs="Times New Roman"/>
          <w:szCs w:val="24"/>
          <w:lang w:eastAsia="en-US"/>
        </w:rPr>
        <w:t xml:space="preserve"> ar termiņu līdz 10 gadiem;</w:t>
      </w:r>
    </w:p>
    <w:p w14:paraId="21FB3A1D" w14:textId="77777777" w:rsidR="008C2C0D" w:rsidRPr="008C2C0D" w:rsidRDefault="008C2C0D" w:rsidP="008349F0">
      <w:pPr>
        <w:ind w:left="360"/>
        <w:rPr>
          <w:rFonts w:eastAsia="Times New Roman" w:cs="Times New Roman"/>
          <w:szCs w:val="24"/>
          <w:lang w:eastAsia="en-US"/>
        </w:rPr>
      </w:pPr>
      <w:r w:rsidRPr="008C2C0D">
        <w:rPr>
          <w:rFonts w:eastAsia="Times New Roman" w:cs="Times New Roman"/>
          <w:szCs w:val="24"/>
          <w:lang w:eastAsia="en-US"/>
        </w:rPr>
        <w:t>- Nacionālo bruņoto spēku karavīriem līdz 25 % no aizdevuma pamatsummas un ne vairāk kā 20 tūkst. </w:t>
      </w:r>
      <w:proofErr w:type="spellStart"/>
      <w:r w:rsidRPr="008C2C0D">
        <w:rPr>
          <w:rFonts w:eastAsia="Times New Roman" w:cs="Times New Roman"/>
          <w:i/>
          <w:iCs/>
          <w:szCs w:val="24"/>
          <w:lang w:eastAsia="en-US"/>
        </w:rPr>
        <w:t>euro</w:t>
      </w:r>
      <w:proofErr w:type="spellEnd"/>
      <w:r w:rsidRPr="008C2C0D">
        <w:rPr>
          <w:rFonts w:eastAsia="Times New Roman" w:cs="Times New Roman"/>
          <w:szCs w:val="24"/>
          <w:lang w:eastAsia="en-US"/>
        </w:rPr>
        <w:t xml:space="preserve"> ar termiņu līdz 10 gadiem.</w:t>
      </w:r>
    </w:p>
    <w:p w14:paraId="6AD97BD4" w14:textId="77777777" w:rsidR="00E276EB" w:rsidRDefault="00E276EB" w:rsidP="008349F0">
      <w:pPr>
        <w:ind w:left="360"/>
        <w:rPr>
          <w:rFonts w:eastAsia="Times New Roman" w:cs="Times New Roman"/>
          <w:szCs w:val="24"/>
          <w:lang w:eastAsia="en-US"/>
        </w:rPr>
      </w:pPr>
    </w:p>
    <w:p w14:paraId="547B8FE4" w14:textId="77777777" w:rsidR="00E276EB" w:rsidRDefault="00E276EB" w:rsidP="008349F0">
      <w:pPr>
        <w:ind w:left="360"/>
        <w:rPr>
          <w:rFonts w:eastAsia="Times New Roman" w:cs="Times New Roman"/>
          <w:szCs w:val="24"/>
          <w:lang w:eastAsia="en-US"/>
        </w:rPr>
      </w:pPr>
    </w:p>
    <w:p w14:paraId="3397563C" w14:textId="77777777" w:rsidR="00E276EB" w:rsidRDefault="00E276EB" w:rsidP="008349F0">
      <w:pPr>
        <w:ind w:left="360"/>
        <w:rPr>
          <w:rFonts w:eastAsia="Times New Roman" w:cs="Times New Roman"/>
          <w:szCs w:val="24"/>
          <w:lang w:eastAsia="en-US"/>
        </w:rPr>
      </w:pPr>
    </w:p>
    <w:p w14:paraId="3DF13B29" w14:textId="234BF233" w:rsidR="008C2C0D" w:rsidRPr="008C2C0D" w:rsidRDefault="008C2C0D" w:rsidP="008349F0">
      <w:pPr>
        <w:ind w:left="360"/>
        <w:rPr>
          <w:rFonts w:eastAsia="Times New Roman" w:cs="Times New Roman"/>
          <w:b/>
          <w:szCs w:val="24"/>
          <w:lang w:eastAsia="en-US"/>
        </w:rPr>
      </w:pPr>
      <w:r w:rsidRPr="008C2C0D">
        <w:rPr>
          <w:rFonts w:eastAsia="Times New Roman" w:cs="Times New Roman"/>
          <w:szCs w:val="24"/>
          <w:lang w:eastAsia="en-US"/>
        </w:rPr>
        <w:t xml:space="preserve">Finansējums tiek paredzēts no valsts budžeta līdzekļiem. Programmas īstenošana un tās pieejamais finansējums ir atkarīgs no </w:t>
      </w:r>
      <w:r>
        <w:rPr>
          <w:rFonts w:eastAsia="Times New Roman" w:cs="Times New Roman"/>
          <w:szCs w:val="24"/>
          <w:lang w:eastAsia="en-US"/>
        </w:rPr>
        <w:t>MK</w:t>
      </w:r>
      <w:r w:rsidRPr="008C2C0D">
        <w:rPr>
          <w:rFonts w:eastAsia="Times New Roman" w:cs="Times New Roman"/>
          <w:szCs w:val="24"/>
          <w:lang w:eastAsia="en-US"/>
        </w:rPr>
        <w:t xml:space="preserve"> un Saeimas lēmumiem, t.sk. atbilstoši </w:t>
      </w:r>
      <w:r w:rsidRPr="008C2C0D">
        <w:rPr>
          <w:rFonts w:eastAsia="Times New Roman" w:cs="Times New Roman"/>
          <w:i/>
          <w:iCs/>
          <w:szCs w:val="24"/>
          <w:lang w:eastAsia="en-US"/>
        </w:rPr>
        <w:t>likumā par valsts budžetu kārtējam gadam un budžeta ietvaru vidējam termiņam</w:t>
      </w:r>
      <w:r w:rsidRPr="008C2C0D">
        <w:rPr>
          <w:rFonts w:eastAsia="Times New Roman" w:cs="Times New Roman"/>
          <w:szCs w:val="24"/>
          <w:lang w:eastAsia="en-US"/>
        </w:rPr>
        <w:t xml:space="preserve"> piešķirtajam finansējumam. </w:t>
      </w:r>
      <w:r w:rsidRPr="008C2C0D">
        <w:rPr>
          <w:rFonts w:eastAsia="Times New Roman" w:cs="Times New Roman"/>
          <w:b/>
          <w:bCs/>
          <w:szCs w:val="24"/>
          <w:lang w:eastAsia="en-US"/>
        </w:rPr>
        <w:t xml:space="preserve">Valsts saistības tiek paredzētas par programmā izsniegtajām garantijām no 2016. gada 1. janvāra līdz 2019. gada 31. decembrim. </w:t>
      </w:r>
    </w:p>
    <w:p w14:paraId="06F27225" w14:textId="202FA33B" w:rsidR="001C5161" w:rsidRPr="00FD1578" w:rsidRDefault="001C5161" w:rsidP="008349F0">
      <w:pPr>
        <w:spacing w:after="0"/>
        <w:ind w:firstLine="0"/>
        <w:jc w:val="left"/>
        <w:rPr>
          <w:rFonts w:eastAsia="Times New Roman" w:cs="Times New Roman"/>
          <w:highlight w:val="lightGray"/>
        </w:rPr>
        <w:sectPr w:rsidR="001C5161" w:rsidRPr="00FD1578" w:rsidSect="009B278A">
          <w:headerReference w:type="default" r:id="rId51"/>
          <w:footerReference w:type="default" r:id="rId52"/>
          <w:headerReference w:type="first" r:id="rId53"/>
          <w:footerReference w:type="first" r:id="rId54"/>
          <w:pgSz w:w="11906" w:h="16838" w:code="9"/>
          <w:pgMar w:top="1418" w:right="1134" w:bottom="1134" w:left="1701" w:header="709" w:footer="709" w:gutter="0"/>
          <w:pgNumType w:start="8"/>
          <w:cols w:space="708"/>
          <w:titlePg/>
          <w:docGrid w:linePitch="360"/>
        </w:sectPr>
      </w:pPr>
    </w:p>
    <w:p w14:paraId="6CEFF664" w14:textId="425F3FE1" w:rsidR="00C203C5" w:rsidRPr="00E816F1" w:rsidRDefault="00C203C5" w:rsidP="008349F0">
      <w:pPr>
        <w:pStyle w:val="Heading1"/>
      </w:pPr>
      <w:bookmarkStart w:id="113" w:name="_Toc179356112"/>
      <w:r w:rsidRPr="00E816F1">
        <w:lastRenderedPageBreak/>
        <w:t>B</w:t>
      </w:r>
      <w:r w:rsidR="00AE7B3F" w:rsidRPr="00E816F1">
        <w:t>udžeta ietvara I. nodaļas pielikumi</w:t>
      </w:r>
      <w:bookmarkEnd w:id="113"/>
      <w:r w:rsidRPr="00E816F1">
        <w:t xml:space="preserve"> </w:t>
      </w:r>
    </w:p>
    <w:p w14:paraId="31BD6A0B" w14:textId="77777777" w:rsidR="00C203C5" w:rsidRPr="00FD1578" w:rsidRDefault="00C203C5" w:rsidP="008349F0">
      <w:pPr>
        <w:widowControl w:val="0"/>
        <w:jc w:val="right"/>
        <w:rPr>
          <w:rFonts w:eastAsia="Times New Roman" w:cs="Times New Roman"/>
          <w:color w:val="000000"/>
          <w:highlight w:val="lightGray"/>
        </w:rPr>
      </w:pPr>
    </w:p>
    <w:p w14:paraId="26874F24" w14:textId="77777777" w:rsidR="00824A22" w:rsidRPr="00E816F1" w:rsidRDefault="00824A22" w:rsidP="008349F0">
      <w:pPr>
        <w:widowControl w:val="0"/>
        <w:jc w:val="right"/>
        <w:rPr>
          <w:rFonts w:eastAsia="Times New Roman" w:cs="Times New Roman"/>
          <w:color w:val="000000"/>
        </w:rPr>
      </w:pPr>
      <w:r w:rsidRPr="00E816F1">
        <w:rPr>
          <w:rFonts w:eastAsia="Times New Roman" w:cs="Times New Roman"/>
          <w:color w:val="000000"/>
        </w:rPr>
        <w:t>1. pielikums</w:t>
      </w:r>
    </w:p>
    <w:p w14:paraId="153090C6" w14:textId="77777777" w:rsidR="00847A57" w:rsidRPr="00E816F1" w:rsidRDefault="00847A57" w:rsidP="008349F0">
      <w:pPr>
        <w:widowControl w:val="0"/>
        <w:jc w:val="right"/>
        <w:rPr>
          <w:rFonts w:eastAsia="Times New Roman" w:cs="Times New Roman"/>
          <w:b/>
          <w:color w:val="000000"/>
          <w:sz w:val="28"/>
        </w:rPr>
      </w:pPr>
      <w:r w:rsidRPr="00E816F1">
        <w:rPr>
          <w:rFonts w:eastAsia="Times New Roman" w:cs="Times New Roman"/>
          <w:b/>
          <w:color w:val="000000"/>
        </w:rPr>
        <w:t>Vispārējā valdības sektorā iekļauto kapitālsabiedrību faktiskā ietekme uz vispārējās valdības B.9 neto aizdevumiem(+)/ neto aizņēmumiem(-) un parādu</w:t>
      </w:r>
    </w:p>
    <w:tbl>
      <w:tblPr>
        <w:tblW w:w="14064" w:type="dxa"/>
        <w:tblInd w:w="-30" w:type="dxa"/>
        <w:tblLayout w:type="fixed"/>
        <w:tblLook w:val="0000" w:firstRow="0" w:lastRow="0" w:firstColumn="0" w:lastColumn="0" w:noHBand="0" w:noVBand="0"/>
      </w:tblPr>
      <w:tblGrid>
        <w:gridCol w:w="1865"/>
        <w:gridCol w:w="2418"/>
        <w:gridCol w:w="2410"/>
        <w:gridCol w:w="2409"/>
        <w:gridCol w:w="2552"/>
        <w:gridCol w:w="2410"/>
      </w:tblGrid>
      <w:tr w:rsidR="00847A57" w:rsidRPr="00FD1578" w14:paraId="5A350BC2" w14:textId="77777777" w:rsidTr="00F42DDA">
        <w:trPr>
          <w:trHeight w:val="262"/>
        </w:trPr>
        <w:tc>
          <w:tcPr>
            <w:tcW w:w="1865" w:type="dxa"/>
            <w:tcBorders>
              <w:top w:val="nil"/>
              <w:left w:val="nil"/>
              <w:bottom w:val="single" w:sz="4" w:space="0" w:color="auto"/>
              <w:right w:val="nil"/>
            </w:tcBorders>
          </w:tcPr>
          <w:p w14:paraId="032EA9A4" w14:textId="77777777" w:rsidR="00847A57" w:rsidRPr="00E816F1" w:rsidRDefault="00847A57" w:rsidP="008349F0">
            <w:pPr>
              <w:autoSpaceDE w:val="0"/>
              <w:autoSpaceDN w:val="0"/>
              <w:adjustRightInd w:val="0"/>
              <w:spacing w:after="0"/>
              <w:ind w:firstLine="0"/>
              <w:jc w:val="right"/>
              <w:rPr>
                <w:rFonts w:eastAsia="Times New Roman" w:cs="Times New Roman"/>
                <w:color w:val="000000"/>
                <w:sz w:val="18"/>
                <w:szCs w:val="18"/>
              </w:rPr>
            </w:pPr>
          </w:p>
        </w:tc>
        <w:tc>
          <w:tcPr>
            <w:tcW w:w="2418" w:type="dxa"/>
            <w:tcBorders>
              <w:top w:val="nil"/>
              <w:left w:val="nil"/>
              <w:bottom w:val="single" w:sz="4" w:space="0" w:color="auto"/>
              <w:right w:val="nil"/>
            </w:tcBorders>
          </w:tcPr>
          <w:p w14:paraId="302EA46A" w14:textId="77777777" w:rsidR="00847A57" w:rsidRPr="00E816F1" w:rsidRDefault="00847A57" w:rsidP="008349F0">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nil"/>
              <w:left w:val="nil"/>
              <w:bottom w:val="single" w:sz="4" w:space="0" w:color="auto"/>
              <w:right w:val="nil"/>
            </w:tcBorders>
          </w:tcPr>
          <w:p w14:paraId="086633F4" w14:textId="77777777" w:rsidR="00847A57" w:rsidRPr="00E816F1" w:rsidRDefault="00847A57" w:rsidP="008349F0">
            <w:pPr>
              <w:autoSpaceDE w:val="0"/>
              <w:autoSpaceDN w:val="0"/>
              <w:adjustRightInd w:val="0"/>
              <w:spacing w:after="0"/>
              <w:ind w:firstLine="0"/>
              <w:jc w:val="right"/>
              <w:rPr>
                <w:rFonts w:eastAsia="Times New Roman" w:cs="Times New Roman"/>
                <w:color w:val="000000"/>
                <w:sz w:val="18"/>
                <w:szCs w:val="18"/>
              </w:rPr>
            </w:pPr>
          </w:p>
        </w:tc>
        <w:tc>
          <w:tcPr>
            <w:tcW w:w="2409" w:type="dxa"/>
            <w:tcBorders>
              <w:top w:val="nil"/>
              <w:left w:val="nil"/>
              <w:bottom w:val="single" w:sz="4" w:space="0" w:color="auto"/>
              <w:right w:val="nil"/>
            </w:tcBorders>
          </w:tcPr>
          <w:p w14:paraId="53E3E005" w14:textId="77777777" w:rsidR="00847A57" w:rsidRPr="00E816F1" w:rsidRDefault="00847A57" w:rsidP="008349F0">
            <w:pPr>
              <w:autoSpaceDE w:val="0"/>
              <w:autoSpaceDN w:val="0"/>
              <w:adjustRightInd w:val="0"/>
              <w:spacing w:after="0"/>
              <w:ind w:firstLine="0"/>
              <w:jc w:val="right"/>
              <w:rPr>
                <w:rFonts w:eastAsia="Times New Roman" w:cs="Times New Roman"/>
                <w:color w:val="000000"/>
                <w:sz w:val="18"/>
                <w:szCs w:val="18"/>
              </w:rPr>
            </w:pPr>
          </w:p>
        </w:tc>
        <w:tc>
          <w:tcPr>
            <w:tcW w:w="2552" w:type="dxa"/>
            <w:tcBorders>
              <w:top w:val="nil"/>
              <w:left w:val="nil"/>
              <w:bottom w:val="single" w:sz="4" w:space="0" w:color="auto"/>
              <w:right w:val="nil"/>
            </w:tcBorders>
          </w:tcPr>
          <w:p w14:paraId="68160B7C" w14:textId="77777777" w:rsidR="00847A57" w:rsidRPr="00E816F1" w:rsidRDefault="00847A57" w:rsidP="008349F0">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nil"/>
              <w:left w:val="nil"/>
              <w:bottom w:val="single" w:sz="4" w:space="0" w:color="auto"/>
              <w:right w:val="nil"/>
            </w:tcBorders>
          </w:tcPr>
          <w:p w14:paraId="30C394ED" w14:textId="77777777" w:rsidR="00847A57" w:rsidRPr="00E816F1" w:rsidRDefault="00847A57" w:rsidP="008349F0">
            <w:pPr>
              <w:autoSpaceDE w:val="0"/>
              <w:autoSpaceDN w:val="0"/>
              <w:adjustRightInd w:val="0"/>
              <w:spacing w:after="0"/>
              <w:ind w:firstLine="0"/>
              <w:jc w:val="right"/>
              <w:rPr>
                <w:rFonts w:eastAsia="Times New Roman" w:cs="Times New Roman"/>
                <w:i/>
                <w:iCs/>
                <w:color w:val="000000"/>
                <w:sz w:val="18"/>
                <w:szCs w:val="18"/>
              </w:rPr>
            </w:pPr>
            <w:r w:rsidRPr="00E816F1">
              <w:rPr>
                <w:rFonts w:eastAsia="Times New Roman" w:cs="Times New Roman"/>
                <w:color w:val="000000"/>
                <w:sz w:val="18"/>
                <w:szCs w:val="18"/>
              </w:rPr>
              <w:t xml:space="preserve">milj. </w:t>
            </w:r>
            <w:proofErr w:type="spellStart"/>
            <w:r w:rsidRPr="00E816F1">
              <w:rPr>
                <w:rFonts w:eastAsia="Times New Roman" w:cs="Times New Roman"/>
                <w:i/>
                <w:iCs/>
                <w:color w:val="000000"/>
                <w:sz w:val="18"/>
                <w:szCs w:val="18"/>
              </w:rPr>
              <w:t>euro</w:t>
            </w:r>
            <w:proofErr w:type="spellEnd"/>
          </w:p>
        </w:tc>
      </w:tr>
      <w:tr w:rsidR="00E816F1" w:rsidRPr="00FD1578" w14:paraId="43A514DB" w14:textId="77777777" w:rsidTr="00E816F1">
        <w:trPr>
          <w:trHeight w:val="1165"/>
        </w:trPr>
        <w:tc>
          <w:tcPr>
            <w:tcW w:w="1865" w:type="dxa"/>
            <w:tcBorders>
              <w:top w:val="single" w:sz="4" w:space="0" w:color="auto"/>
              <w:left w:val="single" w:sz="4" w:space="0" w:color="auto"/>
              <w:bottom w:val="single" w:sz="4" w:space="0" w:color="auto"/>
              <w:right w:val="single" w:sz="4" w:space="0" w:color="auto"/>
            </w:tcBorders>
            <w:shd w:val="clear" w:color="auto" w:fill="9CC2E5"/>
            <w:vAlign w:val="center"/>
          </w:tcPr>
          <w:p w14:paraId="4010EC24" w14:textId="77777777" w:rsidR="00E816F1" w:rsidRPr="00E816F1" w:rsidRDefault="00E816F1" w:rsidP="008349F0">
            <w:pPr>
              <w:autoSpaceDE w:val="0"/>
              <w:autoSpaceDN w:val="0"/>
              <w:adjustRightInd w:val="0"/>
              <w:spacing w:after="0"/>
              <w:ind w:firstLine="0"/>
              <w:jc w:val="center"/>
              <w:rPr>
                <w:rFonts w:eastAsia="Times New Roman" w:cs="Times New Roman"/>
                <w:color w:val="000000"/>
                <w:sz w:val="20"/>
                <w:szCs w:val="20"/>
                <w:highlight w:val="lightGray"/>
              </w:rPr>
            </w:pPr>
          </w:p>
        </w:tc>
        <w:tc>
          <w:tcPr>
            <w:tcW w:w="2418" w:type="dxa"/>
            <w:tcBorders>
              <w:top w:val="single" w:sz="4" w:space="0" w:color="auto"/>
              <w:left w:val="single" w:sz="4" w:space="0" w:color="auto"/>
              <w:bottom w:val="single" w:sz="4" w:space="0" w:color="auto"/>
              <w:right w:val="single" w:sz="4" w:space="0" w:color="auto"/>
            </w:tcBorders>
            <w:shd w:val="clear" w:color="auto" w:fill="9CC2E5"/>
            <w:vAlign w:val="center"/>
          </w:tcPr>
          <w:p w14:paraId="643FF2AC" w14:textId="53CB8526" w:rsidR="00E816F1" w:rsidRPr="00E816F1" w:rsidRDefault="00E816F1" w:rsidP="008349F0">
            <w:pPr>
              <w:autoSpaceDE w:val="0"/>
              <w:autoSpaceDN w:val="0"/>
              <w:adjustRightInd w:val="0"/>
              <w:spacing w:after="0"/>
              <w:ind w:firstLine="0"/>
              <w:jc w:val="center"/>
              <w:rPr>
                <w:rFonts w:eastAsia="Times New Roman" w:cs="Times New Roman"/>
                <w:color w:val="000000"/>
                <w:sz w:val="20"/>
                <w:szCs w:val="20"/>
              </w:rPr>
            </w:pPr>
            <w:r w:rsidRPr="00E816F1">
              <w:rPr>
                <w:rFonts w:cs="Times New Roman"/>
                <w:sz w:val="20"/>
                <w:szCs w:val="20"/>
              </w:rPr>
              <w:t>Ieņēmumi</w:t>
            </w:r>
          </w:p>
        </w:tc>
        <w:tc>
          <w:tcPr>
            <w:tcW w:w="2410" w:type="dxa"/>
            <w:tcBorders>
              <w:top w:val="single" w:sz="4" w:space="0" w:color="auto"/>
              <w:left w:val="single" w:sz="4" w:space="0" w:color="auto"/>
              <w:bottom w:val="single" w:sz="4" w:space="0" w:color="auto"/>
              <w:right w:val="single" w:sz="4" w:space="0" w:color="auto"/>
            </w:tcBorders>
            <w:shd w:val="clear" w:color="auto" w:fill="9CC2E5"/>
            <w:vAlign w:val="center"/>
          </w:tcPr>
          <w:p w14:paraId="044DA946" w14:textId="7BBF323C" w:rsidR="00E816F1" w:rsidRPr="00E816F1" w:rsidRDefault="00E816F1" w:rsidP="008349F0">
            <w:pPr>
              <w:autoSpaceDE w:val="0"/>
              <w:autoSpaceDN w:val="0"/>
              <w:adjustRightInd w:val="0"/>
              <w:spacing w:after="0"/>
              <w:ind w:firstLine="0"/>
              <w:jc w:val="center"/>
              <w:rPr>
                <w:rFonts w:eastAsia="Times New Roman" w:cs="Times New Roman"/>
                <w:color w:val="000000"/>
                <w:sz w:val="20"/>
                <w:szCs w:val="20"/>
              </w:rPr>
            </w:pPr>
            <w:r w:rsidRPr="00E816F1">
              <w:rPr>
                <w:rFonts w:cs="Times New Roman"/>
                <w:sz w:val="20"/>
                <w:szCs w:val="20"/>
              </w:rPr>
              <w:t>t.sk. ieņēmumu pozīcijas korekcija par ES fondu finansējuma izlietojumu</w:t>
            </w:r>
          </w:p>
        </w:tc>
        <w:tc>
          <w:tcPr>
            <w:tcW w:w="2409" w:type="dxa"/>
            <w:tcBorders>
              <w:top w:val="single" w:sz="4" w:space="0" w:color="auto"/>
              <w:left w:val="single" w:sz="4" w:space="0" w:color="auto"/>
              <w:bottom w:val="single" w:sz="4" w:space="0" w:color="auto"/>
              <w:right w:val="single" w:sz="4" w:space="0" w:color="auto"/>
            </w:tcBorders>
            <w:shd w:val="clear" w:color="auto" w:fill="9CC2E5"/>
            <w:vAlign w:val="center"/>
          </w:tcPr>
          <w:p w14:paraId="32638E6A" w14:textId="5472FD92" w:rsidR="00E816F1" w:rsidRPr="00E816F1" w:rsidRDefault="00E816F1" w:rsidP="008349F0">
            <w:pPr>
              <w:autoSpaceDE w:val="0"/>
              <w:autoSpaceDN w:val="0"/>
              <w:adjustRightInd w:val="0"/>
              <w:spacing w:after="0"/>
              <w:ind w:firstLine="0"/>
              <w:jc w:val="center"/>
              <w:rPr>
                <w:rFonts w:eastAsia="Times New Roman" w:cs="Times New Roman"/>
                <w:color w:val="000000"/>
                <w:sz w:val="20"/>
                <w:szCs w:val="20"/>
              </w:rPr>
            </w:pPr>
            <w:r w:rsidRPr="00E816F1">
              <w:rPr>
                <w:rFonts w:cs="Times New Roman"/>
                <w:sz w:val="20"/>
                <w:szCs w:val="20"/>
              </w:rPr>
              <w:t>Izdevumi</w:t>
            </w:r>
          </w:p>
        </w:tc>
        <w:tc>
          <w:tcPr>
            <w:tcW w:w="2552" w:type="dxa"/>
            <w:tcBorders>
              <w:top w:val="single" w:sz="4" w:space="0" w:color="auto"/>
              <w:left w:val="single" w:sz="4" w:space="0" w:color="auto"/>
              <w:bottom w:val="single" w:sz="4" w:space="0" w:color="auto"/>
              <w:right w:val="single" w:sz="4" w:space="0" w:color="auto"/>
            </w:tcBorders>
            <w:shd w:val="clear" w:color="auto" w:fill="9CC2E5"/>
            <w:vAlign w:val="center"/>
          </w:tcPr>
          <w:p w14:paraId="305B43E3" w14:textId="172BA160" w:rsidR="00E816F1" w:rsidRPr="00E816F1" w:rsidRDefault="00E816F1" w:rsidP="008349F0">
            <w:pPr>
              <w:autoSpaceDE w:val="0"/>
              <w:autoSpaceDN w:val="0"/>
              <w:adjustRightInd w:val="0"/>
              <w:spacing w:after="0"/>
              <w:ind w:firstLine="0"/>
              <w:jc w:val="center"/>
              <w:rPr>
                <w:rFonts w:eastAsia="Times New Roman" w:cs="Times New Roman"/>
                <w:color w:val="000000"/>
                <w:sz w:val="20"/>
                <w:szCs w:val="20"/>
              </w:rPr>
            </w:pPr>
            <w:r w:rsidRPr="00E816F1">
              <w:rPr>
                <w:rFonts w:cs="Times New Roman"/>
                <w:sz w:val="20"/>
                <w:szCs w:val="20"/>
              </w:rPr>
              <w:t>Ietekme uz B.9 neto aizdevumiem (+)/neto aizņēmumiem (-) (ieskaitot korekciju par ES fondu finansējuma izlietojumu)</w:t>
            </w:r>
          </w:p>
        </w:tc>
        <w:tc>
          <w:tcPr>
            <w:tcW w:w="2410" w:type="dxa"/>
            <w:tcBorders>
              <w:top w:val="single" w:sz="4" w:space="0" w:color="auto"/>
              <w:left w:val="single" w:sz="4" w:space="0" w:color="auto"/>
              <w:bottom w:val="single" w:sz="4" w:space="0" w:color="auto"/>
              <w:right w:val="single" w:sz="4" w:space="0" w:color="auto"/>
            </w:tcBorders>
            <w:shd w:val="clear" w:color="auto" w:fill="9CC2E5"/>
            <w:vAlign w:val="center"/>
          </w:tcPr>
          <w:p w14:paraId="38482AF7" w14:textId="008467AA" w:rsidR="00E816F1" w:rsidRPr="00E816F1" w:rsidRDefault="00E816F1" w:rsidP="008349F0">
            <w:pPr>
              <w:autoSpaceDE w:val="0"/>
              <w:autoSpaceDN w:val="0"/>
              <w:adjustRightInd w:val="0"/>
              <w:spacing w:after="0"/>
              <w:ind w:firstLine="0"/>
              <w:jc w:val="center"/>
              <w:rPr>
                <w:rFonts w:eastAsia="Times New Roman" w:cs="Times New Roman"/>
                <w:color w:val="000000"/>
                <w:sz w:val="20"/>
                <w:szCs w:val="20"/>
              </w:rPr>
            </w:pPr>
            <w:r w:rsidRPr="00E816F1">
              <w:rPr>
                <w:rFonts w:cs="Times New Roman"/>
                <w:sz w:val="20"/>
                <w:szCs w:val="20"/>
              </w:rPr>
              <w:t>Ietekme uz vispārējās valdības parādu</w:t>
            </w:r>
          </w:p>
        </w:tc>
      </w:tr>
      <w:tr w:rsidR="00E816F1" w:rsidRPr="00FD1578" w14:paraId="187845D8" w14:textId="77777777" w:rsidTr="00E816F1">
        <w:trPr>
          <w:trHeight w:val="252"/>
        </w:trPr>
        <w:tc>
          <w:tcPr>
            <w:tcW w:w="186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F1DE835" w14:textId="2157A1DB" w:rsidR="00E816F1" w:rsidRPr="00E816F1" w:rsidRDefault="00E816F1" w:rsidP="008349F0">
            <w:pPr>
              <w:autoSpaceDE w:val="0"/>
              <w:autoSpaceDN w:val="0"/>
              <w:adjustRightInd w:val="0"/>
              <w:spacing w:after="0"/>
              <w:ind w:firstLine="0"/>
              <w:jc w:val="left"/>
              <w:rPr>
                <w:rFonts w:eastAsia="Times New Roman" w:cs="Times New Roman"/>
                <w:color w:val="000000"/>
                <w:sz w:val="20"/>
                <w:szCs w:val="20"/>
              </w:rPr>
            </w:pPr>
            <w:r w:rsidRPr="00E816F1">
              <w:rPr>
                <w:rFonts w:cs="Times New Roman"/>
                <w:sz w:val="20"/>
                <w:szCs w:val="20"/>
              </w:rPr>
              <w:t>2021</w:t>
            </w:r>
          </w:p>
        </w:tc>
        <w:tc>
          <w:tcPr>
            <w:tcW w:w="2418"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961FA25"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EC61C75"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09"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013E8522"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552"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686078C"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EDC676A"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r>
      <w:tr w:rsidR="00E816F1" w:rsidRPr="00FD1578" w14:paraId="29882A97" w14:textId="77777777" w:rsidTr="00F42DDA">
        <w:trPr>
          <w:trHeight w:val="252"/>
        </w:trPr>
        <w:tc>
          <w:tcPr>
            <w:tcW w:w="1865" w:type="dxa"/>
            <w:tcBorders>
              <w:top w:val="single" w:sz="4" w:space="0" w:color="auto"/>
              <w:left w:val="single" w:sz="4" w:space="0" w:color="auto"/>
              <w:bottom w:val="single" w:sz="4" w:space="0" w:color="auto"/>
              <w:right w:val="single" w:sz="4" w:space="0" w:color="auto"/>
            </w:tcBorders>
          </w:tcPr>
          <w:p w14:paraId="591C3E84" w14:textId="3C2AD77E"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rPr>
            </w:pPr>
            <w:r w:rsidRPr="00E816F1">
              <w:rPr>
                <w:rFonts w:cs="Times New Roman"/>
                <w:sz w:val="20"/>
                <w:szCs w:val="20"/>
              </w:rPr>
              <w:t>S130130</w:t>
            </w:r>
          </w:p>
        </w:tc>
        <w:tc>
          <w:tcPr>
            <w:tcW w:w="2418" w:type="dxa"/>
            <w:tcBorders>
              <w:top w:val="single" w:sz="4" w:space="0" w:color="auto"/>
              <w:left w:val="single" w:sz="4" w:space="0" w:color="auto"/>
              <w:bottom w:val="single" w:sz="4" w:space="0" w:color="auto"/>
              <w:right w:val="single" w:sz="4" w:space="0" w:color="auto"/>
            </w:tcBorders>
          </w:tcPr>
          <w:p w14:paraId="2B973FFF" w14:textId="71BCE2DC"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1376,255</w:t>
            </w:r>
          </w:p>
        </w:tc>
        <w:tc>
          <w:tcPr>
            <w:tcW w:w="2410" w:type="dxa"/>
            <w:tcBorders>
              <w:top w:val="single" w:sz="4" w:space="0" w:color="auto"/>
              <w:left w:val="single" w:sz="4" w:space="0" w:color="auto"/>
              <w:bottom w:val="single" w:sz="4" w:space="0" w:color="auto"/>
              <w:right w:val="single" w:sz="4" w:space="0" w:color="auto"/>
            </w:tcBorders>
          </w:tcPr>
          <w:p w14:paraId="647EDEA5" w14:textId="2C3AA1AF"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17,477</w:t>
            </w:r>
          </w:p>
        </w:tc>
        <w:tc>
          <w:tcPr>
            <w:tcW w:w="2409" w:type="dxa"/>
            <w:tcBorders>
              <w:top w:val="single" w:sz="4" w:space="0" w:color="auto"/>
              <w:left w:val="single" w:sz="4" w:space="0" w:color="auto"/>
              <w:bottom w:val="single" w:sz="4" w:space="0" w:color="auto"/>
              <w:right w:val="single" w:sz="4" w:space="0" w:color="auto"/>
            </w:tcBorders>
          </w:tcPr>
          <w:p w14:paraId="723044F1" w14:textId="63D5A8E8"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1367,513</w:t>
            </w:r>
          </w:p>
        </w:tc>
        <w:tc>
          <w:tcPr>
            <w:tcW w:w="2552" w:type="dxa"/>
            <w:tcBorders>
              <w:top w:val="single" w:sz="4" w:space="0" w:color="auto"/>
              <w:left w:val="single" w:sz="4" w:space="0" w:color="auto"/>
              <w:bottom w:val="single" w:sz="4" w:space="0" w:color="auto"/>
              <w:right w:val="single" w:sz="4" w:space="0" w:color="auto"/>
            </w:tcBorders>
          </w:tcPr>
          <w:p w14:paraId="40D1CC0F" w14:textId="0774E41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8,742</w:t>
            </w:r>
          </w:p>
        </w:tc>
        <w:tc>
          <w:tcPr>
            <w:tcW w:w="2410" w:type="dxa"/>
            <w:tcBorders>
              <w:top w:val="single" w:sz="4" w:space="0" w:color="auto"/>
              <w:left w:val="single" w:sz="4" w:space="0" w:color="auto"/>
              <w:bottom w:val="single" w:sz="4" w:space="0" w:color="auto"/>
              <w:right w:val="single" w:sz="4" w:space="0" w:color="auto"/>
            </w:tcBorders>
          </w:tcPr>
          <w:p w14:paraId="4B8E34B0" w14:textId="16EE45B6"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410,388</w:t>
            </w:r>
          </w:p>
        </w:tc>
      </w:tr>
      <w:tr w:rsidR="00E816F1" w:rsidRPr="00FD1578" w14:paraId="29466974" w14:textId="77777777" w:rsidTr="00F42DDA">
        <w:trPr>
          <w:trHeight w:val="252"/>
        </w:trPr>
        <w:tc>
          <w:tcPr>
            <w:tcW w:w="1865" w:type="dxa"/>
            <w:tcBorders>
              <w:top w:val="single" w:sz="4" w:space="0" w:color="auto"/>
              <w:left w:val="single" w:sz="4" w:space="0" w:color="auto"/>
              <w:bottom w:val="single" w:sz="4" w:space="0" w:color="auto"/>
              <w:right w:val="single" w:sz="4" w:space="0" w:color="auto"/>
            </w:tcBorders>
          </w:tcPr>
          <w:p w14:paraId="67D6B6D9" w14:textId="4E75E5F0"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rPr>
            </w:pPr>
            <w:r w:rsidRPr="00E816F1">
              <w:rPr>
                <w:rFonts w:cs="Times New Roman"/>
                <w:sz w:val="20"/>
                <w:szCs w:val="20"/>
              </w:rPr>
              <w:t>S130330</w:t>
            </w:r>
          </w:p>
        </w:tc>
        <w:tc>
          <w:tcPr>
            <w:tcW w:w="2418" w:type="dxa"/>
            <w:tcBorders>
              <w:top w:val="single" w:sz="4" w:space="0" w:color="auto"/>
              <w:left w:val="single" w:sz="4" w:space="0" w:color="auto"/>
              <w:bottom w:val="single" w:sz="4" w:space="0" w:color="auto"/>
              <w:right w:val="single" w:sz="4" w:space="0" w:color="auto"/>
            </w:tcBorders>
          </w:tcPr>
          <w:p w14:paraId="3331946D" w14:textId="3DCFF16B"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672,441</w:t>
            </w:r>
          </w:p>
        </w:tc>
        <w:tc>
          <w:tcPr>
            <w:tcW w:w="2410" w:type="dxa"/>
            <w:tcBorders>
              <w:top w:val="single" w:sz="4" w:space="0" w:color="auto"/>
              <w:left w:val="single" w:sz="4" w:space="0" w:color="auto"/>
              <w:bottom w:val="single" w:sz="4" w:space="0" w:color="auto"/>
              <w:right w:val="single" w:sz="4" w:space="0" w:color="auto"/>
            </w:tcBorders>
          </w:tcPr>
          <w:p w14:paraId="1017DB2A" w14:textId="1904BA92"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29,905</w:t>
            </w:r>
          </w:p>
        </w:tc>
        <w:tc>
          <w:tcPr>
            <w:tcW w:w="2409" w:type="dxa"/>
            <w:tcBorders>
              <w:top w:val="single" w:sz="4" w:space="0" w:color="auto"/>
              <w:left w:val="single" w:sz="4" w:space="0" w:color="auto"/>
              <w:bottom w:val="single" w:sz="4" w:space="0" w:color="auto"/>
              <w:right w:val="single" w:sz="4" w:space="0" w:color="auto"/>
            </w:tcBorders>
          </w:tcPr>
          <w:p w14:paraId="7E3F8B42" w14:textId="013A616C"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695,237</w:t>
            </w:r>
          </w:p>
        </w:tc>
        <w:tc>
          <w:tcPr>
            <w:tcW w:w="2552" w:type="dxa"/>
            <w:tcBorders>
              <w:top w:val="single" w:sz="4" w:space="0" w:color="auto"/>
              <w:left w:val="single" w:sz="4" w:space="0" w:color="auto"/>
              <w:bottom w:val="single" w:sz="4" w:space="0" w:color="auto"/>
              <w:right w:val="single" w:sz="4" w:space="0" w:color="auto"/>
            </w:tcBorders>
          </w:tcPr>
          <w:p w14:paraId="66CE5B3C" w14:textId="2CAE25EA"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-22,796</w:t>
            </w:r>
          </w:p>
        </w:tc>
        <w:tc>
          <w:tcPr>
            <w:tcW w:w="2410" w:type="dxa"/>
            <w:tcBorders>
              <w:top w:val="single" w:sz="4" w:space="0" w:color="auto"/>
              <w:left w:val="single" w:sz="4" w:space="0" w:color="auto"/>
              <w:bottom w:val="single" w:sz="4" w:space="0" w:color="auto"/>
              <w:right w:val="single" w:sz="4" w:space="0" w:color="auto"/>
            </w:tcBorders>
          </w:tcPr>
          <w:p w14:paraId="158EFB2B" w14:textId="56A2E4EE"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317,403</w:t>
            </w:r>
          </w:p>
        </w:tc>
      </w:tr>
      <w:tr w:rsidR="00E816F1" w:rsidRPr="00FD1578" w14:paraId="0E9C4D8B" w14:textId="77777777" w:rsidTr="00F42DDA">
        <w:trPr>
          <w:trHeight w:val="252"/>
        </w:trPr>
        <w:tc>
          <w:tcPr>
            <w:tcW w:w="1865" w:type="dxa"/>
            <w:tcBorders>
              <w:top w:val="single" w:sz="4" w:space="0" w:color="auto"/>
              <w:left w:val="single" w:sz="4" w:space="0" w:color="auto"/>
              <w:bottom w:val="single" w:sz="4" w:space="0" w:color="auto"/>
              <w:right w:val="single" w:sz="4" w:space="0" w:color="auto"/>
            </w:tcBorders>
          </w:tcPr>
          <w:p w14:paraId="0D484FE6"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rPr>
            </w:pPr>
          </w:p>
        </w:tc>
        <w:tc>
          <w:tcPr>
            <w:tcW w:w="2418" w:type="dxa"/>
            <w:tcBorders>
              <w:top w:val="single" w:sz="4" w:space="0" w:color="auto"/>
              <w:left w:val="single" w:sz="4" w:space="0" w:color="auto"/>
              <w:bottom w:val="single" w:sz="4" w:space="0" w:color="auto"/>
              <w:right w:val="single" w:sz="4" w:space="0" w:color="auto"/>
            </w:tcBorders>
          </w:tcPr>
          <w:p w14:paraId="2A2DEC58"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tcPr>
          <w:p w14:paraId="3ED0B1E1"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09" w:type="dxa"/>
            <w:tcBorders>
              <w:top w:val="single" w:sz="4" w:space="0" w:color="auto"/>
              <w:left w:val="single" w:sz="4" w:space="0" w:color="auto"/>
              <w:bottom w:val="single" w:sz="4" w:space="0" w:color="auto"/>
              <w:right w:val="single" w:sz="4" w:space="0" w:color="auto"/>
            </w:tcBorders>
          </w:tcPr>
          <w:p w14:paraId="6744CA45"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552" w:type="dxa"/>
            <w:tcBorders>
              <w:top w:val="single" w:sz="4" w:space="0" w:color="auto"/>
              <w:left w:val="single" w:sz="4" w:space="0" w:color="auto"/>
              <w:bottom w:val="single" w:sz="4" w:space="0" w:color="auto"/>
              <w:right w:val="single" w:sz="4" w:space="0" w:color="auto"/>
            </w:tcBorders>
          </w:tcPr>
          <w:p w14:paraId="5510A87C"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tcPr>
          <w:p w14:paraId="7B1C7AB4"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r>
      <w:tr w:rsidR="00E816F1" w:rsidRPr="00FD1578" w14:paraId="634F6CCF" w14:textId="77777777" w:rsidTr="00E816F1">
        <w:trPr>
          <w:trHeight w:val="252"/>
        </w:trPr>
        <w:tc>
          <w:tcPr>
            <w:tcW w:w="186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1D57949B" w14:textId="14106D92" w:rsidR="00E816F1" w:rsidRPr="00E816F1" w:rsidRDefault="00E816F1" w:rsidP="008349F0">
            <w:pPr>
              <w:autoSpaceDE w:val="0"/>
              <w:autoSpaceDN w:val="0"/>
              <w:adjustRightInd w:val="0"/>
              <w:spacing w:after="0"/>
              <w:ind w:firstLine="0"/>
              <w:jc w:val="left"/>
              <w:rPr>
                <w:rFonts w:eastAsia="Times New Roman" w:cs="Times New Roman"/>
                <w:color w:val="000000"/>
                <w:sz w:val="20"/>
                <w:szCs w:val="20"/>
              </w:rPr>
            </w:pPr>
            <w:r w:rsidRPr="00E816F1">
              <w:rPr>
                <w:rFonts w:cs="Times New Roman"/>
                <w:sz w:val="20"/>
                <w:szCs w:val="20"/>
              </w:rPr>
              <w:t>2022</w:t>
            </w:r>
          </w:p>
        </w:tc>
        <w:tc>
          <w:tcPr>
            <w:tcW w:w="2418"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43ECC03F"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C9804BB"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09"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1EFA5D97"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552"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05E533D0"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450170C1"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r>
      <w:tr w:rsidR="00E816F1" w:rsidRPr="00FD1578" w14:paraId="309068F4" w14:textId="77777777" w:rsidTr="00F42DDA">
        <w:trPr>
          <w:trHeight w:val="252"/>
        </w:trPr>
        <w:tc>
          <w:tcPr>
            <w:tcW w:w="1865" w:type="dxa"/>
            <w:tcBorders>
              <w:top w:val="single" w:sz="4" w:space="0" w:color="auto"/>
              <w:left w:val="single" w:sz="4" w:space="0" w:color="auto"/>
              <w:bottom w:val="single" w:sz="4" w:space="0" w:color="auto"/>
              <w:right w:val="single" w:sz="4" w:space="0" w:color="auto"/>
            </w:tcBorders>
          </w:tcPr>
          <w:p w14:paraId="790E3316" w14:textId="4CADD6A2"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rPr>
            </w:pPr>
            <w:r w:rsidRPr="00E816F1">
              <w:rPr>
                <w:rFonts w:cs="Times New Roman"/>
                <w:sz w:val="20"/>
                <w:szCs w:val="20"/>
              </w:rPr>
              <w:t>S130130</w:t>
            </w:r>
          </w:p>
        </w:tc>
        <w:tc>
          <w:tcPr>
            <w:tcW w:w="2418" w:type="dxa"/>
            <w:tcBorders>
              <w:top w:val="single" w:sz="4" w:space="0" w:color="auto"/>
              <w:left w:val="single" w:sz="4" w:space="0" w:color="auto"/>
              <w:bottom w:val="single" w:sz="4" w:space="0" w:color="auto"/>
              <w:right w:val="single" w:sz="4" w:space="0" w:color="auto"/>
            </w:tcBorders>
          </w:tcPr>
          <w:p w14:paraId="30CAD6CB" w14:textId="31B388E5"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1384,524</w:t>
            </w:r>
          </w:p>
        </w:tc>
        <w:tc>
          <w:tcPr>
            <w:tcW w:w="2410" w:type="dxa"/>
            <w:tcBorders>
              <w:top w:val="single" w:sz="4" w:space="0" w:color="auto"/>
              <w:left w:val="single" w:sz="4" w:space="0" w:color="auto"/>
              <w:bottom w:val="single" w:sz="4" w:space="0" w:color="auto"/>
              <w:right w:val="single" w:sz="4" w:space="0" w:color="auto"/>
            </w:tcBorders>
          </w:tcPr>
          <w:p w14:paraId="709EF0B3" w14:textId="01F0EE1D"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25,950</w:t>
            </w:r>
          </w:p>
        </w:tc>
        <w:tc>
          <w:tcPr>
            <w:tcW w:w="2409" w:type="dxa"/>
            <w:tcBorders>
              <w:top w:val="single" w:sz="4" w:space="0" w:color="auto"/>
              <w:left w:val="single" w:sz="4" w:space="0" w:color="auto"/>
              <w:bottom w:val="single" w:sz="4" w:space="0" w:color="auto"/>
              <w:right w:val="single" w:sz="4" w:space="0" w:color="auto"/>
            </w:tcBorders>
          </w:tcPr>
          <w:p w14:paraId="1C8503C2" w14:textId="6E01B49E"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1398,702</w:t>
            </w:r>
          </w:p>
        </w:tc>
        <w:tc>
          <w:tcPr>
            <w:tcW w:w="2552" w:type="dxa"/>
            <w:tcBorders>
              <w:top w:val="single" w:sz="4" w:space="0" w:color="auto"/>
              <w:left w:val="single" w:sz="4" w:space="0" w:color="auto"/>
              <w:bottom w:val="single" w:sz="4" w:space="0" w:color="auto"/>
              <w:right w:val="single" w:sz="4" w:space="0" w:color="auto"/>
            </w:tcBorders>
          </w:tcPr>
          <w:p w14:paraId="35EDDF5A" w14:textId="54E3A3C3"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-14,178</w:t>
            </w:r>
          </w:p>
        </w:tc>
        <w:tc>
          <w:tcPr>
            <w:tcW w:w="2410" w:type="dxa"/>
            <w:tcBorders>
              <w:top w:val="single" w:sz="4" w:space="0" w:color="auto"/>
              <w:left w:val="single" w:sz="4" w:space="0" w:color="auto"/>
              <w:bottom w:val="single" w:sz="4" w:space="0" w:color="auto"/>
              <w:right w:val="single" w:sz="4" w:space="0" w:color="auto"/>
            </w:tcBorders>
          </w:tcPr>
          <w:p w14:paraId="019E4A2E" w14:textId="0D2FF2BD"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321,834</w:t>
            </w:r>
          </w:p>
        </w:tc>
      </w:tr>
      <w:tr w:rsidR="00E816F1" w:rsidRPr="00FD1578" w14:paraId="2CBC351B" w14:textId="77777777" w:rsidTr="00F42DDA">
        <w:trPr>
          <w:trHeight w:val="252"/>
        </w:trPr>
        <w:tc>
          <w:tcPr>
            <w:tcW w:w="1865" w:type="dxa"/>
            <w:tcBorders>
              <w:top w:val="single" w:sz="4" w:space="0" w:color="auto"/>
              <w:left w:val="single" w:sz="4" w:space="0" w:color="auto"/>
              <w:bottom w:val="single" w:sz="4" w:space="0" w:color="auto"/>
              <w:right w:val="single" w:sz="4" w:space="0" w:color="auto"/>
            </w:tcBorders>
          </w:tcPr>
          <w:p w14:paraId="2F1732DB" w14:textId="5CCAB04B"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rPr>
            </w:pPr>
            <w:r w:rsidRPr="00E816F1">
              <w:rPr>
                <w:rFonts w:cs="Times New Roman"/>
                <w:sz w:val="20"/>
                <w:szCs w:val="20"/>
              </w:rPr>
              <w:t>S130330</w:t>
            </w:r>
          </w:p>
        </w:tc>
        <w:tc>
          <w:tcPr>
            <w:tcW w:w="2418" w:type="dxa"/>
            <w:tcBorders>
              <w:top w:val="single" w:sz="4" w:space="0" w:color="auto"/>
              <w:left w:val="single" w:sz="4" w:space="0" w:color="auto"/>
              <w:bottom w:val="single" w:sz="4" w:space="0" w:color="auto"/>
              <w:right w:val="single" w:sz="4" w:space="0" w:color="auto"/>
            </w:tcBorders>
          </w:tcPr>
          <w:p w14:paraId="2806D536" w14:textId="5676BB58"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693,255</w:t>
            </w:r>
          </w:p>
        </w:tc>
        <w:tc>
          <w:tcPr>
            <w:tcW w:w="2410" w:type="dxa"/>
            <w:tcBorders>
              <w:top w:val="single" w:sz="4" w:space="0" w:color="auto"/>
              <w:left w:val="single" w:sz="4" w:space="0" w:color="auto"/>
              <w:bottom w:val="single" w:sz="4" w:space="0" w:color="auto"/>
              <w:right w:val="single" w:sz="4" w:space="0" w:color="auto"/>
            </w:tcBorders>
          </w:tcPr>
          <w:p w14:paraId="292E4C0D" w14:textId="60CED3EA"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17,444</w:t>
            </w:r>
          </w:p>
        </w:tc>
        <w:tc>
          <w:tcPr>
            <w:tcW w:w="2409" w:type="dxa"/>
            <w:tcBorders>
              <w:top w:val="single" w:sz="4" w:space="0" w:color="auto"/>
              <w:left w:val="single" w:sz="4" w:space="0" w:color="auto"/>
              <w:bottom w:val="single" w:sz="4" w:space="0" w:color="auto"/>
              <w:right w:val="single" w:sz="4" w:space="0" w:color="auto"/>
            </w:tcBorders>
          </w:tcPr>
          <w:p w14:paraId="70285F3B" w14:textId="3A8197BC"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717,808</w:t>
            </w:r>
          </w:p>
        </w:tc>
        <w:tc>
          <w:tcPr>
            <w:tcW w:w="2552" w:type="dxa"/>
            <w:tcBorders>
              <w:top w:val="single" w:sz="4" w:space="0" w:color="auto"/>
              <w:left w:val="single" w:sz="4" w:space="0" w:color="auto"/>
              <w:bottom w:val="single" w:sz="4" w:space="0" w:color="auto"/>
              <w:right w:val="single" w:sz="4" w:space="0" w:color="auto"/>
            </w:tcBorders>
          </w:tcPr>
          <w:p w14:paraId="57DA4E16" w14:textId="5653FF29"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-24,553</w:t>
            </w:r>
          </w:p>
        </w:tc>
        <w:tc>
          <w:tcPr>
            <w:tcW w:w="2410" w:type="dxa"/>
            <w:tcBorders>
              <w:top w:val="single" w:sz="4" w:space="0" w:color="auto"/>
              <w:left w:val="single" w:sz="4" w:space="0" w:color="auto"/>
              <w:bottom w:val="single" w:sz="4" w:space="0" w:color="auto"/>
              <w:right w:val="single" w:sz="4" w:space="0" w:color="auto"/>
            </w:tcBorders>
          </w:tcPr>
          <w:p w14:paraId="6CF27695" w14:textId="4FF66F96"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322,278</w:t>
            </w:r>
          </w:p>
        </w:tc>
      </w:tr>
      <w:tr w:rsidR="00E816F1" w:rsidRPr="00FD1578" w14:paraId="39AC8789" w14:textId="77777777" w:rsidTr="00F42DDA">
        <w:trPr>
          <w:trHeight w:val="252"/>
        </w:trPr>
        <w:tc>
          <w:tcPr>
            <w:tcW w:w="1865" w:type="dxa"/>
            <w:tcBorders>
              <w:top w:val="single" w:sz="4" w:space="0" w:color="auto"/>
              <w:left w:val="single" w:sz="4" w:space="0" w:color="auto"/>
              <w:bottom w:val="single" w:sz="4" w:space="0" w:color="auto"/>
              <w:right w:val="single" w:sz="4" w:space="0" w:color="auto"/>
            </w:tcBorders>
          </w:tcPr>
          <w:p w14:paraId="4B4E13C4"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rPr>
            </w:pPr>
          </w:p>
        </w:tc>
        <w:tc>
          <w:tcPr>
            <w:tcW w:w="2418" w:type="dxa"/>
            <w:tcBorders>
              <w:top w:val="single" w:sz="4" w:space="0" w:color="auto"/>
              <w:left w:val="single" w:sz="4" w:space="0" w:color="auto"/>
              <w:bottom w:val="single" w:sz="4" w:space="0" w:color="auto"/>
              <w:right w:val="single" w:sz="4" w:space="0" w:color="auto"/>
            </w:tcBorders>
          </w:tcPr>
          <w:p w14:paraId="0D592092"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tcPr>
          <w:p w14:paraId="2F4336C4"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09" w:type="dxa"/>
            <w:tcBorders>
              <w:top w:val="single" w:sz="4" w:space="0" w:color="auto"/>
              <w:left w:val="single" w:sz="4" w:space="0" w:color="auto"/>
              <w:bottom w:val="single" w:sz="4" w:space="0" w:color="auto"/>
              <w:right w:val="single" w:sz="4" w:space="0" w:color="auto"/>
            </w:tcBorders>
          </w:tcPr>
          <w:p w14:paraId="4098B9BF"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552" w:type="dxa"/>
            <w:tcBorders>
              <w:top w:val="single" w:sz="4" w:space="0" w:color="auto"/>
              <w:left w:val="single" w:sz="4" w:space="0" w:color="auto"/>
              <w:bottom w:val="single" w:sz="4" w:space="0" w:color="auto"/>
              <w:right w:val="single" w:sz="4" w:space="0" w:color="auto"/>
            </w:tcBorders>
          </w:tcPr>
          <w:p w14:paraId="3E1AA53C"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tcPr>
          <w:p w14:paraId="1F41C843"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r>
      <w:tr w:rsidR="00E816F1" w:rsidRPr="00FD1578" w14:paraId="1B8DFDF3" w14:textId="77777777" w:rsidTr="00E816F1">
        <w:trPr>
          <w:trHeight w:val="252"/>
        </w:trPr>
        <w:tc>
          <w:tcPr>
            <w:tcW w:w="186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AD85A67" w14:textId="41F095DB" w:rsidR="00E816F1" w:rsidRPr="00E816F1" w:rsidRDefault="00E816F1" w:rsidP="008349F0">
            <w:pPr>
              <w:autoSpaceDE w:val="0"/>
              <w:autoSpaceDN w:val="0"/>
              <w:adjustRightInd w:val="0"/>
              <w:spacing w:after="0"/>
              <w:ind w:firstLine="0"/>
              <w:jc w:val="left"/>
              <w:rPr>
                <w:rFonts w:eastAsia="Times New Roman" w:cs="Times New Roman"/>
                <w:color w:val="000000"/>
                <w:sz w:val="20"/>
                <w:szCs w:val="20"/>
              </w:rPr>
            </w:pPr>
            <w:r w:rsidRPr="00E816F1">
              <w:rPr>
                <w:rFonts w:cs="Times New Roman"/>
                <w:sz w:val="20"/>
                <w:szCs w:val="20"/>
              </w:rPr>
              <w:t>2023</w:t>
            </w:r>
          </w:p>
        </w:tc>
        <w:tc>
          <w:tcPr>
            <w:tcW w:w="2418"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4910EDC5"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97E7BEE"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09"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7465195F"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552"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58B4F64"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c>
          <w:tcPr>
            <w:tcW w:w="2410"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C718F2A" w14:textId="777777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p>
        </w:tc>
      </w:tr>
      <w:tr w:rsidR="00E816F1" w:rsidRPr="00FD1578" w14:paraId="5BE0869E" w14:textId="77777777" w:rsidTr="00F42DDA">
        <w:trPr>
          <w:trHeight w:val="252"/>
        </w:trPr>
        <w:tc>
          <w:tcPr>
            <w:tcW w:w="1865" w:type="dxa"/>
            <w:tcBorders>
              <w:top w:val="single" w:sz="4" w:space="0" w:color="auto"/>
              <w:left w:val="single" w:sz="4" w:space="0" w:color="auto"/>
              <w:bottom w:val="single" w:sz="4" w:space="0" w:color="auto"/>
              <w:right w:val="single" w:sz="4" w:space="0" w:color="auto"/>
            </w:tcBorders>
          </w:tcPr>
          <w:p w14:paraId="315415E4" w14:textId="52EF6039"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rPr>
            </w:pPr>
            <w:r w:rsidRPr="00E816F1">
              <w:rPr>
                <w:rFonts w:cs="Times New Roman"/>
                <w:sz w:val="20"/>
                <w:szCs w:val="20"/>
              </w:rPr>
              <w:t>S130130</w:t>
            </w:r>
          </w:p>
        </w:tc>
        <w:tc>
          <w:tcPr>
            <w:tcW w:w="2418" w:type="dxa"/>
            <w:tcBorders>
              <w:top w:val="single" w:sz="4" w:space="0" w:color="auto"/>
              <w:left w:val="single" w:sz="4" w:space="0" w:color="auto"/>
              <w:bottom w:val="single" w:sz="4" w:space="0" w:color="auto"/>
              <w:right w:val="single" w:sz="4" w:space="0" w:color="auto"/>
            </w:tcBorders>
          </w:tcPr>
          <w:p w14:paraId="01D891AA" w14:textId="18466CE0"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1562,075</w:t>
            </w:r>
          </w:p>
        </w:tc>
        <w:tc>
          <w:tcPr>
            <w:tcW w:w="2410" w:type="dxa"/>
            <w:tcBorders>
              <w:top w:val="single" w:sz="4" w:space="0" w:color="auto"/>
              <w:left w:val="single" w:sz="4" w:space="0" w:color="auto"/>
              <w:bottom w:val="single" w:sz="4" w:space="0" w:color="auto"/>
              <w:right w:val="single" w:sz="4" w:space="0" w:color="auto"/>
            </w:tcBorders>
          </w:tcPr>
          <w:p w14:paraId="6C58E552" w14:textId="7DE6912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216,566</w:t>
            </w:r>
          </w:p>
        </w:tc>
        <w:tc>
          <w:tcPr>
            <w:tcW w:w="2409" w:type="dxa"/>
            <w:tcBorders>
              <w:top w:val="single" w:sz="4" w:space="0" w:color="auto"/>
              <w:left w:val="single" w:sz="4" w:space="0" w:color="auto"/>
              <w:bottom w:val="single" w:sz="4" w:space="0" w:color="auto"/>
              <w:right w:val="single" w:sz="4" w:space="0" w:color="auto"/>
            </w:tcBorders>
          </w:tcPr>
          <w:p w14:paraId="29626E55" w14:textId="7D40F477"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1693,645</w:t>
            </w:r>
          </w:p>
        </w:tc>
        <w:tc>
          <w:tcPr>
            <w:tcW w:w="2552" w:type="dxa"/>
            <w:tcBorders>
              <w:top w:val="single" w:sz="4" w:space="0" w:color="auto"/>
              <w:left w:val="single" w:sz="4" w:space="0" w:color="auto"/>
              <w:bottom w:val="single" w:sz="4" w:space="0" w:color="auto"/>
              <w:right w:val="single" w:sz="4" w:space="0" w:color="auto"/>
            </w:tcBorders>
          </w:tcPr>
          <w:p w14:paraId="402F80E1" w14:textId="5FD9173E"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-131,570</w:t>
            </w:r>
          </w:p>
        </w:tc>
        <w:tc>
          <w:tcPr>
            <w:tcW w:w="2410" w:type="dxa"/>
            <w:tcBorders>
              <w:top w:val="single" w:sz="4" w:space="0" w:color="auto"/>
              <w:left w:val="single" w:sz="4" w:space="0" w:color="auto"/>
              <w:bottom w:val="single" w:sz="4" w:space="0" w:color="auto"/>
              <w:right w:val="single" w:sz="4" w:space="0" w:color="auto"/>
            </w:tcBorders>
          </w:tcPr>
          <w:p w14:paraId="797014F2" w14:textId="6C450072"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333,565</w:t>
            </w:r>
          </w:p>
        </w:tc>
      </w:tr>
      <w:tr w:rsidR="00E816F1" w:rsidRPr="00FD1578" w14:paraId="2837D790" w14:textId="77777777" w:rsidTr="00F42DDA">
        <w:trPr>
          <w:trHeight w:val="262"/>
        </w:trPr>
        <w:tc>
          <w:tcPr>
            <w:tcW w:w="1865" w:type="dxa"/>
            <w:tcBorders>
              <w:top w:val="single" w:sz="4" w:space="0" w:color="auto"/>
              <w:left w:val="single" w:sz="4" w:space="0" w:color="auto"/>
              <w:bottom w:val="single" w:sz="4" w:space="0" w:color="auto"/>
              <w:right w:val="single" w:sz="4" w:space="0" w:color="auto"/>
            </w:tcBorders>
          </w:tcPr>
          <w:p w14:paraId="4F993B3B" w14:textId="5D6616B3"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rPr>
            </w:pPr>
            <w:r w:rsidRPr="00E816F1">
              <w:rPr>
                <w:rFonts w:cs="Times New Roman"/>
                <w:sz w:val="20"/>
                <w:szCs w:val="20"/>
              </w:rPr>
              <w:t>S130330</w:t>
            </w:r>
          </w:p>
        </w:tc>
        <w:tc>
          <w:tcPr>
            <w:tcW w:w="2418" w:type="dxa"/>
            <w:tcBorders>
              <w:top w:val="single" w:sz="4" w:space="0" w:color="auto"/>
              <w:left w:val="single" w:sz="4" w:space="0" w:color="auto"/>
              <w:bottom w:val="single" w:sz="4" w:space="0" w:color="auto"/>
              <w:right w:val="single" w:sz="4" w:space="0" w:color="auto"/>
            </w:tcBorders>
          </w:tcPr>
          <w:p w14:paraId="44822C7C" w14:textId="7E0B4433"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779,031</w:t>
            </w:r>
          </w:p>
        </w:tc>
        <w:tc>
          <w:tcPr>
            <w:tcW w:w="2410" w:type="dxa"/>
            <w:tcBorders>
              <w:top w:val="single" w:sz="4" w:space="0" w:color="auto"/>
              <w:left w:val="single" w:sz="4" w:space="0" w:color="auto"/>
              <w:bottom w:val="single" w:sz="4" w:space="0" w:color="auto"/>
              <w:right w:val="single" w:sz="4" w:space="0" w:color="auto"/>
            </w:tcBorders>
          </w:tcPr>
          <w:p w14:paraId="50F17A05" w14:textId="044F43A8"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75,126</w:t>
            </w:r>
          </w:p>
        </w:tc>
        <w:tc>
          <w:tcPr>
            <w:tcW w:w="2409" w:type="dxa"/>
            <w:tcBorders>
              <w:top w:val="single" w:sz="4" w:space="0" w:color="auto"/>
              <w:left w:val="single" w:sz="4" w:space="0" w:color="auto"/>
              <w:bottom w:val="single" w:sz="4" w:space="0" w:color="auto"/>
              <w:right w:val="single" w:sz="4" w:space="0" w:color="auto"/>
            </w:tcBorders>
          </w:tcPr>
          <w:p w14:paraId="5AE2FE03" w14:textId="78C17FD2"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810,366</w:t>
            </w:r>
          </w:p>
        </w:tc>
        <w:tc>
          <w:tcPr>
            <w:tcW w:w="2552" w:type="dxa"/>
            <w:tcBorders>
              <w:top w:val="single" w:sz="4" w:space="0" w:color="auto"/>
              <w:left w:val="single" w:sz="4" w:space="0" w:color="auto"/>
              <w:bottom w:val="single" w:sz="4" w:space="0" w:color="auto"/>
              <w:right w:val="single" w:sz="4" w:space="0" w:color="auto"/>
            </w:tcBorders>
          </w:tcPr>
          <w:p w14:paraId="51379E04" w14:textId="7EFDCB92"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-31,335</w:t>
            </w:r>
          </w:p>
        </w:tc>
        <w:tc>
          <w:tcPr>
            <w:tcW w:w="2410" w:type="dxa"/>
            <w:tcBorders>
              <w:top w:val="single" w:sz="4" w:space="0" w:color="auto"/>
              <w:left w:val="single" w:sz="4" w:space="0" w:color="auto"/>
              <w:bottom w:val="single" w:sz="4" w:space="0" w:color="auto"/>
              <w:right w:val="single" w:sz="4" w:space="0" w:color="auto"/>
            </w:tcBorders>
          </w:tcPr>
          <w:p w14:paraId="5DB5F2FE" w14:textId="2B8230C2" w:rsidR="00E816F1" w:rsidRPr="00E816F1" w:rsidRDefault="00E816F1" w:rsidP="008349F0">
            <w:pPr>
              <w:autoSpaceDE w:val="0"/>
              <w:autoSpaceDN w:val="0"/>
              <w:adjustRightInd w:val="0"/>
              <w:spacing w:after="0"/>
              <w:ind w:firstLine="0"/>
              <w:jc w:val="right"/>
              <w:rPr>
                <w:rFonts w:eastAsia="Times New Roman" w:cs="Times New Roman"/>
                <w:color w:val="000000"/>
                <w:sz w:val="20"/>
                <w:szCs w:val="20"/>
                <w:highlight w:val="lightGray"/>
              </w:rPr>
            </w:pPr>
            <w:r w:rsidRPr="00E816F1">
              <w:rPr>
                <w:rFonts w:cs="Times New Roman"/>
                <w:sz w:val="20"/>
                <w:szCs w:val="20"/>
              </w:rPr>
              <w:t>294,274</w:t>
            </w:r>
          </w:p>
        </w:tc>
      </w:tr>
    </w:tbl>
    <w:p w14:paraId="01556843" w14:textId="58540883" w:rsidR="00847A57" w:rsidRPr="00E816F1" w:rsidRDefault="00847A57" w:rsidP="008349F0">
      <w:pPr>
        <w:widowControl w:val="0"/>
        <w:spacing w:before="120"/>
        <w:ind w:firstLine="0"/>
        <w:rPr>
          <w:rFonts w:eastAsia="Times New Roman" w:cs="Times New Roman"/>
          <w:i/>
          <w:color w:val="000000"/>
          <w:sz w:val="20"/>
        </w:rPr>
      </w:pPr>
      <w:r w:rsidRPr="00E816F1">
        <w:rPr>
          <w:rFonts w:eastAsia="Times New Roman" w:cs="Times New Roman"/>
          <w:i/>
          <w:color w:val="000000"/>
          <w:sz w:val="20"/>
        </w:rPr>
        <w:t>Datu avots: C</w:t>
      </w:r>
      <w:r w:rsidR="005853DD">
        <w:rPr>
          <w:rFonts w:eastAsia="Times New Roman" w:cs="Times New Roman"/>
          <w:i/>
          <w:color w:val="000000"/>
          <w:sz w:val="20"/>
        </w:rPr>
        <w:t>SP (</w:t>
      </w:r>
      <w:r w:rsidR="005853DD" w:rsidRPr="005853DD">
        <w:rPr>
          <w:rFonts w:eastAsia="Times New Roman" w:cs="Times New Roman"/>
          <w:i/>
          <w:color w:val="000000"/>
          <w:sz w:val="20"/>
        </w:rPr>
        <w:t xml:space="preserve">atbilstoši </w:t>
      </w:r>
      <w:r w:rsidR="005853DD">
        <w:rPr>
          <w:rFonts w:eastAsia="Times New Roman" w:cs="Times New Roman"/>
          <w:i/>
          <w:color w:val="000000"/>
          <w:sz w:val="20"/>
        </w:rPr>
        <w:t>2024.</w:t>
      </w:r>
      <w:r w:rsidR="005853DD" w:rsidRPr="005853DD">
        <w:rPr>
          <w:rFonts w:eastAsia="Times New Roman" w:cs="Times New Roman"/>
          <w:i/>
          <w:color w:val="000000"/>
          <w:sz w:val="20"/>
        </w:rPr>
        <w:t xml:space="preserve"> gada 30.</w:t>
      </w:r>
      <w:r w:rsidR="005853DD">
        <w:rPr>
          <w:rFonts w:eastAsia="Times New Roman" w:cs="Times New Roman"/>
          <w:i/>
          <w:color w:val="000000"/>
          <w:sz w:val="20"/>
        </w:rPr>
        <w:t xml:space="preserve"> </w:t>
      </w:r>
      <w:r w:rsidR="005853DD" w:rsidRPr="005853DD">
        <w:rPr>
          <w:rFonts w:eastAsia="Times New Roman" w:cs="Times New Roman"/>
          <w:i/>
          <w:color w:val="000000"/>
          <w:sz w:val="20"/>
        </w:rPr>
        <w:t xml:space="preserve">septembrī iesniegtajiem datiem </w:t>
      </w:r>
      <w:proofErr w:type="spellStart"/>
      <w:r w:rsidR="005853DD" w:rsidRPr="005853DD">
        <w:rPr>
          <w:rFonts w:eastAsia="Times New Roman" w:cs="Times New Roman"/>
          <w:i/>
          <w:color w:val="000000"/>
          <w:sz w:val="20"/>
        </w:rPr>
        <w:t>Eurostat</w:t>
      </w:r>
      <w:proofErr w:type="spellEnd"/>
      <w:r w:rsidR="005853DD" w:rsidRPr="005853DD">
        <w:rPr>
          <w:rFonts w:eastAsia="Times New Roman" w:cs="Times New Roman"/>
          <w:i/>
          <w:color w:val="000000"/>
          <w:sz w:val="20"/>
        </w:rPr>
        <w:t xml:space="preserve"> oktobra notifikācijas vajadzībām</w:t>
      </w:r>
      <w:r w:rsidR="005853DD">
        <w:rPr>
          <w:rFonts w:eastAsia="Times New Roman" w:cs="Times New Roman"/>
          <w:i/>
          <w:color w:val="000000"/>
          <w:sz w:val="20"/>
        </w:rPr>
        <w:t>)</w:t>
      </w:r>
    </w:p>
    <w:p w14:paraId="74F736A4" w14:textId="4AF8353A" w:rsidR="003A0BFD" w:rsidRPr="00FD1578" w:rsidRDefault="005E41CA" w:rsidP="008349F0">
      <w:pPr>
        <w:spacing w:after="0"/>
        <w:ind w:firstLine="0"/>
        <w:jc w:val="left"/>
        <w:rPr>
          <w:rFonts w:cs="Times New Roman"/>
          <w:sz w:val="20"/>
          <w:szCs w:val="20"/>
          <w:highlight w:val="lightGray"/>
        </w:rPr>
      </w:pPr>
      <w:r w:rsidRPr="00FD1578">
        <w:rPr>
          <w:rFonts w:cs="Times New Roman"/>
          <w:sz w:val="20"/>
          <w:szCs w:val="20"/>
          <w:highlight w:val="lightGray"/>
        </w:rPr>
        <w:br w:type="page"/>
      </w:r>
    </w:p>
    <w:p w14:paraId="2226981B" w14:textId="77777777" w:rsidR="00830FA2" w:rsidRPr="00FD1578" w:rsidRDefault="00830FA2" w:rsidP="008349F0">
      <w:pPr>
        <w:widowControl w:val="0"/>
        <w:jc w:val="right"/>
        <w:rPr>
          <w:rFonts w:eastAsia="Times New Roman" w:cs="Times New Roman"/>
          <w:color w:val="000000"/>
        </w:rPr>
      </w:pPr>
      <w:r w:rsidRPr="00FD1578">
        <w:rPr>
          <w:rFonts w:eastAsia="Times New Roman" w:cs="Times New Roman"/>
          <w:color w:val="000000"/>
        </w:rPr>
        <w:lastRenderedPageBreak/>
        <w:t>2. pielikums</w:t>
      </w:r>
    </w:p>
    <w:p w14:paraId="3DA604D9" w14:textId="77777777" w:rsidR="00830FA2" w:rsidRPr="00FD1578" w:rsidRDefault="00830FA2" w:rsidP="008349F0">
      <w:pPr>
        <w:widowControl w:val="0"/>
        <w:jc w:val="right"/>
        <w:rPr>
          <w:rFonts w:eastAsia="Times New Roman" w:cs="Times New Roman"/>
          <w:b/>
          <w:szCs w:val="24"/>
        </w:rPr>
      </w:pPr>
      <w:r w:rsidRPr="00FD1578">
        <w:rPr>
          <w:rFonts w:eastAsia="Times New Roman" w:cs="Times New Roman"/>
          <w:b/>
          <w:szCs w:val="24"/>
        </w:rPr>
        <w:t>Vispārējās valdības sektorā iekļauto kapitālsabiedrību prognozētā ietekme uz vispārējās valdības neto aizdevumiem vai aizņēmumiem (B.9) 2025., 2026. un 2027. gadā</w:t>
      </w:r>
    </w:p>
    <w:p w14:paraId="2514C5C9" w14:textId="77777777" w:rsidR="00830FA2" w:rsidRPr="00FD1578" w:rsidRDefault="00830FA2" w:rsidP="008349F0">
      <w:pPr>
        <w:widowControl w:val="0"/>
        <w:spacing w:after="0"/>
        <w:jc w:val="right"/>
        <w:rPr>
          <w:rFonts w:eastAsia="Times New Roman" w:cs="Times New Roman"/>
          <w:i/>
          <w:sz w:val="20"/>
          <w:szCs w:val="24"/>
        </w:rPr>
      </w:pPr>
    </w:p>
    <w:tbl>
      <w:tblPr>
        <w:tblW w:w="14206" w:type="dxa"/>
        <w:tblLook w:val="04A0" w:firstRow="1" w:lastRow="0" w:firstColumn="1" w:lastColumn="0" w:noHBand="0" w:noVBand="1"/>
      </w:tblPr>
      <w:tblGrid>
        <w:gridCol w:w="1187"/>
        <w:gridCol w:w="6600"/>
        <w:gridCol w:w="2121"/>
        <w:gridCol w:w="2121"/>
        <w:gridCol w:w="2177"/>
      </w:tblGrid>
      <w:tr w:rsidR="00830FA2" w:rsidRPr="00FD1578" w14:paraId="45BBCCBA" w14:textId="77777777" w:rsidTr="00830FA2">
        <w:trPr>
          <w:trHeight w:val="324"/>
          <w:tblHeader/>
        </w:trPr>
        <w:tc>
          <w:tcPr>
            <w:tcW w:w="14206" w:type="dxa"/>
            <w:gridSpan w:val="5"/>
            <w:tcBorders>
              <w:top w:val="single" w:sz="8" w:space="0" w:color="auto"/>
              <w:left w:val="single" w:sz="8" w:space="0" w:color="auto"/>
              <w:bottom w:val="single" w:sz="8" w:space="0" w:color="auto"/>
              <w:right w:val="single" w:sz="8" w:space="0" w:color="000000"/>
            </w:tcBorders>
            <w:shd w:val="clear" w:color="000000" w:fill="9BC2E6"/>
            <w:noWrap/>
            <w:vAlign w:val="center"/>
            <w:hideMark/>
          </w:tcPr>
          <w:p w14:paraId="28F47867" w14:textId="77777777" w:rsidR="00830FA2" w:rsidRPr="00FD1578" w:rsidRDefault="00830FA2" w:rsidP="008349F0">
            <w:pPr>
              <w:spacing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2025</w:t>
            </w:r>
          </w:p>
        </w:tc>
      </w:tr>
      <w:tr w:rsidR="00830FA2" w:rsidRPr="00FD1578" w14:paraId="0545FD60" w14:textId="77777777" w:rsidTr="00830FA2">
        <w:trPr>
          <w:trHeight w:val="738"/>
          <w:tblHeader/>
        </w:trPr>
        <w:tc>
          <w:tcPr>
            <w:tcW w:w="1187" w:type="dxa"/>
            <w:tcBorders>
              <w:top w:val="nil"/>
              <w:left w:val="single" w:sz="8" w:space="0" w:color="auto"/>
              <w:bottom w:val="single" w:sz="8" w:space="0" w:color="auto"/>
              <w:right w:val="single" w:sz="8" w:space="0" w:color="auto"/>
            </w:tcBorders>
            <w:shd w:val="clear" w:color="000000" w:fill="BDD7EE"/>
            <w:noWrap/>
            <w:vAlign w:val="center"/>
            <w:hideMark/>
          </w:tcPr>
          <w:p w14:paraId="50A9D615" w14:textId="77777777" w:rsidR="00830FA2" w:rsidRPr="00FD1578" w:rsidRDefault="00830FA2" w:rsidP="008349F0">
            <w:pPr>
              <w:spacing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N.p.k</w:t>
            </w:r>
            <w:proofErr w:type="spellEnd"/>
            <w:r w:rsidRPr="00FD1578">
              <w:rPr>
                <w:rFonts w:eastAsia="Times New Roman" w:cs="Times New Roman"/>
                <w:color w:val="000000"/>
                <w:sz w:val="18"/>
                <w:szCs w:val="18"/>
              </w:rPr>
              <w:t>.</w:t>
            </w:r>
          </w:p>
        </w:tc>
        <w:tc>
          <w:tcPr>
            <w:tcW w:w="6600" w:type="dxa"/>
            <w:tcBorders>
              <w:top w:val="nil"/>
              <w:left w:val="nil"/>
              <w:bottom w:val="single" w:sz="8" w:space="0" w:color="auto"/>
              <w:right w:val="single" w:sz="8" w:space="0" w:color="auto"/>
            </w:tcBorders>
            <w:shd w:val="clear" w:color="000000" w:fill="BDD7EE"/>
            <w:noWrap/>
            <w:vAlign w:val="center"/>
            <w:hideMark/>
          </w:tcPr>
          <w:p w14:paraId="1E86CDA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BDD7EE"/>
            <w:vAlign w:val="center"/>
            <w:hideMark/>
          </w:tcPr>
          <w:p w14:paraId="348C5A55"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 xml:space="preserve">Ieņēmumi, </w:t>
            </w:r>
            <w:proofErr w:type="spellStart"/>
            <w:r w:rsidRPr="00FD1578">
              <w:rPr>
                <w:rFonts w:eastAsia="Times New Roman" w:cs="Times New Roman"/>
                <w:i/>
                <w:iCs/>
                <w:color w:val="000000"/>
                <w:sz w:val="18"/>
                <w:szCs w:val="18"/>
              </w:rPr>
              <w:t>euro</w:t>
            </w:r>
            <w:proofErr w:type="spellEnd"/>
          </w:p>
        </w:tc>
        <w:tc>
          <w:tcPr>
            <w:tcW w:w="2121" w:type="dxa"/>
            <w:tcBorders>
              <w:top w:val="nil"/>
              <w:left w:val="nil"/>
              <w:bottom w:val="single" w:sz="8" w:space="0" w:color="auto"/>
              <w:right w:val="single" w:sz="8" w:space="0" w:color="auto"/>
            </w:tcBorders>
            <w:shd w:val="clear" w:color="000000" w:fill="BDD7EE"/>
            <w:vAlign w:val="center"/>
            <w:hideMark/>
          </w:tcPr>
          <w:p w14:paraId="0772407B"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 xml:space="preserve">Izdevumi, </w:t>
            </w:r>
            <w:proofErr w:type="spellStart"/>
            <w:r w:rsidRPr="00FD1578">
              <w:rPr>
                <w:rFonts w:eastAsia="Times New Roman" w:cs="Times New Roman"/>
                <w:i/>
                <w:iCs/>
                <w:color w:val="000000"/>
                <w:sz w:val="18"/>
                <w:szCs w:val="18"/>
              </w:rPr>
              <w:t>euro</w:t>
            </w:r>
            <w:proofErr w:type="spellEnd"/>
          </w:p>
        </w:tc>
        <w:tc>
          <w:tcPr>
            <w:tcW w:w="2177" w:type="dxa"/>
            <w:tcBorders>
              <w:top w:val="nil"/>
              <w:left w:val="nil"/>
              <w:bottom w:val="single" w:sz="8" w:space="0" w:color="auto"/>
              <w:right w:val="single" w:sz="8" w:space="0" w:color="auto"/>
            </w:tcBorders>
            <w:shd w:val="clear" w:color="000000" w:fill="BDD7EE"/>
            <w:vAlign w:val="center"/>
            <w:hideMark/>
          </w:tcPr>
          <w:p w14:paraId="45205ABE"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Ietekme uz B.9 neto aizdevumiem (+)/neto aizņēmumiem (-),</w:t>
            </w:r>
            <w:proofErr w:type="spellStart"/>
            <w:r w:rsidRPr="00FD1578">
              <w:rPr>
                <w:rFonts w:eastAsia="Times New Roman" w:cs="Times New Roman"/>
                <w:i/>
                <w:iCs/>
                <w:color w:val="000000"/>
                <w:sz w:val="18"/>
                <w:szCs w:val="18"/>
              </w:rPr>
              <w:t>euro</w:t>
            </w:r>
            <w:proofErr w:type="spellEnd"/>
          </w:p>
        </w:tc>
      </w:tr>
      <w:tr w:rsidR="00830FA2" w:rsidRPr="00FD1578" w14:paraId="22530262" w14:textId="77777777" w:rsidTr="001D67A3">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6915F0E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S130130</w:t>
            </w:r>
          </w:p>
        </w:tc>
        <w:tc>
          <w:tcPr>
            <w:tcW w:w="6600" w:type="dxa"/>
            <w:tcBorders>
              <w:top w:val="nil"/>
              <w:left w:val="nil"/>
              <w:bottom w:val="single" w:sz="8" w:space="0" w:color="auto"/>
              <w:right w:val="single" w:sz="8" w:space="0" w:color="auto"/>
            </w:tcBorders>
            <w:shd w:val="clear" w:color="000000" w:fill="DDEBF7"/>
            <w:noWrap/>
            <w:vAlign w:val="center"/>
            <w:hideMark/>
          </w:tcPr>
          <w:p w14:paraId="09C72A5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Valsts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38AFA7A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45BF113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4E049EF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r>
      <w:tr w:rsidR="00830FA2" w:rsidRPr="00FD1578" w14:paraId="57303B2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58F3A3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1</w:t>
            </w:r>
          </w:p>
        </w:tc>
        <w:tc>
          <w:tcPr>
            <w:tcW w:w="6600" w:type="dxa"/>
            <w:tcBorders>
              <w:top w:val="nil"/>
              <w:left w:val="nil"/>
              <w:bottom w:val="single" w:sz="8" w:space="0" w:color="auto"/>
              <w:right w:val="single" w:sz="8" w:space="0" w:color="auto"/>
            </w:tcBorders>
            <w:shd w:val="clear" w:color="auto" w:fill="auto"/>
            <w:noWrap/>
            <w:hideMark/>
          </w:tcPr>
          <w:p w14:paraId="42B987A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"Bērnu psihoneiroloģiskā slimnīca "Ainaži""</w:t>
            </w:r>
          </w:p>
        </w:tc>
        <w:tc>
          <w:tcPr>
            <w:tcW w:w="2121" w:type="dxa"/>
            <w:tcBorders>
              <w:top w:val="nil"/>
              <w:left w:val="nil"/>
              <w:bottom w:val="single" w:sz="8" w:space="0" w:color="auto"/>
              <w:right w:val="single" w:sz="8" w:space="0" w:color="auto"/>
            </w:tcBorders>
            <w:shd w:val="clear" w:color="auto" w:fill="auto"/>
            <w:noWrap/>
            <w:hideMark/>
          </w:tcPr>
          <w:p w14:paraId="62950D0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2 172 000</w:t>
            </w:r>
          </w:p>
        </w:tc>
        <w:tc>
          <w:tcPr>
            <w:tcW w:w="2121" w:type="dxa"/>
            <w:tcBorders>
              <w:top w:val="nil"/>
              <w:left w:val="nil"/>
              <w:bottom w:val="single" w:sz="8" w:space="0" w:color="auto"/>
              <w:right w:val="single" w:sz="8" w:space="0" w:color="auto"/>
            </w:tcBorders>
            <w:shd w:val="clear" w:color="auto" w:fill="auto"/>
            <w:noWrap/>
            <w:hideMark/>
          </w:tcPr>
          <w:p w14:paraId="0B224BD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2 266 223</w:t>
            </w:r>
          </w:p>
        </w:tc>
        <w:tc>
          <w:tcPr>
            <w:tcW w:w="2177" w:type="dxa"/>
            <w:tcBorders>
              <w:top w:val="nil"/>
              <w:left w:val="nil"/>
              <w:bottom w:val="single" w:sz="8" w:space="0" w:color="auto"/>
              <w:right w:val="single" w:sz="8" w:space="0" w:color="auto"/>
            </w:tcBorders>
            <w:shd w:val="clear" w:color="auto" w:fill="auto"/>
            <w:noWrap/>
            <w:hideMark/>
          </w:tcPr>
          <w:p w14:paraId="3DC55A9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-94 223</w:t>
            </w:r>
          </w:p>
        </w:tc>
      </w:tr>
      <w:tr w:rsidR="00830FA2" w:rsidRPr="00FD1578" w14:paraId="2A6363D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0591B4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2</w:t>
            </w:r>
          </w:p>
        </w:tc>
        <w:tc>
          <w:tcPr>
            <w:tcW w:w="6600" w:type="dxa"/>
            <w:tcBorders>
              <w:top w:val="nil"/>
              <w:left w:val="nil"/>
              <w:bottom w:val="single" w:sz="8" w:space="0" w:color="auto"/>
              <w:right w:val="single" w:sz="8" w:space="0" w:color="auto"/>
            </w:tcBorders>
            <w:shd w:val="clear" w:color="auto" w:fill="auto"/>
            <w:noWrap/>
            <w:hideMark/>
          </w:tcPr>
          <w:p w14:paraId="25787F2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Nodibinājums "Akadēmiskās informācijas centrs"</w:t>
            </w:r>
          </w:p>
        </w:tc>
        <w:tc>
          <w:tcPr>
            <w:tcW w:w="2121" w:type="dxa"/>
            <w:tcBorders>
              <w:top w:val="nil"/>
              <w:left w:val="nil"/>
              <w:bottom w:val="single" w:sz="8" w:space="0" w:color="auto"/>
              <w:right w:val="single" w:sz="8" w:space="0" w:color="auto"/>
            </w:tcBorders>
            <w:shd w:val="clear" w:color="auto" w:fill="auto"/>
            <w:noWrap/>
            <w:hideMark/>
          </w:tcPr>
          <w:p w14:paraId="1AB21D6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241 000</w:t>
            </w:r>
          </w:p>
        </w:tc>
        <w:tc>
          <w:tcPr>
            <w:tcW w:w="2121" w:type="dxa"/>
            <w:tcBorders>
              <w:top w:val="nil"/>
              <w:left w:val="nil"/>
              <w:bottom w:val="single" w:sz="8" w:space="0" w:color="auto"/>
              <w:right w:val="single" w:sz="8" w:space="0" w:color="auto"/>
            </w:tcBorders>
            <w:shd w:val="clear" w:color="auto" w:fill="auto"/>
            <w:noWrap/>
            <w:hideMark/>
          </w:tcPr>
          <w:p w14:paraId="3E1FFC3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1 943 801</w:t>
            </w:r>
          </w:p>
        </w:tc>
        <w:tc>
          <w:tcPr>
            <w:tcW w:w="2177" w:type="dxa"/>
            <w:tcBorders>
              <w:top w:val="nil"/>
              <w:left w:val="nil"/>
              <w:bottom w:val="single" w:sz="8" w:space="0" w:color="auto"/>
              <w:right w:val="single" w:sz="8" w:space="0" w:color="auto"/>
            </w:tcBorders>
            <w:shd w:val="clear" w:color="auto" w:fill="auto"/>
            <w:noWrap/>
            <w:hideMark/>
          </w:tcPr>
          <w:p w14:paraId="6C1CDD5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-1 702 801</w:t>
            </w:r>
          </w:p>
        </w:tc>
      </w:tr>
      <w:tr w:rsidR="00830FA2" w:rsidRPr="00FD1578" w14:paraId="23C127B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1FADD7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3</w:t>
            </w:r>
          </w:p>
        </w:tc>
        <w:tc>
          <w:tcPr>
            <w:tcW w:w="6600" w:type="dxa"/>
            <w:tcBorders>
              <w:top w:val="nil"/>
              <w:left w:val="nil"/>
              <w:bottom w:val="single" w:sz="8" w:space="0" w:color="auto"/>
              <w:right w:val="single" w:sz="8" w:space="0" w:color="auto"/>
            </w:tcBorders>
            <w:shd w:val="clear" w:color="auto" w:fill="auto"/>
            <w:noWrap/>
            <w:hideMark/>
          </w:tcPr>
          <w:p w14:paraId="500E0ED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"Autotransporta direkcija"</w:t>
            </w:r>
          </w:p>
        </w:tc>
        <w:tc>
          <w:tcPr>
            <w:tcW w:w="2121" w:type="dxa"/>
            <w:tcBorders>
              <w:top w:val="nil"/>
              <w:left w:val="nil"/>
              <w:bottom w:val="single" w:sz="8" w:space="0" w:color="auto"/>
              <w:right w:val="single" w:sz="8" w:space="0" w:color="auto"/>
            </w:tcBorders>
            <w:shd w:val="clear" w:color="auto" w:fill="auto"/>
            <w:noWrap/>
            <w:hideMark/>
          </w:tcPr>
          <w:p w14:paraId="465B4EC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3 861 061</w:t>
            </w:r>
          </w:p>
        </w:tc>
        <w:tc>
          <w:tcPr>
            <w:tcW w:w="2121" w:type="dxa"/>
            <w:tcBorders>
              <w:top w:val="nil"/>
              <w:left w:val="nil"/>
              <w:bottom w:val="single" w:sz="8" w:space="0" w:color="auto"/>
              <w:right w:val="single" w:sz="8" w:space="0" w:color="auto"/>
            </w:tcBorders>
            <w:shd w:val="clear" w:color="auto" w:fill="auto"/>
            <w:noWrap/>
            <w:hideMark/>
          </w:tcPr>
          <w:p w14:paraId="37EAF76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3 956 434</w:t>
            </w:r>
          </w:p>
        </w:tc>
        <w:tc>
          <w:tcPr>
            <w:tcW w:w="2177" w:type="dxa"/>
            <w:tcBorders>
              <w:top w:val="nil"/>
              <w:left w:val="nil"/>
              <w:bottom w:val="single" w:sz="8" w:space="0" w:color="auto"/>
              <w:right w:val="single" w:sz="8" w:space="0" w:color="auto"/>
            </w:tcBorders>
            <w:shd w:val="clear" w:color="auto" w:fill="auto"/>
            <w:noWrap/>
            <w:hideMark/>
          </w:tcPr>
          <w:p w14:paraId="4C20DCB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-95 373</w:t>
            </w:r>
          </w:p>
        </w:tc>
      </w:tr>
      <w:tr w:rsidR="00830FA2" w:rsidRPr="00FD1578" w14:paraId="618ACC1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41D3DE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4</w:t>
            </w:r>
          </w:p>
        </w:tc>
        <w:tc>
          <w:tcPr>
            <w:tcW w:w="6600" w:type="dxa"/>
            <w:tcBorders>
              <w:top w:val="nil"/>
              <w:left w:val="nil"/>
              <w:bottom w:val="single" w:sz="8" w:space="0" w:color="auto"/>
              <w:right w:val="single" w:sz="8" w:space="0" w:color="auto"/>
            </w:tcBorders>
            <w:shd w:val="clear" w:color="auto" w:fill="auto"/>
            <w:noWrap/>
            <w:hideMark/>
          </w:tcPr>
          <w:p w14:paraId="30DD412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VSIA </w:t>
            </w:r>
            <w:r w:rsidRPr="00FD1578">
              <w:rPr>
                <w:rFonts w:eastAsia="Calibri" w:cs="Times New Roman"/>
                <w:sz w:val="18"/>
                <w:szCs w:val="18"/>
                <w:lang w:eastAsia="en-US"/>
              </w:rPr>
              <w:t>"</w:t>
            </w:r>
            <w:r w:rsidRPr="00FD1578">
              <w:rPr>
                <w:rFonts w:eastAsia="Times New Roman" w:cs="Times New Roman"/>
                <w:color w:val="000000"/>
                <w:sz w:val="18"/>
                <w:szCs w:val="18"/>
              </w:rPr>
              <w:t>Bērnu klīniskā universitātes slimnīca</w:t>
            </w:r>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331A4F4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81 204 616</w:t>
            </w:r>
          </w:p>
        </w:tc>
        <w:tc>
          <w:tcPr>
            <w:tcW w:w="2121" w:type="dxa"/>
            <w:tcBorders>
              <w:top w:val="nil"/>
              <w:left w:val="nil"/>
              <w:bottom w:val="single" w:sz="8" w:space="0" w:color="auto"/>
              <w:right w:val="single" w:sz="8" w:space="0" w:color="auto"/>
            </w:tcBorders>
            <w:shd w:val="clear" w:color="auto" w:fill="auto"/>
            <w:noWrap/>
            <w:hideMark/>
          </w:tcPr>
          <w:p w14:paraId="135F971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78 516 439</w:t>
            </w:r>
          </w:p>
        </w:tc>
        <w:tc>
          <w:tcPr>
            <w:tcW w:w="2177" w:type="dxa"/>
            <w:tcBorders>
              <w:top w:val="nil"/>
              <w:left w:val="nil"/>
              <w:bottom w:val="single" w:sz="8" w:space="0" w:color="auto"/>
              <w:right w:val="single" w:sz="8" w:space="0" w:color="auto"/>
            </w:tcBorders>
            <w:shd w:val="clear" w:color="auto" w:fill="auto"/>
            <w:noWrap/>
            <w:hideMark/>
          </w:tcPr>
          <w:p w14:paraId="5534B18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2 688 177</w:t>
            </w:r>
          </w:p>
        </w:tc>
      </w:tr>
      <w:tr w:rsidR="00830FA2" w:rsidRPr="00FD1578" w14:paraId="4D58C2A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4C4CF4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5</w:t>
            </w:r>
          </w:p>
        </w:tc>
        <w:tc>
          <w:tcPr>
            <w:tcW w:w="6600" w:type="dxa"/>
            <w:tcBorders>
              <w:top w:val="nil"/>
              <w:left w:val="nil"/>
              <w:bottom w:val="single" w:sz="8" w:space="0" w:color="auto"/>
              <w:right w:val="single" w:sz="8" w:space="0" w:color="auto"/>
            </w:tcBorders>
            <w:shd w:val="clear" w:color="auto" w:fill="auto"/>
            <w:noWrap/>
            <w:hideMark/>
          </w:tcPr>
          <w:p w14:paraId="2D5165E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SIA </w:t>
            </w:r>
            <w:r w:rsidRPr="00FD1578">
              <w:rPr>
                <w:rFonts w:eastAsia="Calibri" w:cs="Times New Roman"/>
                <w:sz w:val="18"/>
                <w:szCs w:val="18"/>
                <w:lang w:eastAsia="en-US"/>
              </w:rPr>
              <w:t>"</w:t>
            </w:r>
            <w:r w:rsidRPr="00FD1578">
              <w:rPr>
                <w:rFonts w:eastAsia="Times New Roman" w:cs="Times New Roman"/>
                <w:color w:val="000000"/>
                <w:sz w:val="18"/>
                <w:szCs w:val="18"/>
              </w:rPr>
              <w:t>Veselības centrs "Biķernieki"</w:t>
            </w:r>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26BE6FB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3 425 800</w:t>
            </w:r>
          </w:p>
        </w:tc>
        <w:tc>
          <w:tcPr>
            <w:tcW w:w="2121" w:type="dxa"/>
            <w:tcBorders>
              <w:top w:val="nil"/>
              <w:left w:val="nil"/>
              <w:bottom w:val="single" w:sz="8" w:space="0" w:color="auto"/>
              <w:right w:val="single" w:sz="8" w:space="0" w:color="auto"/>
            </w:tcBorders>
            <w:shd w:val="clear" w:color="auto" w:fill="auto"/>
            <w:noWrap/>
            <w:hideMark/>
          </w:tcPr>
          <w:p w14:paraId="72CF6B9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3 417 442</w:t>
            </w:r>
          </w:p>
        </w:tc>
        <w:tc>
          <w:tcPr>
            <w:tcW w:w="2177" w:type="dxa"/>
            <w:tcBorders>
              <w:top w:val="nil"/>
              <w:left w:val="nil"/>
              <w:bottom w:val="single" w:sz="8" w:space="0" w:color="auto"/>
              <w:right w:val="single" w:sz="8" w:space="0" w:color="auto"/>
            </w:tcBorders>
            <w:shd w:val="clear" w:color="auto" w:fill="auto"/>
            <w:noWrap/>
            <w:hideMark/>
          </w:tcPr>
          <w:p w14:paraId="1A5F194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8 358</w:t>
            </w:r>
          </w:p>
        </w:tc>
      </w:tr>
      <w:tr w:rsidR="00830FA2" w:rsidRPr="00FD1578" w14:paraId="1DDC4D4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12F898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6</w:t>
            </w:r>
          </w:p>
        </w:tc>
        <w:tc>
          <w:tcPr>
            <w:tcW w:w="6600" w:type="dxa"/>
            <w:tcBorders>
              <w:top w:val="nil"/>
              <w:left w:val="nil"/>
              <w:bottom w:val="single" w:sz="8" w:space="0" w:color="auto"/>
              <w:right w:val="single" w:sz="8" w:space="0" w:color="auto"/>
            </w:tcBorders>
            <w:shd w:val="clear" w:color="auto" w:fill="auto"/>
            <w:noWrap/>
            <w:hideMark/>
          </w:tcPr>
          <w:p w14:paraId="77BC079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 xml:space="preserve">VSIA </w:t>
            </w:r>
            <w:r w:rsidRPr="00FD1578">
              <w:rPr>
                <w:rFonts w:eastAsia="Times New Roman" w:cs="Times New Roman"/>
                <w:color w:val="000000"/>
                <w:sz w:val="18"/>
                <w:szCs w:val="18"/>
              </w:rPr>
              <w:t>"</w:t>
            </w:r>
            <w:r w:rsidRPr="00FD1578">
              <w:rPr>
                <w:rFonts w:eastAsia="Calibri" w:cs="Times New Roman"/>
                <w:sz w:val="18"/>
                <w:szCs w:val="18"/>
                <w:lang w:eastAsia="en-US"/>
              </w:rPr>
              <w:t>Bulduru Dārzkopības vidusskola</w:t>
            </w:r>
            <w:r w:rsidRPr="00FD1578">
              <w:rPr>
                <w:rFonts w:eastAsia="Times New Roman" w:cs="Times New Roman"/>
                <w:color w:val="000000"/>
                <w:sz w:val="18"/>
                <w:szCs w:val="18"/>
              </w:rPr>
              <w:t>"</w:t>
            </w:r>
          </w:p>
        </w:tc>
        <w:tc>
          <w:tcPr>
            <w:tcW w:w="2121" w:type="dxa"/>
            <w:tcBorders>
              <w:top w:val="nil"/>
              <w:left w:val="nil"/>
              <w:bottom w:val="single" w:sz="8" w:space="0" w:color="auto"/>
              <w:right w:val="single" w:sz="8" w:space="0" w:color="auto"/>
            </w:tcBorders>
            <w:shd w:val="clear" w:color="auto" w:fill="auto"/>
            <w:noWrap/>
            <w:hideMark/>
          </w:tcPr>
          <w:p w14:paraId="037BF5E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840 000</w:t>
            </w:r>
          </w:p>
        </w:tc>
        <w:tc>
          <w:tcPr>
            <w:tcW w:w="2121" w:type="dxa"/>
            <w:tcBorders>
              <w:top w:val="nil"/>
              <w:left w:val="nil"/>
              <w:bottom w:val="single" w:sz="8" w:space="0" w:color="auto"/>
              <w:right w:val="single" w:sz="8" w:space="0" w:color="auto"/>
            </w:tcBorders>
            <w:shd w:val="clear" w:color="auto" w:fill="auto"/>
            <w:noWrap/>
            <w:hideMark/>
          </w:tcPr>
          <w:p w14:paraId="4594CAA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956 500</w:t>
            </w:r>
          </w:p>
        </w:tc>
        <w:tc>
          <w:tcPr>
            <w:tcW w:w="2177" w:type="dxa"/>
            <w:tcBorders>
              <w:top w:val="nil"/>
              <w:left w:val="nil"/>
              <w:bottom w:val="single" w:sz="8" w:space="0" w:color="auto"/>
              <w:right w:val="single" w:sz="8" w:space="0" w:color="auto"/>
            </w:tcBorders>
            <w:shd w:val="clear" w:color="auto" w:fill="auto"/>
            <w:noWrap/>
            <w:hideMark/>
          </w:tcPr>
          <w:p w14:paraId="782E28B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-116 500</w:t>
            </w:r>
          </w:p>
        </w:tc>
      </w:tr>
      <w:tr w:rsidR="00830FA2" w:rsidRPr="00FD1578" w14:paraId="6571872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78E103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7</w:t>
            </w:r>
          </w:p>
        </w:tc>
        <w:tc>
          <w:tcPr>
            <w:tcW w:w="6600" w:type="dxa"/>
            <w:tcBorders>
              <w:top w:val="nil"/>
              <w:left w:val="nil"/>
              <w:bottom w:val="single" w:sz="8" w:space="0" w:color="auto"/>
              <w:right w:val="single" w:sz="8" w:space="0" w:color="auto"/>
            </w:tcBorders>
            <w:shd w:val="clear" w:color="auto" w:fill="auto"/>
            <w:noWrap/>
            <w:hideMark/>
          </w:tcPr>
          <w:p w14:paraId="1011AD6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VAS "Ceļu satiksmes drošības direkcija"</w:t>
            </w:r>
          </w:p>
        </w:tc>
        <w:tc>
          <w:tcPr>
            <w:tcW w:w="2121" w:type="dxa"/>
            <w:tcBorders>
              <w:top w:val="nil"/>
              <w:left w:val="nil"/>
              <w:bottom w:val="single" w:sz="8" w:space="0" w:color="auto"/>
              <w:right w:val="single" w:sz="8" w:space="0" w:color="auto"/>
            </w:tcBorders>
            <w:shd w:val="clear" w:color="auto" w:fill="auto"/>
            <w:noWrap/>
            <w:hideMark/>
          </w:tcPr>
          <w:p w14:paraId="11363FE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65 895 700</w:t>
            </w:r>
          </w:p>
        </w:tc>
        <w:tc>
          <w:tcPr>
            <w:tcW w:w="2121" w:type="dxa"/>
            <w:tcBorders>
              <w:top w:val="nil"/>
              <w:left w:val="nil"/>
              <w:bottom w:val="single" w:sz="8" w:space="0" w:color="auto"/>
              <w:right w:val="single" w:sz="8" w:space="0" w:color="auto"/>
            </w:tcBorders>
            <w:shd w:val="clear" w:color="auto" w:fill="auto"/>
            <w:noWrap/>
            <w:hideMark/>
          </w:tcPr>
          <w:p w14:paraId="693F5C6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64 532 250</w:t>
            </w:r>
          </w:p>
        </w:tc>
        <w:tc>
          <w:tcPr>
            <w:tcW w:w="2177" w:type="dxa"/>
            <w:tcBorders>
              <w:top w:val="nil"/>
              <w:left w:val="nil"/>
              <w:bottom w:val="single" w:sz="8" w:space="0" w:color="auto"/>
              <w:right w:val="single" w:sz="8" w:space="0" w:color="auto"/>
            </w:tcBorders>
            <w:shd w:val="clear" w:color="auto" w:fill="auto"/>
            <w:noWrap/>
            <w:hideMark/>
          </w:tcPr>
          <w:p w14:paraId="3EC9F96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1 363 450</w:t>
            </w:r>
          </w:p>
        </w:tc>
      </w:tr>
      <w:tr w:rsidR="00830FA2" w:rsidRPr="00FD1578" w14:paraId="0E3A8B2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4F5BFAB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8</w:t>
            </w:r>
          </w:p>
        </w:tc>
        <w:tc>
          <w:tcPr>
            <w:tcW w:w="6600" w:type="dxa"/>
            <w:tcBorders>
              <w:top w:val="nil"/>
              <w:left w:val="nil"/>
              <w:bottom w:val="single" w:sz="8" w:space="0" w:color="auto"/>
              <w:right w:val="single" w:sz="8" w:space="0" w:color="auto"/>
            </w:tcBorders>
            <w:shd w:val="clear" w:color="auto" w:fill="auto"/>
            <w:noWrap/>
            <w:hideMark/>
          </w:tcPr>
          <w:p w14:paraId="16ADA30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"Daugavpils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1E553DD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26 813 858</w:t>
            </w:r>
          </w:p>
        </w:tc>
        <w:tc>
          <w:tcPr>
            <w:tcW w:w="2121" w:type="dxa"/>
            <w:tcBorders>
              <w:top w:val="nil"/>
              <w:left w:val="nil"/>
              <w:bottom w:val="single" w:sz="8" w:space="0" w:color="auto"/>
              <w:right w:val="single" w:sz="8" w:space="0" w:color="auto"/>
            </w:tcBorders>
            <w:shd w:val="clear" w:color="auto" w:fill="auto"/>
            <w:noWrap/>
            <w:hideMark/>
          </w:tcPr>
          <w:p w14:paraId="4732D85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26 924 826</w:t>
            </w:r>
          </w:p>
        </w:tc>
        <w:tc>
          <w:tcPr>
            <w:tcW w:w="2177" w:type="dxa"/>
            <w:tcBorders>
              <w:top w:val="nil"/>
              <w:left w:val="nil"/>
              <w:bottom w:val="single" w:sz="8" w:space="0" w:color="auto"/>
              <w:right w:val="single" w:sz="8" w:space="0" w:color="auto"/>
            </w:tcBorders>
            <w:shd w:val="clear" w:color="auto" w:fill="auto"/>
            <w:noWrap/>
            <w:hideMark/>
          </w:tcPr>
          <w:p w14:paraId="04A377E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-110 968</w:t>
            </w:r>
          </w:p>
        </w:tc>
      </w:tr>
      <w:tr w:rsidR="00830FA2" w:rsidRPr="00FD1578" w14:paraId="54E9FBD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76F9AC5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9</w:t>
            </w:r>
          </w:p>
        </w:tc>
        <w:tc>
          <w:tcPr>
            <w:tcW w:w="6600" w:type="dxa"/>
            <w:tcBorders>
              <w:top w:val="nil"/>
              <w:left w:val="nil"/>
              <w:bottom w:val="single" w:sz="8" w:space="0" w:color="auto"/>
              <w:right w:val="single" w:sz="8" w:space="0" w:color="auto"/>
            </w:tcBorders>
            <w:shd w:val="clear" w:color="auto" w:fill="auto"/>
            <w:noWrap/>
            <w:hideMark/>
          </w:tcPr>
          <w:p w14:paraId="6355568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"Daugavpils teātris"</w:t>
            </w:r>
          </w:p>
        </w:tc>
        <w:tc>
          <w:tcPr>
            <w:tcW w:w="2121" w:type="dxa"/>
            <w:tcBorders>
              <w:top w:val="nil"/>
              <w:left w:val="nil"/>
              <w:bottom w:val="single" w:sz="8" w:space="0" w:color="auto"/>
              <w:right w:val="single" w:sz="8" w:space="0" w:color="auto"/>
            </w:tcBorders>
            <w:shd w:val="clear" w:color="auto" w:fill="auto"/>
            <w:noWrap/>
            <w:hideMark/>
          </w:tcPr>
          <w:p w14:paraId="5BE5597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2 708 321</w:t>
            </w:r>
          </w:p>
        </w:tc>
        <w:tc>
          <w:tcPr>
            <w:tcW w:w="2121" w:type="dxa"/>
            <w:tcBorders>
              <w:top w:val="nil"/>
              <w:left w:val="nil"/>
              <w:bottom w:val="single" w:sz="8" w:space="0" w:color="auto"/>
              <w:right w:val="single" w:sz="8" w:space="0" w:color="auto"/>
            </w:tcBorders>
            <w:shd w:val="clear" w:color="auto" w:fill="auto"/>
            <w:noWrap/>
            <w:hideMark/>
          </w:tcPr>
          <w:p w14:paraId="08A66E6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2 706 490</w:t>
            </w:r>
          </w:p>
        </w:tc>
        <w:tc>
          <w:tcPr>
            <w:tcW w:w="2177" w:type="dxa"/>
            <w:tcBorders>
              <w:top w:val="nil"/>
              <w:left w:val="nil"/>
              <w:bottom w:val="single" w:sz="8" w:space="0" w:color="auto"/>
              <w:right w:val="single" w:sz="8" w:space="0" w:color="auto"/>
            </w:tcBorders>
            <w:shd w:val="clear" w:color="auto" w:fill="auto"/>
            <w:noWrap/>
            <w:hideMark/>
          </w:tcPr>
          <w:p w14:paraId="73E5E0B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1 831</w:t>
            </w:r>
          </w:p>
        </w:tc>
      </w:tr>
      <w:tr w:rsidR="00830FA2" w:rsidRPr="00FD1578" w14:paraId="035B90A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2F6FEFA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w:t>
            </w:r>
          </w:p>
        </w:tc>
        <w:tc>
          <w:tcPr>
            <w:tcW w:w="6600" w:type="dxa"/>
            <w:tcBorders>
              <w:top w:val="nil"/>
              <w:left w:val="nil"/>
              <w:bottom w:val="single" w:sz="8" w:space="0" w:color="auto"/>
              <w:right w:val="single" w:sz="8" w:space="0" w:color="auto"/>
            </w:tcBorders>
            <w:shd w:val="clear" w:color="auto" w:fill="auto"/>
            <w:noWrap/>
          </w:tcPr>
          <w:p w14:paraId="744AA7FF"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"Eiropas Dzelzceļa līnijas"</w:t>
            </w:r>
          </w:p>
        </w:tc>
        <w:tc>
          <w:tcPr>
            <w:tcW w:w="2121" w:type="dxa"/>
            <w:tcBorders>
              <w:top w:val="nil"/>
              <w:left w:val="nil"/>
              <w:bottom w:val="single" w:sz="8" w:space="0" w:color="auto"/>
              <w:right w:val="single" w:sz="8" w:space="0" w:color="auto"/>
            </w:tcBorders>
            <w:shd w:val="clear" w:color="auto" w:fill="auto"/>
            <w:noWrap/>
          </w:tcPr>
          <w:p w14:paraId="6F1BCDE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tcPr>
          <w:p w14:paraId="18B72941"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tcPr>
          <w:p w14:paraId="45B672B6"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0</w:t>
            </w:r>
          </w:p>
        </w:tc>
      </w:tr>
      <w:tr w:rsidR="00830FA2" w:rsidRPr="00FD1578" w14:paraId="18F2FF5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6AC8222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w:t>
            </w:r>
          </w:p>
        </w:tc>
        <w:tc>
          <w:tcPr>
            <w:tcW w:w="6600" w:type="dxa"/>
            <w:tcBorders>
              <w:top w:val="nil"/>
              <w:left w:val="nil"/>
              <w:bottom w:val="single" w:sz="8" w:space="0" w:color="auto"/>
              <w:right w:val="single" w:sz="8" w:space="0" w:color="auto"/>
            </w:tcBorders>
            <w:shd w:val="clear" w:color="auto" w:fill="auto"/>
            <w:noWrap/>
            <w:hideMark/>
          </w:tcPr>
          <w:p w14:paraId="1AD38F8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"Enerģijas publiskais tirgotājs"</w:t>
            </w:r>
          </w:p>
        </w:tc>
        <w:tc>
          <w:tcPr>
            <w:tcW w:w="2121" w:type="dxa"/>
            <w:tcBorders>
              <w:top w:val="nil"/>
              <w:left w:val="nil"/>
              <w:bottom w:val="single" w:sz="8" w:space="0" w:color="auto"/>
              <w:right w:val="single" w:sz="8" w:space="0" w:color="auto"/>
            </w:tcBorders>
            <w:shd w:val="clear" w:color="auto" w:fill="auto"/>
            <w:noWrap/>
            <w:hideMark/>
          </w:tcPr>
          <w:p w14:paraId="4135379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30 039 695</w:t>
            </w:r>
          </w:p>
        </w:tc>
        <w:tc>
          <w:tcPr>
            <w:tcW w:w="2121" w:type="dxa"/>
            <w:tcBorders>
              <w:top w:val="nil"/>
              <w:left w:val="nil"/>
              <w:bottom w:val="single" w:sz="8" w:space="0" w:color="auto"/>
              <w:right w:val="single" w:sz="8" w:space="0" w:color="auto"/>
            </w:tcBorders>
            <w:shd w:val="clear" w:color="auto" w:fill="auto"/>
            <w:noWrap/>
            <w:hideMark/>
          </w:tcPr>
          <w:p w14:paraId="31A2224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71 379 053</w:t>
            </w:r>
          </w:p>
        </w:tc>
        <w:tc>
          <w:tcPr>
            <w:tcW w:w="2177" w:type="dxa"/>
            <w:tcBorders>
              <w:top w:val="nil"/>
              <w:left w:val="nil"/>
              <w:bottom w:val="single" w:sz="8" w:space="0" w:color="auto"/>
              <w:right w:val="single" w:sz="8" w:space="0" w:color="auto"/>
            </w:tcBorders>
            <w:shd w:val="clear" w:color="auto" w:fill="auto"/>
            <w:noWrap/>
            <w:hideMark/>
          </w:tcPr>
          <w:p w14:paraId="340AAF4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-41 339 358</w:t>
            </w:r>
          </w:p>
        </w:tc>
      </w:tr>
      <w:tr w:rsidR="00830FA2" w:rsidRPr="00FD1578" w14:paraId="33CA4E4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D39E66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12</w:t>
            </w:r>
          </w:p>
        </w:tc>
        <w:tc>
          <w:tcPr>
            <w:tcW w:w="6600" w:type="dxa"/>
            <w:tcBorders>
              <w:top w:val="nil"/>
              <w:left w:val="nil"/>
              <w:bottom w:val="single" w:sz="8" w:space="0" w:color="auto"/>
              <w:right w:val="single" w:sz="8" w:space="0" w:color="auto"/>
            </w:tcBorders>
            <w:shd w:val="clear" w:color="auto" w:fill="auto"/>
            <w:noWrap/>
            <w:hideMark/>
          </w:tcPr>
          <w:p w14:paraId="7148A95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FeLM</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0B94BFE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6493BAC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1271D37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32BC502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7329CFA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w:t>
            </w:r>
          </w:p>
        </w:tc>
        <w:tc>
          <w:tcPr>
            <w:tcW w:w="6600" w:type="dxa"/>
            <w:tcBorders>
              <w:top w:val="nil"/>
              <w:left w:val="nil"/>
              <w:bottom w:val="single" w:sz="8" w:space="0" w:color="auto"/>
              <w:right w:val="single" w:sz="8" w:space="0" w:color="auto"/>
            </w:tcBorders>
            <w:shd w:val="clear" w:color="auto" w:fill="auto"/>
            <w:noWrap/>
            <w:hideMark/>
          </w:tcPr>
          <w:p w14:paraId="2610666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"Slimnīca "</w:t>
            </w:r>
            <w:proofErr w:type="spellStart"/>
            <w:r w:rsidRPr="00FD1578">
              <w:rPr>
                <w:rFonts w:eastAsia="Calibri" w:cs="Times New Roman"/>
                <w:sz w:val="18"/>
                <w:szCs w:val="18"/>
                <w:lang w:eastAsia="en-US"/>
              </w:rPr>
              <w:t>Ģintermuiža</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5E3464F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13 673 613</w:t>
            </w:r>
          </w:p>
        </w:tc>
        <w:tc>
          <w:tcPr>
            <w:tcW w:w="2121" w:type="dxa"/>
            <w:tcBorders>
              <w:top w:val="nil"/>
              <w:left w:val="nil"/>
              <w:bottom w:val="single" w:sz="8" w:space="0" w:color="auto"/>
              <w:right w:val="single" w:sz="8" w:space="0" w:color="auto"/>
            </w:tcBorders>
            <w:shd w:val="clear" w:color="auto" w:fill="auto"/>
            <w:noWrap/>
            <w:hideMark/>
          </w:tcPr>
          <w:p w14:paraId="1B1132E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13 840 910</w:t>
            </w:r>
          </w:p>
        </w:tc>
        <w:tc>
          <w:tcPr>
            <w:tcW w:w="2177" w:type="dxa"/>
            <w:tcBorders>
              <w:top w:val="nil"/>
              <w:left w:val="nil"/>
              <w:bottom w:val="single" w:sz="8" w:space="0" w:color="auto"/>
              <w:right w:val="single" w:sz="8" w:space="0" w:color="auto"/>
            </w:tcBorders>
            <w:shd w:val="clear" w:color="auto" w:fill="auto"/>
            <w:noWrap/>
            <w:hideMark/>
          </w:tcPr>
          <w:p w14:paraId="7DDA174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-167 297</w:t>
            </w:r>
          </w:p>
        </w:tc>
      </w:tr>
      <w:tr w:rsidR="00830FA2" w:rsidRPr="00FD1578" w14:paraId="56072CA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7D5B626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w:t>
            </w:r>
          </w:p>
        </w:tc>
        <w:tc>
          <w:tcPr>
            <w:tcW w:w="6600" w:type="dxa"/>
            <w:tcBorders>
              <w:top w:val="nil"/>
              <w:left w:val="nil"/>
              <w:bottom w:val="single" w:sz="8" w:space="0" w:color="auto"/>
              <w:right w:val="single" w:sz="8" w:space="0" w:color="auto"/>
            </w:tcBorders>
            <w:shd w:val="clear" w:color="auto" w:fill="auto"/>
            <w:hideMark/>
          </w:tcPr>
          <w:p w14:paraId="35DABD6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w:t>
            </w:r>
            <w:proofErr w:type="spellStart"/>
            <w:r w:rsidRPr="00FD1578">
              <w:rPr>
                <w:rFonts w:eastAsia="Calibri" w:cs="Times New Roman"/>
                <w:sz w:val="18"/>
                <w:szCs w:val="18"/>
                <w:lang w:eastAsia="en-US"/>
              </w:rPr>
              <w:t>Iekšlietu</w:t>
            </w:r>
            <w:proofErr w:type="spellEnd"/>
            <w:r w:rsidRPr="00FD1578">
              <w:rPr>
                <w:rFonts w:eastAsia="Calibri" w:cs="Times New Roman"/>
                <w:sz w:val="18"/>
                <w:szCs w:val="18"/>
                <w:lang w:eastAsia="en-US"/>
              </w:rPr>
              <w:t xml:space="preserve"> ministrijas poliklīnika"</w:t>
            </w:r>
          </w:p>
        </w:tc>
        <w:tc>
          <w:tcPr>
            <w:tcW w:w="2121" w:type="dxa"/>
            <w:tcBorders>
              <w:top w:val="nil"/>
              <w:left w:val="nil"/>
              <w:bottom w:val="single" w:sz="8" w:space="0" w:color="auto"/>
              <w:right w:val="single" w:sz="8" w:space="0" w:color="auto"/>
            </w:tcBorders>
            <w:shd w:val="clear" w:color="auto" w:fill="auto"/>
            <w:noWrap/>
            <w:hideMark/>
          </w:tcPr>
          <w:p w14:paraId="23A18E1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2 998 250</w:t>
            </w:r>
          </w:p>
        </w:tc>
        <w:tc>
          <w:tcPr>
            <w:tcW w:w="2121" w:type="dxa"/>
            <w:tcBorders>
              <w:top w:val="nil"/>
              <w:left w:val="nil"/>
              <w:bottom w:val="single" w:sz="8" w:space="0" w:color="auto"/>
              <w:right w:val="single" w:sz="8" w:space="0" w:color="auto"/>
            </w:tcBorders>
            <w:shd w:val="clear" w:color="auto" w:fill="auto"/>
            <w:noWrap/>
            <w:hideMark/>
          </w:tcPr>
          <w:p w14:paraId="07D592A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2 969 506</w:t>
            </w:r>
          </w:p>
        </w:tc>
        <w:tc>
          <w:tcPr>
            <w:tcW w:w="2177" w:type="dxa"/>
            <w:tcBorders>
              <w:top w:val="nil"/>
              <w:left w:val="nil"/>
              <w:bottom w:val="single" w:sz="8" w:space="0" w:color="auto"/>
              <w:right w:val="single" w:sz="8" w:space="0" w:color="auto"/>
            </w:tcBorders>
            <w:shd w:val="clear" w:color="auto" w:fill="auto"/>
            <w:noWrap/>
            <w:hideMark/>
          </w:tcPr>
          <w:p w14:paraId="2767D94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28 744</w:t>
            </w:r>
          </w:p>
        </w:tc>
      </w:tr>
      <w:tr w:rsidR="00830FA2" w:rsidRPr="00FD1578" w14:paraId="5057CC2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6C48841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15</w:t>
            </w:r>
          </w:p>
        </w:tc>
        <w:tc>
          <w:tcPr>
            <w:tcW w:w="6600" w:type="dxa"/>
            <w:tcBorders>
              <w:top w:val="nil"/>
              <w:left w:val="nil"/>
              <w:bottom w:val="single" w:sz="8" w:space="0" w:color="auto"/>
              <w:right w:val="single" w:sz="8" w:space="0" w:color="auto"/>
            </w:tcBorders>
            <w:shd w:val="clear" w:color="auto" w:fill="auto"/>
            <w:hideMark/>
          </w:tcPr>
          <w:p w14:paraId="3500518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w:t>
            </w:r>
            <w:proofErr w:type="spellStart"/>
            <w:r w:rsidRPr="00FD1578">
              <w:rPr>
                <w:rFonts w:eastAsia="Calibri" w:cs="Times New Roman"/>
                <w:sz w:val="18"/>
                <w:szCs w:val="18"/>
                <w:lang w:eastAsia="en-US"/>
              </w:rPr>
              <w:t>LatRailNet</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6843921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1 584 670</w:t>
            </w:r>
          </w:p>
        </w:tc>
        <w:tc>
          <w:tcPr>
            <w:tcW w:w="2121" w:type="dxa"/>
            <w:tcBorders>
              <w:top w:val="nil"/>
              <w:left w:val="nil"/>
              <w:bottom w:val="single" w:sz="8" w:space="0" w:color="auto"/>
              <w:right w:val="single" w:sz="8" w:space="0" w:color="auto"/>
            </w:tcBorders>
            <w:shd w:val="clear" w:color="auto" w:fill="auto"/>
            <w:noWrap/>
            <w:hideMark/>
          </w:tcPr>
          <w:p w14:paraId="03492A9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1 584 670</w:t>
            </w:r>
          </w:p>
        </w:tc>
        <w:tc>
          <w:tcPr>
            <w:tcW w:w="2177" w:type="dxa"/>
            <w:tcBorders>
              <w:top w:val="nil"/>
              <w:left w:val="nil"/>
              <w:bottom w:val="single" w:sz="8" w:space="0" w:color="auto"/>
              <w:right w:val="single" w:sz="8" w:space="0" w:color="auto"/>
            </w:tcBorders>
            <w:shd w:val="clear" w:color="auto" w:fill="auto"/>
            <w:noWrap/>
            <w:hideMark/>
          </w:tcPr>
          <w:p w14:paraId="28F4BF3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2C0C3AF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340406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16</w:t>
            </w:r>
          </w:p>
        </w:tc>
        <w:tc>
          <w:tcPr>
            <w:tcW w:w="6600" w:type="dxa"/>
            <w:tcBorders>
              <w:top w:val="nil"/>
              <w:left w:val="nil"/>
              <w:bottom w:val="single" w:sz="8" w:space="0" w:color="auto"/>
              <w:right w:val="single" w:sz="8" w:space="0" w:color="auto"/>
            </w:tcBorders>
            <w:shd w:val="clear" w:color="auto" w:fill="auto"/>
            <w:noWrap/>
            <w:hideMark/>
          </w:tcPr>
          <w:p w14:paraId="62F44EEA"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"Valsts Akadēmiskais koris "Latvija""</w:t>
            </w:r>
          </w:p>
        </w:tc>
        <w:tc>
          <w:tcPr>
            <w:tcW w:w="2121" w:type="dxa"/>
            <w:tcBorders>
              <w:top w:val="nil"/>
              <w:left w:val="nil"/>
              <w:bottom w:val="single" w:sz="8" w:space="0" w:color="auto"/>
              <w:right w:val="single" w:sz="8" w:space="0" w:color="auto"/>
            </w:tcBorders>
            <w:shd w:val="clear" w:color="auto" w:fill="auto"/>
            <w:noWrap/>
            <w:hideMark/>
          </w:tcPr>
          <w:p w14:paraId="5184657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126 200</w:t>
            </w:r>
          </w:p>
        </w:tc>
        <w:tc>
          <w:tcPr>
            <w:tcW w:w="2121" w:type="dxa"/>
            <w:tcBorders>
              <w:top w:val="nil"/>
              <w:left w:val="nil"/>
              <w:bottom w:val="single" w:sz="8" w:space="0" w:color="auto"/>
              <w:right w:val="single" w:sz="8" w:space="0" w:color="auto"/>
            </w:tcBorders>
            <w:shd w:val="clear" w:color="auto" w:fill="auto"/>
            <w:noWrap/>
            <w:hideMark/>
          </w:tcPr>
          <w:p w14:paraId="5F36374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124 200</w:t>
            </w:r>
          </w:p>
        </w:tc>
        <w:tc>
          <w:tcPr>
            <w:tcW w:w="2177" w:type="dxa"/>
            <w:tcBorders>
              <w:top w:val="nil"/>
              <w:left w:val="nil"/>
              <w:bottom w:val="single" w:sz="8" w:space="0" w:color="auto"/>
              <w:right w:val="single" w:sz="8" w:space="0" w:color="auto"/>
            </w:tcBorders>
            <w:shd w:val="clear" w:color="auto" w:fill="auto"/>
            <w:noWrap/>
            <w:hideMark/>
          </w:tcPr>
          <w:p w14:paraId="3DF2F0C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2 000</w:t>
            </w:r>
          </w:p>
        </w:tc>
      </w:tr>
      <w:tr w:rsidR="00830FA2" w:rsidRPr="00FD1578" w14:paraId="2FB2253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6C3FF24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w:t>
            </w:r>
          </w:p>
        </w:tc>
        <w:tc>
          <w:tcPr>
            <w:tcW w:w="6600" w:type="dxa"/>
            <w:tcBorders>
              <w:top w:val="nil"/>
              <w:left w:val="nil"/>
              <w:bottom w:val="single" w:sz="8" w:space="0" w:color="auto"/>
              <w:right w:val="single" w:sz="8" w:space="0" w:color="auto"/>
            </w:tcBorders>
            <w:shd w:val="clear" w:color="auto" w:fill="auto"/>
            <w:noWrap/>
            <w:hideMark/>
          </w:tcPr>
          <w:p w14:paraId="6C3F272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 xml:space="preserve">VAS "Latvijas Attīstības finanšu institūcija </w:t>
            </w:r>
            <w:proofErr w:type="spellStart"/>
            <w:r w:rsidRPr="00FD1578">
              <w:rPr>
                <w:rFonts w:eastAsia="Calibri" w:cs="Times New Roman"/>
                <w:sz w:val="18"/>
                <w:szCs w:val="18"/>
                <w:lang w:eastAsia="en-US"/>
              </w:rPr>
              <w:t>Altum</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4DCDB90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26 123 866</w:t>
            </w:r>
          </w:p>
        </w:tc>
        <w:tc>
          <w:tcPr>
            <w:tcW w:w="2121" w:type="dxa"/>
            <w:tcBorders>
              <w:top w:val="nil"/>
              <w:left w:val="nil"/>
              <w:bottom w:val="single" w:sz="8" w:space="0" w:color="auto"/>
              <w:right w:val="single" w:sz="8" w:space="0" w:color="auto"/>
            </w:tcBorders>
            <w:shd w:val="clear" w:color="auto" w:fill="auto"/>
            <w:noWrap/>
            <w:hideMark/>
          </w:tcPr>
          <w:p w14:paraId="6840A58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12 096 527</w:t>
            </w:r>
          </w:p>
        </w:tc>
        <w:tc>
          <w:tcPr>
            <w:tcW w:w="2177" w:type="dxa"/>
            <w:tcBorders>
              <w:top w:val="nil"/>
              <w:left w:val="nil"/>
              <w:bottom w:val="single" w:sz="8" w:space="0" w:color="auto"/>
              <w:right w:val="single" w:sz="8" w:space="0" w:color="auto"/>
            </w:tcBorders>
            <w:shd w:val="clear" w:color="auto" w:fill="auto"/>
            <w:noWrap/>
            <w:hideMark/>
          </w:tcPr>
          <w:p w14:paraId="131BE1C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14 027 339</w:t>
            </w:r>
          </w:p>
        </w:tc>
      </w:tr>
      <w:tr w:rsidR="00830FA2" w:rsidRPr="00FD1578" w14:paraId="75B2D01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604A0A6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18</w:t>
            </w:r>
          </w:p>
        </w:tc>
        <w:tc>
          <w:tcPr>
            <w:tcW w:w="6600" w:type="dxa"/>
            <w:tcBorders>
              <w:top w:val="nil"/>
              <w:left w:val="nil"/>
              <w:bottom w:val="single" w:sz="8" w:space="0" w:color="auto"/>
              <w:right w:val="single" w:sz="8" w:space="0" w:color="auto"/>
            </w:tcBorders>
            <w:shd w:val="clear" w:color="auto" w:fill="auto"/>
            <w:noWrap/>
            <w:hideMark/>
          </w:tcPr>
          <w:p w14:paraId="137E6C2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VAS "Latvijas autoceļu uzturētājs"</w:t>
            </w:r>
          </w:p>
        </w:tc>
        <w:tc>
          <w:tcPr>
            <w:tcW w:w="2121" w:type="dxa"/>
            <w:tcBorders>
              <w:top w:val="nil"/>
              <w:left w:val="nil"/>
              <w:bottom w:val="single" w:sz="8" w:space="0" w:color="auto"/>
              <w:right w:val="single" w:sz="8" w:space="0" w:color="auto"/>
            </w:tcBorders>
            <w:shd w:val="clear" w:color="auto" w:fill="auto"/>
            <w:noWrap/>
            <w:hideMark/>
          </w:tcPr>
          <w:p w14:paraId="7407363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69 020 379</w:t>
            </w:r>
          </w:p>
        </w:tc>
        <w:tc>
          <w:tcPr>
            <w:tcW w:w="2121" w:type="dxa"/>
            <w:tcBorders>
              <w:top w:val="nil"/>
              <w:left w:val="nil"/>
              <w:bottom w:val="single" w:sz="8" w:space="0" w:color="auto"/>
              <w:right w:val="single" w:sz="8" w:space="0" w:color="auto"/>
            </w:tcBorders>
            <w:shd w:val="clear" w:color="auto" w:fill="auto"/>
            <w:noWrap/>
            <w:hideMark/>
          </w:tcPr>
          <w:p w14:paraId="53B771A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68 836 559</w:t>
            </w:r>
          </w:p>
        </w:tc>
        <w:tc>
          <w:tcPr>
            <w:tcW w:w="2177" w:type="dxa"/>
            <w:tcBorders>
              <w:top w:val="nil"/>
              <w:left w:val="nil"/>
              <w:bottom w:val="single" w:sz="8" w:space="0" w:color="auto"/>
              <w:right w:val="single" w:sz="8" w:space="0" w:color="auto"/>
            </w:tcBorders>
            <w:shd w:val="clear" w:color="auto" w:fill="auto"/>
            <w:noWrap/>
            <w:hideMark/>
          </w:tcPr>
          <w:p w14:paraId="3F8F40B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183 820</w:t>
            </w:r>
          </w:p>
        </w:tc>
      </w:tr>
      <w:tr w:rsidR="00830FA2" w:rsidRPr="00FD1578" w14:paraId="7176F5C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67E72A1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19</w:t>
            </w:r>
          </w:p>
        </w:tc>
        <w:tc>
          <w:tcPr>
            <w:tcW w:w="6600" w:type="dxa"/>
            <w:tcBorders>
              <w:top w:val="nil"/>
              <w:left w:val="nil"/>
              <w:bottom w:val="single" w:sz="8" w:space="0" w:color="auto"/>
              <w:right w:val="single" w:sz="8" w:space="0" w:color="auto"/>
            </w:tcBorders>
            <w:shd w:val="clear" w:color="auto" w:fill="auto"/>
            <w:noWrap/>
          </w:tcPr>
          <w:p w14:paraId="2A45FBA3"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VAS "Latvijas dzelzceļš"</w:t>
            </w:r>
          </w:p>
        </w:tc>
        <w:tc>
          <w:tcPr>
            <w:tcW w:w="2121" w:type="dxa"/>
            <w:tcBorders>
              <w:top w:val="nil"/>
              <w:left w:val="nil"/>
              <w:bottom w:val="single" w:sz="8" w:space="0" w:color="auto"/>
              <w:right w:val="single" w:sz="8" w:space="0" w:color="auto"/>
            </w:tcBorders>
            <w:shd w:val="clear" w:color="auto" w:fill="auto"/>
            <w:noWrap/>
          </w:tcPr>
          <w:p w14:paraId="59D362CC"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140 897 414</w:t>
            </w:r>
          </w:p>
        </w:tc>
        <w:tc>
          <w:tcPr>
            <w:tcW w:w="2121" w:type="dxa"/>
            <w:tcBorders>
              <w:top w:val="nil"/>
              <w:left w:val="nil"/>
              <w:bottom w:val="single" w:sz="8" w:space="0" w:color="auto"/>
              <w:right w:val="single" w:sz="8" w:space="0" w:color="auto"/>
            </w:tcBorders>
            <w:shd w:val="clear" w:color="auto" w:fill="auto"/>
            <w:noWrap/>
          </w:tcPr>
          <w:p w14:paraId="1D8209FF"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169 309 724</w:t>
            </w:r>
          </w:p>
        </w:tc>
        <w:tc>
          <w:tcPr>
            <w:tcW w:w="2177" w:type="dxa"/>
            <w:tcBorders>
              <w:top w:val="nil"/>
              <w:left w:val="nil"/>
              <w:bottom w:val="single" w:sz="8" w:space="0" w:color="auto"/>
              <w:right w:val="single" w:sz="8" w:space="0" w:color="auto"/>
            </w:tcBorders>
            <w:shd w:val="clear" w:color="auto" w:fill="auto"/>
            <w:noWrap/>
          </w:tcPr>
          <w:p w14:paraId="20C645F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-28 412 310</w:t>
            </w:r>
          </w:p>
        </w:tc>
      </w:tr>
      <w:tr w:rsidR="00830FA2" w:rsidRPr="00FD1578" w14:paraId="52BD6C2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7BBF1C4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lastRenderedPageBreak/>
              <w:t>20</w:t>
            </w:r>
          </w:p>
        </w:tc>
        <w:tc>
          <w:tcPr>
            <w:tcW w:w="6600" w:type="dxa"/>
            <w:tcBorders>
              <w:top w:val="nil"/>
              <w:left w:val="nil"/>
              <w:bottom w:val="single" w:sz="8" w:space="0" w:color="auto"/>
              <w:right w:val="single" w:sz="8" w:space="0" w:color="auto"/>
            </w:tcBorders>
            <w:shd w:val="clear" w:color="auto" w:fill="auto"/>
            <w:noWrap/>
            <w:hideMark/>
          </w:tcPr>
          <w:p w14:paraId="6DAD5D2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Koncerti"</w:t>
            </w:r>
          </w:p>
        </w:tc>
        <w:tc>
          <w:tcPr>
            <w:tcW w:w="2121" w:type="dxa"/>
            <w:tcBorders>
              <w:top w:val="nil"/>
              <w:left w:val="nil"/>
              <w:bottom w:val="single" w:sz="8" w:space="0" w:color="auto"/>
              <w:right w:val="single" w:sz="8" w:space="0" w:color="auto"/>
            </w:tcBorders>
            <w:shd w:val="clear" w:color="auto" w:fill="auto"/>
            <w:noWrap/>
            <w:hideMark/>
          </w:tcPr>
          <w:p w14:paraId="2EDBC7B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5 216 129</w:t>
            </w:r>
          </w:p>
        </w:tc>
        <w:tc>
          <w:tcPr>
            <w:tcW w:w="2121" w:type="dxa"/>
            <w:tcBorders>
              <w:top w:val="nil"/>
              <w:left w:val="nil"/>
              <w:bottom w:val="single" w:sz="8" w:space="0" w:color="auto"/>
              <w:right w:val="single" w:sz="8" w:space="0" w:color="auto"/>
            </w:tcBorders>
            <w:shd w:val="clear" w:color="auto" w:fill="auto"/>
            <w:noWrap/>
            <w:hideMark/>
          </w:tcPr>
          <w:p w14:paraId="408A490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5 180 460</w:t>
            </w:r>
          </w:p>
        </w:tc>
        <w:tc>
          <w:tcPr>
            <w:tcW w:w="2177" w:type="dxa"/>
            <w:tcBorders>
              <w:top w:val="nil"/>
              <w:left w:val="nil"/>
              <w:bottom w:val="single" w:sz="8" w:space="0" w:color="auto"/>
              <w:right w:val="single" w:sz="8" w:space="0" w:color="auto"/>
            </w:tcBorders>
            <w:shd w:val="clear" w:color="auto" w:fill="auto"/>
            <w:noWrap/>
            <w:hideMark/>
          </w:tcPr>
          <w:p w14:paraId="14210B5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35 669</w:t>
            </w:r>
          </w:p>
        </w:tc>
      </w:tr>
      <w:tr w:rsidR="00830FA2" w:rsidRPr="00FD1578" w14:paraId="6477614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47EB536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21</w:t>
            </w:r>
          </w:p>
        </w:tc>
        <w:tc>
          <w:tcPr>
            <w:tcW w:w="6600" w:type="dxa"/>
            <w:tcBorders>
              <w:top w:val="nil"/>
              <w:left w:val="nil"/>
              <w:bottom w:val="single" w:sz="8" w:space="0" w:color="auto"/>
              <w:right w:val="single" w:sz="8" w:space="0" w:color="auto"/>
            </w:tcBorders>
            <w:shd w:val="clear" w:color="auto" w:fill="auto"/>
            <w:noWrap/>
            <w:hideMark/>
          </w:tcPr>
          <w:p w14:paraId="29EAC56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Leļļu teātris"</w:t>
            </w:r>
          </w:p>
        </w:tc>
        <w:tc>
          <w:tcPr>
            <w:tcW w:w="2121" w:type="dxa"/>
            <w:tcBorders>
              <w:top w:val="nil"/>
              <w:left w:val="nil"/>
              <w:bottom w:val="single" w:sz="8" w:space="0" w:color="auto"/>
              <w:right w:val="single" w:sz="8" w:space="0" w:color="auto"/>
            </w:tcBorders>
            <w:shd w:val="clear" w:color="auto" w:fill="auto"/>
            <w:noWrap/>
            <w:hideMark/>
          </w:tcPr>
          <w:p w14:paraId="2EA48C8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687 000</w:t>
            </w:r>
          </w:p>
        </w:tc>
        <w:tc>
          <w:tcPr>
            <w:tcW w:w="2121" w:type="dxa"/>
            <w:tcBorders>
              <w:top w:val="nil"/>
              <w:left w:val="nil"/>
              <w:bottom w:val="single" w:sz="8" w:space="0" w:color="auto"/>
              <w:right w:val="single" w:sz="8" w:space="0" w:color="auto"/>
            </w:tcBorders>
            <w:shd w:val="clear" w:color="auto" w:fill="auto"/>
            <w:noWrap/>
            <w:hideMark/>
          </w:tcPr>
          <w:p w14:paraId="79AF53F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686 900</w:t>
            </w:r>
          </w:p>
        </w:tc>
        <w:tc>
          <w:tcPr>
            <w:tcW w:w="2177" w:type="dxa"/>
            <w:tcBorders>
              <w:top w:val="nil"/>
              <w:left w:val="nil"/>
              <w:bottom w:val="single" w:sz="8" w:space="0" w:color="auto"/>
              <w:right w:val="single" w:sz="8" w:space="0" w:color="auto"/>
            </w:tcBorders>
            <w:shd w:val="clear" w:color="auto" w:fill="auto"/>
            <w:noWrap/>
            <w:hideMark/>
          </w:tcPr>
          <w:p w14:paraId="5635AE9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100</w:t>
            </w:r>
          </w:p>
        </w:tc>
      </w:tr>
      <w:tr w:rsidR="00830FA2" w:rsidRPr="00FD1578" w14:paraId="3DA2460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2DB776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22</w:t>
            </w:r>
          </w:p>
        </w:tc>
        <w:tc>
          <w:tcPr>
            <w:tcW w:w="6600" w:type="dxa"/>
            <w:tcBorders>
              <w:top w:val="nil"/>
              <w:left w:val="nil"/>
              <w:bottom w:val="single" w:sz="8" w:space="0" w:color="auto"/>
              <w:right w:val="single" w:sz="8" w:space="0" w:color="auto"/>
            </w:tcBorders>
            <w:shd w:val="clear" w:color="auto" w:fill="auto"/>
            <w:noWrap/>
            <w:hideMark/>
          </w:tcPr>
          <w:p w14:paraId="48813E8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Nacionālais simfoniskais orķestris"</w:t>
            </w:r>
          </w:p>
        </w:tc>
        <w:tc>
          <w:tcPr>
            <w:tcW w:w="2121" w:type="dxa"/>
            <w:tcBorders>
              <w:top w:val="nil"/>
              <w:left w:val="nil"/>
              <w:bottom w:val="single" w:sz="8" w:space="0" w:color="auto"/>
              <w:right w:val="single" w:sz="8" w:space="0" w:color="auto"/>
            </w:tcBorders>
            <w:shd w:val="clear" w:color="auto" w:fill="auto"/>
            <w:noWrap/>
            <w:hideMark/>
          </w:tcPr>
          <w:p w14:paraId="2148A82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3 926 293</w:t>
            </w:r>
          </w:p>
        </w:tc>
        <w:tc>
          <w:tcPr>
            <w:tcW w:w="2121" w:type="dxa"/>
            <w:tcBorders>
              <w:top w:val="nil"/>
              <w:left w:val="nil"/>
              <w:bottom w:val="single" w:sz="8" w:space="0" w:color="auto"/>
              <w:right w:val="single" w:sz="8" w:space="0" w:color="auto"/>
            </w:tcBorders>
            <w:shd w:val="clear" w:color="auto" w:fill="auto"/>
            <w:noWrap/>
            <w:hideMark/>
          </w:tcPr>
          <w:p w14:paraId="7B676AE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4 484 353</w:t>
            </w:r>
          </w:p>
        </w:tc>
        <w:tc>
          <w:tcPr>
            <w:tcW w:w="2177" w:type="dxa"/>
            <w:tcBorders>
              <w:top w:val="nil"/>
              <w:left w:val="nil"/>
              <w:bottom w:val="single" w:sz="8" w:space="0" w:color="auto"/>
              <w:right w:val="single" w:sz="8" w:space="0" w:color="auto"/>
            </w:tcBorders>
            <w:shd w:val="clear" w:color="auto" w:fill="auto"/>
            <w:noWrap/>
            <w:hideMark/>
          </w:tcPr>
          <w:p w14:paraId="497C38F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-558 060</w:t>
            </w:r>
          </w:p>
        </w:tc>
      </w:tr>
      <w:tr w:rsidR="00830FA2" w:rsidRPr="00FD1578" w14:paraId="6EE0057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1566574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23</w:t>
            </w:r>
          </w:p>
        </w:tc>
        <w:tc>
          <w:tcPr>
            <w:tcW w:w="6600" w:type="dxa"/>
            <w:tcBorders>
              <w:top w:val="nil"/>
              <w:left w:val="nil"/>
              <w:bottom w:val="single" w:sz="8" w:space="0" w:color="auto"/>
              <w:right w:val="single" w:sz="8" w:space="0" w:color="auto"/>
            </w:tcBorders>
            <w:shd w:val="clear" w:color="auto" w:fill="auto"/>
            <w:noWrap/>
            <w:hideMark/>
          </w:tcPr>
          <w:p w14:paraId="122E667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"Latvijas Nacionālais sporta centrs"</w:t>
            </w:r>
          </w:p>
        </w:tc>
        <w:tc>
          <w:tcPr>
            <w:tcW w:w="2121" w:type="dxa"/>
            <w:tcBorders>
              <w:top w:val="nil"/>
              <w:left w:val="nil"/>
              <w:bottom w:val="single" w:sz="8" w:space="0" w:color="auto"/>
              <w:right w:val="single" w:sz="8" w:space="0" w:color="auto"/>
            </w:tcBorders>
            <w:shd w:val="clear" w:color="auto" w:fill="auto"/>
            <w:noWrap/>
            <w:hideMark/>
          </w:tcPr>
          <w:p w14:paraId="191D441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5 751 859</w:t>
            </w:r>
          </w:p>
        </w:tc>
        <w:tc>
          <w:tcPr>
            <w:tcW w:w="2121" w:type="dxa"/>
            <w:tcBorders>
              <w:top w:val="nil"/>
              <w:left w:val="nil"/>
              <w:bottom w:val="single" w:sz="8" w:space="0" w:color="auto"/>
              <w:right w:val="single" w:sz="8" w:space="0" w:color="auto"/>
            </w:tcBorders>
            <w:shd w:val="clear" w:color="auto" w:fill="auto"/>
            <w:noWrap/>
            <w:hideMark/>
          </w:tcPr>
          <w:p w14:paraId="12C8DE1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5 583 383</w:t>
            </w:r>
          </w:p>
        </w:tc>
        <w:tc>
          <w:tcPr>
            <w:tcW w:w="2177" w:type="dxa"/>
            <w:tcBorders>
              <w:top w:val="nil"/>
              <w:left w:val="nil"/>
              <w:bottom w:val="single" w:sz="8" w:space="0" w:color="auto"/>
              <w:right w:val="single" w:sz="8" w:space="0" w:color="auto"/>
            </w:tcBorders>
            <w:shd w:val="clear" w:color="auto" w:fill="auto"/>
            <w:noWrap/>
            <w:hideMark/>
          </w:tcPr>
          <w:p w14:paraId="3EFC449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168 476</w:t>
            </w:r>
          </w:p>
        </w:tc>
      </w:tr>
      <w:tr w:rsidR="00830FA2" w:rsidRPr="00FD1578" w14:paraId="518D62A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233F3B7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24</w:t>
            </w:r>
          </w:p>
        </w:tc>
        <w:tc>
          <w:tcPr>
            <w:tcW w:w="6600" w:type="dxa"/>
            <w:tcBorders>
              <w:top w:val="nil"/>
              <w:left w:val="nil"/>
              <w:bottom w:val="single" w:sz="8" w:space="0" w:color="auto"/>
              <w:right w:val="single" w:sz="8" w:space="0" w:color="auto"/>
            </w:tcBorders>
            <w:shd w:val="clear" w:color="auto" w:fill="auto"/>
            <w:noWrap/>
            <w:hideMark/>
          </w:tcPr>
          <w:p w14:paraId="4BD920C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Nacionālais teātris"</w:t>
            </w:r>
          </w:p>
        </w:tc>
        <w:tc>
          <w:tcPr>
            <w:tcW w:w="2121" w:type="dxa"/>
            <w:tcBorders>
              <w:top w:val="nil"/>
              <w:left w:val="nil"/>
              <w:bottom w:val="single" w:sz="8" w:space="0" w:color="auto"/>
              <w:right w:val="single" w:sz="8" w:space="0" w:color="auto"/>
            </w:tcBorders>
            <w:shd w:val="clear" w:color="auto" w:fill="auto"/>
            <w:noWrap/>
            <w:hideMark/>
          </w:tcPr>
          <w:p w14:paraId="63CAE58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6 400 000</w:t>
            </w:r>
          </w:p>
        </w:tc>
        <w:tc>
          <w:tcPr>
            <w:tcW w:w="2121" w:type="dxa"/>
            <w:tcBorders>
              <w:top w:val="nil"/>
              <w:left w:val="nil"/>
              <w:bottom w:val="single" w:sz="8" w:space="0" w:color="auto"/>
              <w:right w:val="single" w:sz="8" w:space="0" w:color="auto"/>
            </w:tcBorders>
            <w:shd w:val="clear" w:color="auto" w:fill="auto"/>
            <w:noWrap/>
            <w:hideMark/>
          </w:tcPr>
          <w:p w14:paraId="79D5571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6 370 000</w:t>
            </w:r>
          </w:p>
        </w:tc>
        <w:tc>
          <w:tcPr>
            <w:tcW w:w="2177" w:type="dxa"/>
            <w:tcBorders>
              <w:top w:val="nil"/>
              <w:left w:val="nil"/>
              <w:bottom w:val="single" w:sz="8" w:space="0" w:color="auto"/>
              <w:right w:val="single" w:sz="8" w:space="0" w:color="auto"/>
            </w:tcBorders>
            <w:shd w:val="clear" w:color="auto" w:fill="auto"/>
            <w:noWrap/>
            <w:hideMark/>
          </w:tcPr>
          <w:p w14:paraId="087A294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30 000</w:t>
            </w:r>
          </w:p>
        </w:tc>
      </w:tr>
      <w:tr w:rsidR="00830FA2" w:rsidRPr="00FD1578" w14:paraId="4C243A7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80F6C4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25</w:t>
            </w:r>
          </w:p>
        </w:tc>
        <w:tc>
          <w:tcPr>
            <w:tcW w:w="6600" w:type="dxa"/>
            <w:tcBorders>
              <w:top w:val="nil"/>
              <w:left w:val="nil"/>
              <w:bottom w:val="single" w:sz="8" w:space="0" w:color="auto"/>
              <w:right w:val="single" w:sz="8" w:space="0" w:color="auto"/>
            </w:tcBorders>
            <w:shd w:val="clear" w:color="auto" w:fill="auto"/>
            <w:noWrap/>
            <w:hideMark/>
          </w:tcPr>
          <w:p w14:paraId="42BA9D9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Nacionālā opera un balets"</w:t>
            </w:r>
          </w:p>
        </w:tc>
        <w:tc>
          <w:tcPr>
            <w:tcW w:w="2121" w:type="dxa"/>
            <w:tcBorders>
              <w:top w:val="nil"/>
              <w:left w:val="nil"/>
              <w:bottom w:val="single" w:sz="8" w:space="0" w:color="auto"/>
              <w:right w:val="single" w:sz="8" w:space="0" w:color="auto"/>
            </w:tcBorders>
            <w:shd w:val="clear" w:color="auto" w:fill="auto"/>
            <w:noWrap/>
            <w:hideMark/>
          </w:tcPr>
          <w:p w14:paraId="0C3B841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3 745 000</w:t>
            </w:r>
          </w:p>
        </w:tc>
        <w:tc>
          <w:tcPr>
            <w:tcW w:w="2121" w:type="dxa"/>
            <w:tcBorders>
              <w:top w:val="nil"/>
              <w:left w:val="nil"/>
              <w:bottom w:val="single" w:sz="8" w:space="0" w:color="auto"/>
              <w:right w:val="single" w:sz="8" w:space="0" w:color="auto"/>
            </w:tcBorders>
            <w:shd w:val="clear" w:color="auto" w:fill="auto"/>
            <w:noWrap/>
            <w:hideMark/>
          </w:tcPr>
          <w:p w14:paraId="62482E7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3 735 000</w:t>
            </w:r>
          </w:p>
        </w:tc>
        <w:tc>
          <w:tcPr>
            <w:tcW w:w="2177" w:type="dxa"/>
            <w:tcBorders>
              <w:top w:val="nil"/>
              <w:left w:val="nil"/>
              <w:bottom w:val="single" w:sz="8" w:space="0" w:color="auto"/>
              <w:right w:val="single" w:sz="8" w:space="0" w:color="auto"/>
            </w:tcBorders>
            <w:shd w:val="clear" w:color="auto" w:fill="auto"/>
            <w:noWrap/>
            <w:hideMark/>
          </w:tcPr>
          <w:p w14:paraId="062B749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10 000</w:t>
            </w:r>
          </w:p>
        </w:tc>
      </w:tr>
      <w:tr w:rsidR="00830FA2" w:rsidRPr="00FD1578" w14:paraId="5C5CD8F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24E2D16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w:t>
            </w:r>
          </w:p>
        </w:tc>
        <w:tc>
          <w:tcPr>
            <w:tcW w:w="6600" w:type="dxa"/>
            <w:tcBorders>
              <w:top w:val="nil"/>
              <w:left w:val="nil"/>
              <w:bottom w:val="single" w:sz="8" w:space="0" w:color="auto"/>
              <w:right w:val="single" w:sz="8" w:space="0" w:color="auto"/>
            </w:tcBorders>
            <w:shd w:val="clear" w:color="auto" w:fill="auto"/>
            <w:noWrap/>
            <w:hideMark/>
          </w:tcPr>
          <w:p w14:paraId="2C871EE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Proves birojs"</w:t>
            </w:r>
          </w:p>
        </w:tc>
        <w:tc>
          <w:tcPr>
            <w:tcW w:w="2121" w:type="dxa"/>
            <w:tcBorders>
              <w:top w:val="nil"/>
              <w:left w:val="nil"/>
              <w:bottom w:val="single" w:sz="8" w:space="0" w:color="auto"/>
              <w:right w:val="single" w:sz="8" w:space="0" w:color="auto"/>
            </w:tcBorders>
            <w:shd w:val="clear" w:color="auto" w:fill="auto"/>
            <w:noWrap/>
            <w:hideMark/>
          </w:tcPr>
          <w:p w14:paraId="56BA35C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697 275</w:t>
            </w:r>
          </w:p>
        </w:tc>
        <w:tc>
          <w:tcPr>
            <w:tcW w:w="2121" w:type="dxa"/>
            <w:tcBorders>
              <w:top w:val="nil"/>
              <w:left w:val="nil"/>
              <w:bottom w:val="single" w:sz="8" w:space="0" w:color="auto"/>
              <w:right w:val="single" w:sz="8" w:space="0" w:color="auto"/>
            </w:tcBorders>
            <w:shd w:val="clear" w:color="auto" w:fill="auto"/>
            <w:noWrap/>
            <w:hideMark/>
          </w:tcPr>
          <w:p w14:paraId="40ADD84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1 174 877</w:t>
            </w:r>
          </w:p>
        </w:tc>
        <w:tc>
          <w:tcPr>
            <w:tcW w:w="2177" w:type="dxa"/>
            <w:tcBorders>
              <w:top w:val="nil"/>
              <w:left w:val="nil"/>
              <w:bottom w:val="single" w:sz="8" w:space="0" w:color="auto"/>
              <w:right w:val="single" w:sz="8" w:space="0" w:color="auto"/>
            </w:tcBorders>
            <w:shd w:val="clear" w:color="auto" w:fill="auto"/>
            <w:noWrap/>
            <w:hideMark/>
          </w:tcPr>
          <w:p w14:paraId="684FE6F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-477 602</w:t>
            </w:r>
          </w:p>
        </w:tc>
      </w:tr>
      <w:tr w:rsidR="00830FA2" w:rsidRPr="00FD1578" w14:paraId="78BE5B4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70FC54E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27</w:t>
            </w:r>
          </w:p>
        </w:tc>
        <w:tc>
          <w:tcPr>
            <w:tcW w:w="6600" w:type="dxa"/>
            <w:tcBorders>
              <w:top w:val="nil"/>
              <w:left w:val="nil"/>
              <w:bottom w:val="single" w:sz="8" w:space="0" w:color="auto"/>
              <w:right w:val="single" w:sz="8" w:space="0" w:color="auto"/>
            </w:tcBorders>
            <w:shd w:val="clear" w:color="auto" w:fill="auto"/>
            <w:noWrap/>
            <w:hideMark/>
          </w:tcPr>
          <w:p w14:paraId="1B51B4E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Radio"</w:t>
            </w:r>
          </w:p>
        </w:tc>
        <w:tc>
          <w:tcPr>
            <w:tcW w:w="2121" w:type="dxa"/>
            <w:tcBorders>
              <w:top w:val="nil"/>
              <w:left w:val="nil"/>
              <w:bottom w:val="single" w:sz="8" w:space="0" w:color="auto"/>
              <w:right w:val="single" w:sz="8" w:space="0" w:color="auto"/>
            </w:tcBorders>
            <w:shd w:val="clear" w:color="auto" w:fill="auto"/>
            <w:noWrap/>
            <w:hideMark/>
          </w:tcPr>
          <w:p w14:paraId="2894CD9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15 550 000</w:t>
            </w:r>
          </w:p>
        </w:tc>
        <w:tc>
          <w:tcPr>
            <w:tcW w:w="2121" w:type="dxa"/>
            <w:tcBorders>
              <w:top w:val="nil"/>
              <w:left w:val="nil"/>
              <w:bottom w:val="single" w:sz="8" w:space="0" w:color="auto"/>
              <w:right w:val="single" w:sz="8" w:space="0" w:color="auto"/>
            </w:tcBorders>
            <w:shd w:val="clear" w:color="auto" w:fill="auto"/>
            <w:noWrap/>
            <w:hideMark/>
          </w:tcPr>
          <w:p w14:paraId="6F9F057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15 644 000</w:t>
            </w:r>
          </w:p>
        </w:tc>
        <w:tc>
          <w:tcPr>
            <w:tcW w:w="2177" w:type="dxa"/>
            <w:tcBorders>
              <w:top w:val="nil"/>
              <w:left w:val="nil"/>
              <w:bottom w:val="single" w:sz="8" w:space="0" w:color="auto"/>
              <w:right w:val="single" w:sz="8" w:space="0" w:color="auto"/>
            </w:tcBorders>
            <w:shd w:val="clear" w:color="auto" w:fill="auto"/>
            <w:noWrap/>
            <w:hideMark/>
          </w:tcPr>
          <w:p w14:paraId="42A2C07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-94 000</w:t>
            </w:r>
          </w:p>
        </w:tc>
      </w:tr>
      <w:tr w:rsidR="00830FA2" w:rsidRPr="00FD1578" w14:paraId="5CE2E6E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9C0F95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w:t>
            </w:r>
          </w:p>
        </w:tc>
        <w:tc>
          <w:tcPr>
            <w:tcW w:w="6600" w:type="dxa"/>
            <w:tcBorders>
              <w:top w:val="nil"/>
              <w:left w:val="nil"/>
              <w:bottom w:val="single" w:sz="8" w:space="0" w:color="auto"/>
              <w:right w:val="single" w:sz="8" w:space="0" w:color="auto"/>
            </w:tcBorders>
            <w:shd w:val="clear" w:color="auto" w:fill="auto"/>
            <w:noWrap/>
            <w:hideMark/>
          </w:tcPr>
          <w:p w14:paraId="3B2AD90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"Latvijas standarts"</w:t>
            </w:r>
          </w:p>
        </w:tc>
        <w:tc>
          <w:tcPr>
            <w:tcW w:w="2121" w:type="dxa"/>
            <w:tcBorders>
              <w:top w:val="nil"/>
              <w:left w:val="nil"/>
              <w:bottom w:val="single" w:sz="8" w:space="0" w:color="auto"/>
              <w:right w:val="single" w:sz="8" w:space="0" w:color="auto"/>
            </w:tcBorders>
            <w:shd w:val="clear" w:color="auto" w:fill="auto"/>
            <w:noWrap/>
            <w:hideMark/>
          </w:tcPr>
          <w:p w14:paraId="75D4812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934 900</w:t>
            </w:r>
          </w:p>
        </w:tc>
        <w:tc>
          <w:tcPr>
            <w:tcW w:w="2121" w:type="dxa"/>
            <w:tcBorders>
              <w:top w:val="nil"/>
              <w:left w:val="nil"/>
              <w:bottom w:val="single" w:sz="8" w:space="0" w:color="auto"/>
              <w:right w:val="single" w:sz="8" w:space="0" w:color="auto"/>
            </w:tcBorders>
            <w:shd w:val="clear" w:color="auto" w:fill="auto"/>
            <w:noWrap/>
            <w:hideMark/>
          </w:tcPr>
          <w:p w14:paraId="746BF4C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898 114</w:t>
            </w:r>
          </w:p>
        </w:tc>
        <w:tc>
          <w:tcPr>
            <w:tcW w:w="2177" w:type="dxa"/>
            <w:tcBorders>
              <w:top w:val="nil"/>
              <w:left w:val="nil"/>
              <w:bottom w:val="single" w:sz="8" w:space="0" w:color="auto"/>
              <w:right w:val="single" w:sz="8" w:space="0" w:color="auto"/>
            </w:tcBorders>
            <w:shd w:val="clear" w:color="auto" w:fill="auto"/>
            <w:noWrap/>
            <w:hideMark/>
          </w:tcPr>
          <w:p w14:paraId="6C99A1D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36 786</w:t>
            </w:r>
          </w:p>
        </w:tc>
      </w:tr>
      <w:tr w:rsidR="00830FA2" w:rsidRPr="00FD1578" w14:paraId="2761161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07C153D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29</w:t>
            </w:r>
          </w:p>
        </w:tc>
        <w:tc>
          <w:tcPr>
            <w:tcW w:w="6600" w:type="dxa"/>
            <w:tcBorders>
              <w:top w:val="nil"/>
              <w:left w:val="nil"/>
              <w:bottom w:val="single" w:sz="8" w:space="0" w:color="auto"/>
              <w:right w:val="single" w:sz="8" w:space="0" w:color="auto"/>
            </w:tcBorders>
            <w:shd w:val="clear" w:color="auto" w:fill="auto"/>
            <w:noWrap/>
            <w:hideMark/>
          </w:tcPr>
          <w:p w14:paraId="1EB9EE6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Televīzija"</w:t>
            </w:r>
          </w:p>
        </w:tc>
        <w:tc>
          <w:tcPr>
            <w:tcW w:w="2121" w:type="dxa"/>
            <w:tcBorders>
              <w:top w:val="nil"/>
              <w:left w:val="nil"/>
              <w:bottom w:val="single" w:sz="8" w:space="0" w:color="auto"/>
              <w:right w:val="single" w:sz="8" w:space="0" w:color="auto"/>
            </w:tcBorders>
            <w:shd w:val="clear" w:color="auto" w:fill="auto"/>
            <w:noWrap/>
            <w:hideMark/>
          </w:tcPr>
          <w:p w14:paraId="5DFB4E4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34 529 386</w:t>
            </w:r>
          </w:p>
        </w:tc>
        <w:tc>
          <w:tcPr>
            <w:tcW w:w="2121" w:type="dxa"/>
            <w:tcBorders>
              <w:top w:val="nil"/>
              <w:left w:val="nil"/>
              <w:bottom w:val="single" w:sz="8" w:space="0" w:color="auto"/>
              <w:right w:val="single" w:sz="8" w:space="0" w:color="auto"/>
            </w:tcBorders>
            <w:shd w:val="clear" w:color="auto" w:fill="auto"/>
            <w:noWrap/>
            <w:hideMark/>
          </w:tcPr>
          <w:p w14:paraId="0CF65BA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34 332 558</w:t>
            </w:r>
          </w:p>
        </w:tc>
        <w:tc>
          <w:tcPr>
            <w:tcW w:w="2177" w:type="dxa"/>
            <w:tcBorders>
              <w:top w:val="nil"/>
              <w:left w:val="nil"/>
              <w:bottom w:val="single" w:sz="8" w:space="0" w:color="auto"/>
              <w:right w:val="single" w:sz="8" w:space="0" w:color="auto"/>
            </w:tcBorders>
            <w:shd w:val="clear" w:color="auto" w:fill="auto"/>
            <w:noWrap/>
            <w:hideMark/>
          </w:tcPr>
          <w:p w14:paraId="6227AE9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196 828</w:t>
            </w:r>
          </w:p>
        </w:tc>
      </w:tr>
      <w:tr w:rsidR="00830FA2" w:rsidRPr="00FD1578" w14:paraId="2C2F6AF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29A592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w:t>
            </w:r>
          </w:p>
        </w:tc>
        <w:tc>
          <w:tcPr>
            <w:tcW w:w="6600" w:type="dxa"/>
            <w:tcBorders>
              <w:top w:val="nil"/>
              <w:left w:val="nil"/>
              <w:bottom w:val="single" w:sz="8" w:space="0" w:color="auto"/>
              <w:right w:val="single" w:sz="8" w:space="0" w:color="auto"/>
            </w:tcBorders>
            <w:shd w:val="clear" w:color="auto" w:fill="auto"/>
            <w:noWrap/>
            <w:hideMark/>
          </w:tcPr>
          <w:p w14:paraId="065A5E3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"Latvijas Universitātes nekustamā īpašuma aģentūra"</w:t>
            </w:r>
          </w:p>
        </w:tc>
        <w:tc>
          <w:tcPr>
            <w:tcW w:w="2121" w:type="dxa"/>
            <w:tcBorders>
              <w:top w:val="nil"/>
              <w:left w:val="nil"/>
              <w:bottom w:val="single" w:sz="8" w:space="0" w:color="auto"/>
              <w:right w:val="single" w:sz="8" w:space="0" w:color="auto"/>
            </w:tcBorders>
            <w:shd w:val="clear" w:color="auto" w:fill="auto"/>
            <w:noWrap/>
            <w:hideMark/>
          </w:tcPr>
          <w:p w14:paraId="53DC6CC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4A459BC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1 061 161</w:t>
            </w:r>
          </w:p>
        </w:tc>
        <w:tc>
          <w:tcPr>
            <w:tcW w:w="2177" w:type="dxa"/>
            <w:tcBorders>
              <w:top w:val="nil"/>
              <w:left w:val="nil"/>
              <w:bottom w:val="single" w:sz="8" w:space="0" w:color="auto"/>
              <w:right w:val="single" w:sz="8" w:space="0" w:color="auto"/>
            </w:tcBorders>
            <w:shd w:val="clear" w:color="auto" w:fill="auto"/>
            <w:noWrap/>
            <w:hideMark/>
          </w:tcPr>
          <w:p w14:paraId="6B7615C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-1 061 161</w:t>
            </w:r>
          </w:p>
        </w:tc>
      </w:tr>
      <w:tr w:rsidR="00830FA2" w:rsidRPr="00FD1578" w14:paraId="08B643A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22815C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31</w:t>
            </w:r>
          </w:p>
        </w:tc>
        <w:tc>
          <w:tcPr>
            <w:tcW w:w="6600" w:type="dxa"/>
            <w:tcBorders>
              <w:top w:val="nil"/>
              <w:left w:val="nil"/>
              <w:bottom w:val="single" w:sz="8" w:space="0" w:color="auto"/>
              <w:right w:val="single" w:sz="8" w:space="0" w:color="auto"/>
            </w:tcBorders>
            <w:shd w:val="clear" w:color="auto" w:fill="auto"/>
            <w:noWrap/>
            <w:hideMark/>
          </w:tcPr>
          <w:p w14:paraId="46D8FB3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Valsts ceļi"</w:t>
            </w:r>
          </w:p>
        </w:tc>
        <w:tc>
          <w:tcPr>
            <w:tcW w:w="2121" w:type="dxa"/>
            <w:tcBorders>
              <w:top w:val="nil"/>
              <w:left w:val="nil"/>
              <w:bottom w:val="single" w:sz="8" w:space="0" w:color="auto"/>
              <w:right w:val="single" w:sz="8" w:space="0" w:color="auto"/>
            </w:tcBorders>
            <w:shd w:val="clear" w:color="auto" w:fill="auto"/>
            <w:noWrap/>
            <w:hideMark/>
          </w:tcPr>
          <w:p w14:paraId="0D29569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20 100 000</w:t>
            </w:r>
          </w:p>
        </w:tc>
        <w:tc>
          <w:tcPr>
            <w:tcW w:w="2121" w:type="dxa"/>
            <w:tcBorders>
              <w:top w:val="nil"/>
              <w:left w:val="nil"/>
              <w:bottom w:val="single" w:sz="8" w:space="0" w:color="auto"/>
              <w:right w:val="single" w:sz="8" w:space="0" w:color="auto"/>
            </w:tcBorders>
            <w:shd w:val="clear" w:color="auto" w:fill="auto"/>
            <w:noWrap/>
            <w:hideMark/>
          </w:tcPr>
          <w:p w14:paraId="05EC169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20 000 000</w:t>
            </w:r>
          </w:p>
        </w:tc>
        <w:tc>
          <w:tcPr>
            <w:tcW w:w="2177" w:type="dxa"/>
            <w:tcBorders>
              <w:top w:val="nil"/>
              <w:left w:val="nil"/>
              <w:bottom w:val="single" w:sz="8" w:space="0" w:color="auto"/>
              <w:right w:val="single" w:sz="8" w:space="0" w:color="auto"/>
            </w:tcBorders>
            <w:shd w:val="clear" w:color="auto" w:fill="auto"/>
            <w:noWrap/>
            <w:hideMark/>
          </w:tcPr>
          <w:p w14:paraId="4D2B144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100 000</w:t>
            </w:r>
          </w:p>
        </w:tc>
      </w:tr>
      <w:tr w:rsidR="00830FA2" w:rsidRPr="00FD1578" w14:paraId="0DB2DD2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34D752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32</w:t>
            </w:r>
          </w:p>
        </w:tc>
        <w:tc>
          <w:tcPr>
            <w:tcW w:w="6600" w:type="dxa"/>
            <w:tcBorders>
              <w:top w:val="nil"/>
              <w:left w:val="nil"/>
              <w:bottom w:val="single" w:sz="8" w:space="0" w:color="auto"/>
              <w:right w:val="single" w:sz="8" w:space="0" w:color="auto"/>
            </w:tcBorders>
            <w:shd w:val="clear" w:color="auto" w:fill="auto"/>
            <w:noWrap/>
          </w:tcPr>
          <w:p w14:paraId="5D93D75E"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VSIA "Latvijas Vēstnesis"</w:t>
            </w:r>
          </w:p>
        </w:tc>
        <w:tc>
          <w:tcPr>
            <w:tcW w:w="2121" w:type="dxa"/>
            <w:tcBorders>
              <w:top w:val="nil"/>
              <w:left w:val="nil"/>
              <w:bottom w:val="single" w:sz="8" w:space="0" w:color="auto"/>
              <w:right w:val="single" w:sz="8" w:space="0" w:color="auto"/>
            </w:tcBorders>
            <w:shd w:val="clear" w:color="auto" w:fill="auto"/>
            <w:noWrap/>
          </w:tcPr>
          <w:p w14:paraId="0BBA2391"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2 397 932</w:t>
            </w:r>
          </w:p>
        </w:tc>
        <w:tc>
          <w:tcPr>
            <w:tcW w:w="2121" w:type="dxa"/>
            <w:tcBorders>
              <w:top w:val="nil"/>
              <w:left w:val="nil"/>
              <w:bottom w:val="single" w:sz="8" w:space="0" w:color="auto"/>
              <w:right w:val="single" w:sz="8" w:space="0" w:color="auto"/>
            </w:tcBorders>
            <w:shd w:val="clear" w:color="auto" w:fill="auto"/>
            <w:noWrap/>
          </w:tcPr>
          <w:p w14:paraId="7EF33329"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2 455 930</w:t>
            </w:r>
          </w:p>
        </w:tc>
        <w:tc>
          <w:tcPr>
            <w:tcW w:w="2177" w:type="dxa"/>
            <w:tcBorders>
              <w:top w:val="nil"/>
              <w:left w:val="nil"/>
              <w:bottom w:val="single" w:sz="8" w:space="0" w:color="auto"/>
              <w:right w:val="single" w:sz="8" w:space="0" w:color="auto"/>
            </w:tcBorders>
            <w:shd w:val="clear" w:color="auto" w:fill="auto"/>
            <w:noWrap/>
          </w:tcPr>
          <w:p w14:paraId="52FEA2A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-57 998</w:t>
            </w:r>
          </w:p>
        </w:tc>
      </w:tr>
      <w:tr w:rsidR="00830FA2" w:rsidRPr="00FD1578" w14:paraId="56CDB1D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21D9E32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33</w:t>
            </w:r>
          </w:p>
        </w:tc>
        <w:tc>
          <w:tcPr>
            <w:tcW w:w="6600" w:type="dxa"/>
            <w:tcBorders>
              <w:top w:val="nil"/>
              <w:left w:val="nil"/>
              <w:bottom w:val="single" w:sz="8" w:space="0" w:color="auto"/>
              <w:right w:val="single" w:sz="8" w:space="0" w:color="auto"/>
            </w:tcBorders>
            <w:shd w:val="clear" w:color="auto" w:fill="auto"/>
            <w:noWrap/>
            <w:hideMark/>
          </w:tcPr>
          <w:p w14:paraId="3EEC106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Vides, ģeoloģijas un meteoroloģijas centrs"</w:t>
            </w:r>
          </w:p>
        </w:tc>
        <w:tc>
          <w:tcPr>
            <w:tcW w:w="2121" w:type="dxa"/>
            <w:tcBorders>
              <w:top w:val="nil"/>
              <w:left w:val="nil"/>
              <w:bottom w:val="single" w:sz="8" w:space="0" w:color="auto"/>
              <w:right w:val="single" w:sz="8" w:space="0" w:color="auto"/>
            </w:tcBorders>
            <w:shd w:val="clear" w:color="auto" w:fill="auto"/>
            <w:noWrap/>
            <w:hideMark/>
          </w:tcPr>
          <w:p w14:paraId="013F2DD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3 114 825</w:t>
            </w:r>
          </w:p>
        </w:tc>
        <w:tc>
          <w:tcPr>
            <w:tcW w:w="2121" w:type="dxa"/>
            <w:tcBorders>
              <w:top w:val="nil"/>
              <w:left w:val="nil"/>
              <w:bottom w:val="single" w:sz="8" w:space="0" w:color="auto"/>
              <w:right w:val="single" w:sz="8" w:space="0" w:color="auto"/>
            </w:tcBorders>
            <w:shd w:val="clear" w:color="auto" w:fill="auto"/>
            <w:noWrap/>
            <w:hideMark/>
          </w:tcPr>
          <w:p w14:paraId="6FCD8D4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2 904 638</w:t>
            </w:r>
          </w:p>
        </w:tc>
        <w:tc>
          <w:tcPr>
            <w:tcW w:w="2177" w:type="dxa"/>
            <w:tcBorders>
              <w:top w:val="nil"/>
              <w:left w:val="nil"/>
              <w:bottom w:val="single" w:sz="8" w:space="0" w:color="auto"/>
              <w:right w:val="single" w:sz="8" w:space="0" w:color="auto"/>
            </w:tcBorders>
            <w:shd w:val="clear" w:color="auto" w:fill="auto"/>
            <w:noWrap/>
            <w:hideMark/>
          </w:tcPr>
          <w:p w14:paraId="3BB2D62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210 187</w:t>
            </w:r>
          </w:p>
        </w:tc>
      </w:tr>
      <w:tr w:rsidR="00830FA2" w:rsidRPr="00FD1578" w14:paraId="6E4E906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2C2C56A1"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34</w:t>
            </w:r>
          </w:p>
        </w:tc>
        <w:tc>
          <w:tcPr>
            <w:tcW w:w="6600" w:type="dxa"/>
            <w:tcBorders>
              <w:top w:val="nil"/>
              <w:left w:val="nil"/>
              <w:bottom w:val="single" w:sz="8" w:space="0" w:color="auto"/>
              <w:right w:val="single" w:sz="8" w:space="0" w:color="auto"/>
            </w:tcBorders>
            <w:shd w:val="clear" w:color="auto" w:fill="auto"/>
            <w:noWrap/>
          </w:tcPr>
          <w:p w14:paraId="3C0429F1"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"LDZ apsardze"</w:t>
            </w:r>
          </w:p>
        </w:tc>
        <w:tc>
          <w:tcPr>
            <w:tcW w:w="2121" w:type="dxa"/>
            <w:tcBorders>
              <w:top w:val="nil"/>
              <w:left w:val="nil"/>
              <w:bottom w:val="single" w:sz="8" w:space="0" w:color="auto"/>
              <w:right w:val="single" w:sz="8" w:space="0" w:color="auto"/>
            </w:tcBorders>
            <w:shd w:val="clear" w:color="auto" w:fill="auto"/>
            <w:noWrap/>
          </w:tcPr>
          <w:p w14:paraId="06C9D906"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9 862 381</w:t>
            </w:r>
          </w:p>
        </w:tc>
        <w:tc>
          <w:tcPr>
            <w:tcW w:w="2121" w:type="dxa"/>
            <w:tcBorders>
              <w:top w:val="nil"/>
              <w:left w:val="nil"/>
              <w:bottom w:val="single" w:sz="8" w:space="0" w:color="auto"/>
              <w:right w:val="single" w:sz="8" w:space="0" w:color="auto"/>
            </w:tcBorders>
            <w:shd w:val="clear" w:color="auto" w:fill="auto"/>
            <w:noWrap/>
          </w:tcPr>
          <w:p w14:paraId="08975FD3"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9 571 767</w:t>
            </w:r>
          </w:p>
        </w:tc>
        <w:tc>
          <w:tcPr>
            <w:tcW w:w="2177" w:type="dxa"/>
            <w:tcBorders>
              <w:top w:val="nil"/>
              <w:left w:val="nil"/>
              <w:bottom w:val="single" w:sz="8" w:space="0" w:color="auto"/>
              <w:right w:val="single" w:sz="8" w:space="0" w:color="auto"/>
            </w:tcBorders>
            <w:shd w:val="clear" w:color="auto" w:fill="auto"/>
            <w:noWrap/>
          </w:tcPr>
          <w:p w14:paraId="3243CE50"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290 613</w:t>
            </w:r>
          </w:p>
        </w:tc>
      </w:tr>
      <w:tr w:rsidR="00830FA2" w:rsidRPr="00FD1578" w14:paraId="20750ED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7079CBC"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35</w:t>
            </w:r>
          </w:p>
        </w:tc>
        <w:tc>
          <w:tcPr>
            <w:tcW w:w="6600" w:type="dxa"/>
            <w:tcBorders>
              <w:top w:val="nil"/>
              <w:left w:val="nil"/>
              <w:bottom w:val="single" w:sz="8" w:space="0" w:color="auto"/>
              <w:right w:val="single" w:sz="8" w:space="0" w:color="auto"/>
            </w:tcBorders>
            <w:shd w:val="clear" w:color="auto" w:fill="auto"/>
            <w:noWrap/>
          </w:tcPr>
          <w:p w14:paraId="5A14AAF1"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"LDZ Loģistika"</w:t>
            </w:r>
          </w:p>
        </w:tc>
        <w:tc>
          <w:tcPr>
            <w:tcW w:w="2121" w:type="dxa"/>
            <w:tcBorders>
              <w:top w:val="nil"/>
              <w:left w:val="nil"/>
              <w:bottom w:val="single" w:sz="8" w:space="0" w:color="auto"/>
              <w:right w:val="single" w:sz="8" w:space="0" w:color="auto"/>
            </w:tcBorders>
            <w:shd w:val="clear" w:color="auto" w:fill="auto"/>
            <w:noWrap/>
          </w:tcPr>
          <w:p w14:paraId="65EEC6CD"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9 007 500</w:t>
            </w:r>
          </w:p>
        </w:tc>
        <w:tc>
          <w:tcPr>
            <w:tcW w:w="2121" w:type="dxa"/>
            <w:tcBorders>
              <w:top w:val="nil"/>
              <w:left w:val="nil"/>
              <w:bottom w:val="single" w:sz="8" w:space="0" w:color="auto"/>
              <w:right w:val="single" w:sz="8" w:space="0" w:color="auto"/>
            </w:tcBorders>
            <w:shd w:val="clear" w:color="auto" w:fill="auto"/>
            <w:noWrap/>
          </w:tcPr>
          <w:p w14:paraId="144D8BDB"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9 100 762</w:t>
            </w:r>
          </w:p>
        </w:tc>
        <w:tc>
          <w:tcPr>
            <w:tcW w:w="2177" w:type="dxa"/>
            <w:tcBorders>
              <w:top w:val="nil"/>
              <w:left w:val="nil"/>
              <w:bottom w:val="single" w:sz="8" w:space="0" w:color="auto"/>
              <w:right w:val="single" w:sz="8" w:space="0" w:color="auto"/>
            </w:tcBorders>
            <w:shd w:val="clear" w:color="auto" w:fill="auto"/>
            <w:noWrap/>
          </w:tcPr>
          <w:p w14:paraId="7DFAFAD1"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-93 262</w:t>
            </w:r>
          </w:p>
        </w:tc>
      </w:tr>
      <w:tr w:rsidR="00830FA2" w:rsidRPr="00FD1578" w14:paraId="5324768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45C77C7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36</w:t>
            </w:r>
          </w:p>
        </w:tc>
        <w:tc>
          <w:tcPr>
            <w:tcW w:w="6600" w:type="dxa"/>
            <w:tcBorders>
              <w:top w:val="nil"/>
              <w:left w:val="nil"/>
              <w:bottom w:val="single" w:sz="8" w:space="0" w:color="auto"/>
              <w:right w:val="single" w:sz="8" w:space="0" w:color="auto"/>
            </w:tcBorders>
            <w:shd w:val="clear" w:color="auto" w:fill="auto"/>
            <w:noWrap/>
            <w:hideMark/>
          </w:tcPr>
          <w:p w14:paraId="10FEAEB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"Lielstraupes pils"</w:t>
            </w:r>
          </w:p>
        </w:tc>
        <w:tc>
          <w:tcPr>
            <w:tcW w:w="2121" w:type="dxa"/>
            <w:tcBorders>
              <w:top w:val="nil"/>
              <w:left w:val="nil"/>
              <w:bottom w:val="single" w:sz="8" w:space="0" w:color="auto"/>
              <w:right w:val="single" w:sz="8" w:space="0" w:color="auto"/>
            </w:tcBorders>
            <w:shd w:val="clear" w:color="auto" w:fill="auto"/>
            <w:noWrap/>
            <w:hideMark/>
          </w:tcPr>
          <w:p w14:paraId="1581288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16FD780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14F3418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r>
      <w:tr w:rsidR="00830FA2" w:rsidRPr="00FD1578" w14:paraId="4EFF896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8E33D1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w:t>
            </w:r>
          </w:p>
        </w:tc>
        <w:tc>
          <w:tcPr>
            <w:tcW w:w="6600" w:type="dxa"/>
            <w:tcBorders>
              <w:top w:val="nil"/>
              <w:left w:val="nil"/>
              <w:bottom w:val="single" w:sz="8" w:space="0" w:color="auto"/>
              <w:right w:val="single" w:sz="8" w:space="0" w:color="auto"/>
            </w:tcBorders>
            <w:shd w:val="clear" w:color="auto" w:fill="auto"/>
            <w:noWrap/>
            <w:hideMark/>
          </w:tcPr>
          <w:p w14:paraId="00AC138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"Liepājas simfoniskais orķestris"</w:t>
            </w:r>
          </w:p>
        </w:tc>
        <w:tc>
          <w:tcPr>
            <w:tcW w:w="2121" w:type="dxa"/>
            <w:tcBorders>
              <w:top w:val="nil"/>
              <w:left w:val="nil"/>
              <w:bottom w:val="single" w:sz="8" w:space="0" w:color="auto"/>
              <w:right w:val="single" w:sz="8" w:space="0" w:color="auto"/>
            </w:tcBorders>
            <w:shd w:val="clear" w:color="auto" w:fill="auto"/>
            <w:noWrap/>
            <w:hideMark/>
          </w:tcPr>
          <w:p w14:paraId="64759F9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350 000</w:t>
            </w:r>
          </w:p>
        </w:tc>
        <w:tc>
          <w:tcPr>
            <w:tcW w:w="2121" w:type="dxa"/>
            <w:tcBorders>
              <w:top w:val="nil"/>
              <w:left w:val="nil"/>
              <w:bottom w:val="single" w:sz="8" w:space="0" w:color="auto"/>
              <w:right w:val="single" w:sz="8" w:space="0" w:color="auto"/>
            </w:tcBorders>
            <w:shd w:val="clear" w:color="auto" w:fill="auto"/>
            <w:noWrap/>
            <w:hideMark/>
          </w:tcPr>
          <w:p w14:paraId="0F777E1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339 645</w:t>
            </w:r>
          </w:p>
        </w:tc>
        <w:tc>
          <w:tcPr>
            <w:tcW w:w="2177" w:type="dxa"/>
            <w:tcBorders>
              <w:top w:val="nil"/>
              <w:left w:val="nil"/>
              <w:bottom w:val="single" w:sz="8" w:space="0" w:color="auto"/>
              <w:right w:val="single" w:sz="8" w:space="0" w:color="auto"/>
            </w:tcBorders>
            <w:shd w:val="clear" w:color="auto" w:fill="auto"/>
            <w:noWrap/>
            <w:hideMark/>
          </w:tcPr>
          <w:p w14:paraId="762D9D7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10 355</w:t>
            </w:r>
          </w:p>
        </w:tc>
      </w:tr>
      <w:tr w:rsidR="00830FA2" w:rsidRPr="00FD1578" w14:paraId="6A7B147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C47B2F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38</w:t>
            </w:r>
          </w:p>
        </w:tc>
        <w:tc>
          <w:tcPr>
            <w:tcW w:w="6600" w:type="dxa"/>
            <w:tcBorders>
              <w:top w:val="nil"/>
              <w:left w:val="nil"/>
              <w:bottom w:val="single" w:sz="8" w:space="0" w:color="auto"/>
              <w:right w:val="single" w:sz="8" w:space="0" w:color="auto"/>
            </w:tcBorders>
            <w:shd w:val="clear" w:color="auto" w:fill="auto"/>
            <w:noWrap/>
            <w:hideMark/>
          </w:tcPr>
          <w:p w14:paraId="25A8EF6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"Ludzas medicīnas centrs"</w:t>
            </w:r>
          </w:p>
        </w:tc>
        <w:tc>
          <w:tcPr>
            <w:tcW w:w="2121" w:type="dxa"/>
            <w:tcBorders>
              <w:top w:val="nil"/>
              <w:left w:val="nil"/>
              <w:bottom w:val="single" w:sz="8" w:space="0" w:color="auto"/>
              <w:right w:val="single" w:sz="8" w:space="0" w:color="auto"/>
            </w:tcBorders>
            <w:shd w:val="clear" w:color="auto" w:fill="auto"/>
            <w:noWrap/>
            <w:hideMark/>
          </w:tcPr>
          <w:p w14:paraId="5CF4A45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4 500 000</w:t>
            </w:r>
          </w:p>
        </w:tc>
        <w:tc>
          <w:tcPr>
            <w:tcW w:w="2121" w:type="dxa"/>
            <w:tcBorders>
              <w:top w:val="nil"/>
              <w:left w:val="nil"/>
              <w:bottom w:val="single" w:sz="8" w:space="0" w:color="auto"/>
              <w:right w:val="single" w:sz="8" w:space="0" w:color="auto"/>
            </w:tcBorders>
            <w:shd w:val="clear" w:color="auto" w:fill="auto"/>
            <w:noWrap/>
            <w:hideMark/>
          </w:tcPr>
          <w:p w14:paraId="3052B09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4 420 000</w:t>
            </w:r>
          </w:p>
        </w:tc>
        <w:tc>
          <w:tcPr>
            <w:tcW w:w="2177" w:type="dxa"/>
            <w:tcBorders>
              <w:top w:val="nil"/>
              <w:left w:val="nil"/>
              <w:bottom w:val="single" w:sz="8" w:space="0" w:color="auto"/>
              <w:right w:val="single" w:sz="8" w:space="0" w:color="auto"/>
            </w:tcBorders>
            <w:shd w:val="clear" w:color="auto" w:fill="auto"/>
            <w:noWrap/>
            <w:hideMark/>
          </w:tcPr>
          <w:p w14:paraId="6F4CA5A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80 000</w:t>
            </w:r>
          </w:p>
        </w:tc>
      </w:tr>
      <w:tr w:rsidR="00830FA2" w:rsidRPr="00FD1578" w14:paraId="172C584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0ECCE03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39</w:t>
            </w:r>
          </w:p>
        </w:tc>
        <w:tc>
          <w:tcPr>
            <w:tcW w:w="6600" w:type="dxa"/>
            <w:tcBorders>
              <w:top w:val="nil"/>
              <w:left w:val="nil"/>
              <w:bottom w:val="single" w:sz="8" w:space="0" w:color="auto"/>
              <w:right w:val="single" w:sz="8" w:space="0" w:color="auto"/>
            </w:tcBorders>
            <w:shd w:val="clear" w:color="auto" w:fill="auto"/>
            <w:noWrap/>
            <w:hideMark/>
          </w:tcPr>
          <w:p w14:paraId="64C16BC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"Mihaila Čehova Rīgas Krievu teātris"</w:t>
            </w:r>
          </w:p>
        </w:tc>
        <w:tc>
          <w:tcPr>
            <w:tcW w:w="2121" w:type="dxa"/>
            <w:tcBorders>
              <w:top w:val="nil"/>
              <w:left w:val="nil"/>
              <w:bottom w:val="single" w:sz="8" w:space="0" w:color="auto"/>
              <w:right w:val="single" w:sz="8" w:space="0" w:color="auto"/>
            </w:tcBorders>
            <w:shd w:val="clear" w:color="auto" w:fill="auto"/>
            <w:noWrap/>
            <w:hideMark/>
          </w:tcPr>
          <w:p w14:paraId="6B51738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2 545 920</w:t>
            </w:r>
          </w:p>
        </w:tc>
        <w:tc>
          <w:tcPr>
            <w:tcW w:w="2121" w:type="dxa"/>
            <w:tcBorders>
              <w:top w:val="nil"/>
              <w:left w:val="nil"/>
              <w:bottom w:val="single" w:sz="8" w:space="0" w:color="auto"/>
              <w:right w:val="single" w:sz="8" w:space="0" w:color="auto"/>
            </w:tcBorders>
            <w:shd w:val="clear" w:color="auto" w:fill="auto"/>
            <w:noWrap/>
            <w:hideMark/>
          </w:tcPr>
          <w:p w14:paraId="2ECB17D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2 504 245</w:t>
            </w:r>
          </w:p>
        </w:tc>
        <w:tc>
          <w:tcPr>
            <w:tcW w:w="2177" w:type="dxa"/>
            <w:tcBorders>
              <w:top w:val="nil"/>
              <w:left w:val="nil"/>
              <w:bottom w:val="single" w:sz="8" w:space="0" w:color="auto"/>
              <w:right w:val="single" w:sz="8" w:space="0" w:color="auto"/>
            </w:tcBorders>
            <w:shd w:val="clear" w:color="auto" w:fill="auto"/>
            <w:noWrap/>
            <w:hideMark/>
          </w:tcPr>
          <w:p w14:paraId="405EFD6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41 675</w:t>
            </w:r>
          </w:p>
        </w:tc>
      </w:tr>
      <w:tr w:rsidR="00830FA2" w:rsidRPr="00FD1578" w14:paraId="4E5C1F0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1B423E1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40</w:t>
            </w:r>
          </w:p>
        </w:tc>
        <w:tc>
          <w:tcPr>
            <w:tcW w:w="6600" w:type="dxa"/>
            <w:tcBorders>
              <w:top w:val="nil"/>
              <w:left w:val="nil"/>
              <w:bottom w:val="single" w:sz="8" w:space="0" w:color="auto"/>
              <w:right w:val="single" w:sz="8" w:space="0" w:color="auto"/>
            </w:tcBorders>
            <w:shd w:val="clear" w:color="auto" w:fill="auto"/>
            <w:noWrap/>
            <w:hideMark/>
          </w:tcPr>
          <w:p w14:paraId="5754734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"Pasažieru vilciens"</w:t>
            </w:r>
          </w:p>
        </w:tc>
        <w:tc>
          <w:tcPr>
            <w:tcW w:w="2121" w:type="dxa"/>
            <w:tcBorders>
              <w:top w:val="nil"/>
              <w:left w:val="nil"/>
              <w:bottom w:val="single" w:sz="8" w:space="0" w:color="auto"/>
              <w:right w:val="single" w:sz="8" w:space="0" w:color="auto"/>
            </w:tcBorders>
            <w:shd w:val="clear" w:color="auto" w:fill="auto"/>
            <w:noWrap/>
            <w:hideMark/>
          </w:tcPr>
          <w:p w14:paraId="5DD69DB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82 035 052</w:t>
            </w:r>
          </w:p>
        </w:tc>
        <w:tc>
          <w:tcPr>
            <w:tcW w:w="2121" w:type="dxa"/>
            <w:tcBorders>
              <w:top w:val="nil"/>
              <w:left w:val="nil"/>
              <w:bottom w:val="single" w:sz="8" w:space="0" w:color="auto"/>
              <w:right w:val="single" w:sz="8" w:space="0" w:color="auto"/>
            </w:tcBorders>
            <w:shd w:val="clear" w:color="auto" w:fill="auto"/>
            <w:noWrap/>
            <w:hideMark/>
          </w:tcPr>
          <w:p w14:paraId="0D6C6CA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80 068 749</w:t>
            </w:r>
          </w:p>
        </w:tc>
        <w:tc>
          <w:tcPr>
            <w:tcW w:w="2177" w:type="dxa"/>
            <w:tcBorders>
              <w:top w:val="nil"/>
              <w:left w:val="nil"/>
              <w:bottom w:val="single" w:sz="8" w:space="0" w:color="auto"/>
              <w:right w:val="single" w:sz="8" w:space="0" w:color="auto"/>
            </w:tcBorders>
            <w:shd w:val="clear" w:color="auto" w:fill="auto"/>
            <w:noWrap/>
            <w:hideMark/>
          </w:tcPr>
          <w:p w14:paraId="139175A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1 966 303</w:t>
            </w:r>
          </w:p>
        </w:tc>
      </w:tr>
      <w:tr w:rsidR="00830FA2" w:rsidRPr="00FD1578" w14:paraId="3DF3ED0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F1E22D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41</w:t>
            </w:r>
          </w:p>
        </w:tc>
        <w:tc>
          <w:tcPr>
            <w:tcW w:w="6600" w:type="dxa"/>
            <w:tcBorders>
              <w:top w:val="nil"/>
              <w:left w:val="nil"/>
              <w:bottom w:val="single" w:sz="8" w:space="0" w:color="auto"/>
              <w:right w:val="single" w:sz="8" w:space="0" w:color="auto"/>
            </w:tcBorders>
            <w:shd w:val="clear" w:color="auto" w:fill="auto"/>
            <w:noWrap/>
            <w:hideMark/>
          </w:tcPr>
          <w:p w14:paraId="022B2B6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"Paula Stradiņa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4D2E03E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198 172 851</w:t>
            </w:r>
          </w:p>
        </w:tc>
        <w:tc>
          <w:tcPr>
            <w:tcW w:w="2121" w:type="dxa"/>
            <w:tcBorders>
              <w:top w:val="nil"/>
              <w:left w:val="nil"/>
              <w:bottom w:val="single" w:sz="8" w:space="0" w:color="auto"/>
              <w:right w:val="single" w:sz="8" w:space="0" w:color="auto"/>
            </w:tcBorders>
            <w:shd w:val="clear" w:color="auto" w:fill="auto"/>
            <w:noWrap/>
            <w:hideMark/>
          </w:tcPr>
          <w:p w14:paraId="7959D40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192 381 770</w:t>
            </w:r>
          </w:p>
        </w:tc>
        <w:tc>
          <w:tcPr>
            <w:tcW w:w="2177" w:type="dxa"/>
            <w:tcBorders>
              <w:top w:val="nil"/>
              <w:left w:val="nil"/>
              <w:bottom w:val="single" w:sz="8" w:space="0" w:color="auto"/>
              <w:right w:val="single" w:sz="8" w:space="0" w:color="auto"/>
            </w:tcBorders>
            <w:shd w:val="clear" w:color="auto" w:fill="auto"/>
            <w:noWrap/>
            <w:hideMark/>
          </w:tcPr>
          <w:p w14:paraId="0627BFC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5 791 081</w:t>
            </w:r>
          </w:p>
        </w:tc>
      </w:tr>
      <w:tr w:rsidR="00830FA2" w:rsidRPr="00FD1578" w14:paraId="2FDCCC8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1D851C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42</w:t>
            </w:r>
          </w:p>
        </w:tc>
        <w:tc>
          <w:tcPr>
            <w:tcW w:w="6600" w:type="dxa"/>
            <w:tcBorders>
              <w:top w:val="nil"/>
              <w:left w:val="nil"/>
              <w:bottom w:val="single" w:sz="8" w:space="0" w:color="auto"/>
              <w:right w:val="single" w:sz="8" w:space="0" w:color="auto"/>
            </w:tcBorders>
            <w:shd w:val="clear" w:color="auto" w:fill="auto"/>
            <w:noWrap/>
            <w:hideMark/>
          </w:tcPr>
          <w:p w14:paraId="72C5EFE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"Piejūras slimnīca"</w:t>
            </w:r>
          </w:p>
        </w:tc>
        <w:tc>
          <w:tcPr>
            <w:tcW w:w="2121" w:type="dxa"/>
            <w:tcBorders>
              <w:top w:val="nil"/>
              <w:left w:val="nil"/>
              <w:bottom w:val="single" w:sz="8" w:space="0" w:color="auto"/>
              <w:right w:val="single" w:sz="8" w:space="0" w:color="auto"/>
            </w:tcBorders>
            <w:shd w:val="clear" w:color="auto" w:fill="auto"/>
            <w:noWrap/>
            <w:hideMark/>
          </w:tcPr>
          <w:p w14:paraId="2E92062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6 053 600</w:t>
            </w:r>
          </w:p>
        </w:tc>
        <w:tc>
          <w:tcPr>
            <w:tcW w:w="2121" w:type="dxa"/>
            <w:tcBorders>
              <w:top w:val="nil"/>
              <w:left w:val="nil"/>
              <w:bottom w:val="single" w:sz="8" w:space="0" w:color="auto"/>
              <w:right w:val="single" w:sz="8" w:space="0" w:color="auto"/>
            </w:tcBorders>
            <w:shd w:val="clear" w:color="auto" w:fill="auto"/>
            <w:noWrap/>
            <w:hideMark/>
          </w:tcPr>
          <w:p w14:paraId="3302E2B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5 967 783</w:t>
            </w:r>
          </w:p>
        </w:tc>
        <w:tc>
          <w:tcPr>
            <w:tcW w:w="2177" w:type="dxa"/>
            <w:tcBorders>
              <w:top w:val="nil"/>
              <w:left w:val="nil"/>
              <w:bottom w:val="single" w:sz="8" w:space="0" w:color="auto"/>
              <w:right w:val="single" w:sz="8" w:space="0" w:color="auto"/>
            </w:tcBorders>
            <w:shd w:val="clear" w:color="auto" w:fill="auto"/>
            <w:noWrap/>
            <w:hideMark/>
          </w:tcPr>
          <w:p w14:paraId="10BFF9B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85 817</w:t>
            </w:r>
          </w:p>
        </w:tc>
      </w:tr>
      <w:tr w:rsidR="00830FA2" w:rsidRPr="00FD1578" w14:paraId="7B9DA66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449E72F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lastRenderedPageBreak/>
              <w:t>43</w:t>
            </w:r>
          </w:p>
        </w:tc>
        <w:tc>
          <w:tcPr>
            <w:tcW w:w="6600" w:type="dxa"/>
            <w:tcBorders>
              <w:top w:val="nil"/>
              <w:left w:val="nil"/>
              <w:bottom w:val="single" w:sz="8" w:space="0" w:color="auto"/>
              <w:right w:val="single" w:sz="8" w:space="0" w:color="auto"/>
            </w:tcBorders>
            <w:shd w:val="clear" w:color="auto" w:fill="auto"/>
            <w:noWrap/>
            <w:hideMark/>
          </w:tcPr>
          <w:p w14:paraId="0DAC479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 xml:space="preserve">SIA "Publisko aktīvu pārvaldītājs </w:t>
            </w:r>
            <w:proofErr w:type="spellStart"/>
            <w:r w:rsidRPr="00FD1578">
              <w:rPr>
                <w:rFonts w:eastAsia="Calibri" w:cs="Times New Roman"/>
                <w:sz w:val="18"/>
                <w:szCs w:val="18"/>
                <w:lang w:eastAsia="en-US"/>
              </w:rPr>
              <w:t>Possessor</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2544377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3 668 810</w:t>
            </w:r>
          </w:p>
        </w:tc>
        <w:tc>
          <w:tcPr>
            <w:tcW w:w="2121" w:type="dxa"/>
            <w:tcBorders>
              <w:top w:val="nil"/>
              <w:left w:val="nil"/>
              <w:bottom w:val="single" w:sz="8" w:space="0" w:color="auto"/>
              <w:right w:val="single" w:sz="8" w:space="0" w:color="auto"/>
            </w:tcBorders>
            <w:shd w:val="clear" w:color="auto" w:fill="auto"/>
            <w:noWrap/>
            <w:hideMark/>
          </w:tcPr>
          <w:p w14:paraId="45118E0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3 591 370</w:t>
            </w:r>
          </w:p>
        </w:tc>
        <w:tc>
          <w:tcPr>
            <w:tcW w:w="2177" w:type="dxa"/>
            <w:tcBorders>
              <w:top w:val="nil"/>
              <w:left w:val="nil"/>
              <w:bottom w:val="single" w:sz="8" w:space="0" w:color="auto"/>
              <w:right w:val="single" w:sz="8" w:space="0" w:color="auto"/>
            </w:tcBorders>
            <w:shd w:val="clear" w:color="auto" w:fill="auto"/>
            <w:noWrap/>
            <w:hideMark/>
          </w:tcPr>
          <w:p w14:paraId="4D817CC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77 440</w:t>
            </w:r>
          </w:p>
        </w:tc>
      </w:tr>
      <w:tr w:rsidR="00830FA2" w:rsidRPr="00FD1578" w14:paraId="24F8114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6A05A6C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44</w:t>
            </w:r>
          </w:p>
        </w:tc>
        <w:tc>
          <w:tcPr>
            <w:tcW w:w="6600" w:type="dxa"/>
            <w:tcBorders>
              <w:top w:val="nil"/>
              <w:left w:val="nil"/>
              <w:bottom w:val="single" w:sz="8" w:space="0" w:color="auto"/>
              <w:right w:val="single" w:sz="8" w:space="0" w:color="auto"/>
            </w:tcBorders>
            <w:shd w:val="clear" w:color="auto" w:fill="auto"/>
            <w:noWrap/>
            <w:hideMark/>
          </w:tcPr>
          <w:p w14:paraId="75DB960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"REAP"</w:t>
            </w:r>
          </w:p>
        </w:tc>
        <w:tc>
          <w:tcPr>
            <w:tcW w:w="2121" w:type="dxa"/>
            <w:tcBorders>
              <w:top w:val="nil"/>
              <w:left w:val="nil"/>
              <w:bottom w:val="single" w:sz="8" w:space="0" w:color="auto"/>
              <w:right w:val="single" w:sz="8" w:space="0" w:color="auto"/>
            </w:tcBorders>
            <w:shd w:val="clear" w:color="auto" w:fill="auto"/>
            <w:noWrap/>
            <w:hideMark/>
          </w:tcPr>
          <w:p w14:paraId="041768C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195 200</w:t>
            </w:r>
          </w:p>
        </w:tc>
        <w:tc>
          <w:tcPr>
            <w:tcW w:w="2121" w:type="dxa"/>
            <w:tcBorders>
              <w:top w:val="nil"/>
              <w:left w:val="nil"/>
              <w:bottom w:val="single" w:sz="8" w:space="0" w:color="auto"/>
              <w:right w:val="single" w:sz="8" w:space="0" w:color="auto"/>
            </w:tcBorders>
            <w:shd w:val="clear" w:color="auto" w:fill="auto"/>
            <w:noWrap/>
            <w:hideMark/>
          </w:tcPr>
          <w:p w14:paraId="111C6DC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195 200</w:t>
            </w:r>
          </w:p>
        </w:tc>
        <w:tc>
          <w:tcPr>
            <w:tcW w:w="2177" w:type="dxa"/>
            <w:tcBorders>
              <w:top w:val="nil"/>
              <w:left w:val="nil"/>
              <w:bottom w:val="single" w:sz="8" w:space="0" w:color="auto"/>
              <w:right w:val="single" w:sz="8" w:space="0" w:color="auto"/>
            </w:tcBorders>
            <w:shd w:val="clear" w:color="auto" w:fill="auto"/>
            <w:noWrap/>
            <w:hideMark/>
          </w:tcPr>
          <w:p w14:paraId="0AACDF1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r>
      <w:tr w:rsidR="00830FA2" w:rsidRPr="00FD1578" w14:paraId="713C742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BBAF3E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45</w:t>
            </w:r>
          </w:p>
        </w:tc>
        <w:tc>
          <w:tcPr>
            <w:tcW w:w="6600" w:type="dxa"/>
            <w:tcBorders>
              <w:top w:val="nil"/>
              <w:left w:val="nil"/>
              <w:bottom w:val="single" w:sz="8" w:space="0" w:color="auto"/>
              <w:right w:val="single" w:sz="8" w:space="0" w:color="auto"/>
            </w:tcBorders>
            <w:shd w:val="clear" w:color="auto" w:fill="auto"/>
            <w:noWrap/>
            <w:hideMark/>
          </w:tcPr>
          <w:p w14:paraId="2E2AF5F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w:t>
            </w:r>
            <w:proofErr w:type="spellStart"/>
            <w:r w:rsidRPr="00FD1578">
              <w:rPr>
                <w:rFonts w:eastAsia="Calibri" w:cs="Times New Roman"/>
                <w:sz w:val="18"/>
                <w:szCs w:val="18"/>
                <w:lang w:eastAsia="en-US"/>
              </w:rPr>
              <w:t>Reverta</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412A44B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0D9C023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350DE5F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r>
      <w:tr w:rsidR="00830FA2" w:rsidRPr="00FD1578" w14:paraId="6F8C94A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741995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46</w:t>
            </w:r>
          </w:p>
        </w:tc>
        <w:tc>
          <w:tcPr>
            <w:tcW w:w="6600" w:type="dxa"/>
            <w:tcBorders>
              <w:top w:val="nil"/>
              <w:left w:val="nil"/>
              <w:bottom w:val="single" w:sz="8" w:space="0" w:color="auto"/>
              <w:right w:val="single" w:sz="8" w:space="0" w:color="auto"/>
            </w:tcBorders>
            <w:shd w:val="clear" w:color="auto" w:fill="auto"/>
            <w:noWrap/>
            <w:hideMark/>
          </w:tcPr>
          <w:p w14:paraId="6AA4AB6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Austrumu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4A50272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253 094 459</w:t>
            </w:r>
          </w:p>
        </w:tc>
        <w:tc>
          <w:tcPr>
            <w:tcW w:w="2121" w:type="dxa"/>
            <w:tcBorders>
              <w:top w:val="nil"/>
              <w:left w:val="nil"/>
              <w:bottom w:val="single" w:sz="8" w:space="0" w:color="auto"/>
              <w:right w:val="single" w:sz="8" w:space="0" w:color="auto"/>
            </w:tcBorders>
            <w:shd w:val="clear" w:color="auto" w:fill="auto"/>
            <w:noWrap/>
            <w:hideMark/>
          </w:tcPr>
          <w:p w14:paraId="7FFA8E0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250 785 034</w:t>
            </w:r>
          </w:p>
        </w:tc>
        <w:tc>
          <w:tcPr>
            <w:tcW w:w="2177" w:type="dxa"/>
            <w:tcBorders>
              <w:top w:val="nil"/>
              <w:left w:val="nil"/>
              <w:bottom w:val="single" w:sz="8" w:space="0" w:color="auto"/>
              <w:right w:val="single" w:sz="8" w:space="0" w:color="auto"/>
            </w:tcBorders>
            <w:shd w:val="clear" w:color="auto" w:fill="auto"/>
            <w:noWrap/>
            <w:hideMark/>
          </w:tcPr>
          <w:p w14:paraId="4A27AFB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2 309 425</w:t>
            </w:r>
          </w:p>
        </w:tc>
      </w:tr>
      <w:tr w:rsidR="00830FA2" w:rsidRPr="00FD1578" w14:paraId="6B0F52B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7F30E6E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47</w:t>
            </w:r>
          </w:p>
        </w:tc>
        <w:tc>
          <w:tcPr>
            <w:tcW w:w="6600" w:type="dxa"/>
            <w:tcBorders>
              <w:top w:val="nil"/>
              <w:left w:val="nil"/>
              <w:bottom w:val="single" w:sz="8" w:space="0" w:color="auto"/>
              <w:right w:val="single" w:sz="8" w:space="0" w:color="auto"/>
            </w:tcBorders>
            <w:shd w:val="clear" w:color="auto" w:fill="auto"/>
            <w:noWrap/>
            <w:hideMark/>
          </w:tcPr>
          <w:p w14:paraId="1217D49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"Rīgas Cirks"</w:t>
            </w:r>
          </w:p>
        </w:tc>
        <w:tc>
          <w:tcPr>
            <w:tcW w:w="2121" w:type="dxa"/>
            <w:tcBorders>
              <w:top w:val="nil"/>
              <w:left w:val="nil"/>
              <w:bottom w:val="single" w:sz="8" w:space="0" w:color="auto"/>
              <w:right w:val="single" w:sz="8" w:space="0" w:color="auto"/>
            </w:tcBorders>
            <w:shd w:val="clear" w:color="auto" w:fill="auto"/>
            <w:noWrap/>
            <w:hideMark/>
          </w:tcPr>
          <w:p w14:paraId="3742504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999 816</w:t>
            </w:r>
          </w:p>
        </w:tc>
        <w:tc>
          <w:tcPr>
            <w:tcW w:w="2121" w:type="dxa"/>
            <w:tcBorders>
              <w:top w:val="nil"/>
              <w:left w:val="nil"/>
              <w:bottom w:val="single" w:sz="8" w:space="0" w:color="auto"/>
              <w:right w:val="single" w:sz="8" w:space="0" w:color="auto"/>
            </w:tcBorders>
            <w:shd w:val="clear" w:color="auto" w:fill="auto"/>
            <w:noWrap/>
            <w:hideMark/>
          </w:tcPr>
          <w:p w14:paraId="060ECE4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993 000</w:t>
            </w:r>
          </w:p>
        </w:tc>
        <w:tc>
          <w:tcPr>
            <w:tcW w:w="2177" w:type="dxa"/>
            <w:tcBorders>
              <w:top w:val="nil"/>
              <w:left w:val="nil"/>
              <w:bottom w:val="single" w:sz="8" w:space="0" w:color="auto"/>
              <w:right w:val="single" w:sz="8" w:space="0" w:color="auto"/>
            </w:tcBorders>
            <w:shd w:val="clear" w:color="auto" w:fill="auto"/>
            <w:noWrap/>
            <w:hideMark/>
          </w:tcPr>
          <w:p w14:paraId="010D01E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6 816</w:t>
            </w:r>
          </w:p>
        </w:tc>
      </w:tr>
      <w:tr w:rsidR="00830FA2" w:rsidRPr="00FD1578" w14:paraId="0491992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45E4EEC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48</w:t>
            </w:r>
          </w:p>
        </w:tc>
        <w:tc>
          <w:tcPr>
            <w:tcW w:w="6600" w:type="dxa"/>
            <w:tcBorders>
              <w:top w:val="nil"/>
              <w:left w:val="nil"/>
              <w:bottom w:val="single" w:sz="8" w:space="0" w:color="auto"/>
              <w:right w:val="single" w:sz="8" w:space="0" w:color="auto"/>
            </w:tcBorders>
            <w:shd w:val="clear" w:color="auto" w:fill="auto"/>
            <w:noWrap/>
            <w:hideMark/>
          </w:tcPr>
          <w:p w14:paraId="7AA8310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"Rīgas psihiatrijas un narkoloģijas centrs"</w:t>
            </w:r>
          </w:p>
        </w:tc>
        <w:tc>
          <w:tcPr>
            <w:tcW w:w="2121" w:type="dxa"/>
            <w:tcBorders>
              <w:top w:val="nil"/>
              <w:left w:val="nil"/>
              <w:bottom w:val="single" w:sz="8" w:space="0" w:color="auto"/>
              <w:right w:val="single" w:sz="8" w:space="0" w:color="auto"/>
            </w:tcBorders>
            <w:shd w:val="clear" w:color="auto" w:fill="auto"/>
            <w:noWrap/>
            <w:hideMark/>
          </w:tcPr>
          <w:p w14:paraId="216D243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32 663 733</w:t>
            </w:r>
          </w:p>
        </w:tc>
        <w:tc>
          <w:tcPr>
            <w:tcW w:w="2121" w:type="dxa"/>
            <w:tcBorders>
              <w:top w:val="nil"/>
              <w:left w:val="nil"/>
              <w:bottom w:val="single" w:sz="8" w:space="0" w:color="auto"/>
              <w:right w:val="single" w:sz="8" w:space="0" w:color="auto"/>
            </w:tcBorders>
            <w:shd w:val="clear" w:color="auto" w:fill="auto"/>
            <w:noWrap/>
            <w:hideMark/>
          </w:tcPr>
          <w:p w14:paraId="73125F6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32 663 733</w:t>
            </w:r>
          </w:p>
        </w:tc>
        <w:tc>
          <w:tcPr>
            <w:tcW w:w="2177" w:type="dxa"/>
            <w:tcBorders>
              <w:top w:val="nil"/>
              <w:left w:val="nil"/>
              <w:bottom w:val="single" w:sz="8" w:space="0" w:color="auto"/>
              <w:right w:val="single" w:sz="8" w:space="0" w:color="auto"/>
            </w:tcBorders>
            <w:shd w:val="clear" w:color="auto" w:fill="auto"/>
            <w:noWrap/>
            <w:hideMark/>
          </w:tcPr>
          <w:p w14:paraId="22E349C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r>
      <w:tr w:rsidR="00830FA2" w:rsidRPr="00FD1578" w14:paraId="7C4D3B5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60AE3D4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49</w:t>
            </w:r>
          </w:p>
        </w:tc>
        <w:tc>
          <w:tcPr>
            <w:tcW w:w="6600" w:type="dxa"/>
            <w:tcBorders>
              <w:top w:val="nil"/>
              <w:left w:val="nil"/>
              <w:bottom w:val="single" w:sz="8" w:space="0" w:color="auto"/>
              <w:right w:val="single" w:sz="8" w:space="0" w:color="auto"/>
            </w:tcBorders>
            <w:shd w:val="clear" w:color="auto" w:fill="auto"/>
            <w:noWrap/>
            <w:hideMark/>
          </w:tcPr>
          <w:p w14:paraId="1772604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"Rīgas Tūrisma un radošās industrijas tehnikums"</w:t>
            </w:r>
          </w:p>
        </w:tc>
        <w:tc>
          <w:tcPr>
            <w:tcW w:w="2121" w:type="dxa"/>
            <w:tcBorders>
              <w:top w:val="nil"/>
              <w:left w:val="nil"/>
              <w:bottom w:val="single" w:sz="8" w:space="0" w:color="auto"/>
              <w:right w:val="single" w:sz="8" w:space="0" w:color="auto"/>
            </w:tcBorders>
            <w:shd w:val="clear" w:color="auto" w:fill="auto"/>
            <w:noWrap/>
            <w:hideMark/>
          </w:tcPr>
          <w:p w14:paraId="19E5660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8 714 714</w:t>
            </w:r>
          </w:p>
        </w:tc>
        <w:tc>
          <w:tcPr>
            <w:tcW w:w="2121" w:type="dxa"/>
            <w:tcBorders>
              <w:top w:val="nil"/>
              <w:left w:val="nil"/>
              <w:bottom w:val="single" w:sz="8" w:space="0" w:color="auto"/>
              <w:right w:val="single" w:sz="8" w:space="0" w:color="auto"/>
            </w:tcBorders>
            <w:shd w:val="clear" w:color="auto" w:fill="auto"/>
            <w:noWrap/>
            <w:hideMark/>
          </w:tcPr>
          <w:p w14:paraId="1088F92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9 110 850</w:t>
            </w:r>
          </w:p>
        </w:tc>
        <w:tc>
          <w:tcPr>
            <w:tcW w:w="2177" w:type="dxa"/>
            <w:tcBorders>
              <w:top w:val="nil"/>
              <w:left w:val="nil"/>
              <w:bottom w:val="single" w:sz="8" w:space="0" w:color="auto"/>
              <w:right w:val="single" w:sz="8" w:space="0" w:color="auto"/>
            </w:tcBorders>
            <w:shd w:val="clear" w:color="auto" w:fill="auto"/>
            <w:noWrap/>
            <w:hideMark/>
          </w:tcPr>
          <w:p w14:paraId="71CA633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-396 136</w:t>
            </w:r>
          </w:p>
        </w:tc>
      </w:tr>
      <w:tr w:rsidR="00830FA2" w:rsidRPr="00FD1578" w14:paraId="5BAB10C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9E9D33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50</w:t>
            </w:r>
          </w:p>
        </w:tc>
        <w:tc>
          <w:tcPr>
            <w:tcW w:w="6600" w:type="dxa"/>
            <w:tcBorders>
              <w:top w:val="nil"/>
              <w:left w:val="nil"/>
              <w:bottom w:val="single" w:sz="8" w:space="0" w:color="auto"/>
              <w:right w:val="single" w:sz="8" w:space="0" w:color="auto"/>
            </w:tcBorders>
            <w:shd w:val="clear" w:color="auto" w:fill="auto"/>
            <w:noWrap/>
            <w:hideMark/>
          </w:tcPr>
          <w:p w14:paraId="5A58CCC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"RTU Starptautiskā zinātņu un tehnoloģiju skola"</w:t>
            </w:r>
          </w:p>
        </w:tc>
        <w:tc>
          <w:tcPr>
            <w:tcW w:w="2121" w:type="dxa"/>
            <w:tcBorders>
              <w:top w:val="nil"/>
              <w:left w:val="nil"/>
              <w:bottom w:val="single" w:sz="8" w:space="0" w:color="auto"/>
              <w:right w:val="single" w:sz="8" w:space="0" w:color="auto"/>
            </w:tcBorders>
            <w:shd w:val="clear" w:color="auto" w:fill="auto"/>
            <w:noWrap/>
            <w:hideMark/>
          </w:tcPr>
          <w:p w14:paraId="1BB3F7E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892 575</w:t>
            </w:r>
          </w:p>
        </w:tc>
        <w:tc>
          <w:tcPr>
            <w:tcW w:w="2121" w:type="dxa"/>
            <w:tcBorders>
              <w:top w:val="nil"/>
              <w:left w:val="nil"/>
              <w:bottom w:val="single" w:sz="8" w:space="0" w:color="auto"/>
              <w:right w:val="single" w:sz="8" w:space="0" w:color="auto"/>
            </w:tcBorders>
            <w:shd w:val="clear" w:color="auto" w:fill="auto"/>
            <w:noWrap/>
            <w:hideMark/>
          </w:tcPr>
          <w:p w14:paraId="623A596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834 462</w:t>
            </w:r>
          </w:p>
        </w:tc>
        <w:tc>
          <w:tcPr>
            <w:tcW w:w="2177" w:type="dxa"/>
            <w:tcBorders>
              <w:top w:val="nil"/>
              <w:left w:val="nil"/>
              <w:bottom w:val="single" w:sz="8" w:space="0" w:color="auto"/>
              <w:right w:val="single" w:sz="8" w:space="0" w:color="auto"/>
            </w:tcBorders>
            <w:shd w:val="clear" w:color="auto" w:fill="auto"/>
            <w:noWrap/>
            <w:hideMark/>
          </w:tcPr>
          <w:p w14:paraId="73854B6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58 113</w:t>
            </w:r>
          </w:p>
        </w:tc>
      </w:tr>
      <w:tr w:rsidR="00830FA2" w:rsidRPr="00FD1578" w14:paraId="5A024B5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4CAF721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51</w:t>
            </w:r>
          </w:p>
        </w:tc>
        <w:tc>
          <w:tcPr>
            <w:tcW w:w="6600" w:type="dxa"/>
            <w:tcBorders>
              <w:top w:val="nil"/>
              <w:left w:val="nil"/>
              <w:bottom w:val="single" w:sz="8" w:space="0" w:color="auto"/>
              <w:right w:val="single" w:sz="8" w:space="0" w:color="auto"/>
            </w:tcBorders>
            <w:shd w:val="clear" w:color="auto" w:fill="auto"/>
            <w:noWrap/>
            <w:hideMark/>
          </w:tcPr>
          <w:p w14:paraId="01B8C75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Starptautiskā Rakstnieku un tulkotāju māja"</w:t>
            </w:r>
          </w:p>
        </w:tc>
        <w:tc>
          <w:tcPr>
            <w:tcW w:w="2121" w:type="dxa"/>
            <w:tcBorders>
              <w:top w:val="nil"/>
              <w:left w:val="nil"/>
              <w:bottom w:val="single" w:sz="8" w:space="0" w:color="auto"/>
              <w:right w:val="single" w:sz="8" w:space="0" w:color="auto"/>
            </w:tcBorders>
            <w:shd w:val="clear" w:color="auto" w:fill="auto"/>
            <w:noWrap/>
            <w:hideMark/>
          </w:tcPr>
          <w:p w14:paraId="28C4B03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753 680</w:t>
            </w:r>
          </w:p>
        </w:tc>
        <w:tc>
          <w:tcPr>
            <w:tcW w:w="2121" w:type="dxa"/>
            <w:tcBorders>
              <w:top w:val="nil"/>
              <w:left w:val="nil"/>
              <w:bottom w:val="single" w:sz="8" w:space="0" w:color="auto"/>
              <w:right w:val="single" w:sz="8" w:space="0" w:color="auto"/>
            </w:tcBorders>
            <w:shd w:val="clear" w:color="auto" w:fill="auto"/>
            <w:noWrap/>
            <w:hideMark/>
          </w:tcPr>
          <w:p w14:paraId="1CA93D1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753 606</w:t>
            </w:r>
          </w:p>
        </w:tc>
        <w:tc>
          <w:tcPr>
            <w:tcW w:w="2177" w:type="dxa"/>
            <w:tcBorders>
              <w:top w:val="nil"/>
              <w:left w:val="nil"/>
              <w:bottom w:val="single" w:sz="8" w:space="0" w:color="auto"/>
              <w:right w:val="single" w:sz="8" w:space="0" w:color="auto"/>
            </w:tcBorders>
            <w:shd w:val="clear" w:color="auto" w:fill="auto"/>
            <w:noWrap/>
            <w:hideMark/>
          </w:tcPr>
          <w:p w14:paraId="2399B00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74</w:t>
            </w:r>
          </w:p>
        </w:tc>
      </w:tr>
      <w:tr w:rsidR="00830FA2" w:rsidRPr="00FD1578" w14:paraId="66C2792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25102F4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52</w:t>
            </w:r>
          </w:p>
        </w:tc>
        <w:tc>
          <w:tcPr>
            <w:tcW w:w="6600" w:type="dxa"/>
            <w:tcBorders>
              <w:top w:val="nil"/>
              <w:left w:val="nil"/>
              <w:bottom w:val="single" w:sz="8" w:space="0" w:color="auto"/>
              <w:right w:val="single" w:sz="8" w:space="0" w:color="auto"/>
            </w:tcBorders>
            <w:shd w:val="clear" w:color="auto" w:fill="auto"/>
            <w:noWrap/>
            <w:hideMark/>
          </w:tcPr>
          <w:p w14:paraId="78F384B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"Strenču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3138832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11 018 600</w:t>
            </w:r>
          </w:p>
        </w:tc>
        <w:tc>
          <w:tcPr>
            <w:tcW w:w="2121" w:type="dxa"/>
            <w:tcBorders>
              <w:top w:val="nil"/>
              <w:left w:val="nil"/>
              <w:bottom w:val="single" w:sz="8" w:space="0" w:color="auto"/>
              <w:right w:val="single" w:sz="8" w:space="0" w:color="auto"/>
            </w:tcBorders>
            <w:shd w:val="clear" w:color="auto" w:fill="auto"/>
            <w:noWrap/>
            <w:hideMark/>
          </w:tcPr>
          <w:p w14:paraId="600D55D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10 528 193</w:t>
            </w:r>
          </w:p>
        </w:tc>
        <w:tc>
          <w:tcPr>
            <w:tcW w:w="2177" w:type="dxa"/>
            <w:tcBorders>
              <w:top w:val="nil"/>
              <w:left w:val="nil"/>
              <w:bottom w:val="single" w:sz="8" w:space="0" w:color="auto"/>
              <w:right w:val="single" w:sz="8" w:space="0" w:color="auto"/>
            </w:tcBorders>
            <w:shd w:val="clear" w:color="auto" w:fill="auto"/>
            <w:noWrap/>
            <w:hideMark/>
          </w:tcPr>
          <w:p w14:paraId="7AA3536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490 407</w:t>
            </w:r>
          </w:p>
        </w:tc>
      </w:tr>
      <w:tr w:rsidR="00830FA2" w:rsidRPr="00FD1578" w14:paraId="117B643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4DAE503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53</w:t>
            </w:r>
          </w:p>
        </w:tc>
        <w:tc>
          <w:tcPr>
            <w:tcW w:w="6600" w:type="dxa"/>
            <w:tcBorders>
              <w:top w:val="nil"/>
              <w:left w:val="nil"/>
              <w:bottom w:val="single" w:sz="8" w:space="0" w:color="auto"/>
              <w:right w:val="single" w:sz="8" w:space="0" w:color="auto"/>
            </w:tcBorders>
            <w:shd w:val="clear" w:color="auto" w:fill="auto"/>
            <w:noWrap/>
            <w:hideMark/>
          </w:tcPr>
          <w:p w14:paraId="33491F2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"Šampētera nams"</w:t>
            </w:r>
          </w:p>
        </w:tc>
        <w:tc>
          <w:tcPr>
            <w:tcW w:w="2121" w:type="dxa"/>
            <w:tcBorders>
              <w:top w:val="nil"/>
              <w:left w:val="nil"/>
              <w:bottom w:val="single" w:sz="8" w:space="0" w:color="auto"/>
              <w:right w:val="single" w:sz="8" w:space="0" w:color="auto"/>
            </w:tcBorders>
            <w:shd w:val="clear" w:color="auto" w:fill="auto"/>
            <w:noWrap/>
            <w:hideMark/>
          </w:tcPr>
          <w:p w14:paraId="173D2A0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2 694 612</w:t>
            </w:r>
          </w:p>
        </w:tc>
        <w:tc>
          <w:tcPr>
            <w:tcW w:w="2121" w:type="dxa"/>
            <w:tcBorders>
              <w:top w:val="nil"/>
              <w:left w:val="nil"/>
              <w:bottom w:val="single" w:sz="8" w:space="0" w:color="auto"/>
              <w:right w:val="single" w:sz="8" w:space="0" w:color="auto"/>
            </w:tcBorders>
            <w:shd w:val="clear" w:color="auto" w:fill="auto"/>
            <w:noWrap/>
            <w:hideMark/>
          </w:tcPr>
          <w:p w14:paraId="208343D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2 668 020</w:t>
            </w:r>
          </w:p>
        </w:tc>
        <w:tc>
          <w:tcPr>
            <w:tcW w:w="2177" w:type="dxa"/>
            <w:tcBorders>
              <w:top w:val="nil"/>
              <w:left w:val="nil"/>
              <w:bottom w:val="single" w:sz="8" w:space="0" w:color="auto"/>
              <w:right w:val="single" w:sz="8" w:space="0" w:color="auto"/>
            </w:tcBorders>
            <w:shd w:val="clear" w:color="auto" w:fill="auto"/>
            <w:noWrap/>
            <w:hideMark/>
          </w:tcPr>
          <w:p w14:paraId="66CE400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26 592</w:t>
            </w:r>
          </w:p>
        </w:tc>
      </w:tr>
      <w:tr w:rsidR="00830FA2" w:rsidRPr="00FD1578" w14:paraId="1ED2A75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45BFC49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54</w:t>
            </w:r>
          </w:p>
        </w:tc>
        <w:tc>
          <w:tcPr>
            <w:tcW w:w="6600" w:type="dxa"/>
            <w:tcBorders>
              <w:top w:val="nil"/>
              <w:left w:val="nil"/>
              <w:bottom w:val="single" w:sz="8" w:space="0" w:color="auto"/>
              <w:right w:val="single" w:sz="8" w:space="0" w:color="auto"/>
            </w:tcBorders>
            <w:shd w:val="clear" w:color="auto" w:fill="auto"/>
            <w:noWrap/>
            <w:hideMark/>
          </w:tcPr>
          <w:p w14:paraId="68E5499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"Tiesu namu aģentūra"</w:t>
            </w:r>
          </w:p>
        </w:tc>
        <w:tc>
          <w:tcPr>
            <w:tcW w:w="2121" w:type="dxa"/>
            <w:tcBorders>
              <w:top w:val="nil"/>
              <w:left w:val="nil"/>
              <w:bottom w:val="single" w:sz="8" w:space="0" w:color="auto"/>
              <w:right w:val="single" w:sz="8" w:space="0" w:color="auto"/>
            </w:tcBorders>
            <w:shd w:val="clear" w:color="auto" w:fill="auto"/>
            <w:noWrap/>
            <w:hideMark/>
          </w:tcPr>
          <w:p w14:paraId="3F4602C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9 150 000</w:t>
            </w:r>
          </w:p>
        </w:tc>
        <w:tc>
          <w:tcPr>
            <w:tcW w:w="2121" w:type="dxa"/>
            <w:tcBorders>
              <w:top w:val="nil"/>
              <w:left w:val="nil"/>
              <w:bottom w:val="single" w:sz="8" w:space="0" w:color="auto"/>
              <w:right w:val="single" w:sz="8" w:space="0" w:color="auto"/>
            </w:tcBorders>
            <w:shd w:val="clear" w:color="auto" w:fill="auto"/>
            <w:noWrap/>
            <w:hideMark/>
          </w:tcPr>
          <w:p w14:paraId="7BE6222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23 968 113</w:t>
            </w:r>
          </w:p>
        </w:tc>
        <w:tc>
          <w:tcPr>
            <w:tcW w:w="2177" w:type="dxa"/>
            <w:tcBorders>
              <w:top w:val="nil"/>
              <w:left w:val="nil"/>
              <w:bottom w:val="single" w:sz="8" w:space="0" w:color="auto"/>
              <w:right w:val="single" w:sz="8" w:space="0" w:color="auto"/>
            </w:tcBorders>
            <w:shd w:val="clear" w:color="auto" w:fill="auto"/>
            <w:noWrap/>
            <w:hideMark/>
          </w:tcPr>
          <w:p w14:paraId="46B8138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-14 818 113</w:t>
            </w:r>
          </w:p>
        </w:tc>
      </w:tr>
      <w:tr w:rsidR="00830FA2" w:rsidRPr="00FD1578" w14:paraId="48DBA2B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1269B6E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55</w:t>
            </w:r>
          </w:p>
        </w:tc>
        <w:tc>
          <w:tcPr>
            <w:tcW w:w="6600" w:type="dxa"/>
            <w:tcBorders>
              <w:top w:val="nil"/>
              <w:left w:val="nil"/>
              <w:bottom w:val="single" w:sz="8" w:space="0" w:color="auto"/>
              <w:right w:val="single" w:sz="8" w:space="0" w:color="auto"/>
            </w:tcBorders>
            <w:shd w:val="clear" w:color="auto" w:fill="auto"/>
            <w:noWrap/>
            <w:hideMark/>
          </w:tcPr>
          <w:p w14:paraId="7C99912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"Traumatoloģijas un ortopēdijas slimnīca"</w:t>
            </w:r>
          </w:p>
        </w:tc>
        <w:tc>
          <w:tcPr>
            <w:tcW w:w="2121" w:type="dxa"/>
            <w:tcBorders>
              <w:top w:val="nil"/>
              <w:left w:val="nil"/>
              <w:bottom w:val="single" w:sz="8" w:space="0" w:color="auto"/>
              <w:right w:val="single" w:sz="8" w:space="0" w:color="auto"/>
            </w:tcBorders>
            <w:shd w:val="clear" w:color="auto" w:fill="auto"/>
            <w:noWrap/>
            <w:hideMark/>
          </w:tcPr>
          <w:p w14:paraId="2A6286F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31 731 520</w:t>
            </w:r>
          </w:p>
        </w:tc>
        <w:tc>
          <w:tcPr>
            <w:tcW w:w="2121" w:type="dxa"/>
            <w:tcBorders>
              <w:top w:val="nil"/>
              <w:left w:val="nil"/>
              <w:bottom w:val="single" w:sz="8" w:space="0" w:color="auto"/>
              <w:right w:val="single" w:sz="8" w:space="0" w:color="auto"/>
            </w:tcBorders>
            <w:shd w:val="clear" w:color="auto" w:fill="auto"/>
            <w:noWrap/>
            <w:hideMark/>
          </w:tcPr>
          <w:p w14:paraId="20DFBC7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31 703 967</w:t>
            </w:r>
          </w:p>
        </w:tc>
        <w:tc>
          <w:tcPr>
            <w:tcW w:w="2177" w:type="dxa"/>
            <w:tcBorders>
              <w:top w:val="nil"/>
              <w:left w:val="nil"/>
              <w:bottom w:val="single" w:sz="8" w:space="0" w:color="auto"/>
              <w:right w:val="single" w:sz="8" w:space="0" w:color="auto"/>
            </w:tcBorders>
            <w:shd w:val="clear" w:color="auto" w:fill="auto"/>
            <w:noWrap/>
            <w:hideMark/>
          </w:tcPr>
          <w:p w14:paraId="424E172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27 553</w:t>
            </w:r>
          </w:p>
        </w:tc>
      </w:tr>
      <w:tr w:rsidR="00830FA2" w:rsidRPr="00FD1578" w14:paraId="39C981E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2CFE150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56</w:t>
            </w:r>
          </w:p>
        </w:tc>
        <w:tc>
          <w:tcPr>
            <w:tcW w:w="6600" w:type="dxa"/>
            <w:tcBorders>
              <w:top w:val="nil"/>
              <w:left w:val="nil"/>
              <w:bottom w:val="single" w:sz="8" w:space="0" w:color="auto"/>
              <w:right w:val="single" w:sz="8" w:space="0" w:color="auto"/>
            </w:tcBorders>
            <w:shd w:val="clear" w:color="auto" w:fill="auto"/>
            <w:noWrap/>
            <w:hideMark/>
          </w:tcPr>
          <w:p w14:paraId="2A78AEF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"Nacionālais rehabilitācijas centrs "Vaivari""</w:t>
            </w:r>
          </w:p>
        </w:tc>
        <w:tc>
          <w:tcPr>
            <w:tcW w:w="2121" w:type="dxa"/>
            <w:tcBorders>
              <w:top w:val="nil"/>
              <w:left w:val="nil"/>
              <w:bottom w:val="single" w:sz="8" w:space="0" w:color="auto"/>
              <w:right w:val="single" w:sz="8" w:space="0" w:color="auto"/>
            </w:tcBorders>
            <w:shd w:val="clear" w:color="auto" w:fill="auto"/>
            <w:noWrap/>
            <w:hideMark/>
          </w:tcPr>
          <w:p w14:paraId="72DE01C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26 997 791</w:t>
            </w:r>
          </w:p>
        </w:tc>
        <w:tc>
          <w:tcPr>
            <w:tcW w:w="2121" w:type="dxa"/>
            <w:tcBorders>
              <w:top w:val="nil"/>
              <w:left w:val="nil"/>
              <w:bottom w:val="single" w:sz="8" w:space="0" w:color="auto"/>
              <w:right w:val="single" w:sz="8" w:space="0" w:color="auto"/>
            </w:tcBorders>
            <w:shd w:val="clear" w:color="auto" w:fill="auto"/>
            <w:noWrap/>
            <w:hideMark/>
          </w:tcPr>
          <w:p w14:paraId="49F69E9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26 194 467</w:t>
            </w:r>
          </w:p>
        </w:tc>
        <w:tc>
          <w:tcPr>
            <w:tcW w:w="2177" w:type="dxa"/>
            <w:tcBorders>
              <w:top w:val="nil"/>
              <w:left w:val="nil"/>
              <w:bottom w:val="single" w:sz="8" w:space="0" w:color="auto"/>
              <w:right w:val="single" w:sz="8" w:space="0" w:color="auto"/>
            </w:tcBorders>
            <w:shd w:val="clear" w:color="auto" w:fill="auto"/>
            <w:noWrap/>
            <w:hideMark/>
          </w:tcPr>
          <w:p w14:paraId="152EA70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803 324</w:t>
            </w:r>
          </w:p>
        </w:tc>
      </w:tr>
      <w:tr w:rsidR="00830FA2" w:rsidRPr="00FD1578" w14:paraId="626D478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0289E2D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57</w:t>
            </w:r>
          </w:p>
        </w:tc>
        <w:tc>
          <w:tcPr>
            <w:tcW w:w="6600" w:type="dxa"/>
            <w:tcBorders>
              <w:top w:val="nil"/>
              <w:left w:val="nil"/>
              <w:bottom w:val="single" w:sz="8" w:space="0" w:color="auto"/>
              <w:right w:val="single" w:sz="8" w:space="0" w:color="auto"/>
            </w:tcBorders>
            <w:shd w:val="clear" w:color="auto" w:fill="auto"/>
            <w:noWrap/>
            <w:hideMark/>
          </w:tcPr>
          <w:p w14:paraId="7ECF72F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"Valmieras drāmas teātris"</w:t>
            </w:r>
          </w:p>
        </w:tc>
        <w:tc>
          <w:tcPr>
            <w:tcW w:w="2121" w:type="dxa"/>
            <w:tcBorders>
              <w:top w:val="nil"/>
              <w:left w:val="nil"/>
              <w:bottom w:val="single" w:sz="8" w:space="0" w:color="auto"/>
              <w:right w:val="single" w:sz="8" w:space="0" w:color="auto"/>
            </w:tcBorders>
            <w:shd w:val="clear" w:color="auto" w:fill="auto"/>
            <w:noWrap/>
            <w:hideMark/>
          </w:tcPr>
          <w:p w14:paraId="777993E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972 051</w:t>
            </w:r>
          </w:p>
        </w:tc>
        <w:tc>
          <w:tcPr>
            <w:tcW w:w="2121" w:type="dxa"/>
            <w:tcBorders>
              <w:top w:val="nil"/>
              <w:left w:val="nil"/>
              <w:bottom w:val="single" w:sz="8" w:space="0" w:color="auto"/>
              <w:right w:val="single" w:sz="8" w:space="0" w:color="auto"/>
            </w:tcBorders>
            <w:shd w:val="clear" w:color="auto" w:fill="auto"/>
            <w:noWrap/>
            <w:hideMark/>
          </w:tcPr>
          <w:p w14:paraId="0E2B8AD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925 434</w:t>
            </w:r>
          </w:p>
        </w:tc>
        <w:tc>
          <w:tcPr>
            <w:tcW w:w="2177" w:type="dxa"/>
            <w:tcBorders>
              <w:top w:val="nil"/>
              <w:left w:val="nil"/>
              <w:bottom w:val="single" w:sz="8" w:space="0" w:color="auto"/>
              <w:right w:val="single" w:sz="8" w:space="0" w:color="auto"/>
            </w:tcBorders>
            <w:shd w:val="clear" w:color="auto" w:fill="auto"/>
            <w:noWrap/>
            <w:hideMark/>
          </w:tcPr>
          <w:p w14:paraId="377A1B1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46 617</w:t>
            </w:r>
          </w:p>
        </w:tc>
      </w:tr>
      <w:tr w:rsidR="00830FA2" w:rsidRPr="00FD1578" w14:paraId="7FA9DBC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155DAC2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58</w:t>
            </w:r>
          </w:p>
        </w:tc>
        <w:tc>
          <w:tcPr>
            <w:tcW w:w="6600" w:type="dxa"/>
            <w:tcBorders>
              <w:top w:val="nil"/>
              <w:left w:val="nil"/>
              <w:bottom w:val="single" w:sz="8" w:space="0" w:color="auto"/>
              <w:right w:val="single" w:sz="8" w:space="0" w:color="auto"/>
            </w:tcBorders>
            <w:shd w:val="clear" w:color="auto" w:fill="auto"/>
            <w:noWrap/>
            <w:hideMark/>
          </w:tcPr>
          <w:p w14:paraId="45A34C0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xml:space="preserve">SIA </w:t>
            </w:r>
            <w:r w:rsidRPr="00FD1578">
              <w:rPr>
                <w:rFonts w:eastAsia="Calibri" w:cs="Times New Roman"/>
                <w:sz w:val="18"/>
                <w:szCs w:val="18"/>
                <w:lang w:eastAsia="en-US"/>
              </w:rPr>
              <w:t>"</w:t>
            </w:r>
            <w:r w:rsidRPr="00FD1578">
              <w:rPr>
                <w:rFonts w:eastAsia="Times New Roman" w:cs="Times New Roman"/>
                <w:color w:val="000000"/>
                <w:sz w:val="18"/>
                <w:szCs w:val="18"/>
              </w:rPr>
              <w:t>Valsts aizsardzības korporācijas</w:t>
            </w:r>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24A7C6C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0</w:t>
            </w:r>
          </w:p>
        </w:tc>
        <w:tc>
          <w:tcPr>
            <w:tcW w:w="2121" w:type="dxa"/>
            <w:tcBorders>
              <w:top w:val="nil"/>
              <w:left w:val="nil"/>
              <w:bottom w:val="single" w:sz="8" w:space="0" w:color="auto"/>
              <w:right w:val="single" w:sz="8" w:space="0" w:color="auto"/>
            </w:tcBorders>
            <w:shd w:val="clear" w:color="auto" w:fill="auto"/>
            <w:noWrap/>
            <w:hideMark/>
          </w:tcPr>
          <w:p w14:paraId="5380FF1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0</w:t>
            </w:r>
          </w:p>
        </w:tc>
        <w:tc>
          <w:tcPr>
            <w:tcW w:w="2177" w:type="dxa"/>
            <w:tcBorders>
              <w:top w:val="nil"/>
              <w:left w:val="nil"/>
              <w:bottom w:val="single" w:sz="8" w:space="0" w:color="auto"/>
              <w:right w:val="single" w:sz="8" w:space="0" w:color="auto"/>
            </w:tcBorders>
            <w:shd w:val="clear" w:color="auto" w:fill="auto"/>
            <w:noWrap/>
            <w:hideMark/>
          </w:tcPr>
          <w:p w14:paraId="16C7879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0</w:t>
            </w:r>
          </w:p>
        </w:tc>
      </w:tr>
      <w:tr w:rsidR="00830FA2" w:rsidRPr="00FD1578" w14:paraId="203EFF7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2619AB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59</w:t>
            </w:r>
          </w:p>
        </w:tc>
        <w:tc>
          <w:tcPr>
            <w:tcW w:w="6600" w:type="dxa"/>
            <w:tcBorders>
              <w:top w:val="nil"/>
              <w:left w:val="nil"/>
              <w:bottom w:val="single" w:sz="8" w:space="0" w:color="auto"/>
              <w:right w:val="single" w:sz="8" w:space="0" w:color="auto"/>
            </w:tcBorders>
            <w:shd w:val="clear" w:color="auto" w:fill="auto"/>
            <w:noWrap/>
            <w:hideMark/>
          </w:tcPr>
          <w:p w14:paraId="657A341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"Valsts nekustamie īpašumi"</w:t>
            </w:r>
          </w:p>
        </w:tc>
        <w:tc>
          <w:tcPr>
            <w:tcW w:w="2121" w:type="dxa"/>
            <w:tcBorders>
              <w:top w:val="nil"/>
              <w:left w:val="nil"/>
              <w:bottom w:val="single" w:sz="8" w:space="0" w:color="auto"/>
              <w:right w:val="single" w:sz="8" w:space="0" w:color="auto"/>
            </w:tcBorders>
            <w:shd w:val="clear" w:color="auto" w:fill="auto"/>
            <w:noWrap/>
            <w:hideMark/>
          </w:tcPr>
          <w:p w14:paraId="1C2CC0E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47 420 664</w:t>
            </w:r>
          </w:p>
        </w:tc>
        <w:tc>
          <w:tcPr>
            <w:tcW w:w="2121" w:type="dxa"/>
            <w:tcBorders>
              <w:top w:val="nil"/>
              <w:left w:val="nil"/>
              <w:bottom w:val="single" w:sz="8" w:space="0" w:color="auto"/>
              <w:right w:val="single" w:sz="8" w:space="0" w:color="auto"/>
            </w:tcBorders>
            <w:shd w:val="clear" w:color="auto" w:fill="auto"/>
            <w:noWrap/>
            <w:hideMark/>
          </w:tcPr>
          <w:p w14:paraId="7BF21FE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52 205 095</w:t>
            </w:r>
          </w:p>
        </w:tc>
        <w:tc>
          <w:tcPr>
            <w:tcW w:w="2177" w:type="dxa"/>
            <w:tcBorders>
              <w:top w:val="nil"/>
              <w:left w:val="nil"/>
              <w:bottom w:val="single" w:sz="8" w:space="0" w:color="auto"/>
              <w:right w:val="single" w:sz="8" w:space="0" w:color="auto"/>
            </w:tcBorders>
            <w:shd w:val="clear" w:color="auto" w:fill="auto"/>
            <w:noWrap/>
            <w:hideMark/>
          </w:tcPr>
          <w:p w14:paraId="12BE0E8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-4 784 431</w:t>
            </w:r>
          </w:p>
        </w:tc>
      </w:tr>
      <w:tr w:rsidR="00830FA2" w:rsidRPr="00FD1578" w14:paraId="1C716F1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2BDB769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60</w:t>
            </w:r>
          </w:p>
        </w:tc>
        <w:tc>
          <w:tcPr>
            <w:tcW w:w="6600" w:type="dxa"/>
            <w:tcBorders>
              <w:top w:val="nil"/>
              <w:left w:val="nil"/>
              <w:bottom w:val="single" w:sz="8" w:space="0" w:color="auto"/>
              <w:right w:val="single" w:sz="8" w:space="0" w:color="auto"/>
            </w:tcBorders>
            <w:shd w:val="clear" w:color="auto" w:fill="auto"/>
            <w:noWrap/>
          </w:tcPr>
          <w:p w14:paraId="1D602F3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"Vides investīciju fonds"</w:t>
            </w:r>
          </w:p>
        </w:tc>
        <w:tc>
          <w:tcPr>
            <w:tcW w:w="2121" w:type="dxa"/>
            <w:tcBorders>
              <w:top w:val="nil"/>
              <w:left w:val="nil"/>
              <w:bottom w:val="single" w:sz="8" w:space="0" w:color="auto"/>
              <w:right w:val="single" w:sz="8" w:space="0" w:color="auto"/>
            </w:tcBorders>
            <w:shd w:val="clear" w:color="auto" w:fill="auto"/>
            <w:noWrap/>
            <w:hideMark/>
          </w:tcPr>
          <w:p w14:paraId="0E00B7C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1 232 459</w:t>
            </w:r>
          </w:p>
        </w:tc>
        <w:tc>
          <w:tcPr>
            <w:tcW w:w="2121" w:type="dxa"/>
            <w:tcBorders>
              <w:top w:val="nil"/>
              <w:left w:val="nil"/>
              <w:bottom w:val="single" w:sz="8" w:space="0" w:color="auto"/>
              <w:right w:val="single" w:sz="8" w:space="0" w:color="auto"/>
            </w:tcBorders>
            <w:shd w:val="clear" w:color="auto" w:fill="auto"/>
            <w:noWrap/>
            <w:hideMark/>
          </w:tcPr>
          <w:p w14:paraId="4C9678B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1 218 267</w:t>
            </w:r>
          </w:p>
        </w:tc>
        <w:tc>
          <w:tcPr>
            <w:tcW w:w="2177" w:type="dxa"/>
            <w:tcBorders>
              <w:top w:val="nil"/>
              <w:left w:val="nil"/>
              <w:bottom w:val="single" w:sz="8" w:space="0" w:color="auto"/>
              <w:right w:val="single" w:sz="8" w:space="0" w:color="auto"/>
            </w:tcBorders>
            <w:shd w:val="clear" w:color="auto" w:fill="auto"/>
            <w:noWrap/>
            <w:hideMark/>
          </w:tcPr>
          <w:p w14:paraId="43A1421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14 192</w:t>
            </w:r>
          </w:p>
        </w:tc>
      </w:tr>
      <w:tr w:rsidR="00830FA2" w:rsidRPr="00FD1578" w14:paraId="4E27577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tcPr>
          <w:p w14:paraId="46C0373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61</w:t>
            </w:r>
          </w:p>
        </w:tc>
        <w:tc>
          <w:tcPr>
            <w:tcW w:w="6600" w:type="dxa"/>
            <w:tcBorders>
              <w:top w:val="nil"/>
              <w:left w:val="nil"/>
              <w:bottom w:val="single" w:sz="8" w:space="0" w:color="auto"/>
              <w:right w:val="single" w:sz="8" w:space="0" w:color="auto"/>
            </w:tcBorders>
            <w:shd w:val="clear" w:color="auto" w:fill="auto"/>
            <w:noWrap/>
          </w:tcPr>
          <w:p w14:paraId="57136C6F"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VSIA "Zemkopības ministrijas nekustamie īpašumi"</w:t>
            </w:r>
          </w:p>
        </w:tc>
        <w:tc>
          <w:tcPr>
            <w:tcW w:w="2121" w:type="dxa"/>
            <w:tcBorders>
              <w:top w:val="nil"/>
              <w:left w:val="nil"/>
              <w:bottom w:val="single" w:sz="8" w:space="0" w:color="auto"/>
              <w:right w:val="single" w:sz="8" w:space="0" w:color="auto"/>
            </w:tcBorders>
            <w:shd w:val="clear" w:color="auto" w:fill="auto"/>
            <w:noWrap/>
          </w:tcPr>
          <w:p w14:paraId="1F33B94A"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3 474 170</w:t>
            </w:r>
          </w:p>
        </w:tc>
        <w:tc>
          <w:tcPr>
            <w:tcW w:w="2121" w:type="dxa"/>
            <w:tcBorders>
              <w:top w:val="nil"/>
              <w:left w:val="nil"/>
              <w:bottom w:val="single" w:sz="8" w:space="0" w:color="auto"/>
              <w:right w:val="single" w:sz="8" w:space="0" w:color="auto"/>
            </w:tcBorders>
            <w:shd w:val="clear" w:color="auto" w:fill="auto"/>
            <w:noWrap/>
          </w:tcPr>
          <w:p w14:paraId="1E5812FE"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3 563 275</w:t>
            </w:r>
          </w:p>
        </w:tc>
        <w:tc>
          <w:tcPr>
            <w:tcW w:w="2177" w:type="dxa"/>
            <w:tcBorders>
              <w:top w:val="nil"/>
              <w:left w:val="nil"/>
              <w:bottom w:val="single" w:sz="8" w:space="0" w:color="auto"/>
              <w:right w:val="single" w:sz="8" w:space="0" w:color="auto"/>
            </w:tcBorders>
            <w:shd w:val="clear" w:color="auto" w:fill="auto"/>
            <w:noWrap/>
          </w:tcPr>
          <w:p w14:paraId="33DD5C36"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-89 105</w:t>
            </w:r>
          </w:p>
        </w:tc>
      </w:tr>
      <w:tr w:rsidR="00830FA2" w:rsidRPr="00FD1578" w14:paraId="1CE72C51" w14:textId="77777777" w:rsidTr="001D67A3">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56532D85"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S130330</w:t>
            </w:r>
          </w:p>
        </w:tc>
        <w:tc>
          <w:tcPr>
            <w:tcW w:w="6600" w:type="dxa"/>
            <w:tcBorders>
              <w:top w:val="nil"/>
              <w:left w:val="nil"/>
              <w:bottom w:val="single" w:sz="8" w:space="0" w:color="auto"/>
              <w:right w:val="single" w:sz="8" w:space="0" w:color="auto"/>
            </w:tcBorders>
            <w:shd w:val="clear" w:color="000000" w:fill="DDEBF7"/>
            <w:noWrap/>
            <w:vAlign w:val="center"/>
            <w:hideMark/>
          </w:tcPr>
          <w:p w14:paraId="5006377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Pašvaldības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198B66A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13EE60B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3B007DC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r>
      <w:tr w:rsidR="00830FA2" w:rsidRPr="00FD1578" w14:paraId="6D71C84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B9BE92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62</w:t>
            </w:r>
          </w:p>
        </w:tc>
        <w:tc>
          <w:tcPr>
            <w:tcW w:w="6600" w:type="dxa"/>
            <w:tcBorders>
              <w:top w:val="nil"/>
              <w:left w:val="nil"/>
              <w:bottom w:val="single" w:sz="8" w:space="0" w:color="auto"/>
              <w:right w:val="single" w:sz="8" w:space="0" w:color="auto"/>
            </w:tcBorders>
            <w:shd w:val="clear" w:color="auto" w:fill="auto"/>
            <w:noWrap/>
            <w:hideMark/>
          </w:tcPr>
          <w:p w14:paraId="574C732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Aviasabiedrība</w:t>
            </w:r>
            <w:proofErr w:type="spellEnd"/>
            <w:r w:rsidRPr="00FD1578">
              <w:rPr>
                <w:rFonts w:eastAsia="Calibri" w:cs="Times New Roman"/>
                <w:sz w:val="18"/>
                <w:szCs w:val="18"/>
                <w:lang w:eastAsia="en-US"/>
              </w:rPr>
              <w:t xml:space="preserve"> "Liepāja""</w:t>
            </w:r>
          </w:p>
        </w:tc>
        <w:tc>
          <w:tcPr>
            <w:tcW w:w="2121" w:type="dxa"/>
            <w:tcBorders>
              <w:top w:val="nil"/>
              <w:left w:val="nil"/>
              <w:bottom w:val="single" w:sz="8" w:space="0" w:color="auto"/>
              <w:right w:val="single" w:sz="8" w:space="0" w:color="auto"/>
            </w:tcBorders>
            <w:shd w:val="clear" w:color="auto" w:fill="auto"/>
            <w:noWrap/>
            <w:hideMark/>
          </w:tcPr>
          <w:p w14:paraId="2AEB88D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1 732 311</w:t>
            </w:r>
          </w:p>
        </w:tc>
        <w:tc>
          <w:tcPr>
            <w:tcW w:w="2121" w:type="dxa"/>
            <w:tcBorders>
              <w:top w:val="nil"/>
              <w:left w:val="nil"/>
              <w:bottom w:val="single" w:sz="8" w:space="0" w:color="auto"/>
              <w:right w:val="single" w:sz="8" w:space="0" w:color="auto"/>
            </w:tcBorders>
            <w:shd w:val="clear" w:color="auto" w:fill="auto"/>
            <w:noWrap/>
            <w:hideMark/>
          </w:tcPr>
          <w:p w14:paraId="28EDBE3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1 366 424</w:t>
            </w:r>
          </w:p>
        </w:tc>
        <w:tc>
          <w:tcPr>
            <w:tcW w:w="2177" w:type="dxa"/>
            <w:tcBorders>
              <w:top w:val="nil"/>
              <w:left w:val="nil"/>
              <w:bottom w:val="single" w:sz="8" w:space="0" w:color="auto"/>
              <w:right w:val="single" w:sz="8" w:space="0" w:color="auto"/>
            </w:tcBorders>
            <w:shd w:val="clear" w:color="auto" w:fill="auto"/>
            <w:noWrap/>
            <w:hideMark/>
          </w:tcPr>
          <w:p w14:paraId="43A6B4C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365 887</w:t>
            </w:r>
          </w:p>
        </w:tc>
      </w:tr>
      <w:tr w:rsidR="00830FA2" w:rsidRPr="00FD1578" w14:paraId="76A13EC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11D160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63</w:t>
            </w:r>
          </w:p>
        </w:tc>
        <w:tc>
          <w:tcPr>
            <w:tcW w:w="6600" w:type="dxa"/>
            <w:tcBorders>
              <w:top w:val="nil"/>
              <w:left w:val="nil"/>
              <w:bottom w:val="single" w:sz="8" w:space="0" w:color="auto"/>
              <w:right w:val="single" w:sz="8" w:space="0" w:color="auto"/>
            </w:tcBorders>
            <w:shd w:val="clear" w:color="auto" w:fill="auto"/>
            <w:noWrap/>
            <w:hideMark/>
          </w:tcPr>
          <w:p w14:paraId="13E3A48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Cēsu</w:t>
            </w:r>
            <w:proofErr w:type="spellEnd"/>
            <w:r w:rsidRPr="00FD1578">
              <w:rPr>
                <w:rFonts w:eastAsia="Calibri" w:cs="Times New Roman"/>
                <w:sz w:val="18"/>
                <w:szCs w:val="18"/>
                <w:lang w:eastAsia="en-US"/>
              </w:rPr>
              <w:t xml:space="preserve"> klīnika"</w:t>
            </w:r>
          </w:p>
        </w:tc>
        <w:tc>
          <w:tcPr>
            <w:tcW w:w="2121" w:type="dxa"/>
            <w:tcBorders>
              <w:top w:val="nil"/>
              <w:left w:val="nil"/>
              <w:bottom w:val="single" w:sz="8" w:space="0" w:color="auto"/>
              <w:right w:val="single" w:sz="8" w:space="0" w:color="auto"/>
            </w:tcBorders>
            <w:shd w:val="clear" w:color="auto" w:fill="auto"/>
            <w:noWrap/>
            <w:hideMark/>
          </w:tcPr>
          <w:p w14:paraId="1F2A89A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11 100 000</w:t>
            </w:r>
          </w:p>
        </w:tc>
        <w:tc>
          <w:tcPr>
            <w:tcW w:w="2121" w:type="dxa"/>
            <w:tcBorders>
              <w:top w:val="nil"/>
              <w:left w:val="nil"/>
              <w:bottom w:val="single" w:sz="8" w:space="0" w:color="auto"/>
              <w:right w:val="single" w:sz="8" w:space="0" w:color="auto"/>
            </w:tcBorders>
            <w:shd w:val="clear" w:color="auto" w:fill="auto"/>
            <w:noWrap/>
            <w:hideMark/>
          </w:tcPr>
          <w:p w14:paraId="3DF0C77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11 100 000</w:t>
            </w:r>
          </w:p>
        </w:tc>
        <w:tc>
          <w:tcPr>
            <w:tcW w:w="2177" w:type="dxa"/>
            <w:tcBorders>
              <w:top w:val="nil"/>
              <w:left w:val="nil"/>
              <w:bottom w:val="single" w:sz="8" w:space="0" w:color="auto"/>
              <w:right w:val="single" w:sz="8" w:space="0" w:color="auto"/>
            </w:tcBorders>
            <w:shd w:val="clear" w:color="auto" w:fill="auto"/>
            <w:noWrap/>
            <w:hideMark/>
          </w:tcPr>
          <w:p w14:paraId="5921896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r>
      <w:tr w:rsidR="00830FA2" w:rsidRPr="00FD1578" w14:paraId="13C1F34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2F377D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64</w:t>
            </w:r>
          </w:p>
        </w:tc>
        <w:tc>
          <w:tcPr>
            <w:tcW w:w="6600" w:type="dxa"/>
            <w:tcBorders>
              <w:top w:val="nil"/>
              <w:left w:val="nil"/>
              <w:bottom w:val="single" w:sz="8" w:space="0" w:color="auto"/>
              <w:right w:val="single" w:sz="8" w:space="0" w:color="auto"/>
            </w:tcBorders>
            <w:shd w:val="clear" w:color="auto" w:fill="auto"/>
            <w:noWrap/>
            <w:hideMark/>
          </w:tcPr>
          <w:p w14:paraId="714981F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"Daugavpils bērnu veselības centrs"</w:t>
            </w:r>
          </w:p>
        </w:tc>
        <w:tc>
          <w:tcPr>
            <w:tcW w:w="2121" w:type="dxa"/>
            <w:tcBorders>
              <w:top w:val="nil"/>
              <w:left w:val="nil"/>
              <w:bottom w:val="single" w:sz="8" w:space="0" w:color="auto"/>
              <w:right w:val="single" w:sz="8" w:space="0" w:color="auto"/>
            </w:tcBorders>
            <w:shd w:val="clear" w:color="auto" w:fill="auto"/>
            <w:noWrap/>
            <w:hideMark/>
          </w:tcPr>
          <w:p w14:paraId="2C0CD60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2 788 371</w:t>
            </w:r>
          </w:p>
        </w:tc>
        <w:tc>
          <w:tcPr>
            <w:tcW w:w="2121" w:type="dxa"/>
            <w:tcBorders>
              <w:top w:val="nil"/>
              <w:left w:val="nil"/>
              <w:bottom w:val="single" w:sz="8" w:space="0" w:color="auto"/>
              <w:right w:val="single" w:sz="8" w:space="0" w:color="auto"/>
            </w:tcBorders>
            <w:shd w:val="clear" w:color="auto" w:fill="auto"/>
            <w:noWrap/>
            <w:hideMark/>
          </w:tcPr>
          <w:p w14:paraId="037B7BA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2 764 661</w:t>
            </w:r>
          </w:p>
        </w:tc>
        <w:tc>
          <w:tcPr>
            <w:tcW w:w="2177" w:type="dxa"/>
            <w:tcBorders>
              <w:top w:val="nil"/>
              <w:left w:val="nil"/>
              <w:bottom w:val="single" w:sz="8" w:space="0" w:color="auto"/>
              <w:right w:val="single" w:sz="8" w:space="0" w:color="auto"/>
            </w:tcBorders>
            <w:shd w:val="clear" w:color="auto" w:fill="auto"/>
            <w:noWrap/>
            <w:hideMark/>
          </w:tcPr>
          <w:p w14:paraId="33425BA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23 710</w:t>
            </w:r>
          </w:p>
        </w:tc>
      </w:tr>
      <w:tr w:rsidR="00830FA2" w:rsidRPr="00FD1578" w14:paraId="3029840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29F933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lastRenderedPageBreak/>
              <w:t>65</w:t>
            </w:r>
          </w:p>
        </w:tc>
        <w:tc>
          <w:tcPr>
            <w:tcW w:w="6600" w:type="dxa"/>
            <w:tcBorders>
              <w:top w:val="nil"/>
              <w:left w:val="nil"/>
              <w:bottom w:val="single" w:sz="8" w:space="0" w:color="auto"/>
              <w:right w:val="single" w:sz="8" w:space="0" w:color="auto"/>
            </w:tcBorders>
            <w:shd w:val="clear" w:color="auto" w:fill="auto"/>
            <w:noWrap/>
            <w:hideMark/>
          </w:tcPr>
          <w:p w14:paraId="0EDF47FA"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"Daugavpils reģionālā slimnīca"</w:t>
            </w:r>
          </w:p>
        </w:tc>
        <w:tc>
          <w:tcPr>
            <w:tcW w:w="2121" w:type="dxa"/>
            <w:tcBorders>
              <w:top w:val="nil"/>
              <w:left w:val="nil"/>
              <w:bottom w:val="single" w:sz="8" w:space="0" w:color="auto"/>
              <w:right w:val="single" w:sz="8" w:space="0" w:color="auto"/>
            </w:tcBorders>
            <w:shd w:val="clear" w:color="auto" w:fill="auto"/>
            <w:noWrap/>
            <w:hideMark/>
          </w:tcPr>
          <w:p w14:paraId="26D8EEA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60 156 453</w:t>
            </w:r>
          </w:p>
        </w:tc>
        <w:tc>
          <w:tcPr>
            <w:tcW w:w="2121" w:type="dxa"/>
            <w:tcBorders>
              <w:top w:val="nil"/>
              <w:left w:val="nil"/>
              <w:bottom w:val="single" w:sz="8" w:space="0" w:color="auto"/>
              <w:right w:val="single" w:sz="8" w:space="0" w:color="auto"/>
            </w:tcBorders>
            <w:shd w:val="clear" w:color="auto" w:fill="auto"/>
            <w:noWrap/>
            <w:hideMark/>
          </w:tcPr>
          <w:p w14:paraId="6B4761C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59 738 668</w:t>
            </w:r>
          </w:p>
        </w:tc>
        <w:tc>
          <w:tcPr>
            <w:tcW w:w="2177" w:type="dxa"/>
            <w:tcBorders>
              <w:top w:val="nil"/>
              <w:left w:val="nil"/>
              <w:bottom w:val="single" w:sz="8" w:space="0" w:color="auto"/>
              <w:right w:val="single" w:sz="8" w:space="0" w:color="auto"/>
            </w:tcBorders>
            <w:shd w:val="clear" w:color="auto" w:fill="auto"/>
            <w:noWrap/>
            <w:hideMark/>
          </w:tcPr>
          <w:p w14:paraId="2C7F714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417 785</w:t>
            </w:r>
          </w:p>
        </w:tc>
      </w:tr>
      <w:tr w:rsidR="00830FA2" w:rsidRPr="00FD1578" w14:paraId="72FF9CC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3BB45E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66</w:t>
            </w:r>
          </w:p>
        </w:tc>
        <w:tc>
          <w:tcPr>
            <w:tcW w:w="6600" w:type="dxa"/>
            <w:tcBorders>
              <w:top w:val="nil"/>
              <w:left w:val="nil"/>
              <w:bottom w:val="single" w:sz="8" w:space="0" w:color="auto"/>
              <w:right w:val="single" w:sz="8" w:space="0" w:color="auto"/>
            </w:tcBorders>
            <w:shd w:val="clear" w:color="auto" w:fill="auto"/>
            <w:noWrap/>
            <w:hideMark/>
          </w:tcPr>
          <w:p w14:paraId="027599B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"Daugavpils satiksme"</w:t>
            </w:r>
          </w:p>
        </w:tc>
        <w:tc>
          <w:tcPr>
            <w:tcW w:w="2121" w:type="dxa"/>
            <w:tcBorders>
              <w:top w:val="nil"/>
              <w:left w:val="nil"/>
              <w:bottom w:val="single" w:sz="8" w:space="0" w:color="auto"/>
              <w:right w:val="single" w:sz="8" w:space="0" w:color="auto"/>
            </w:tcBorders>
            <w:shd w:val="clear" w:color="auto" w:fill="auto"/>
            <w:noWrap/>
            <w:hideMark/>
          </w:tcPr>
          <w:p w14:paraId="7495EEE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13 967 371</w:t>
            </w:r>
          </w:p>
        </w:tc>
        <w:tc>
          <w:tcPr>
            <w:tcW w:w="2121" w:type="dxa"/>
            <w:tcBorders>
              <w:top w:val="nil"/>
              <w:left w:val="nil"/>
              <w:bottom w:val="single" w:sz="8" w:space="0" w:color="auto"/>
              <w:right w:val="single" w:sz="8" w:space="0" w:color="auto"/>
            </w:tcBorders>
            <w:shd w:val="clear" w:color="auto" w:fill="auto"/>
            <w:noWrap/>
            <w:hideMark/>
          </w:tcPr>
          <w:p w14:paraId="36FBA27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13 237 930</w:t>
            </w:r>
          </w:p>
        </w:tc>
        <w:tc>
          <w:tcPr>
            <w:tcW w:w="2177" w:type="dxa"/>
            <w:tcBorders>
              <w:top w:val="nil"/>
              <w:left w:val="nil"/>
              <w:bottom w:val="single" w:sz="8" w:space="0" w:color="auto"/>
              <w:right w:val="single" w:sz="8" w:space="0" w:color="auto"/>
            </w:tcBorders>
            <w:shd w:val="clear" w:color="auto" w:fill="auto"/>
            <w:noWrap/>
            <w:hideMark/>
          </w:tcPr>
          <w:p w14:paraId="6E955C3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729 441</w:t>
            </w:r>
          </w:p>
        </w:tc>
      </w:tr>
      <w:tr w:rsidR="00830FA2" w:rsidRPr="00FD1578" w14:paraId="769D328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32E15E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67</w:t>
            </w:r>
          </w:p>
        </w:tc>
        <w:tc>
          <w:tcPr>
            <w:tcW w:w="6600" w:type="dxa"/>
            <w:tcBorders>
              <w:top w:val="nil"/>
              <w:left w:val="nil"/>
              <w:bottom w:val="single" w:sz="8" w:space="0" w:color="auto"/>
              <w:right w:val="single" w:sz="8" w:space="0" w:color="auto"/>
            </w:tcBorders>
            <w:shd w:val="clear" w:color="auto" w:fill="auto"/>
            <w:noWrap/>
            <w:hideMark/>
          </w:tcPr>
          <w:p w14:paraId="2A0AD46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"Dobeles un apkārtnes slimnīca"</w:t>
            </w:r>
          </w:p>
        </w:tc>
        <w:tc>
          <w:tcPr>
            <w:tcW w:w="2121" w:type="dxa"/>
            <w:tcBorders>
              <w:top w:val="nil"/>
              <w:left w:val="nil"/>
              <w:bottom w:val="single" w:sz="8" w:space="0" w:color="auto"/>
              <w:right w:val="single" w:sz="8" w:space="0" w:color="auto"/>
            </w:tcBorders>
            <w:shd w:val="clear" w:color="auto" w:fill="auto"/>
            <w:noWrap/>
            <w:hideMark/>
          </w:tcPr>
          <w:p w14:paraId="7C84121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7 801 614</w:t>
            </w:r>
          </w:p>
        </w:tc>
        <w:tc>
          <w:tcPr>
            <w:tcW w:w="2121" w:type="dxa"/>
            <w:tcBorders>
              <w:top w:val="nil"/>
              <w:left w:val="nil"/>
              <w:bottom w:val="single" w:sz="8" w:space="0" w:color="auto"/>
              <w:right w:val="single" w:sz="8" w:space="0" w:color="auto"/>
            </w:tcBorders>
            <w:shd w:val="clear" w:color="auto" w:fill="auto"/>
            <w:noWrap/>
            <w:hideMark/>
          </w:tcPr>
          <w:p w14:paraId="71B6FAE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8 102 187</w:t>
            </w:r>
          </w:p>
        </w:tc>
        <w:tc>
          <w:tcPr>
            <w:tcW w:w="2177" w:type="dxa"/>
            <w:tcBorders>
              <w:top w:val="nil"/>
              <w:left w:val="nil"/>
              <w:bottom w:val="single" w:sz="8" w:space="0" w:color="auto"/>
              <w:right w:val="single" w:sz="8" w:space="0" w:color="auto"/>
            </w:tcBorders>
            <w:shd w:val="clear" w:color="auto" w:fill="auto"/>
            <w:noWrap/>
            <w:hideMark/>
          </w:tcPr>
          <w:p w14:paraId="13C48E8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-300 573</w:t>
            </w:r>
          </w:p>
        </w:tc>
      </w:tr>
      <w:tr w:rsidR="00830FA2" w:rsidRPr="00FD1578" w14:paraId="2417EFE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07A747B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68</w:t>
            </w:r>
          </w:p>
        </w:tc>
        <w:tc>
          <w:tcPr>
            <w:tcW w:w="6600" w:type="dxa"/>
            <w:tcBorders>
              <w:top w:val="nil"/>
              <w:left w:val="nil"/>
              <w:bottom w:val="single" w:sz="8" w:space="0" w:color="auto"/>
              <w:right w:val="single" w:sz="8" w:space="0" w:color="auto"/>
            </w:tcBorders>
            <w:shd w:val="clear" w:color="auto" w:fill="auto"/>
            <w:noWrap/>
            <w:hideMark/>
          </w:tcPr>
          <w:p w14:paraId="3776406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"Jelgavas pilsētas slimnīca"</w:t>
            </w:r>
          </w:p>
        </w:tc>
        <w:tc>
          <w:tcPr>
            <w:tcW w:w="2121" w:type="dxa"/>
            <w:tcBorders>
              <w:top w:val="nil"/>
              <w:left w:val="nil"/>
              <w:bottom w:val="single" w:sz="8" w:space="0" w:color="auto"/>
              <w:right w:val="single" w:sz="8" w:space="0" w:color="auto"/>
            </w:tcBorders>
            <w:shd w:val="clear" w:color="auto" w:fill="auto"/>
            <w:noWrap/>
            <w:hideMark/>
          </w:tcPr>
          <w:p w14:paraId="4E92310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18 075 686</w:t>
            </w:r>
          </w:p>
        </w:tc>
        <w:tc>
          <w:tcPr>
            <w:tcW w:w="2121" w:type="dxa"/>
            <w:tcBorders>
              <w:top w:val="nil"/>
              <w:left w:val="nil"/>
              <w:bottom w:val="single" w:sz="8" w:space="0" w:color="auto"/>
              <w:right w:val="single" w:sz="8" w:space="0" w:color="auto"/>
            </w:tcBorders>
            <w:shd w:val="clear" w:color="auto" w:fill="auto"/>
            <w:noWrap/>
            <w:hideMark/>
          </w:tcPr>
          <w:p w14:paraId="596F791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17 519 949</w:t>
            </w:r>
          </w:p>
        </w:tc>
        <w:tc>
          <w:tcPr>
            <w:tcW w:w="2177" w:type="dxa"/>
            <w:tcBorders>
              <w:top w:val="nil"/>
              <w:left w:val="nil"/>
              <w:bottom w:val="single" w:sz="8" w:space="0" w:color="auto"/>
              <w:right w:val="single" w:sz="8" w:space="0" w:color="auto"/>
            </w:tcBorders>
            <w:shd w:val="clear" w:color="auto" w:fill="auto"/>
            <w:noWrap/>
            <w:hideMark/>
          </w:tcPr>
          <w:p w14:paraId="24852CE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555 737</w:t>
            </w:r>
          </w:p>
        </w:tc>
      </w:tr>
      <w:tr w:rsidR="00830FA2" w:rsidRPr="00FD1578" w14:paraId="1D67C63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455A8EC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69</w:t>
            </w:r>
          </w:p>
        </w:tc>
        <w:tc>
          <w:tcPr>
            <w:tcW w:w="6600" w:type="dxa"/>
            <w:tcBorders>
              <w:top w:val="nil"/>
              <w:left w:val="nil"/>
              <w:bottom w:val="single" w:sz="8" w:space="0" w:color="auto"/>
              <w:right w:val="single" w:sz="8" w:space="0" w:color="auto"/>
            </w:tcBorders>
            <w:shd w:val="clear" w:color="auto" w:fill="auto"/>
            <w:noWrap/>
            <w:hideMark/>
          </w:tcPr>
          <w:p w14:paraId="3E23AAA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"Jēkabpils reģionālā slimnīca"</w:t>
            </w:r>
          </w:p>
        </w:tc>
        <w:tc>
          <w:tcPr>
            <w:tcW w:w="2121" w:type="dxa"/>
            <w:tcBorders>
              <w:top w:val="nil"/>
              <w:left w:val="nil"/>
              <w:bottom w:val="single" w:sz="8" w:space="0" w:color="auto"/>
              <w:right w:val="single" w:sz="8" w:space="0" w:color="auto"/>
            </w:tcBorders>
            <w:shd w:val="clear" w:color="auto" w:fill="auto"/>
            <w:noWrap/>
            <w:hideMark/>
          </w:tcPr>
          <w:p w14:paraId="7955A98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21 077 154</w:t>
            </w:r>
          </w:p>
        </w:tc>
        <w:tc>
          <w:tcPr>
            <w:tcW w:w="2121" w:type="dxa"/>
            <w:tcBorders>
              <w:top w:val="nil"/>
              <w:left w:val="nil"/>
              <w:bottom w:val="single" w:sz="8" w:space="0" w:color="auto"/>
              <w:right w:val="single" w:sz="8" w:space="0" w:color="auto"/>
            </w:tcBorders>
            <w:shd w:val="clear" w:color="auto" w:fill="auto"/>
            <w:noWrap/>
            <w:hideMark/>
          </w:tcPr>
          <w:p w14:paraId="665534A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20 793 036</w:t>
            </w:r>
          </w:p>
        </w:tc>
        <w:tc>
          <w:tcPr>
            <w:tcW w:w="2177" w:type="dxa"/>
            <w:tcBorders>
              <w:top w:val="nil"/>
              <w:left w:val="nil"/>
              <w:bottom w:val="single" w:sz="8" w:space="0" w:color="auto"/>
              <w:right w:val="single" w:sz="8" w:space="0" w:color="auto"/>
            </w:tcBorders>
            <w:shd w:val="clear" w:color="auto" w:fill="auto"/>
            <w:noWrap/>
            <w:hideMark/>
          </w:tcPr>
          <w:p w14:paraId="6DD19C5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284 118</w:t>
            </w:r>
          </w:p>
        </w:tc>
      </w:tr>
      <w:tr w:rsidR="00830FA2" w:rsidRPr="00FD1578" w14:paraId="12C3E11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12C1BB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70</w:t>
            </w:r>
          </w:p>
        </w:tc>
        <w:tc>
          <w:tcPr>
            <w:tcW w:w="6600" w:type="dxa"/>
            <w:tcBorders>
              <w:top w:val="nil"/>
              <w:left w:val="nil"/>
              <w:bottom w:val="single" w:sz="8" w:space="0" w:color="auto"/>
              <w:right w:val="single" w:sz="8" w:space="0" w:color="auto"/>
            </w:tcBorders>
            <w:shd w:val="clear" w:color="auto" w:fill="auto"/>
            <w:noWrap/>
            <w:hideMark/>
          </w:tcPr>
          <w:p w14:paraId="042F753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"Jūrmalas slimnīca"</w:t>
            </w:r>
          </w:p>
        </w:tc>
        <w:tc>
          <w:tcPr>
            <w:tcW w:w="2121" w:type="dxa"/>
            <w:tcBorders>
              <w:top w:val="nil"/>
              <w:left w:val="nil"/>
              <w:bottom w:val="single" w:sz="8" w:space="0" w:color="auto"/>
              <w:right w:val="single" w:sz="8" w:space="0" w:color="auto"/>
            </w:tcBorders>
            <w:shd w:val="clear" w:color="auto" w:fill="auto"/>
            <w:noWrap/>
            <w:hideMark/>
          </w:tcPr>
          <w:p w14:paraId="2BAFF0D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12 033 491</w:t>
            </w:r>
          </w:p>
        </w:tc>
        <w:tc>
          <w:tcPr>
            <w:tcW w:w="2121" w:type="dxa"/>
            <w:tcBorders>
              <w:top w:val="nil"/>
              <w:left w:val="nil"/>
              <w:bottom w:val="single" w:sz="8" w:space="0" w:color="auto"/>
              <w:right w:val="single" w:sz="8" w:space="0" w:color="auto"/>
            </w:tcBorders>
            <w:shd w:val="clear" w:color="auto" w:fill="auto"/>
            <w:noWrap/>
            <w:hideMark/>
          </w:tcPr>
          <w:p w14:paraId="17B6E3E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11 775 680</w:t>
            </w:r>
          </w:p>
        </w:tc>
        <w:tc>
          <w:tcPr>
            <w:tcW w:w="2177" w:type="dxa"/>
            <w:tcBorders>
              <w:top w:val="nil"/>
              <w:left w:val="nil"/>
              <w:bottom w:val="single" w:sz="8" w:space="0" w:color="auto"/>
              <w:right w:val="single" w:sz="8" w:space="0" w:color="auto"/>
            </w:tcBorders>
            <w:shd w:val="clear" w:color="auto" w:fill="auto"/>
            <w:noWrap/>
            <w:hideMark/>
          </w:tcPr>
          <w:p w14:paraId="5E5234E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257 811</w:t>
            </w:r>
          </w:p>
        </w:tc>
      </w:tr>
      <w:tr w:rsidR="00830FA2" w:rsidRPr="00FD1578" w14:paraId="43A6E15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7F9F66D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71</w:t>
            </w:r>
          </w:p>
        </w:tc>
        <w:tc>
          <w:tcPr>
            <w:tcW w:w="6600" w:type="dxa"/>
            <w:tcBorders>
              <w:top w:val="nil"/>
              <w:left w:val="nil"/>
              <w:bottom w:val="single" w:sz="8" w:space="0" w:color="auto"/>
              <w:right w:val="single" w:sz="8" w:space="0" w:color="auto"/>
            </w:tcBorders>
            <w:shd w:val="clear" w:color="auto" w:fill="auto"/>
            <w:noWrap/>
            <w:hideMark/>
          </w:tcPr>
          <w:p w14:paraId="2139B32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"Kuldīgas slimnīca"</w:t>
            </w:r>
          </w:p>
        </w:tc>
        <w:tc>
          <w:tcPr>
            <w:tcW w:w="2121" w:type="dxa"/>
            <w:tcBorders>
              <w:top w:val="nil"/>
              <w:left w:val="nil"/>
              <w:bottom w:val="single" w:sz="8" w:space="0" w:color="auto"/>
              <w:right w:val="single" w:sz="8" w:space="0" w:color="auto"/>
            </w:tcBorders>
            <w:shd w:val="clear" w:color="auto" w:fill="auto"/>
            <w:noWrap/>
            <w:hideMark/>
          </w:tcPr>
          <w:p w14:paraId="3D9BBA7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12 238 030</w:t>
            </w:r>
          </w:p>
        </w:tc>
        <w:tc>
          <w:tcPr>
            <w:tcW w:w="2121" w:type="dxa"/>
            <w:tcBorders>
              <w:top w:val="nil"/>
              <w:left w:val="nil"/>
              <w:bottom w:val="single" w:sz="8" w:space="0" w:color="auto"/>
              <w:right w:val="single" w:sz="8" w:space="0" w:color="auto"/>
            </w:tcBorders>
            <w:shd w:val="clear" w:color="auto" w:fill="auto"/>
            <w:noWrap/>
            <w:hideMark/>
          </w:tcPr>
          <w:p w14:paraId="1A4D170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11 905 544</w:t>
            </w:r>
          </w:p>
        </w:tc>
        <w:tc>
          <w:tcPr>
            <w:tcW w:w="2177" w:type="dxa"/>
            <w:tcBorders>
              <w:top w:val="nil"/>
              <w:left w:val="nil"/>
              <w:bottom w:val="single" w:sz="8" w:space="0" w:color="auto"/>
              <w:right w:val="single" w:sz="8" w:space="0" w:color="auto"/>
            </w:tcBorders>
            <w:shd w:val="clear" w:color="auto" w:fill="auto"/>
            <w:noWrap/>
            <w:hideMark/>
          </w:tcPr>
          <w:p w14:paraId="1A7989C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332 486</w:t>
            </w:r>
          </w:p>
        </w:tc>
      </w:tr>
      <w:tr w:rsidR="00830FA2" w:rsidRPr="00FD1578" w14:paraId="17CEECA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741FCF3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72</w:t>
            </w:r>
          </w:p>
        </w:tc>
        <w:tc>
          <w:tcPr>
            <w:tcW w:w="6600" w:type="dxa"/>
            <w:tcBorders>
              <w:top w:val="nil"/>
              <w:left w:val="nil"/>
              <w:bottom w:val="single" w:sz="8" w:space="0" w:color="auto"/>
              <w:right w:val="single" w:sz="8" w:space="0" w:color="auto"/>
            </w:tcBorders>
            <w:shd w:val="clear" w:color="auto" w:fill="auto"/>
            <w:noWrap/>
            <w:hideMark/>
          </w:tcPr>
          <w:p w14:paraId="035CB66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"Liepājas Olimpiskais Centrs"</w:t>
            </w:r>
          </w:p>
        </w:tc>
        <w:tc>
          <w:tcPr>
            <w:tcW w:w="2121" w:type="dxa"/>
            <w:tcBorders>
              <w:top w:val="nil"/>
              <w:left w:val="nil"/>
              <w:bottom w:val="single" w:sz="8" w:space="0" w:color="auto"/>
              <w:right w:val="single" w:sz="8" w:space="0" w:color="auto"/>
            </w:tcBorders>
            <w:shd w:val="clear" w:color="auto" w:fill="auto"/>
            <w:noWrap/>
            <w:hideMark/>
          </w:tcPr>
          <w:p w14:paraId="16CDCC4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3 333 000</w:t>
            </w:r>
          </w:p>
        </w:tc>
        <w:tc>
          <w:tcPr>
            <w:tcW w:w="2121" w:type="dxa"/>
            <w:tcBorders>
              <w:top w:val="nil"/>
              <w:left w:val="nil"/>
              <w:bottom w:val="single" w:sz="8" w:space="0" w:color="auto"/>
              <w:right w:val="single" w:sz="8" w:space="0" w:color="auto"/>
            </w:tcBorders>
            <w:shd w:val="clear" w:color="auto" w:fill="auto"/>
            <w:noWrap/>
            <w:hideMark/>
          </w:tcPr>
          <w:p w14:paraId="7023AC1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2 898 448</w:t>
            </w:r>
          </w:p>
        </w:tc>
        <w:tc>
          <w:tcPr>
            <w:tcW w:w="2177" w:type="dxa"/>
            <w:tcBorders>
              <w:top w:val="nil"/>
              <w:left w:val="nil"/>
              <w:bottom w:val="single" w:sz="8" w:space="0" w:color="auto"/>
              <w:right w:val="single" w:sz="8" w:space="0" w:color="auto"/>
            </w:tcBorders>
            <w:shd w:val="clear" w:color="auto" w:fill="auto"/>
            <w:noWrap/>
            <w:hideMark/>
          </w:tcPr>
          <w:p w14:paraId="238DF3C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434 552</w:t>
            </w:r>
          </w:p>
        </w:tc>
      </w:tr>
      <w:tr w:rsidR="00830FA2" w:rsidRPr="00FD1578" w14:paraId="445D391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7859425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73</w:t>
            </w:r>
          </w:p>
        </w:tc>
        <w:tc>
          <w:tcPr>
            <w:tcW w:w="6600" w:type="dxa"/>
            <w:tcBorders>
              <w:top w:val="nil"/>
              <w:left w:val="nil"/>
              <w:bottom w:val="single" w:sz="8" w:space="0" w:color="auto"/>
              <w:right w:val="single" w:sz="8" w:space="0" w:color="auto"/>
            </w:tcBorders>
            <w:shd w:val="clear" w:color="auto" w:fill="auto"/>
            <w:noWrap/>
          </w:tcPr>
          <w:p w14:paraId="1353F47B"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"Liepājas reģionālā slimnīca"</w:t>
            </w:r>
          </w:p>
        </w:tc>
        <w:tc>
          <w:tcPr>
            <w:tcW w:w="2121" w:type="dxa"/>
            <w:tcBorders>
              <w:top w:val="nil"/>
              <w:left w:val="nil"/>
              <w:bottom w:val="single" w:sz="8" w:space="0" w:color="auto"/>
              <w:right w:val="single" w:sz="8" w:space="0" w:color="auto"/>
            </w:tcBorders>
            <w:shd w:val="clear" w:color="auto" w:fill="auto"/>
            <w:noWrap/>
          </w:tcPr>
          <w:p w14:paraId="16D6CE8E"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Calibri" w:cs="Times New Roman"/>
                <w:sz w:val="18"/>
                <w:szCs w:val="18"/>
                <w:lang w:eastAsia="en-US"/>
              </w:rPr>
              <w:t>42 376 850</w:t>
            </w:r>
          </w:p>
        </w:tc>
        <w:tc>
          <w:tcPr>
            <w:tcW w:w="2121" w:type="dxa"/>
            <w:tcBorders>
              <w:top w:val="nil"/>
              <w:left w:val="nil"/>
              <w:bottom w:val="single" w:sz="8" w:space="0" w:color="auto"/>
              <w:right w:val="single" w:sz="8" w:space="0" w:color="auto"/>
            </w:tcBorders>
            <w:shd w:val="clear" w:color="auto" w:fill="auto"/>
            <w:noWrap/>
          </w:tcPr>
          <w:p w14:paraId="49BED615"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Calibri" w:cs="Times New Roman"/>
                <w:sz w:val="18"/>
                <w:szCs w:val="18"/>
                <w:lang w:eastAsia="en-US"/>
              </w:rPr>
              <w:t>42 259 634</w:t>
            </w:r>
          </w:p>
        </w:tc>
        <w:tc>
          <w:tcPr>
            <w:tcW w:w="2177" w:type="dxa"/>
            <w:tcBorders>
              <w:top w:val="nil"/>
              <w:left w:val="nil"/>
              <w:bottom w:val="single" w:sz="8" w:space="0" w:color="auto"/>
              <w:right w:val="single" w:sz="8" w:space="0" w:color="auto"/>
            </w:tcBorders>
            <w:shd w:val="clear" w:color="auto" w:fill="auto"/>
            <w:noWrap/>
          </w:tcPr>
          <w:p w14:paraId="3927BBD2"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Calibri" w:cs="Times New Roman"/>
                <w:sz w:val="18"/>
                <w:szCs w:val="18"/>
                <w:lang w:eastAsia="en-US"/>
              </w:rPr>
              <w:t>117 216</w:t>
            </w:r>
          </w:p>
        </w:tc>
      </w:tr>
      <w:tr w:rsidR="00830FA2" w:rsidRPr="00FD1578" w14:paraId="5009B02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764CE7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74</w:t>
            </w:r>
          </w:p>
        </w:tc>
        <w:tc>
          <w:tcPr>
            <w:tcW w:w="6600" w:type="dxa"/>
            <w:tcBorders>
              <w:top w:val="nil"/>
              <w:left w:val="nil"/>
              <w:bottom w:val="single" w:sz="8" w:space="0" w:color="auto"/>
              <w:right w:val="single" w:sz="8" w:space="0" w:color="auto"/>
            </w:tcBorders>
            <w:shd w:val="clear" w:color="auto" w:fill="auto"/>
            <w:noWrap/>
            <w:hideMark/>
          </w:tcPr>
          <w:p w14:paraId="0152CA7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"Liepājas tramvajs"</w:t>
            </w:r>
          </w:p>
        </w:tc>
        <w:tc>
          <w:tcPr>
            <w:tcW w:w="2121" w:type="dxa"/>
            <w:tcBorders>
              <w:top w:val="nil"/>
              <w:left w:val="nil"/>
              <w:bottom w:val="single" w:sz="8" w:space="0" w:color="auto"/>
              <w:right w:val="single" w:sz="8" w:space="0" w:color="auto"/>
            </w:tcBorders>
            <w:shd w:val="clear" w:color="auto" w:fill="auto"/>
            <w:noWrap/>
            <w:hideMark/>
          </w:tcPr>
          <w:p w14:paraId="602EC38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2 700 000</w:t>
            </w:r>
          </w:p>
        </w:tc>
        <w:tc>
          <w:tcPr>
            <w:tcW w:w="2121" w:type="dxa"/>
            <w:tcBorders>
              <w:top w:val="nil"/>
              <w:left w:val="nil"/>
              <w:bottom w:val="single" w:sz="8" w:space="0" w:color="auto"/>
              <w:right w:val="single" w:sz="8" w:space="0" w:color="auto"/>
            </w:tcBorders>
            <w:shd w:val="clear" w:color="auto" w:fill="auto"/>
            <w:noWrap/>
            <w:hideMark/>
          </w:tcPr>
          <w:p w14:paraId="7D10BD2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2 649 000</w:t>
            </w:r>
          </w:p>
        </w:tc>
        <w:tc>
          <w:tcPr>
            <w:tcW w:w="2177" w:type="dxa"/>
            <w:tcBorders>
              <w:top w:val="nil"/>
              <w:left w:val="nil"/>
              <w:bottom w:val="single" w:sz="8" w:space="0" w:color="auto"/>
              <w:right w:val="single" w:sz="8" w:space="0" w:color="auto"/>
            </w:tcBorders>
            <w:shd w:val="clear" w:color="auto" w:fill="auto"/>
            <w:noWrap/>
            <w:hideMark/>
          </w:tcPr>
          <w:p w14:paraId="0635910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51 000</w:t>
            </w:r>
          </w:p>
        </w:tc>
      </w:tr>
      <w:tr w:rsidR="00830FA2" w:rsidRPr="00FD1578" w14:paraId="0D8C482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EB7B69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75</w:t>
            </w:r>
          </w:p>
        </w:tc>
        <w:tc>
          <w:tcPr>
            <w:tcW w:w="6600" w:type="dxa"/>
            <w:tcBorders>
              <w:top w:val="nil"/>
              <w:left w:val="nil"/>
              <w:bottom w:val="single" w:sz="8" w:space="0" w:color="auto"/>
              <w:right w:val="single" w:sz="8" w:space="0" w:color="auto"/>
            </w:tcBorders>
            <w:shd w:val="clear" w:color="auto" w:fill="auto"/>
            <w:noWrap/>
            <w:hideMark/>
          </w:tcPr>
          <w:p w14:paraId="08E574D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"Madonas slimnīca"</w:t>
            </w:r>
          </w:p>
        </w:tc>
        <w:tc>
          <w:tcPr>
            <w:tcW w:w="2121" w:type="dxa"/>
            <w:tcBorders>
              <w:top w:val="nil"/>
              <w:left w:val="nil"/>
              <w:bottom w:val="single" w:sz="8" w:space="0" w:color="auto"/>
              <w:right w:val="single" w:sz="8" w:space="0" w:color="auto"/>
            </w:tcBorders>
            <w:shd w:val="clear" w:color="auto" w:fill="auto"/>
            <w:noWrap/>
            <w:hideMark/>
          </w:tcPr>
          <w:p w14:paraId="65BFFA6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14 000 000</w:t>
            </w:r>
          </w:p>
        </w:tc>
        <w:tc>
          <w:tcPr>
            <w:tcW w:w="2121" w:type="dxa"/>
            <w:tcBorders>
              <w:top w:val="nil"/>
              <w:left w:val="nil"/>
              <w:bottom w:val="single" w:sz="8" w:space="0" w:color="auto"/>
              <w:right w:val="single" w:sz="8" w:space="0" w:color="auto"/>
            </w:tcBorders>
            <w:shd w:val="clear" w:color="auto" w:fill="auto"/>
            <w:noWrap/>
            <w:hideMark/>
          </w:tcPr>
          <w:p w14:paraId="10F51D6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13 934 730</w:t>
            </w:r>
          </w:p>
        </w:tc>
        <w:tc>
          <w:tcPr>
            <w:tcW w:w="2177" w:type="dxa"/>
            <w:tcBorders>
              <w:top w:val="nil"/>
              <w:left w:val="nil"/>
              <w:bottom w:val="single" w:sz="8" w:space="0" w:color="auto"/>
              <w:right w:val="single" w:sz="8" w:space="0" w:color="auto"/>
            </w:tcBorders>
            <w:shd w:val="clear" w:color="auto" w:fill="auto"/>
            <w:noWrap/>
            <w:hideMark/>
          </w:tcPr>
          <w:p w14:paraId="2675BAC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65 270</w:t>
            </w:r>
          </w:p>
        </w:tc>
      </w:tr>
      <w:tr w:rsidR="00830FA2" w:rsidRPr="00FD1578" w14:paraId="26E2118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9B7E4E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76</w:t>
            </w:r>
          </w:p>
        </w:tc>
        <w:tc>
          <w:tcPr>
            <w:tcW w:w="6600" w:type="dxa"/>
            <w:tcBorders>
              <w:top w:val="nil"/>
              <w:left w:val="nil"/>
              <w:bottom w:val="single" w:sz="8" w:space="0" w:color="auto"/>
              <w:right w:val="single" w:sz="8" w:space="0" w:color="auto"/>
            </w:tcBorders>
            <w:shd w:val="clear" w:color="auto" w:fill="auto"/>
            <w:noWrap/>
            <w:hideMark/>
          </w:tcPr>
          <w:p w14:paraId="7ED5D76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"Ogres rajona slimnīca"</w:t>
            </w:r>
          </w:p>
        </w:tc>
        <w:tc>
          <w:tcPr>
            <w:tcW w:w="2121" w:type="dxa"/>
            <w:tcBorders>
              <w:top w:val="nil"/>
              <w:left w:val="nil"/>
              <w:bottom w:val="single" w:sz="8" w:space="0" w:color="auto"/>
              <w:right w:val="single" w:sz="8" w:space="0" w:color="auto"/>
            </w:tcBorders>
            <w:shd w:val="clear" w:color="auto" w:fill="auto"/>
            <w:noWrap/>
            <w:hideMark/>
          </w:tcPr>
          <w:p w14:paraId="6CB6321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16 791 556</w:t>
            </w:r>
          </w:p>
        </w:tc>
        <w:tc>
          <w:tcPr>
            <w:tcW w:w="2121" w:type="dxa"/>
            <w:tcBorders>
              <w:top w:val="nil"/>
              <w:left w:val="nil"/>
              <w:bottom w:val="single" w:sz="8" w:space="0" w:color="auto"/>
              <w:right w:val="single" w:sz="8" w:space="0" w:color="auto"/>
            </w:tcBorders>
            <w:shd w:val="clear" w:color="auto" w:fill="auto"/>
            <w:noWrap/>
            <w:hideMark/>
          </w:tcPr>
          <w:p w14:paraId="24AC468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17 732 620</w:t>
            </w:r>
          </w:p>
        </w:tc>
        <w:tc>
          <w:tcPr>
            <w:tcW w:w="2177" w:type="dxa"/>
            <w:tcBorders>
              <w:top w:val="nil"/>
              <w:left w:val="nil"/>
              <w:bottom w:val="single" w:sz="8" w:space="0" w:color="auto"/>
              <w:right w:val="single" w:sz="8" w:space="0" w:color="auto"/>
            </w:tcBorders>
            <w:shd w:val="clear" w:color="auto" w:fill="auto"/>
            <w:noWrap/>
            <w:hideMark/>
          </w:tcPr>
          <w:p w14:paraId="001B002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-941 064</w:t>
            </w:r>
          </w:p>
        </w:tc>
      </w:tr>
      <w:tr w:rsidR="00830FA2" w:rsidRPr="00FD1578" w14:paraId="6483963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9C7C38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77</w:t>
            </w:r>
          </w:p>
        </w:tc>
        <w:tc>
          <w:tcPr>
            <w:tcW w:w="6600" w:type="dxa"/>
            <w:tcBorders>
              <w:top w:val="nil"/>
              <w:left w:val="nil"/>
              <w:bottom w:val="single" w:sz="8" w:space="0" w:color="auto"/>
              <w:right w:val="single" w:sz="8" w:space="0" w:color="auto"/>
            </w:tcBorders>
            <w:shd w:val="clear" w:color="auto" w:fill="auto"/>
            <w:noWrap/>
            <w:hideMark/>
          </w:tcPr>
          <w:p w14:paraId="0FA43B6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"Rēzeknes Satiksme"</w:t>
            </w:r>
          </w:p>
        </w:tc>
        <w:tc>
          <w:tcPr>
            <w:tcW w:w="2121" w:type="dxa"/>
            <w:tcBorders>
              <w:top w:val="nil"/>
              <w:left w:val="nil"/>
              <w:bottom w:val="single" w:sz="8" w:space="0" w:color="auto"/>
              <w:right w:val="single" w:sz="8" w:space="0" w:color="auto"/>
            </w:tcBorders>
            <w:shd w:val="clear" w:color="auto" w:fill="auto"/>
            <w:noWrap/>
            <w:hideMark/>
          </w:tcPr>
          <w:p w14:paraId="2A889F5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2 808 231</w:t>
            </w:r>
          </w:p>
        </w:tc>
        <w:tc>
          <w:tcPr>
            <w:tcW w:w="2121" w:type="dxa"/>
            <w:tcBorders>
              <w:top w:val="nil"/>
              <w:left w:val="nil"/>
              <w:bottom w:val="single" w:sz="8" w:space="0" w:color="auto"/>
              <w:right w:val="single" w:sz="8" w:space="0" w:color="auto"/>
            </w:tcBorders>
            <w:shd w:val="clear" w:color="auto" w:fill="auto"/>
            <w:noWrap/>
            <w:hideMark/>
          </w:tcPr>
          <w:p w14:paraId="56557EC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2 302 038</w:t>
            </w:r>
          </w:p>
        </w:tc>
        <w:tc>
          <w:tcPr>
            <w:tcW w:w="2177" w:type="dxa"/>
            <w:tcBorders>
              <w:top w:val="nil"/>
              <w:left w:val="nil"/>
              <w:bottom w:val="single" w:sz="8" w:space="0" w:color="auto"/>
              <w:right w:val="single" w:sz="8" w:space="0" w:color="auto"/>
            </w:tcBorders>
            <w:shd w:val="clear" w:color="auto" w:fill="auto"/>
            <w:noWrap/>
            <w:hideMark/>
          </w:tcPr>
          <w:p w14:paraId="28EE998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506 193</w:t>
            </w:r>
          </w:p>
        </w:tc>
      </w:tr>
      <w:tr w:rsidR="00830FA2" w:rsidRPr="00FD1578" w14:paraId="5203C71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726D09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78</w:t>
            </w:r>
          </w:p>
        </w:tc>
        <w:tc>
          <w:tcPr>
            <w:tcW w:w="6600" w:type="dxa"/>
            <w:tcBorders>
              <w:top w:val="nil"/>
              <w:left w:val="nil"/>
              <w:bottom w:val="single" w:sz="8" w:space="0" w:color="auto"/>
              <w:right w:val="single" w:sz="8" w:space="0" w:color="auto"/>
            </w:tcBorders>
            <w:shd w:val="clear" w:color="auto" w:fill="auto"/>
            <w:noWrap/>
            <w:hideMark/>
          </w:tcPr>
          <w:p w14:paraId="171C059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"Rēzeknes slimnīca"</w:t>
            </w:r>
          </w:p>
        </w:tc>
        <w:tc>
          <w:tcPr>
            <w:tcW w:w="2121" w:type="dxa"/>
            <w:tcBorders>
              <w:top w:val="nil"/>
              <w:left w:val="nil"/>
              <w:bottom w:val="single" w:sz="8" w:space="0" w:color="auto"/>
              <w:right w:val="single" w:sz="8" w:space="0" w:color="auto"/>
            </w:tcBorders>
            <w:shd w:val="clear" w:color="auto" w:fill="auto"/>
            <w:noWrap/>
            <w:hideMark/>
          </w:tcPr>
          <w:p w14:paraId="290E830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27 614 196</w:t>
            </w:r>
          </w:p>
        </w:tc>
        <w:tc>
          <w:tcPr>
            <w:tcW w:w="2121" w:type="dxa"/>
            <w:tcBorders>
              <w:top w:val="nil"/>
              <w:left w:val="nil"/>
              <w:bottom w:val="single" w:sz="8" w:space="0" w:color="auto"/>
              <w:right w:val="single" w:sz="8" w:space="0" w:color="auto"/>
            </w:tcBorders>
            <w:shd w:val="clear" w:color="auto" w:fill="auto"/>
            <w:noWrap/>
            <w:hideMark/>
          </w:tcPr>
          <w:p w14:paraId="2CC5D7A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27 458 881</w:t>
            </w:r>
          </w:p>
        </w:tc>
        <w:tc>
          <w:tcPr>
            <w:tcW w:w="2177" w:type="dxa"/>
            <w:tcBorders>
              <w:top w:val="nil"/>
              <w:left w:val="nil"/>
              <w:bottom w:val="single" w:sz="8" w:space="0" w:color="auto"/>
              <w:right w:val="single" w:sz="8" w:space="0" w:color="auto"/>
            </w:tcBorders>
            <w:shd w:val="clear" w:color="auto" w:fill="auto"/>
            <w:noWrap/>
            <w:hideMark/>
          </w:tcPr>
          <w:p w14:paraId="3CEFAE7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155 315</w:t>
            </w:r>
          </w:p>
        </w:tc>
      </w:tr>
      <w:tr w:rsidR="00830FA2" w:rsidRPr="00FD1578" w14:paraId="5A60F97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5F8C2D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79</w:t>
            </w:r>
          </w:p>
        </w:tc>
        <w:tc>
          <w:tcPr>
            <w:tcW w:w="6600" w:type="dxa"/>
            <w:tcBorders>
              <w:top w:val="nil"/>
              <w:left w:val="nil"/>
              <w:bottom w:val="single" w:sz="8" w:space="0" w:color="auto"/>
              <w:right w:val="single" w:sz="8" w:space="0" w:color="auto"/>
            </w:tcBorders>
            <w:shd w:val="clear" w:color="auto" w:fill="auto"/>
            <w:noWrap/>
            <w:hideMark/>
          </w:tcPr>
          <w:p w14:paraId="6357D95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1.slimnīca"</w:t>
            </w:r>
          </w:p>
        </w:tc>
        <w:tc>
          <w:tcPr>
            <w:tcW w:w="2121" w:type="dxa"/>
            <w:tcBorders>
              <w:top w:val="nil"/>
              <w:left w:val="nil"/>
              <w:bottom w:val="single" w:sz="8" w:space="0" w:color="auto"/>
              <w:right w:val="single" w:sz="8" w:space="0" w:color="auto"/>
            </w:tcBorders>
            <w:shd w:val="clear" w:color="auto" w:fill="auto"/>
            <w:noWrap/>
            <w:hideMark/>
          </w:tcPr>
          <w:p w14:paraId="3C39EEF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30 677 517</w:t>
            </w:r>
          </w:p>
        </w:tc>
        <w:tc>
          <w:tcPr>
            <w:tcW w:w="2121" w:type="dxa"/>
            <w:tcBorders>
              <w:top w:val="nil"/>
              <w:left w:val="nil"/>
              <w:bottom w:val="single" w:sz="8" w:space="0" w:color="auto"/>
              <w:right w:val="single" w:sz="8" w:space="0" w:color="auto"/>
            </w:tcBorders>
            <w:shd w:val="clear" w:color="auto" w:fill="auto"/>
            <w:noWrap/>
            <w:hideMark/>
          </w:tcPr>
          <w:p w14:paraId="159260F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31 128 415</w:t>
            </w:r>
          </w:p>
        </w:tc>
        <w:tc>
          <w:tcPr>
            <w:tcW w:w="2177" w:type="dxa"/>
            <w:tcBorders>
              <w:top w:val="nil"/>
              <w:left w:val="nil"/>
              <w:bottom w:val="single" w:sz="8" w:space="0" w:color="auto"/>
              <w:right w:val="single" w:sz="8" w:space="0" w:color="auto"/>
            </w:tcBorders>
            <w:shd w:val="clear" w:color="auto" w:fill="auto"/>
            <w:noWrap/>
            <w:hideMark/>
          </w:tcPr>
          <w:p w14:paraId="2B9DA8C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-450 898</w:t>
            </w:r>
          </w:p>
        </w:tc>
      </w:tr>
      <w:tr w:rsidR="00830FA2" w:rsidRPr="00FD1578" w14:paraId="79448E6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54E366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80</w:t>
            </w:r>
          </w:p>
        </w:tc>
        <w:tc>
          <w:tcPr>
            <w:tcW w:w="6600" w:type="dxa"/>
            <w:tcBorders>
              <w:top w:val="nil"/>
              <w:left w:val="nil"/>
              <w:bottom w:val="single" w:sz="8" w:space="0" w:color="auto"/>
              <w:right w:val="single" w:sz="8" w:space="0" w:color="auto"/>
            </w:tcBorders>
            <w:shd w:val="clear" w:color="auto" w:fill="auto"/>
            <w:noWrap/>
            <w:hideMark/>
          </w:tcPr>
          <w:p w14:paraId="3489B26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2.slimnīca"</w:t>
            </w:r>
          </w:p>
        </w:tc>
        <w:tc>
          <w:tcPr>
            <w:tcW w:w="2121" w:type="dxa"/>
            <w:tcBorders>
              <w:top w:val="nil"/>
              <w:left w:val="nil"/>
              <w:bottom w:val="single" w:sz="8" w:space="0" w:color="auto"/>
              <w:right w:val="single" w:sz="8" w:space="0" w:color="auto"/>
            </w:tcBorders>
            <w:shd w:val="clear" w:color="auto" w:fill="auto"/>
            <w:noWrap/>
            <w:hideMark/>
          </w:tcPr>
          <w:p w14:paraId="218F1BD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13 602 190</w:t>
            </w:r>
          </w:p>
        </w:tc>
        <w:tc>
          <w:tcPr>
            <w:tcW w:w="2121" w:type="dxa"/>
            <w:tcBorders>
              <w:top w:val="nil"/>
              <w:left w:val="nil"/>
              <w:bottom w:val="single" w:sz="8" w:space="0" w:color="auto"/>
              <w:right w:val="single" w:sz="8" w:space="0" w:color="auto"/>
            </w:tcBorders>
            <w:shd w:val="clear" w:color="auto" w:fill="auto"/>
            <w:noWrap/>
            <w:hideMark/>
          </w:tcPr>
          <w:p w14:paraId="0A2B3CC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13 600 922</w:t>
            </w:r>
          </w:p>
        </w:tc>
        <w:tc>
          <w:tcPr>
            <w:tcW w:w="2177" w:type="dxa"/>
            <w:tcBorders>
              <w:top w:val="nil"/>
              <w:left w:val="nil"/>
              <w:bottom w:val="single" w:sz="8" w:space="0" w:color="auto"/>
              <w:right w:val="single" w:sz="8" w:space="0" w:color="auto"/>
            </w:tcBorders>
            <w:shd w:val="clear" w:color="auto" w:fill="auto"/>
            <w:noWrap/>
            <w:hideMark/>
          </w:tcPr>
          <w:p w14:paraId="37C770F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1 268</w:t>
            </w:r>
          </w:p>
        </w:tc>
      </w:tr>
      <w:tr w:rsidR="00830FA2" w:rsidRPr="00FD1578" w14:paraId="5F1F84F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619441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81</w:t>
            </w:r>
          </w:p>
        </w:tc>
        <w:tc>
          <w:tcPr>
            <w:tcW w:w="6600" w:type="dxa"/>
            <w:tcBorders>
              <w:top w:val="nil"/>
              <w:left w:val="nil"/>
              <w:bottom w:val="single" w:sz="8" w:space="0" w:color="auto"/>
              <w:right w:val="single" w:sz="8" w:space="0" w:color="auto"/>
            </w:tcBorders>
            <w:shd w:val="clear" w:color="auto" w:fill="auto"/>
            <w:noWrap/>
            <w:hideMark/>
          </w:tcPr>
          <w:p w14:paraId="225510E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Dzemdību nams"</w:t>
            </w:r>
          </w:p>
        </w:tc>
        <w:tc>
          <w:tcPr>
            <w:tcW w:w="2121" w:type="dxa"/>
            <w:tcBorders>
              <w:top w:val="nil"/>
              <w:left w:val="nil"/>
              <w:bottom w:val="single" w:sz="8" w:space="0" w:color="auto"/>
              <w:right w:val="single" w:sz="8" w:space="0" w:color="auto"/>
            </w:tcBorders>
            <w:shd w:val="clear" w:color="auto" w:fill="auto"/>
            <w:noWrap/>
            <w:hideMark/>
          </w:tcPr>
          <w:p w14:paraId="34752CE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13 417 963</w:t>
            </w:r>
          </w:p>
        </w:tc>
        <w:tc>
          <w:tcPr>
            <w:tcW w:w="2121" w:type="dxa"/>
            <w:tcBorders>
              <w:top w:val="nil"/>
              <w:left w:val="nil"/>
              <w:bottom w:val="single" w:sz="8" w:space="0" w:color="auto"/>
              <w:right w:val="single" w:sz="8" w:space="0" w:color="auto"/>
            </w:tcBorders>
            <w:shd w:val="clear" w:color="auto" w:fill="auto"/>
            <w:noWrap/>
            <w:hideMark/>
          </w:tcPr>
          <w:p w14:paraId="0E48775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13 350 365</w:t>
            </w:r>
          </w:p>
        </w:tc>
        <w:tc>
          <w:tcPr>
            <w:tcW w:w="2177" w:type="dxa"/>
            <w:tcBorders>
              <w:top w:val="nil"/>
              <w:left w:val="nil"/>
              <w:bottom w:val="single" w:sz="8" w:space="0" w:color="auto"/>
              <w:right w:val="single" w:sz="8" w:space="0" w:color="auto"/>
            </w:tcBorders>
            <w:shd w:val="clear" w:color="auto" w:fill="auto"/>
            <w:noWrap/>
            <w:hideMark/>
          </w:tcPr>
          <w:p w14:paraId="0D17A4F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67 598</w:t>
            </w:r>
          </w:p>
        </w:tc>
      </w:tr>
      <w:tr w:rsidR="00830FA2" w:rsidRPr="00FD1578" w14:paraId="592457B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73C181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82</w:t>
            </w:r>
          </w:p>
        </w:tc>
        <w:tc>
          <w:tcPr>
            <w:tcW w:w="6600" w:type="dxa"/>
            <w:tcBorders>
              <w:top w:val="nil"/>
              <w:left w:val="nil"/>
              <w:bottom w:val="single" w:sz="8" w:space="0" w:color="auto"/>
              <w:right w:val="single" w:sz="8" w:space="0" w:color="auto"/>
            </w:tcBorders>
            <w:shd w:val="clear" w:color="auto" w:fill="auto"/>
            <w:noWrap/>
            <w:hideMark/>
          </w:tcPr>
          <w:p w14:paraId="37763FC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satiksme"</w:t>
            </w:r>
          </w:p>
        </w:tc>
        <w:tc>
          <w:tcPr>
            <w:tcW w:w="2121" w:type="dxa"/>
            <w:tcBorders>
              <w:top w:val="nil"/>
              <w:left w:val="nil"/>
              <w:bottom w:val="single" w:sz="8" w:space="0" w:color="auto"/>
              <w:right w:val="single" w:sz="8" w:space="0" w:color="auto"/>
            </w:tcBorders>
            <w:shd w:val="clear" w:color="auto" w:fill="auto"/>
            <w:noWrap/>
            <w:hideMark/>
          </w:tcPr>
          <w:p w14:paraId="4E7A231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214 871 282</w:t>
            </w:r>
          </w:p>
        </w:tc>
        <w:tc>
          <w:tcPr>
            <w:tcW w:w="2121" w:type="dxa"/>
            <w:tcBorders>
              <w:top w:val="nil"/>
              <w:left w:val="nil"/>
              <w:bottom w:val="single" w:sz="8" w:space="0" w:color="auto"/>
              <w:right w:val="single" w:sz="8" w:space="0" w:color="auto"/>
            </w:tcBorders>
            <w:shd w:val="clear" w:color="auto" w:fill="auto"/>
            <w:noWrap/>
            <w:hideMark/>
          </w:tcPr>
          <w:p w14:paraId="3EA1FD9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213 434 327</w:t>
            </w:r>
          </w:p>
        </w:tc>
        <w:tc>
          <w:tcPr>
            <w:tcW w:w="2177" w:type="dxa"/>
            <w:tcBorders>
              <w:top w:val="nil"/>
              <w:left w:val="nil"/>
              <w:bottom w:val="single" w:sz="8" w:space="0" w:color="auto"/>
              <w:right w:val="single" w:sz="8" w:space="0" w:color="auto"/>
            </w:tcBorders>
            <w:shd w:val="clear" w:color="auto" w:fill="auto"/>
            <w:noWrap/>
            <w:hideMark/>
          </w:tcPr>
          <w:p w14:paraId="678AF6A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1 436 955</w:t>
            </w:r>
          </w:p>
        </w:tc>
      </w:tr>
      <w:tr w:rsidR="00830FA2" w:rsidRPr="00FD1578" w14:paraId="6321E73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246613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83</w:t>
            </w:r>
          </w:p>
        </w:tc>
        <w:tc>
          <w:tcPr>
            <w:tcW w:w="6600" w:type="dxa"/>
            <w:tcBorders>
              <w:top w:val="nil"/>
              <w:left w:val="nil"/>
              <w:bottom w:val="single" w:sz="8" w:space="0" w:color="auto"/>
              <w:right w:val="single" w:sz="8" w:space="0" w:color="auto"/>
            </w:tcBorders>
            <w:shd w:val="clear" w:color="auto" w:fill="auto"/>
            <w:noWrap/>
            <w:hideMark/>
          </w:tcPr>
          <w:p w14:paraId="410C9BB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veselības centrs"</w:t>
            </w:r>
          </w:p>
        </w:tc>
        <w:tc>
          <w:tcPr>
            <w:tcW w:w="2121" w:type="dxa"/>
            <w:tcBorders>
              <w:top w:val="nil"/>
              <w:left w:val="nil"/>
              <w:bottom w:val="single" w:sz="8" w:space="0" w:color="auto"/>
              <w:right w:val="single" w:sz="8" w:space="0" w:color="auto"/>
            </w:tcBorders>
            <w:shd w:val="clear" w:color="auto" w:fill="auto"/>
            <w:noWrap/>
            <w:hideMark/>
          </w:tcPr>
          <w:p w14:paraId="1BBE139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12 725 101</w:t>
            </w:r>
          </w:p>
        </w:tc>
        <w:tc>
          <w:tcPr>
            <w:tcW w:w="2121" w:type="dxa"/>
            <w:tcBorders>
              <w:top w:val="nil"/>
              <w:left w:val="nil"/>
              <w:bottom w:val="single" w:sz="8" w:space="0" w:color="auto"/>
              <w:right w:val="single" w:sz="8" w:space="0" w:color="auto"/>
            </w:tcBorders>
            <w:shd w:val="clear" w:color="auto" w:fill="auto"/>
            <w:noWrap/>
            <w:hideMark/>
          </w:tcPr>
          <w:p w14:paraId="66037C5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12 724 171</w:t>
            </w:r>
          </w:p>
        </w:tc>
        <w:tc>
          <w:tcPr>
            <w:tcW w:w="2177" w:type="dxa"/>
            <w:tcBorders>
              <w:top w:val="nil"/>
              <w:left w:val="nil"/>
              <w:bottom w:val="single" w:sz="8" w:space="0" w:color="auto"/>
              <w:right w:val="single" w:sz="8" w:space="0" w:color="auto"/>
            </w:tcBorders>
            <w:shd w:val="clear" w:color="auto" w:fill="auto"/>
            <w:noWrap/>
            <w:hideMark/>
          </w:tcPr>
          <w:p w14:paraId="2EC5538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930</w:t>
            </w:r>
          </w:p>
        </w:tc>
      </w:tr>
      <w:tr w:rsidR="00830FA2" w:rsidRPr="00FD1578" w14:paraId="15A452C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26AFF0E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84</w:t>
            </w:r>
          </w:p>
        </w:tc>
        <w:tc>
          <w:tcPr>
            <w:tcW w:w="6600" w:type="dxa"/>
            <w:tcBorders>
              <w:top w:val="nil"/>
              <w:left w:val="nil"/>
              <w:bottom w:val="single" w:sz="8" w:space="0" w:color="auto"/>
              <w:right w:val="single" w:sz="8" w:space="0" w:color="auto"/>
            </w:tcBorders>
            <w:shd w:val="clear" w:color="auto" w:fill="auto"/>
            <w:noWrap/>
          </w:tcPr>
          <w:p w14:paraId="46BA02DF"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"Salaspils Veselības Centrs"</w:t>
            </w:r>
          </w:p>
        </w:tc>
        <w:tc>
          <w:tcPr>
            <w:tcW w:w="2121" w:type="dxa"/>
            <w:tcBorders>
              <w:top w:val="nil"/>
              <w:left w:val="nil"/>
              <w:bottom w:val="single" w:sz="8" w:space="0" w:color="auto"/>
              <w:right w:val="single" w:sz="8" w:space="0" w:color="auto"/>
            </w:tcBorders>
            <w:shd w:val="clear" w:color="auto" w:fill="auto"/>
            <w:noWrap/>
          </w:tcPr>
          <w:p w14:paraId="690CF1E3"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28 357 586</w:t>
            </w:r>
          </w:p>
        </w:tc>
        <w:tc>
          <w:tcPr>
            <w:tcW w:w="2121" w:type="dxa"/>
            <w:tcBorders>
              <w:top w:val="nil"/>
              <w:left w:val="nil"/>
              <w:bottom w:val="single" w:sz="8" w:space="0" w:color="auto"/>
              <w:right w:val="single" w:sz="8" w:space="0" w:color="auto"/>
            </w:tcBorders>
            <w:shd w:val="clear" w:color="auto" w:fill="auto"/>
            <w:noWrap/>
          </w:tcPr>
          <w:p w14:paraId="30A8793E"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28 329 361</w:t>
            </w:r>
          </w:p>
        </w:tc>
        <w:tc>
          <w:tcPr>
            <w:tcW w:w="2177" w:type="dxa"/>
            <w:tcBorders>
              <w:top w:val="nil"/>
              <w:left w:val="nil"/>
              <w:bottom w:val="single" w:sz="8" w:space="0" w:color="auto"/>
              <w:right w:val="single" w:sz="8" w:space="0" w:color="auto"/>
            </w:tcBorders>
            <w:shd w:val="clear" w:color="auto" w:fill="auto"/>
            <w:noWrap/>
          </w:tcPr>
          <w:p w14:paraId="4A4008F4"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28 225</w:t>
            </w:r>
          </w:p>
        </w:tc>
      </w:tr>
      <w:tr w:rsidR="00830FA2" w:rsidRPr="00FD1578" w14:paraId="161FE6C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C0889D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85</w:t>
            </w:r>
          </w:p>
        </w:tc>
        <w:tc>
          <w:tcPr>
            <w:tcW w:w="6600" w:type="dxa"/>
            <w:tcBorders>
              <w:top w:val="nil"/>
              <w:left w:val="nil"/>
              <w:bottom w:val="single" w:sz="8" w:space="0" w:color="auto"/>
              <w:right w:val="single" w:sz="8" w:space="0" w:color="auto"/>
            </w:tcBorders>
            <w:shd w:val="clear" w:color="auto" w:fill="auto"/>
            <w:noWrap/>
            <w:hideMark/>
          </w:tcPr>
          <w:p w14:paraId="4E9CC60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"Olimpiskais centrs "Ventspils""</w:t>
            </w:r>
          </w:p>
        </w:tc>
        <w:tc>
          <w:tcPr>
            <w:tcW w:w="2121" w:type="dxa"/>
            <w:tcBorders>
              <w:top w:val="nil"/>
              <w:left w:val="nil"/>
              <w:bottom w:val="single" w:sz="8" w:space="0" w:color="auto"/>
              <w:right w:val="single" w:sz="8" w:space="0" w:color="auto"/>
            </w:tcBorders>
            <w:shd w:val="clear" w:color="auto" w:fill="auto"/>
            <w:noWrap/>
            <w:hideMark/>
          </w:tcPr>
          <w:p w14:paraId="6F6530D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4 503 161</w:t>
            </w:r>
          </w:p>
        </w:tc>
        <w:tc>
          <w:tcPr>
            <w:tcW w:w="2121" w:type="dxa"/>
            <w:tcBorders>
              <w:top w:val="nil"/>
              <w:left w:val="nil"/>
              <w:bottom w:val="single" w:sz="8" w:space="0" w:color="auto"/>
              <w:right w:val="single" w:sz="8" w:space="0" w:color="auto"/>
            </w:tcBorders>
            <w:shd w:val="clear" w:color="auto" w:fill="auto"/>
            <w:noWrap/>
            <w:hideMark/>
          </w:tcPr>
          <w:p w14:paraId="180E7F9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4 502 237</w:t>
            </w:r>
          </w:p>
        </w:tc>
        <w:tc>
          <w:tcPr>
            <w:tcW w:w="2177" w:type="dxa"/>
            <w:tcBorders>
              <w:top w:val="nil"/>
              <w:left w:val="nil"/>
              <w:bottom w:val="single" w:sz="8" w:space="0" w:color="auto"/>
              <w:right w:val="single" w:sz="8" w:space="0" w:color="auto"/>
            </w:tcBorders>
            <w:shd w:val="clear" w:color="auto" w:fill="auto"/>
            <w:noWrap/>
            <w:hideMark/>
          </w:tcPr>
          <w:p w14:paraId="7F41B09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924</w:t>
            </w:r>
          </w:p>
        </w:tc>
      </w:tr>
      <w:tr w:rsidR="00830FA2" w:rsidRPr="00FD1578" w14:paraId="5936C97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60E4043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86</w:t>
            </w:r>
          </w:p>
        </w:tc>
        <w:tc>
          <w:tcPr>
            <w:tcW w:w="6600" w:type="dxa"/>
            <w:tcBorders>
              <w:top w:val="nil"/>
              <w:left w:val="nil"/>
              <w:bottom w:val="single" w:sz="8" w:space="0" w:color="auto"/>
              <w:right w:val="single" w:sz="8" w:space="0" w:color="auto"/>
            </w:tcBorders>
            <w:shd w:val="clear" w:color="auto" w:fill="auto"/>
            <w:noWrap/>
            <w:hideMark/>
          </w:tcPr>
          <w:p w14:paraId="268312E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"Vidzemes slimnīca"</w:t>
            </w:r>
          </w:p>
        </w:tc>
        <w:tc>
          <w:tcPr>
            <w:tcW w:w="2121" w:type="dxa"/>
            <w:tcBorders>
              <w:top w:val="nil"/>
              <w:left w:val="nil"/>
              <w:bottom w:val="single" w:sz="8" w:space="0" w:color="auto"/>
              <w:right w:val="single" w:sz="8" w:space="0" w:color="auto"/>
            </w:tcBorders>
            <w:shd w:val="clear" w:color="auto" w:fill="auto"/>
            <w:noWrap/>
            <w:hideMark/>
          </w:tcPr>
          <w:p w14:paraId="0D797FC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29 109 134</w:t>
            </w:r>
          </w:p>
        </w:tc>
        <w:tc>
          <w:tcPr>
            <w:tcW w:w="2121" w:type="dxa"/>
            <w:tcBorders>
              <w:top w:val="nil"/>
              <w:left w:val="nil"/>
              <w:bottom w:val="single" w:sz="8" w:space="0" w:color="auto"/>
              <w:right w:val="single" w:sz="8" w:space="0" w:color="auto"/>
            </w:tcBorders>
            <w:shd w:val="clear" w:color="auto" w:fill="auto"/>
            <w:noWrap/>
            <w:hideMark/>
          </w:tcPr>
          <w:p w14:paraId="092827A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30 388 883</w:t>
            </w:r>
          </w:p>
        </w:tc>
        <w:tc>
          <w:tcPr>
            <w:tcW w:w="2177" w:type="dxa"/>
            <w:tcBorders>
              <w:top w:val="nil"/>
              <w:left w:val="nil"/>
              <w:bottom w:val="single" w:sz="8" w:space="0" w:color="auto"/>
              <w:right w:val="single" w:sz="8" w:space="0" w:color="auto"/>
            </w:tcBorders>
            <w:shd w:val="clear" w:color="auto" w:fill="auto"/>
            <w:noWrap/>
            <w:hideMark/>
          </w:tcPr>
          <w:p w14:paraId="6484E44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-1 279 749</w:t>
            </w:r>
          </w:p>
        </w:tc>
      </w:tr>
      <w:tr w:rsidR="00830FA2" w:rsidRPr="00FD1578" w14:paraId="4C4097D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hideMark/>
          </w:tcPr>
          <w:p w14:paraId="25DAD6B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Times New Roman" w:cs="Times New Roman"/>
                <w:color w:val="000000"/>
                <w:sz w:val="18"/>
                <w:szCs w:val="18"/>
              </w:rPr>
              <w:t>87</w:t>
            </w:r>
          </w:p>
        </w:tc>
        <w:tc>
          <w:tcPr>
            <w:tcW w:w="6600" w:type="dxa"/>
            <w:tcBorders>
              <w:top w:val="nil"/>
              <w:left w:val="nil"/>
              <w:bottom w:val="single" w:sz="8" w:space="0" w:color="auto"/>
              <w:right w:val="single" w:sz="8" w:space="0" w:color="auto"/>
            </w:tcBorders>
            <w:shd w:val="clear" w:color="auto" w:fill="auto"/>
            <w:noWrap/>
            <w:hideMark/>
          </w:tcPr>
          <w:p w14:paraId="576CA63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Ziemeļkurzemes</w:t>
            </w:r>
            <w:proofErr w:type="spellEnd"/>
            <w:r w:rsidRPr="00FD1578">
              <w:rPr>
                <w:rFonts w:eastAsia="Calibri" w:cs="Times New Roman"/>
                <w:sz w:val="18"/>
                <w:szCs w:val="18"/>
                <w:lang w:eastAsia="en-US"/>
              </w:rPr>
              <w:t xml:space="preserve"> reģionālā slimnīca"</w:t>
            </w:r>
          </w:p>
        </w:tc>
        <w:tc>
          <w:tcPr>
            <w:tcW w:w="2121" w:type="dxa"/>
            <w:tcBorders>
              <w:top w:val="nil"/>
              <w:left w:val="nil"/>
              <w:bottom w:val="single" w:sz="8" w:space="0" w:color="auto"/>
              <w:right w:val="single" w:sz="8" w:space="0" w:color="auto"/>
            </w:tcBorders>
            <w:shd w:val="clear" w:color="auto" w:fill="auto"/>
            <w:noWrap/>
            <w:hideMark/>
          </w:tcPr>
          <w:p w14:paraId="7E3257F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28 357 586</w:t>
            </w:r>
          </w:p>
        </w:tc>
        <w:tc>
          <w:tcPr>
            <w:tcW w:w="2121" w:type="dxa"/>
            <w:tcBorders>
              <w:top w:val="nil"/>
              <w:left w:val="nil"/>
              <w:bottom w:val="single" w:sz="8" w:space="0" w:color="auto"/>
              <w:right w:val="single" w:sz="8" w:space="0" w:color="auto"/>
            </w:tcBorders>
            <w:shd w:val="clear" w:color="auto" w:fill="auto"/>
            <w:noWrap/>
            <w:hideMark/>
          </w:tcPr>
          <w:p w14:paraId="6C6658F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28 329 361</w:t>
            </w:r>
          </w:p>
        </w:tc>
        <w:tc>
          <w:tcPr>
            <w:tcW w:w="2177" w:type="dxa"/>
            <w:tcBorders>
              <w:top w:val="nil"/>
              <w:left w:val="nil"/>
              <w:bottom w:val="single" w:sz="8" w:space="0" w:color="auto"/>
              <w:right w:val="single" w:sz="8" w:space="0" w:color="auto"/>
            </w:tcBorders>
            <w:shd w:val="clear" w:color="auto" w:fill="auto"/>
            <w:noWrap/>
            <w:hideMark/>
          </w:tcPr>
          <w:p w14:paraId="2D70678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28 225</w:t>
            </w:r>
          </w:p>
        </w:tc>
      </w:tr>
      <w:tr w:rsidR="00830FA2" w:rsidRPr="00FD1578" w14:paraId="7E852C54" w14:textId="77777777" w:rsidTr="001D67A3">
        <w:trPr>
          <w:trHeight w:val="468"/>
        </w:trPr>
        <w:tc>
          <w:tcPr>
            <w:tcW w:w="14206"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50EA963" w14:textId="2D7E5F28" w:rsidR="00830FA2" w:rsidRPr="00FD1578" w:rsidRDefault="00B6146E" w:rsidP="008349F0">
            <w:pPr>
              <w:spacing w:after="0"/>
              <w:ind w:firstLine="0"/>
              <w:rPr>
                <w:rFonts w:eastAsia="Times New Roman" w:cs="Times New Roman"/>
                <w:color w:val="000000"/>
                <w:sz w:val="18"/>
                <w:szCs w:val="18"/>
                <w:highlight w:val="yellow"/>
              </w:rPr>
            </w:pPr>
            <w:r w:rsidRPr="00B6146E">
              <w:rPr>
                <w:rFonts w:eastAsia="Times New Roman" w:cs="Times New Roman"/>
                <w:color w:val="000000"/>
                <w:sz w:val="18"/>
                <w:szCs w:val="18"/>
              </w:rPr>
              <w:lastRenderedPageBreak/>
              <w:t>Prognozes izstrādātas atbilstoši 2024. gada jūnijā-jūlijā FM iesniegtajai informācijai par visu centrālās valdības komersantu (61) un izlasi fiskāli nozīmīgu vietējās valdības (pašvaldību) komersantu (26) prognozēto saimniecisko un finanšu darbību, kā arī ņemot vērā tieši saistītos MK lēmumus 2024. gada septembrī.</w:t>
            </w:r>
          </w:p>
        </w:tc>
      </w:tr>
      <w:tr w:rsidR="00830FA2" w:rsidRPr="00FD1578" w14:paraId="3ABDDA49" w14:textId="77777777" w:rsidTr="001D67A3">
        <w:trPr>
          <w:trHeight w:val="492"/>
        </w:trPr>
        <w:tc>
          <w:tcPr>
            <w:tcW w:w="14206" w:type="dxa"/>
            <w:gridSpan w:val="5"/>
            <w:tcBorders>
              <w:top w:val="nil"/>
              <w:left w:val="single" w:sz="8" w:space="0" w:color="auto"/>
              <w:bottom w:val="single" w:sz="8" w:space="0" w:color="auto"/>
              <w:right w:val="single" w:sz="8" w:space="0" w:color="000000"/>
            </w:tcBorders>
            <w:shd w:val="clear" w:color="auto" w:fill="auto"/>
            <w:noWrap/>
            <w:vAlign w:val="center"/>
            <w:hideMark/>
          </w:tcPr>
          <w:p w14:paraId="56028BE6" w14:textId="77777777" w:rsidR="00830FA2" w:rsidRPr="00FD1578" w:rsidRDefault="00830FA2" w:rsidP="008349F0">
            <w:pPr>
              <w:spacing w:after="0"/>
              <w:ind w:firstLine="0"/>
              <w:rPr>
                <w:rFonts w:eastAsia="Times New Roman" w:cs="Times New Roman"/>
                <w:color w:val="000000"/>
                <w:sz w:val="18"/>
                <w:szCs w:val="18"/>
              </w:rPr>
            </w:pPr>
            <w:r w:rsidRPr="00FD1578">
              <w:rPr>
                <w:rFonts w:eastAsia="Times New Roman" w:cs="Times New Roman"/>
                <w:color w:val="000000"/>
                <w:sz w:val="18"/>
                <w:szCs w:val="18"/>
              </w:rPr>
              <w:t xml:space="preserve">Vispārējās valdības budžeta pieklasificēto kapitālsabiedrību ietekme uz B.9 neto aizdevumiem (+)/neto aizņēmumiem (-), kas iekļauta vispārējās valdības budžeta prognozēs 2025. gadā ir -60 362 174 </w:t>
            </w:r>
            <w:proofErr w:type="spellStart"/>
            <w:r w:rsidRPr="00FD1578">
              <w:rPr>
                <w:rFonts w:eastAsia="Times New Roman" w:cs="Times New Roman"/>
                <w:i/>
                <w:iCs/>
                <w:color w:val="000000"/>
                <w:sz w:val="18"/>
                <w:szCs w:val="18"/>
              </w:rPr>
              <w:t>euro</w:t>
            </w:r>
            <w:proofErr w:type="spellEnd"/>
            <w:r w:rsidRPr="00FD1578">
              <w:rPr>
                <w:rFonts w:eastAsia="Times New Roman" w:cs="Times New Roman"/>
                <w:i/>
                <w:iCs/>
                <w:color w:val="000000"/>
                <w:sz w:val="18"/>
                <w:szCs w:val="18"/>
              </w:rPr>
              <w:t>.</w:t>
            </w:r>
          </w:p>
        </w:tc>
      </w:tr>
    </w:tbl>
    <w:p w14:paraId="206BF34B" w14:textId="77777777" w:rsidR="00830FA2" w:rsidRPr="00FD1578" w:rsidRDefault="00830FA2" w:rsidP="008349F0">
      <w:pPr>
        <w:widowControl w:val="0"/>
        <w:ind w:firstLine="0"/>
        <w:jc w:val="left"/>
        <w:rPr>
          <w:rFonts w:eastAsia="Times New Roman" w:cs="Times New Roman"/>
          <w:b/>
          <w:sz w:val="18"/>
          <w:szCs w:val="18"/>
        </w:rPr>
      </w:pPr>
    </w:p>
    <w:p w14:paraId="686156BD" w14:textId="77777777" w:rsidR="00830FA2" w:rsidRPr="00FD1578" w:rsidRDefault="00830FA2" w:rsidP="008349F0">
      <w:pPr>
        <w:widowControl w:val="0"/>
        <w:ind w:firstLine="0"/>
        <w:jc w:val="left"/>
        <w:rPr>
          <w:rFonts w:eastAsia="Times New Roman" w:cs="Times New Roman"/>
          <w:b/>
          <w:sz w:val="18"/>
          <w:szCs w:val="18"/>
        </w:rPr>
      </w:pPr>
    </w:p>
    <w:tbl>
      <w:tblPr>
        <w:tblW w:w="14206" w:type="dxa"/>
        <w:tblLook w:val="04A0" w:firstRow="1" w:lastRow="0" w:firstColumn="1" w:lastColumn="0" w:noHBand="0" w:noVBand="1"/>
      </w:tblPr>
      <w:tblGrid>
        <w:gridCol w:w="1187"/>
        <w:gridCol w:w="6600"/>
        <w:gridCol w:w="2121"/>
        <w:gridCol w:w="2121"/>
        <w:gridCol w:w="2177"/>
      </w:tblGrid>
      <w:tr w:rsidR="00830FA2" w:rsidRPr="00FD1578" w14:paraId="163320DD" w14:textId="77777777" w:rsidTr="00830FA2">
        <w:trPr>
          <w:trHeight w:val="324"/>
          <w:tblHeader/>
        </w:trPr>
        <w:tc>
          <w:tcPr>
            <w:tcW w:w="14206" w:type="dxa"/>
            <w:gridSpan w:val="5"/>
            <w:tcBorders>
              <w:top w:val="single" w:sz="8" w:space="0" w:color="auto"/>
              <w:left w:val="single" w:sz="8" w:space="0" w:color="auto"/>
              <w:bottom w:val="single" w:sz="8" w:space="0" w:color="auto"/>
              <w:right w:val="single" w:sz="8" w:space="0" w:color="000000"/>
            </w:tcBorders>
            <w:shd w:val="clear" w:color="000000" w:fill="9BC2E6"/>
            <w:noWrap/>
            <w:vAlign w:val="center"/>
            <w:hideMark/>
          </w:tcPr>
          <w:p w14:paraId="79499056" w14:textId="77777777" w:rsidR="00830FA2" w:rsidRPr="00FD1578" w:rsidRDefault="00830FA2" w:rsidP="008349F0">
            <w:pPr>
              <w:spacing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2026</w:t>
            </w:r>
          </w:p>
        </w:tc>
      </w:tr>
      <w:tr w:rsidR="00830FA2" w:rsidRPr="00FD1578" w14:paraId="0F25CAFC" w14:textId="77777777" w:rsidTr="00830FA2">
        <w:trPr>
          <w:trHeight w:val="745"/>
          <w:tblHeader/>
        </w:trPr>
        <w:tc>
          <w:tcPr>
            <w:tcW w:w="1187" w:type="dxa"/>
            <w:tcBorders>
              <w:top w:val="nil"/>
              <w:left w:val="single" w:sz="8" w:space="0" w:color="auto"/>
              <w:bottom w:val="single" w:sz="8" w:space="0" w:color="auto"/>
              <w:right w:val="single" w:sz="8" w:space="0" w:color="auto"/>
            </w:tcBorders>
            <w:shd w:val="clear" w:color="000000" w:fill="BDD7EE"/>
            <w:noWrap/>
            <w:vAlign w:val="center"/>
            <w:hideMark/>
          </w:tcPr>
          <w:p w14:paraId="42808E3C" w14:textId="77777777" w:rsidR="00830FA2" w:rsidRPr="00FD1578" w:rsidRDefault="00830FA2" w:rsidP="008349F0">
            <w:pPr>
              <w:spacing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N.p.k</w:t>
            </w:r>
            <w:proofErr w:type="spellEnd"/>
            <w:r w:rsidRPr="00FD1578">
              <w:rPr>
                <w:rFonts w:eastAsia="Times New Roman" w:cs="Times New Roman"/>
                <w:color w:val="000000"/>
                <w:sz w:val="18"/>
                <w:szCs w:val="18"/>
              </w:rPr>
              <w:t>.</w:t>
            </w:r>
          </w:p>
        </w:tc>
        <w:tc>
          <w:tcPr>
            <w:tcW w:w="6600" w:type="dxa"/>
            <w:tcBorders>
              <w:top w:val="nil"/>
              <w:left w:val="nil"/>
              <w:bottom w:val="single" w:sz="8" w:space="0" w:color="auto"/>
              <w:right w:val="single" w:sz="8" w:space="0" w:color="auto"/>
            </w:tcBorders>
            <w:shd w:val="clear" w:color="000000" w:fill="BDD7EE"/>
            <w:noWrap/>
            <w:vAlign w:val="center"/>
            <w:hideMark/>
          </w:tcPr>
          <w:p w14:paraId="58DD665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BDD7EE"/>
            <w:vAlign w:val="center"/>
            <w:hideMark/>
          </w:tcPr>
          <w:p w14:paraId="40AD046E"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 xml:space="preserve">Ieņēmumi, </w:t>
            </w:r>
            <w:proofErr w:type="spellStart"/>
            <w:r w:rsidRPr="00FD1578">
              <w:rPr>
                <w:rFonts w:eastAsia="Times New Roman" w:cs="Times New Roman"/>
                <w:i/>
                <w:iCs/>
                <w:color w:val="000000"/>
                <w:sz w:val="18"/>
                <w:szCs w:val="18"/>
              </w:rPr>
              <w:t>euro</w:t>
            </w:r>
            <w:proofErr w:type="spellEnd"/>
          </w:p>
        </w:tc>
        <w:tc>
          <w:tcPr>
            <w:tcW w:w="2121" w:type="dxa"/>
            <w:tcBorders>
              <w:top w:val="nil"/>
              <w:left w:val="nil"/>
              <w:bottom w:val="single" w:sz="8" w:space="0" w:color="auto"/>
              <w:right w:val="single" w:sz="8" w:space="0" w:color="auto"/>
            </w:tcBorders>
            <w:shd w:val="clear" w:color="000000" w:fill="BDD7EE"/>
            <w:vAlign w:val="center"/>
            <w:hideMark/>
          </w:tcPr>
          <w:p w14:paraId="488FD976"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 xml:space="preserve">Izdevumi, </w:t>
            </w:r>
            <w:proofErr w:type="spellStart"/>
            <w:r w:rsidRPr="00FD1578">
              <w:rPr>
                <w:rFonts w:eastAsia="Times New Roman" w:cs="Times New Roman"/>
                <w:i/>
                <w:iCs/>
                <w:color w:val="000000"/>
                <w:sz w:val="18"/>
                <w:szCs w:val="18"/>
              </w:rPr>
              <w:t>euro</w:t>
            </w:r>
            <w:proofErr w:type="spellEnd"/>
          </w:p>
        </w:tc>
        <w:tc>
          <w:tcPr>
            <w:tcW w:w="2177" w:type="dxa"/>
            <w:tcBorders>
              <w:top w:val="nil"/>
              <w:left w:val="nil"/>
              <w:bottom w:val="single" w:sz="8" w:space="0" w:color="auto"/>
              <w:right w:val="single" w:sz="8" w:space="0" w:color="auto"/>
            </w:tcBorders>
            <w:shd w:val="clear" w:color="000000" w:fill="BDD7EE"/>
            <w:vAlign w:val="center"/>
            <w:hideMark/>
          </w:tcPr>
          <w:p w14:paraId="5196541D"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Ietekme uz B.9 neto aizdevumiem (+)/neto aizņēmumiem (-),</w:t>
            </w:r>
            <w:proofErr w:type="spellStart"/>
            <w:r w:rsidRPr="00FD1578">
              <w:rPr>
                <w:rFonts w:eastAsia="Times New Roman" w:cs="Times New Roman"/>
                <w:i/>
                <w:iCs/>
                <w:color w:val="000000"/>
                <w:sz w:val="18"/>
                <w:szCs w:val="18"/>
              </w:rPr>
              <w:t>euro</w:t>
            </w:r>
            <w:proofErr w:type="spellEnd"/>
          </w:p>
        </w:tc>
      </w:tr>
      <w:tr w:rsidR="00830FA2" w:rsidRPr="00FD1578" w14:paraId="30238BDC" w14:textId="77777777" w:rsidTr="001D67A3">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37E8CEF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S130130</w:t>
            </w:r>
          </w:p>
        </w:tc>
        <w:tc>
          <w:tcPr>
            <w:tcW w:w="6600" w:type="dxa"/>
            <w:tcBorders>
              <w:top w:val="nil"/>
              <w:left w:val="nil"/>
              <w:bottom w:val="single" w:sz="8" w:space="0" w:color="auto"/>
              <w:right w:val="single" w:sz="8" w:space="0" w:color="auto"/>
            </w:tcBorders>
            <w:shd w:val="clear" w:color="000000" w:fill="DDEBF7"/>
            <w:noWrap/>
            <w:vAlign w:val="center"/>
            <w:hideMark/>
          </w:tcPr>
          <w:p w14:paraId="79595E2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Valsts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747EF33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45462D9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30510B1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r>
      <w:tr w:rsidR="00830FA2" w:rsidRPr="00FD1578" w14:paraId="604BC56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EB93F3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w:t>
            </w:r>
          </w:p>
        </w:tc>
        <w:tc>
          <w:tcPr>
            <w:tcW w:w="6600" w:type="dxa"/>
            <w:tcBorders>
              <w:top w:val="nil"/>
              <w:left w:val="nil"/>
              <w:bottom w:val="single" w:sz="8" w:space="0" w:color="auto"/>
              <w:right w:val="single" w:sz="8" w:space="0" w:color="auto"/>
            </w:tcBorders>
            <w:shd w:val="clear" w:color="auto" w:fill="auto"/>
            <w:noWrap/>
            <w:hideMark/>
          </w:tcPr>
          <w:p w14:paraId="03BB78C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"Bērnu psihoneiroloģiskā slimnīca "Ainaži""</w:t>
            </w:r>
          </w:p>
        </w:tc>
        <w:tc>
          <w:tcPr>
            <w:tcW w:w="2121" w:type="dxa"/>
            <w:tcBorders>
              <w:top w:val="nil"/>
              <w:left w:val="nil"/>
              <w:bottom w:val="single" w:sz="8" w:space="0" w:color="auto"/>
              <w:right w:val="single" w:sz="8" w:space="0" w:color="auto"/>
            </w:tcBorders>
            <w:shd w:val="clear" w:color="auto" w:fill="auto"/>
            <w:noWrap/>
            <w:hideMark/>
          </w:tcPr>
          <w:p w14:paraId="4A15229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2 172 000</w:t>
            </w:r>
          </w:p>
        </w:tc>
        <w:tc>
          <w:tcPr>
            <w:tcW w:w="2121" w:type="dxa"/>
            <w:tcBorders>
              <w:top w:val="nil"/>
              <w:left w:val="nil"/>
              <w:bottom w:val="single" w:sz="8" w:space="0" w:color="auto"/>
              <w:right w:val="single" w:sz="8" w:space="0" w:color="auto"/>
            </w:tcBorders>
            <w:shd w:val="clear" w:color="auto" w:fill="auto"/>
            <w:noWrap/>
            <w:hideMark/>
          </w:tcPr>
          <w:p w14:paraId="27DBD7F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2 141 793</w:t>
            </w:r>
          </w:p>
        </w:tc>
        <w:tc>
          <w:tcPr>
            <w:tcW w:w="2177" w:type="dxa"/>
            <w:tcBorders>
              <w:top w:val="nil"/>
              <w:left w:val="nil"/>
              <w:bottom w:val="single" w:sz="8" w:space="0" w:color="auto"/>
              <w:right w:val="single" w:sz="8" w:space="0" w:color="auto"/>
            </w:tcBorders>
            <w:shd w:val="clear" w:color="auto" w:fill="auto"/>
            <w:noWrap/>
            <w:hideMark/>
          </w:tcPr>
          <w:p w14:paraId="37F8D68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30 207</w:t>
            </w:r>
          </w:p>
        </w:tc>
      </w:tr>
      <w:tr w:rsidR="00830FA2" w:rsidRPr="00FD1578" w14:paraId="5344F44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5E1B72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w:t>
            </w:r>
          </w:p>
        </w:tc>
        <w:tc>
          <w:tcPr>
            <w:tcW w:w="6600" w:type="dxa"/>
            <w:tcBorders>
              <w:top w:val="nil"/>
              <w:left w:val="nil"/>
              <w:bottom w:val="single" w:sz="8" w:space="0" w:color="auto"/>
              <w:right w:val="single" w:sz="8" w:space="0" w:color="auto"/>
            </w:tcBorders>
            <w:shd w:val="clear" w:color="auto" w:fill="auto"/>
            <w:noWrap/>
            <w:hideMark/>
          </w:tcPr>
          <w:p w14:paraId="4F3BEA6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Nodibinājums "Akadēmiskās informācijas centrs"</w:t>
            </w:r>
          </w:p>
        </w:tc>
        <w:tc>
          <w:tcPr>
            <w:tcW w:w="2121" w:type="dxa"/>
            <w:tcBorders>
              <w:top w:val="nil"/>
              <w:left w:val="nil"/>
              <w:bottom w:val="single" w:sz="8" w:space="0" w:color="auto"/>
              <w:right w:val="single" w:sz="8" w:space="0" w:color="auto"/>
            </w:tcBorders>
            <w:shd w:val="clear" w:color="auto" w:fill="auto"/>
            <w:noWrap/>
            <w:hideMark/>
          </w:tcPr>
          <w:p w14:paraId="489C0A5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241 000</w:t>
            </w:r>
          </w:p>
        </w:tc>
        <w:tc>
          <w:tcPr>
            <w:tcW w:w="2121" w:type="dxa"/>
            <w:tcBorders>
              <w:top w:val="nil"/>
              <w:left w:val="nil"/>
              <w:bottom w:val="single" w:sz="8" w:space="0" w:color="auto"/>
              <w:right w:val="single" w:sz="8" w:space="0" w:color="auto"/>
            </w:tcBorders>
            <w:shd w:val="clear" w:color="auto" w:fill="auto"/>
            <w:noWrap/>
            <w:hideMark/>
          </w:tcPr>
          <w:p w14:paraId="2546A4A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1 943 801</w:t>
            </w:r>
          </w:p>
        </w:tc>
        <w:tc>
          <w:tcPr>
            <w:tcW w:w="2177" w:type="dxa"/>
            <w:tcBorders>
              <w:top w:val="nil"/>
              <w:left w:val="nil"/>
              <w:bottom w:val="single" w:sz="8" w:space="0" w:color="auto"/>
              <w:right w:val="single" w:sz="8" w:space="0" w:color="auto"/>
            </w:tcBorders>
            <w:shd w:val="clear" w:color="auto" w:fill="auto"/>
            <w:noWrap/>
            <w:hideMark/>
          </w:tcPr>
          <w:p w14:paraId="2227286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-1 702 801</w:t>
            </w:r>
          </w:p>
        </w:tc>
      </w:tr>
      <w:tr w:rsidR="00830FA2" w:rsidRPr="00FD1578" w14:paraId="00EA903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75CC00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w:t>
            </w:r>
          </w:p>
        </w:tc>
        <w:tc>
          <w:tcPr>
            <w:tcW w:w="6600" w:type="dxa"/>
            <w:tcBorders>
              <w:top w:val="nil"/>
              <w:left w:val="nil"/>
              <w:bottom w:val="single" w:sz="8" w:space="0" w:color="auto"/>
              <w:right w:val="single" w:sz="8" w:space="0" w:color="auto"/>
            </w:tcBorders>
            <w:shd w:val="clear" w:color="auto" w:fill="auto"/>
            <w:noWrap/>
            <w:hideMark/>
          </w:tcPr>
          <w:p w14:paraId="5C3FC42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"Autotransporta direkcija"</w:t>
            </w:r>
          </w:p>
        </w:tc>
        <w:tc>
          <w:tcPr>
            <w:tcW w:w="2121" w:type="dxa"/>
            <w:tcBorders>
              <w:top w:val="nil"/>
              <w:left w:val="nil"/>
              <w:bottom w:val="single" w:sz="8" w:space="0" w:color="auto"/>
              <w:right w:val="single" w:sz="8" w:space="0" w:color="auto"/>
            </w:tcBorders>
            <w:shd w:val="clear" w:color="auto" w:fill="auto"/>
            <w:noWrap/>
            <w:hideMark/>
          </w:tcPr>
          <w:p w14:paraId="1553FBE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3 888 844</w:t>
            </w:r>
          </w:p>
        </w:tc>
        <w:tc>
          <w:tcPr>
            <w:tcW w:w="2121" w:type="dxa"/>
            <w:tcBorders>
              <w:top w:val="nil"/>
              <w:left w:val="nil"/>
              <w:bottom w:val="single" w:sz="8" w:space="0" w:color="auto"/>
              <w:right w:val="single" w:sz="8" w:space="0" w:color="auto"/>
            </w:tcBorders>
            <w:shd w:val="clear" w:color="auto" w:fill="auto"/>
            <w:noWrap/>
            <w:hideMark/>
          </w:tcPr>
          <w:p w14:paraId="51F4C06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3 948 328</w:t>
            </w:r>
          </w:p>
        </w:tc>
        <w:tc>
          <w:tcPr>
            <w:tcW w:w="2177" w:type="dxa"/>
            <w:tcBorders>
              <w:top w:val="nil"/>
              <w:left w:val="nil"/>
              <w:bottom w:val="single" w:sz="8" w:space="0" w:color="auto"/>
              <w:right w:val="single" w:sz="8" w:space="0" w:color="auto"/>
            </w:tcBorders>
            <w:shd w:val="clear" w:color="auto" w:fill="auto"/>
            <w:noWrap/>
            <w:hideMark/>
          </w:tcPr>
          <w:p w14:paraId="35866C0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-59 484</w:t>
            </w:r>
          </w:p>
        </w:tc>
      </w:tr>
      <w:tr w:rsidR="00830FA2" w:rsidRPr="00FD1578" w14:paraId="391A857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1AAB79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w:t>
            </w:r>
          </w:p>
        </w:tc>
        <w:tc>
          <w:tcPr>
            <w:tcW w:w="6600" w:type="dxa"/>
            <w:tcBorders>
              <w:top w:val="nil"/>
              <w:left w:val="nil"/>
              <w:bottom w:val="single" w:sz="8" w:space="0" w:color="auto"/>
              <w:right w:val="single" w:sz="8" w:space="0" w:color="auto"/>
            </w:tcBorders>
            <w:shd w:val="clear" w:color="auto" w:fill="auto"/>
            <w:noWrap/>
            <w:hideMark/>
          </w:tcPr>
          <w:p w14:paraId="4D51E52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"Bērnu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59D0476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83 633 253</w:t>
            </w:r>
          </w:p>
        </w:tc>
        <w:tc>
          <w:tcPr>
            <w:tcW w:w="2121" w:type="dxa"/>
            <w:tcBorders>
              <w:top w:val="nil"/>
              <w:left w:val="nil"/>
              <w:bottom w:val="single" w:sz="8" w:space="0" w:color="auto"/>
              <w:right w:val="single" w:sz="8" w:space="0" w:color="auto"/>
            </w:tcBorders>
            <w:shd w:val="clear" w:color="auto" w:fill="auto"/>
            <w:noWrap/>
            <w:hideMark/>
          </w:tcPr>
          <w:p w14:paraId="264F420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80 486 684</w:t>
            </w:r>
          </w:p>
        </w:tc>
        <w:tc>
          <w:tcPr>
            <w:tcW w:w="2177" w:type="dxa"/>
            <w:tcBorders>
              <w:top w:val="nil"/>
              <w:left w:val="nil"/>
              <w:bottom w:val="single" w:sz="8" w:space="0" w:color="auto"/>
              <w:right w:val="single" w:sz="8" w:space="0" w:color="auto"/>
            </w:tcBorders>
            <w:shd w:val="clear" w:color="auto" w:fill="auto"/>
            <w:noWrap/>
            <w:hideMark/>
          </w:tcPr>
          <w:p w14:paraId="49A4248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3 146 569</w:t>
            </w:r>
          </w:p>
        </w:tc>
      </w:tr>
      <w:tr w:rsidR="00830FA2" w:rsidRPr="00FD1578" w14:paraId="1632653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98017E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w:t>
            </w:r>
          </w:p>
        </w:tc>
        <w:tc>
          <w:tcPr>
            <w:tcW w:w="6600" w:type="dxa"/>
            <w:tcBorders>
              <w:top w:val="nil"/>
              <w:left w:val="nil"/>
              <w:bottom w:val="single" w:sz="8" w:space="0" w:color="auto"/>
              <w:right w:val="single" w:sz="8" w:space="0" w:color="auto"/>
            </w:tcBorders>
            <w:shd w:val="clear" w:color="auto" w:fill="auto"/>
            <w:noWrap/>
            <w:hideMark/>
          </w:tcPr>
          <w:p w14:paraId="5222C12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"Veselības centrs "Biķernieki""</w:t>
            </w:r>
          </w:p>
        </w:tc>
        <w:tc>
          <w:tcPr>
            <w:tcW w:w="2121" w:type="dxa"/>
            <w:tcBorders>
              <w:top w:val="nil"/>
              <w:left w:val="nil"/>
              <w:bottom w:val="single" w:sz="8" w:space="0" w:color="auto"/>
              <w:right w:val="single" w:sz="8" w:space="0" w:color="auto"/>
            </w:tcBorders>
            <w:shd w:val="clear" w:color="auto" w:fill="auto"/>
            <w:noWrap/>
            <w:hideMark/>
          </w:tcPr>
          <w:p w14:paraId="1A59D2A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3 535 740</w:t>
            </w:r>
          </w:p>
        </w:tc>
        <w:tc>
          <w:tcPr>
            <w:tcW w:w="2121" w:type="dxa"/>
            <w:tcBorders>
              <w:top w:val="nil"/>
              <w:left w:val="nil"/>
              <w:bottom w:val="single" w:sz="8" w:space="0" w:color="auto"/>
              <w:right w:val="single" w:sz="8" w:space="0" w:color="auto"/>
            </w:tcBorders>
            <w:shd w:val="clear" w:color="auto" w:fill="auto"/>
            <w:noWrap/>
            <w:hideMark/>
          </w:tcPr>
          <w:p w14:paraId="02F2714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3 527 806</w:t>
            </w:r>
          </w:p>
        </w:tc>
        <w:tc>
          <w:tcPr>
            <w:tcW w:w="2177" w:type="dxa"/>
            <w:tcBorders>
              <w:top w:val="nil"/>
              <w:left w:val="nil"/>
              <w:bottom w:val="single" w:sz="8" w:space="0" w:color="auto"/>
              <w:right w:val="single" w:sz="8" w:space="0" w:color="auto"/>
            </w:tcBorders>
            <w:shd w:val="clear" w:color="auto" w:fill="auto"/>
            <w:noWrap/>
            <w:hideMark/>
          </w:tcPr>
          <w:p w14:paraId="29F0CE9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7 934</w:t>
            </w:r>
          </w:p>
        </w:tc>
      </w:tr>
      <w:tr w:rsidR="00830FA2" w:rsidRPr="00FD1578" w14:paraId="0B9F703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66241E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w:t>
            </w:r>
          </w:p>
        </w:tc>
        <w:tc>
          <w:tcPr>
            <w:tcW w:w="6600" w:type="dxa"/>
            <w:tcBorders>
              <w:top w:val="nil"/>
              <w:left w:val="nil"/>
              <w:bottom w:val="single" w:sz="8" w:space="0" w:color="auto"/>
              <w:right w:val="single" w:sz="8" w:space="0" w:color="auto"/>
            </w:tcBorders>
            <w:shd w:val="clear" w:color="auto" w:fill="auto"/>
            <w:noWrap/>
            <w:hideMark/>
          </w:tcPr>
          <w:p w14:paraId="228720F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"Bulduru Dārzkopības vidusskola"</w:t>
            </w:r>
          </w:p>
        </w:tc>
        <w:tc>
          <w:tcPr>
            <w:tcW w:w="2121" w:type="dxa"/>
            <w:tcBorders>
              <w:top w:val="nil"/>
              <w:left w:val="nil"/>
              <w:bottom w:val="single" w:sz="8" w:space="0" w:color="auto"/>
              <w:right w:val="single" w:sz="8" w:space="0" w:color="auto"/>
            </w:tcBorders>
            <w:shd w:val="clear" w:color="auto" w:fill="auto"/>
            <w:noWrap/>
            <w:hideMark/>
          </w:tcPr>
          <w:p w14:paraId="3508B31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845 000</w:t>
            </w:r>
          </w:p>
        </w:tc>
        <w:tc>
          <w:tcPr>
            <w:tcW w:w="2121" w:type="dxa"/>
            <w:tcBorders>
              <w:top w:val="nil"/>
              <w:left w:val="nil"/>
              <w:bottom w:val="single" w:sz="8" w:space="0" w:color="auto"/>
              <w:right w:val="single" w:sz="8" w:space="0" w:color="auto"/>
            </w:tcBorders>
            <w:shd w:val="clear" w:color="auto" w:fill="auto"/>
            <w:noWrap/>
            <w:hideMark/>
          </w:tcPr>
          <w:p w14:paraId="29CA7F6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957 500</w:t>
            </w:r>
          </w:p>
        </w:tc>
        <w:tc>
          <w:tcPr>
            <w:tcW w:w="2177" w:type="dxa"/>
            <w:tcBorders>
              <w:top w:val="nil"/>
              <w:left w:val="nil"/>
              <w:bottom w:val="single" w:sz="8" w:space="0" w:color="auto"/>
              <w:right w:val="single" w:sz="8" w:space="0" w:color="auto"/>
            </w:tcBorders>
            <w:shd w:val="clear" w:color="auto" w:fill="auto"/>
            <w:noWrap/>
            <w:hideMark/>
          </w:tcPr>
          <w:p w14:paraId="5885447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-112 500</w:t>
            </w:r>
          </w:p>
        </w:tc>
      </w:tr>
      <w:tr w:rsidR="00830FA2" w:rsidRPr="00FD1578" w14:paraId="35A0A06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EA13E5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w:t>
            </w:r>
          </w:p>
        </w:tc>
        <w:tc>
          <w:tcPr>
            <w:tcW w:w="6600" w:type="dxa"/>
            <w:tcBorders>
              <w:top w:val="nil"/>
              <w:left w:val="nil"/>
              <w:bottom w:val="single" w:sz="8" w:space="0" w:color="auto"/>
              <w:right w:val="single" w:sz="8" w:space="0" w:color="auto"/>
            </w:tcBorders>
            <w:shd w:val="clear" w:color="auto" w:fill="auto"/>
            <w:noWrap/>
            <w:hideMark/>
          </w:tcPr>
          <w:p w14:paraId="0AE2085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VAS "Ceļu satiksmes drošības direkcija"</w:t>
            </w:r>
          </w:p>
        </w:tc>
        <w:tc>
          <w:tcPr>
            <w:tcW w:w="2121" w:type="dxa"/>
            <w:tcBorders>
              <w:top w:val="nil"/>
              <w:left w:val="nil"/>
              <w:bottom w:val="single" w:sz="8" w:space="0" w:color="auto"/>
              <w:right w:val="single" w:sz="8" w:space="0" w:color="auto"/>
            </w:tcBorders>
            <w:shd w:val="clear" w:color="auto" w:fill="auto"/>
            <w:noWrap/>
            <w:hideMark/>
          </w:tcPr>
          <w:p w14:paraId="1C67D9C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64 816 652</w:t>
            </w:r>
          </w:p>
        </w:tc>
        <w:tc>
          <w:tcPr>
            <w:tcW w:w="2121" w:type="dxa"/>
            <w:tcBorders>
              <w:top w:val="nil"/>
              <w:left w:val="nil"/>
              <w:bottom w:val="single" w:sz="8" w:space="0" w:color="auto"/>
              <w:right w:val="single" w:sz="8" w:space="0" w:color="auto"/>
            </w:tcBorders>
            <w:shd w:val="clear" w:color="auto" w:fill="auto"/>
            <w:noWrap/>
            <w:hideMark/>
          </w:tcPr>
          <w:p w14:paraId="571AD37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63 523 117</w:t>
            </w:r>
          </w:p>
        </w:tc>
        <w:tc>
          <w:tcPr>
            <w:tcW w:w="2177" w:type="dxa"/>
            <w:tcBorders>
              <w:top w:val="nil"/>
              <w:left w:val="nil"/>
              <w:bottom w:val="single" w:sz="8" w:space="0" w:color="auto"/>
              <w:right w:val="single" w:sz="8" w:space="0" w:color="auto"/>
            </w:tcBorders>
            <w:shd w:val="clear" w:color="auto" w:fill="auto"/>
            <w:noWrap/>
            <w:hideMark/>
          </w:tcPr>
          <w:p w14:paraId="3B2FD8E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1 293 535</w:t>
            </w:r>
          </w:p>
        </w:tc>
      </w:tr>
      <w:tr w:rsidR="00830FA2" w:rsidRPr="00FD1578" w14:paraId="32E3CF0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E36A01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w:t>
            </w:r>
          </w:p>
        </w:tc>
        <w:tc>
          <w:tcPr>
            <w:tcW w:w="6600" w:type="dxa"/>
            <w:tcBorders>
              <w:top w:val="nil"/>
              <w:left w:val="nil"/>
              <w:bottom w:val="single" w:sz="8" w:space="0" w:color="auto"/>
              <w:right w:val="single" w:sz="8" w:space="0" w:color="auto"/>
            </w:tcBorders>
            <w:shd w:val="clear" w:color="auto" w:fill="auto"/>
            <w:noWrap/>
            <w:hideMark/>
          </w:tcPr>
          <w:p w14:paraId="40A8FBF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"Daugavpils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2DD7B3D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27 618 273</w:t>
            </w:r>
          </w:p>
        </w:tc>
        <w:tc>
          <w:tcPr>
            <w:tcW w:w="2121" w:type="dxa"/>
            <w:tcBorders>
              <w:top w:val="nil"/>
              <w:left w:val="nil"/>
              <w:bottom w:val="single" w:sz="8" w:space="0" w:color="auto"/>
              <w:right w:val="single" w:sz="8" w:space="0" w:color="auto"/>
            </w:tcBorders>
            <w:shd w:val="clear" w:color="auto" w:fill="auto"/>
            <w:noWrap/>
            <w:hideMark/>
          </w:tcPr>
          <w:p w14:paraId="4719EE0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27 850 609</w:t>
            </w:r>
          </w:p>
        </w:tc>
        <w:tc>
          <w:tcPr>
            <w:tcW w:w="2177" w:type="dxa"/>
            <w:tcBorders>
              <w:top w:val="nil"/>
              <w:left w:val="nil"/>
              <w:bottom w:val="single" w:sz="8" w:space="0" w:color="auto"/>
              <w:right w:val="single" w:sz="8" w:space="0" w:color="auto"/>
            </w:tcBorders>
            <w:shd w:val="clear" w:color="auto" w:fill="auto"/>
            <w:noWrap/>
            <w:hideMark/>
          </w:tcPr>
          <w:p w14:paraId="48CE717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-232 336</w:t>
            </w:r>
          </w:p>
        </w:tc>
      </w:tr>
      <w:tr w:rsidR="00830FA2" w:rsidRPr="00FD1578" w14:paraId="5DBAED1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88A0F7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w:t>
            </w:r>
          </w:p>
        </w:tc>
        <w:tc>
          <w:tcPr>
            <w:tcW w:w="6600" w:type="dxa"/>
            <w:tcBorders>
              <w:top w:val="nil"/>
              <w:left w:val="nil"/>
              <w:bottom w:val="single" w:sz="8" w:space="0" w:color="auto"/>
              <w:right w:val="single" w:sz="8" w:space="0" w:color="auto"/>
            </w:tcBorders>
            <w:shd w:val="clear" w:color="auto" w:fill="auto"/>
            <w:noWrap/>
            <w:hideMark/>
          </w:tcPr>
          <w:p w14:paraId="1381275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"Daugavpils teātris"</w:t>
            </w:r>
          </w:p>
        </w:tc>
        <w:tc>
          <w:tcPr>
            <w:tcW w:w="2121" w:type="dxa"/>
            <w:tcBorders>
              <w:top w:val="nil"/>
              <w:left w:val="nil"/>
              <w:bottom w:val="single" w:sz="8" w:space="0" w:color="auto"/>
              <w:right w:val="single" w:sz="8" w:space="0" w:color="auto"/>
            </w:tcBorders>
            <w:shd w:val="clear" w:color="auto" w:fill="auto"/>
            <w:noWrap/>
            <w:hideMark/>
          </w:tcPr>
          <w:p w14:paraId="5CCF3B4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2 923 986</w:t>
            </w:r>
          </w:p>
        </w:tc>
        <w:tc>
          <w:tcPr>
            <w:tcW w:w="2121" w:type="dxa"/>
            <w:tcBorders>
              <w:top w:val="nil"/>
              <w:left w:val="nil"/>
              <w:bottom w:val="single" w:sz="8" w:space="0" w:color="auto"/>
              <w:right w:val="single" w:sz="8" w:space="0" w:color="auto"/>
            </w:tcBorders>
            <w:shd w:val="clear" w:color="auto" w:fill="auto"/>
            <w:noWrap/>
            <w:hideMark/>
          </w:tcPr>
          <w:p w14:paraId="1520EFC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2 923 186</w:t>
            </w:r>
          </w:p>
        </w:tc>
        <w:tc>
          <w:tcPr>
            <w:tcW w:w="2177" w:type="dxa"/>
            <w:tcBorders>
              <w:top w:val="nil"/>
              <w:left w:val="nil"/>
              <w:bottom w:val="single" w:sz="8" w:space="0" w:color="auto"/>
              <w:right w:val="single" w:sz="8" w:space="0" w:color="auto"/>
            </w:tcBorders>
            <w:shd w:val="clear" w:color="auto" w:fill="auto"/>
            <w:noWrap/>
            <w:hideMark/>
          </w:tcPr>
          <w:p w14:paraId="2B9A690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800</w:t>
            </w:r>
          </w:p>
        </w:tc>
      </w:tr>
      <w:tr w:rsidR="00830FA2" w:rsidRPr="00FD1578" w14:paraId="09A1B6A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7260E6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w:t>
            </w:r>
          </w:p>
        </w:tc>
        <w:tc>
          <w:tcPr>
            <w:tcW w:w="6600" w:type="dxa"/>
            <w:tcBorders>
              <w:top w:val="nil"/>
              <w:left w:val="nil"/>
              <w:bottom w:val="single" w:sz="8" w:space="0" w:color="auto"/>
              <w:right w:val="single" w:sz="8" w:space="0" w:color="auto"/>
            </w:tcBorders>
            <w:shd w:val="clear" w:color="auto" w:fill="auto"/>
            <w:noWrap/>
            <w:hideMark/>
          </w:tcPr>
          <w:p w14:paraId="3A04569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"Eiropas Dzelzceļa līnijas"</w:t>
            </w:r>
          </w:p>
        </w:tc>
        <w:tc>
          <w:tcPr>
            <w:tcW w:w="2121" w:type="dxa"/>
            <w:tcBorders>
              <w:top w:val="nil"/>
              <w:left w:val="nil"/>
              <w:bottom w:val="single" w:sz="8" w:space="0" w:color="auto"/>
              <w:right w:val="single" w:sz="8" w:space="0" w:color="auto"/>
            </w:tcBorders>
            <w:shd w:val="clear" w:color="auto" w:fill="auto"/>
            <w:noWrap/>
            <w:hideMark/>
          </w:tcPr>
          <w:p w14:paraId="537AEDB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2DFF7AC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3D15D53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11BBB42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BE8574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w:t>
            </w:r>
          </w:p>
        </w:tc>
        <w:tc>
          <w:tcPr>
            <w:tcW w:w="6600" w:type="dxa"/>
            <w:tcBorders>
              <w:top w:val="nil"/>
              <w:left w:val="nil"/>
              <w:bottom w:val="single" w:sz="8" w:space="0" w:color="auto"/>
              <w:right w:val="single" w:sz="8" w:space="0" w:color="auto"/>
            </w:tcBorders>
            <w:shd w:val="clear" w:color="auto" w:fill="auto"/>
            <w:noWrap/>
            <w:hideMark/>
          </w:tcPr>
          <w:p w14:paraId="3B68B38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"Enerģijas publiskais tirgotājs"</w:t>
            </w:r>
          </w:p>
        </w:tc>
        <w:tc>
          <w:tcPr>
            <w:tcW w:w="2121" w:type="dxa"/>
            <w:tcBorders>
              <w:top w:val="nil"/>
              <w:left w:val="nil"/>
              <w:bottom w:val="single" w:sz="8" w:space="0" w:color="auto"/>
              <w:right w:val="single" w:sz="8" w:space="0" w:color="auto"/>
            </w:tcBorders>
            <w:shd w:val="clear" w:color="auto" w:fill="auto"/>
            <w:noWrap/>
            <w:hideMark/>
          </w:tcPr>
          <w:p w14:paraId="3ABD1EF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30 239 965</w:t>
            </w:r>
          </w:p>
        </w:tc>
        <w:tc>
          <w:tcPr>
            <w:tcW w:w="2121" w:type="dxa"/>
            <w:tcBorders>
              <w:top w:val="nil"/>
              <w:left w:val="nil"/>
              <w:bottom w:val="single" w:sz="8" w:space="0" w:color="auto"/>
              <w:right w:val="single" w:sz="8" w:space="0" w:color="auto"/>
            </w:tcBorders>
            <w:shd w:val="clear" w:color="auto" w:fill="auto"/>
            <w:noWrap/>
            <w:hideMark/>
          </w:tcPr>
          <w:p w14:paraId="045A7F9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71 609 610</w:t>
            </w:r>
          </w:p>
        </w:tc>
        <w:tc>
          <w:tcPr>
            <w:tcW w:w="2177" w:type="dxa"/>
            <w:tcBorders>
              <w:top w:val="nil"/>
              <w:left w:val="nil"/>
              <w:bottom w:val="single" w:sz="8" w:space="0" w:color="auto"/>
              <w:right w:val="single" w:sz="8" w:space="0" w:color="auto"/>
            </w:tcBorders>
            <w:shd w:val="clear" w:color="auto" w:fill="auto"/>
            <w:noWrap/>
            <w:hideMark/>
          </w:tcPr>
          <w:p w14:paraId="1EDCA53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-41 369 645</w:t>
            </w:r>
          </w:p>
        </w:tc>
      </w:tr>
      <w:tr w:rsidR="00830FA2" w:rsidRPr="00FD1578" w14:paraId="59BC25F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8FC2A3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12</w:t>
            </w:r>
          </w:p>
        </w:tc>
        <w:tc>
          <w:tcPr>
            <w:tcW w:w="6600" w:type="dxa"/>
            <w:tcBorders>
              <w:top w:val="nil"/>
              <w:left w:val="nil"/>
              <w:bottom w:val="single" w:sz="8" w:space="0" w:color="auto"/>
              <w:right w:val="single" w:sz="8" w:space="0" w:color="auto"/>
            </w:tcBorders>
            <w:shd w:val="clear" w:color="auto" w:fill="auto"/>
            <w:noWrap/>
            <w:hideMark/>
          </w:tcPr>
          <w:p w14:paraId="2CEB7FB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FeLM</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618EF76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44B7050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3C490E7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54A55F1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20A87C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w:t>
            </w:r>
          </w:p>
        </w:tc>
        <w:tc>
          <w:tcPr>
            <w:tcW w:w="6600" w:type="dxa"/>
            <w:tcBorders>
              <w:top w:val="nil"/>
              <w:left w:val="nil"/>
              <w:bottom w:val="single" w:sz="8" w:space="0" w:color="auto"/>
              <w:right w:val="single" w:sz="8" w:space="0" w:color="auto"/>
            </w:tcBorders>
            <w:shd w:val="clear" w:color="auto" w:fill="auto"/>
            <w:hideMark/>
          </w:tcPr>
          <w:p w14:paraId="09076C2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"Slimnīca "</w:t>
            </w:r>
            <w:proofErr w:type="spellStart"/>
            <w:r w:rsidRPr="00FD1578">
              <w:rPr>
                <w:rFonts w:eastAsia="Calibri" w:cs="Times New Roman"/>
                <w:sz w:val="18"/>
                <w:szCs w:val="18"/>
                <w:lang w:eastAsia="en-US"/>
              </w:rPr>
              <w:t>Ģintermuiža</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7CCC067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13 673 613</w:t>
            </w:r>
          </w:p>
        </w:tc>
        <w:tc>
          <w:tcPr>
            <w:tcW w:w="2121" w:type="dxa"/>
            <w:tcBorders>
              <w:top w:val="nil"/>
              <w:left w:val="nil"/>
              <w:bottom w:val="single" w:sz="8" w:space="0" w:color="auto"/>
              <w:right w:val="single" w:sz="8" w:space="0" w:color="auto"/>
            </w:tcBorders>
            <w:shd w:val="clear" w:color="auto" w:fill="auto"/>
            <w:noWrap/>
            <w:hideMark/>
          </w:tcPr>
          <w:p w14:paraId="3A21640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13 582 255</w:t>
            </w:r>
          </w:p>
        </w:tc>
        <w:tc>
          <w:tcPr>
            <w:tcW w:w="2177" w:type="dxa"/>
            <w:tcBorders>
              <w:top w:val="nil"/>
              <w:left w:val="nil"/>
              <w:bottom w:val="single" w:sz="8" w:space="0" w:color="auto"/>
              <w:right w:val="single" w:sz="8" w:space="0" w:color="auto"/>
            </w:tcBorders>
            <w:shd w:val="clear" w:color="auto" w:fill="auto"/>
            <w:noWrap/>
            <w:hideMark/>
          </w:tcPr>
          <w:p w14:paraId="2E06C44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91 358</w:t>
            </w:r>
          </w:p>
        </w:tc>
      </w:tr>
      <w:tr w:rsidR="00830FA2" w:rsidRPr="00FD1578" w14:paraId="2611666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73DDA2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w:t>
            </w:r>
          </w:p>
        </w:tc>
        <w:tc>
          <w:tcPr>
            <w:tcW w:w="6600" w:type="dxa"/>
            <w:tcBorders>
              <w:top w:val="nil"/>
              <w:left w:val="nil"/>
              <w:bottom w:val="single" w:sz="8" w:space="0" w:color="auto"/>
              <w:right w:val="single" w:sz="8" w:space="0" w:color="auto"/>
            </w:tcBorders>
            <w:shd w:val="clear" w:color="auto" w:fill="auto"/>
            <w:hideMark/>
          </w:tcPr>
          <w:p w14:paraId="4AE62FF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w:t>
            </w:r>
            <w:proofErr w:type="spellStart"/>
            <w:r w:rsidRPr="00FD1578">
              <w:rPr>
                <w:rFonts w:eastAsia="Calibri" w:cs="Times New Roman"/>
                <w:sz w:val="18"/>
                <w:szCs w:val="18"/>
                <w:lang w:eastAsia="en-US"/>
              </w:rPr>
              <w:t>Iekšlietu</w:t>
            </w:r>
            <w:proofErr w:type="spellEnd"/>
            <w:r w:rsidRPr="00FD1578">
              <w:rPr>
                <w:rFonts w:eastAsia="Calibri" w:cs="Times New Roman"/>
                <w:sz w:val="18"/>
                <w:szCs w:val="18"/>
                <w:lang w:eastAsia="en-US"/>
              </w:rPr>
              <w:t xml:space="preserve"> ministrijas poliklīnika"</w:t>
            </w:r>
          </w:p>
        </w:tc>
        <w:tc>
          <w:tcPr>
            <w:tcW w:w="2121" w:type="dxa"/>
            <w:tcBorders>
              <w:top w:val="nil"/>
              <w:left w:val="nil"/>
              <w:bottom w:val="single" w:sz="8" w:space="0" w:color="auto"/>
              <w:right w:val="single" w:sz="8" w:space="0" w:color="auto"/>
            </w:tcBorders>
            <w:shd w:val="clear" w:color="auto" w:fill="auto"/>
            <w:noWrap/>
            <w:hideMark/>
          </w:tcPr>
          <w:p w14:paraId="7BCA892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3 034 200</w:t>
            </w:r>
          </w:p>
        </w:tc>
        <w:tc>
          <w:tcPr>
            <w:tcW w:w="2121" w:type="dxa"/>
            <w:tcBorders>
              <w:top w:val="nil"/>
              <w:left w:val="nil"/>
              <w:bottom w:val="single" w:sz="8" w:space="0" w:color="auto"/>
              <w:right w:val="single" w:sz="8" w:space="0" w:color="auto"/>
            </w:tcBorders>
            <w:shd w:val="clear" w:color="auto" w:fill="auto"/>
            <w:noWrap/>
            <w:hideMark/>
          </w:tcPr>
          <w:p w14:paraId="23FD152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3 018 385</w:t>
            </w:r>
          </w:p>
        </w:tc>
        <w:tc>
          <w:tcPr>
            <w:tcW w:w="2177" w:type="dxa"/>
            <w:tcBorders>
              <w:top w:val="nil"/>
              <w:left w:val="nil"/>
              <w:bottom w:val="single" w:sz="8" w:space="0" w:color="auto"/>
              <w:right w:val="single" w:sz="8" w:space="0" w:color="auto"/>
            </w:tcBorders>
            <w:shd w:val="clear" w:color="auto" w:fill="auto"/>
            <w:noWrap/>
            <w:hideMark/>
          </w:tcPr>
          <w:p w14:paraId="3F22688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15 815</w:t>
            </w:r>
          </w:p>
        </w:tc>
      </w:tr>
      <w:tr w:rsidR="00830FA2" w:rsidRPr="00FD1578" w14:paraId="2E1795B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4914E7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lastRenderedPageBreak/>
              <w:t>15</w:t>
            </w:r>
          </w:p>
        </w:tc>
        <w:tc>
          <w:tcPr>
            <w:tcW w:w="6600" w:type="dxa"/>
            <w:tcBorders>
              <w:top w:val="nil"/>
              <w:left w:val="nil"/>
              <w:bottom w:val="single" w:sz="8" w:space="0" w:color="auto"/>
              <w:right w:val="single" w:sz="8" w:space="0" w:color="auto"/>
            </w:tcBorders>
            <w:shd w:val="clear" w:color="auto" w:fill="auto"/>
            <w:noWrap/>
            <w:hideMark/>
          </w:tcPr>
          <w:p w14:paraId="557BD9A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w:t>
            </w:r>
            <w:proofErr w:type="spellStart"/>
            <w:r w:rsidRPr="00FD1578">
              <w:rPr>
                <w:rFonts w:eastAsia="Calibri" w:cs="Times New Roman"/>
                <w:sz w:val="18"/>
                <w:szCs w:val="18"/>
                <w:lang w:eastAsia="en-US"/>
              </w:rPr>
              <w:t>LatRailNet</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0B5B001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1 613 363</w:t>
            </w:r>
          </w:p>
        </w:tc>
        <w:tc>
          <w:tcPr>
            <w:tcW w:w="2121" w:type="dxa"/>
            <w:tcBorders>
              <w:top w:val="nil"/>
              <w:left w:val="nil"/>
              <w:bottom w:val="single" w:sz="8" w:space="0" w:color="auto"/>
              <w:right w:val="single" w:sz="8" w:space="0" w:color="auto"/>
            </w:tcBorders>
            <w:shd w:val="clear" w:color="auto" w:fill="auto"/>
            <w:noWrap/>
            <w:hideMark/>
          </w:tcPr>
          <w:p w14:paraId="3D1F535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1 613 363</w:t>
            </w:r>
          </w:p>
        </w:tc>
        <w:tc>
          <w:tcPr>
            <w:tcW w:w="2177" w:type="dxa"/>
            <w:tcBorders>
              <w:top w:val="nil"/>
              <w:left w:val="nil"/>
              <w:bottom w:val="single" w:sz="8" w:space="0" w:color="auto"/>
              <w:right w:val="single" w:sz="8" w:space="0" w:color="auto"/>
            </w:tcBorders>
            <w:shd w:val="clear" w:color="auto" w:fill="auto"/>
            <w:noWrap/>
            <w:hideMark/>
          </w:tcPr>
          <w:p w14:paraId="75CBFF8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5CDF26A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9D88BD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16</w:t>
            </w:r>
          </w:p>
        </w:tc>
        <w:tc>
          <w:tcPr>
            <w:tcW w:w="6600" w:type="dxa"/>
            <w:tcBorders>
              <w:top w:val="nil"/>
              <w:left w:val="nil"/>
              <w:bottom w:val="single" w:sz="8" w:space="0" w:color="auto"/>
              <w:right w:val="single" w:sz="8" w:space="0" w:color="auto"/>
            </w:tcBorders>
            <w:shd w:val="clear" w:color="auto" w:fill="auto"/>
            <w:noWrap/>
            <w:hideMark/>
          </w:tcPr>
          <w:p w14:paraId="63798D9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"Valsts Akadēmiskais koris "Latvija""</w:t>
            </w:r>
          </w:p>
        </w:tc>
        <w:tc>
          <w:tcPr>
            <w:tcW w:w="2121" w:type="dxa"/>
            <w:tcBorders>
              <w:top w:val="nil"/>
              <w:left w:val="nil"/>
              <w:bottom w:val="single" w:sz="8" w:space="0" w:color="auto"/>
              <w:right w:val="single" w:sz="8" w:space="0" w:color="auto"/>
            </w:tcBorders>
            <w:shd w:val="clear" w:color="auto" w:fill="auto"/>
            <w:noWrap/>
            <w:hideMark/>
          </w:tcPr>
          <w:p w14:paraId="49390B6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137 500</w:t>
            </w:r>
          </w:p>
        </w:tc>
        <w:tc>
          <w:tcPr>
            <w:tcW w:w="2121" w:type="dxa"/>
            <w:tcBorders>
              <w:top w:val="nil"/>
              <w:left w:val="nil"/>
              <w:bottom w:val="single" w:sz="8" w:space="0" w:color="auto"/>
              <w:right w:val="single" w:sz="8" w:space="0" w:color="auto"/>
            </w:tcBorders>
            <w:shd w:val="clear" w:color="auto" w:fill="auto"/>
            <w:noWrap/>
            <w:hideMark/>
          </w:tcPr>
          <w:p w14:paraId="2C7767C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135 500</w:t>
            </w:r>
          </w:p>
        </w:tc>
        <w:tc>
          <w:tcPr>
            <w:tcW w:w="2177" w:type="dxa"/>
            <w:tcBorders>
              <w:top w:val="nil"/>
              <w:left w:val="nil"/>
              <w:bottom w:val="single" w:sz="8" w:space="0" w:color="auto"/>
              <w:right w:val="single" w:sz="8" w:space="0" w:color="auto"/>
            </w:tcBorders>
            <w:shd w:val="clear" w:color="auto" w:fill="auto"/>
            <w:noWrap/>
            <w:hideMark/>
          </w:tcPr>
          <w:p w14:paraId="7BD6073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2 000</w:t>
            </w:r>
          </w:p>
        </w:tc>
      </w:tr>
      <w:tr w:rsidR="00830FA2" w:rsidRPr="00FD1578" w14:paraId="4F29B4C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7DB1A6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w:t>
            </w:r>
          </w:p>
        </w:tc>
        <w:tc>
          <w:tcPr>
            <w:tcW w:w="6600" w:type="dxa"/>
            <w:tcBorders>
              <w:top w:val="nil"/>
              <w:left w:val="nil"/>
              <w:bottom w:val="single" w:sz="8" w:space="0" w:color="auto"/>
              <w:right w:val="single" w:sz="8" w:space="0" w:color="auto"/>
            </w:tcBorders>
            <w:shd w:val="clear" w:color="auto" w:fill="auto"/>
            <w:noWrap/>
            <w:hideMark/>
          </w:tcPr>
          <w:p w14:paraId="2B90C8A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 xml:space="preserve">VAS "Latvijas Attīstības finanšu institūcija </w:t>
            </w:r>
            <w:proofErr w:type="spellStart"/>
            <w:r w:rsidRPr="00FD1578">
              <w:rPr>
                <w:rFonts w:eastAsia="Calibri" w:cs="Times New Roman"/>
                <w:sz w:val="18"/>
                <w:szCs w:val="18"/>
                <w:lang w:eastAsia="en-US"/>
              </w:rPr>
              <w:t>Altum</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6C6F2DA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28 583 765</w:t>
            </w:r>
          </w:p>
        </w:tc>
        <w:tc>
          <w:tcPr>
            <w:tcW w:w="2121" w:type="dxa"/>
            <w:tcBorders>
              <w:top w:val="nil"/>
              <w:left w:val="nil"/>
              <w:bottom w:val="single" w:sz="8" w:space="0" w:color="auto"/>
              <w:right w:val="single" w:sz="8" w:space="0" w:color="auto"/>
            </w:tcBorders>
            <w:shd w:val="clear" w:color="auto" w:fill="auto"/>
            <w:noWrap/>
            <w:hideMark/>
          </w:tcPr>
          <w:p w14:paraId="003717D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11 166 669</w:t>
            </w:r>
          </w:p>
        </w:tc>
        <w:tc>
          <w:tcPr>
            <w:tcW w:w="2177" w:type="dxa"/>
            <w:tcBorders>
              <w:top w:val="nil"/>
              <w:left w:val="nil"/>
              <w:bottom w:val="single" w:sz="8" w:space="0" w:color="auto"/>
              <w:right w:val="single" w:sz="8" w:space="0" w:color="auto"/>
            </w:tcBorders>
            <w:shd w:val="clear" w:color="auto" w:fill="auto"/>
            <w:noWrap/>
            <w:hideMark/>
          </w:tcPr>
          <w:p w14:paraId="5C9B5C1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17 417 096</w:t>
            </w:r>
          </w:p>
        </w:tc>
      </w:tr>
      <w:tr w:rsidR="00830FA2" w:rsidRPr="00FD1578" w14:paraId="0D65DB9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E09224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18</w:t>
            </w:r>
          </w:p>
        </w:tc>
        <w:tc>
          <w:tcPr>
            <w:tcW w:w="6600" w:type="dxa"/>
            <w:tcBorders>
              <w:top w:val="nil"/>
              <w:left w:val="nil"/>
              <w:bottom w:val="single" w:sz="8" w:space="0" w:color="auto"/>
              <w:right w:val="single" w:sz="8" w:space="0" w:color="auto"/>
            </w:tcBorders>
            <w:shd w:val="clear" w:color="auto" w:fill="auto"/>
            <w:noWrap/>
            <w:hideMark/>
          </w:tcPr>
          <w:p w14:paraId="0F745AB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VAS "Latvijas autoceļu uzturētājs"</w:t>
            </w:r>
          </w:p>
        </w:tc>
        <w:tc>
          <w:tcPr>
            <w:tcW w:w="2121" w:type="dxa"/>
            <w:tcBorders>
              <w:top w:val="nil"/>
              <w:left w:val="nil"/>
              <w:bottom w:val="single" w:sz="8" w:space="0" w:color="auto"/>
              <w:right w:val="single" w:sz="8" w:space="0" w:color="auto"/>
            </w:tcBorders>
            <w:shd w:val="clear" w:color="auto" w:fill="auto"/>
            <w:noWrap/>
            <w:hideMark/>
          </w:tcPr>
          <w:p w14:paraId="7DC96B1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71 769 752</w:t>
            </w:r>
          </w:p>
        </w:tc>
        <w:tc>
          <w:tcPr>
            <w:tcW w:w="2121" w:type="dxa"/>
            <w:tcBorders>
              <w:top w:val="nil"/>
              <w:left w:val="nil"/>
              <w:bottom w:val="single" w:sz="8" w:space="0" w:color="auto"/>
              <w:right w:val="single" w:sz="8" w:space="0" w:color="auto"/>
            </w:tcBorders>
            <w:shd w:val="clear" w:color="auto" w:fill="auto"/>
            <w:noWrap/>
            <w:hideMark/>
          </w:tcPr>
          <w:p w14:paraId="331EED5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71 675 026</w:t>
            </w:r>
          </w:p>
        </w:tc>
        <w:tc>
          <w:tcPr>
            <w:tcW w:w="2177" w:type="dxa"/>
            <w:tcBorders>
              <w:top w:val="nil"/>
              <w:left w:val="nil"/>
              <w:bottom w:val="single" w:sz="8" w:space="0" w:color="auto"/>
              <w:right w:val="single" w:sz="8" w:space="0" w:color="auto"/>
            </w:tcBorders>
            <w:shd w:val="clear" w:color="auto" w:fill="auto"/>
            <w:noWrap/>
            <w:hideMark/>
          </w:tcPr>
          <w:p w14:paraId="4483BFE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94 726</w:t>
            </w:r>
          </w:p>
        </w:tc>
      </w:tr>
      <w:tr w:rsidR="00830FA2" w:rsidRPr="00FD1578" w14:paraId="453146E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7A5B4B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19</w:t>
            </w:r>
          </w:p>
        </w:tc>
        <w:tc>
          <w:tcPr>
            <w:tcW w:w="6600" w:type="dxa"/>
            <w:tcBorders>
              <w:top w:val="nil"/>
              <w:left w:val="nil"/>
              <w:bottom w:val="single" w:sz="8" w:space="0" w:color="auto"/>
              <w:right w:val="single" w:sz="8" w:space="0" w:color="auto"/>
            </w:tcBorders>
            <w:shd w:val="clear" w:color="auto" w:fill="auto"/>
            <w:noWrap/>
            <w:hideMark/>
          </w:tcPr>
          <w:p w14:paraId="4B1315F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VAS "Latvijas dzelzceļš"</w:t>
            </w:r>
          </w:p>
        </w:tc>
        <w:tc>
          <w:tcPr>
            <w:tcW w:w="2121" w:type="dxa"/>
            <w:tcBorders>
              <w:top w:val="nil"/>
              <w:left w:val="nil"/>
              <w:bottom w:val="single" w:sz="8" w:space="0" w:color="auto"/>
              <w:right w:val="single" w:sz="8" w:space="0" w:color="auto"/>
            </w:tcBorders>
            <w:shd w:val="clear" w:color="auto" w:fill="auto"/>
            <w:noWrap/>
            <w:hideMark/>
          </w:tcPr>
          <w:p w14:paraId="363F839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135 655 510</w:t>
            </w:r>
          </w:p>
        </w:tc>
        <w:tc>
          <w:tcPr>
            <w:tcW w:w="2121" w:type="dxa"/>
            <w:tcBorders>
              <w:top w:val="nil"/>
              <w:left w:val="nil"/>
              <w:bottom w:val="single" w:sz="8" w:space="0" w:color="auto"/>
              <w:right w:val="single" w:sz="8" w:space="0" w:color="auto"/>
            </w:tcBorders>
            <w:shd w:val="clear" w:color="auto" w:fill="auto"/>
            <w:noWrap/>
            <w:hideMark/>
          </w:tcPr>
          <w:p w14:paraId="3DA9362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154 270 983</w:t>
            </w:r>
          </w:p>
        </w:tc>
        <w:tc>
          <w:tcPr>
            <w:tcW w:w="2177" w:type="dxa"/>
            <w:tcBorders>
              <w:top w:val="nil"/>
              <w:left w:val="nil"/>
              <w:bottom w:val="single" w:sz="8" w:space="0" w:color="auto"/>
              <w:right w:val="single" w:sz="8" w:space="0" w:color="auto"/>
            </w:tcBorders>
            <w:shd w:val="clear" w:color="auto" w:fill="auto"/>
            <w:noWrap/>
            <w:hideMark/>
          </w:tcPr>
          <w:p w14:paraId="1F8ED29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-18 615 473</w:t>
            </w:r>
          </w:p>
        </w:tc>
      </w:tr>
      <w:tr w:rsidR="00830FA2" w:rsidRPr="00FD1578" w14:paraId="28E19A4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E796B7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20</w:t>
            </w:r>
          </w:p>
        </w:tc>
        <w:tc>
          <w:tcPr>
            <w:tcW w:w="6600" w:type="dxa"/>
            <w:tcBorders>
              <w:top w:val="nil"/>
              <w:left w:val="nil"/>
              <w:bottom w:val="single" w:sz="8" w:space="0" w:color="auto"/>
              <w:right w:val="single" w:sz="8" w:space="0" w:color="auto"/>
            </w:tcBorders>
            <w:shd w:val="clear" w:color="auto" w:fill="auto"/>
            <w:noWrap/>
            <w:hideMark/>
          </w:tcPr>
          <w:p w14:paraId="631CE83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Koncerti"</w:t>
            </w:r>
          </w:p>
        </w:tc>
        <w:tc>
          <w:tcPr>
            <w:tcW w:w="2121" w:type="dxa"/>
            <w:tcBorders>
              <w:top w:val="nil"/>
              <w:left w:val="nil"/>
              <w:bottom w:val="single" w:sz="8" w:space="0" w:color="auto"/>
              <w:right w:val="single" w:sz="8" w:space="0" w:color="auto"/>
            </w:tcBorders>
            <w:shd w:val="clear" w:color="auto" w:fill="auto"/>
            <w:noWrap/>
            <w:hideMark/>
          </w:tcPr>
          <w:p w14:paraId="67051EA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5 259 087</w:t>
            </w:r>
          </w:p>
        </w:tc>
        <w:tc>
          <w:tcPr>
            <w:tcW w:w="2121" w:type="dxa"/>
            <w:tcBorders>
              <w:top w:val="nil"/>
              <w:left w:val="nil"/>
              <w:bottom w:val="single" w:sz="8" w:space="0" w:color="auto"/>
              <w:right w:val="single" w:sz="8" w:space="0" w:color="auto"/>
            </w:tcBorders>
            <w:shd w:val="clear" w:color="auto" w:fill="auto"/>
            <w:noWrap/>
            <w:hideMark/>
          </w:tcPr>
          <w:p w14:paraId="4A74FD7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5 224 744</w:t>
            </w:r>
          </w:p>
        </w:tc>
        <w:tc>
          <w:tcPr>
            <w:tcW w:w="2177" w:type="dxa"/>
            <w:tcBorders>
              <w:top w:val="nil"/>
              <w:left w:val="nil"/>
              <w:bottom w:val="single" w:sz="8" w:space="0" w:color="auto"/>
              <w:right w:val="single" w:sz="8" w:space="0" w:color="auto"/>
            </w:tcBorders>
            <w:shd w:val="clear" w:color="auto" w:fill="auto"/>
            <w:noWrap/>
            <w:hideMark/>
          </w:tcPr>
          <w:p w14:paraId="052CF5E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34 343</w:t>
            </w:r>
          </w:p>
        </w:tc>
      </w:tr>
      <w:tr w:rsidR="00830FA2" w:rsidRPr="00FD1578" w14:paraId="0D35A85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1E91C1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21</w:t>
            </w:r>
          </w:p>
        </w:tc>
        <w:tc>
          <w:tcPr>
            <w:tcW w:w="6600" w:type="dxa"/>
            <w:tcBorders>
              <w:top w:val="nil"/>
              <w:left w:val="nil"/>
              <w:bottom w:val="single" w:sz="8" w:space="0" w:color="auto"/>
              <w:right w:val="single" w:sz="8" w:space="0" w:color="auto"/>
            </w:tcBorders>
            <w:shd w:val="clear" w:color="auto" w:fill="auto"/>
            <w:noWrap/>
            <w:hideMark/>
          </w:tcPr>
          <w:p w14:paraId="16E881D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Leļļu teātris"</w:t>
            </w:r>
          </w:p>
        </w:tc>
        <w:tc>
          <w:tcPr>
            <w:tcW w:w="2121" w:type="dxa"/>
            <w:tcBorders>
              <w:top w:val="nil"/>
              <w:left w:val="nil"/>
              <w:bottom w:val="single" w:sz="8" w:space="0" w:color="auto"/>
              <w:right w:val="single" w:sz="8" w:space="0" w:color="auto"/>
            </w:tcBorders>
            <w:shd w:val="clear" w:color="auto" w:fill="auto"/>
            <w:noWrap/>
            <w:hideMark/>
          </w:tcPr>
          <w:p w14:paraId="70C8FD6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695 000</w:t>
            </w:r>
          </w:p>
        </w:tc>
        <w:tc>
          <w:tcPr>
            <w:tcW w:w="2121" w:type="dxa"/>
            <w:tcBorders>
              <w:top w:val="nil"/>
              <w:left w:val="nil"/>
              <w:bottom w:val="single" w:sz="8" w:space="0" w:color="auto"/>
              <w:right w:val="single" w:sz="8" w:space="0" w:color="auto"/>
            </w:tcBorders>
            <w:shd w:val="clear" w:color="auto" w:fill="auto"/>
            <w:noWrap/>
            <w:hideMark/>
          </w:tcPr>
          <w:p w14:paraId="69AD2C8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694 800</w:t>
            </w:r>
          </w:p>
        </w:tc>
        <w:tc>
          <w:tcPr>
            <w:tcW w:w="2177" w:type="dxa"/>
            <w:tcBorders>
              <w:top w:val="nil"/>
              <w:left w:val="nil"/>
              <w:bottom w:val="single" w:sz="8" w:space="0" w:color="auto"/>
              <w:right w:val="single" w:sz="8" w:space="0" w:color="auto"/>
            </w:tcBorders>
            <w:shd w:val="clear" w:color="auto" w:fill="auto"/>
            <w:noWrap/>
            <w:hideMark/>
          </w:tcPr>
          <w:p w14:paraId="3392438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200</w:t>
            </w:r>
          </w:p>
        </w:tc>
      </w:tr>
      <w:tr w:rsidR="00830FA2" w:rsidRPr="00FD1578" w14:paraId="0085EDF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E88466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22</w:t>
            </w:r>
          </w:p>
        </w:tc>
        <w:tc>
          <w:tcPr>
            <w:tcW w:w="6600" w:type="dxa"/>
            <w:tcBorders>
              <w:top w:val="nil"/>
              <w:left w:val="nil"/>
              <w:bottom w:val="single" w:sz="8" w:space="0" w:color="auto"/>
              <w:right w:val="single" w:sz="8" w:space="0" w:color="auto"/>
            </w:tcBorders>
            <w:shd w:val="clear" w:color="auto" w:fill="auto"/>
            <w:noWrap/>
            <w:hideMark/>
          </w:tcPr>
          <w:p w14:paraId="2D01E91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Nacionālais simfoniskais orķestris"</w:t>
            </w:r>
          </w:p>
        </w:tc>
        <w:tc>
          <w:tcPr>
            <w:tcW w:w="2121" w:type="dxa"/>
            <w:tcBorders>
              <w:top w:val="nil"/>
              <w:left w:val="nil"/>
              <w:bottom w:val="single" w:sz="8" w:space="0" w:color="auto"/>
              <w:right w:val="single" w:sz="8" w:space="0" w:color="auto"/>
            </w:tcBorders>
            <w:shd w:val="clear" w:color="auto" w:fill="auto"/>
            <w:noWrap/>
            <w:hideMark/>
          </w:tcPr>
          <w:p w14:paraId="3D57BAA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3 777 000</w:t>
            </w:r>
          </w:p>
        </w:tc>
        <w:tc>
          <w:tcPr>
            <w:tcW w:w="2121" w:type="dxa"/>
            <w:tcBorders>
              <w:top w:val="nil"/>
              <w:left w:val="nil"/>
              <w:bottom w:val="single" w:sz="8" w:space="0" w:color="auto"/>
              <w:right w:val="single" w:sz="8" w:space="0" w:color="auto"/>
            </w:tcBorders>
            <w:shd w:val="clear" w:color="auto" w:fill="auto"/>
            <w:noWrap/>
            <w:hideMark/>
          </w:tcPr>
          <w:p w14:paraId="69A03AF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3 767 000</w:t>
            </w:r>
          </w:p>
        </w:tc>
        <w:tc>
          <w:tcPr>
            <w:tcW w:w="2177" w:type="dxa"/>
            <w:tcBorders>
              <w:top w:val="nil"/>
              <w:left w:val="nil"/>
              <w:bottom w:val="single" w:sz="8" w:space="0" w:color="auto"/>
              <w:right w:val="single" w:sz="8" w:space="0" w:color="auto"/>
            </w:tcBorders>
            <w:shd w:val="clear" w:color="auto" w:fill="auto"/>
            <w:noWrap/>
            <w:hideMark/>
          </w:tcPr>
          <w:p w14:paraId="4303B6B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10 000</w:t>
            </w:r>
          </w:p>
        </w:tc>
      </w:tr>
      <w:tr w:rsidR="00830FA2" w:rsidRPr="00FD1578" w14:paraId="248905F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D06E1E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23</w:t>
            </w:r>
          </w:p>
        </w:tc>
        <w:tc>
          <w:tcPr>
            <w:tcW w:w="6600" w:type="dxa"/>
            <w:tcBorders>
              <w:top w:val="nil"/>
              <w:left w:val="nil"/>
              <w:bottom w:val="single" w:sz="8" w:space="0" w:color="auto"/>
              <w:right w:val="single" w:sz="8" w:space="0" w:color="auto"/>
            </w:tcBorders>
            <w:shd w:val="clear" w:color="auto" w:fill="auto"/>
            <w:noWrap/>
            <w:hideMark/>
          </w:tcPr>
          <w:p w14:paraId="7C14B46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"Latvijas Nacionālais sporta centrs"</w:t>
            </w:r>
          </w:p>
        </w:tc>
        <w:tc>
          <w:tcPr>
            <w:tcW w:w="2121" w:type="dxa"/>
            <w:tcBorders>
              <w:top w:val="nil"/>
              <w:left w:val="nil"/>
              <w:bottom w:val="single" w:sz="8" w:space="0" w:color="auto"/>
              <w:right w:val="single" w:sz="8" w:space="0" w:color="auto"/>
            </w:tcBorders>
            <w:shd w:val="clear" w:color="auto" w:fill="auto"/>
            <w:noWrap/>
            <w:hideMark/>
          </w:tcPr>
          <w:p w14:paraId="4159D12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4 200 000</w:t>
            </w:r>
          </w:p>
        </w:tc>
        <w:tc>
          <w:tcPr>
            <w:tcW w:w="2121" w:type="dxa"/>
            <w:tcBorders>
              <w:top w:val="nil"/>
              <w:left w:val="nil"/>
              <w:bottom w:val="single" w:sz="8" w:space="0" w:color="auto"/>
              <w:right w:val="single" w:sz="8" w:space="0" w:color="auto"/>
            </w:tcBorders>
            <w:shd w:val="clear" w:color="auto" w:fill="auto"/>
            <w:noWrap/>
            <w:hideMark/>
          </w:tcPr>
          <w:p w14:paraId="2DBAE0C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4 394 824</w:t>
            </w:r>
          </w:p>
        </w:tc>
        <w:tc>
          <w:tcPr>
            <w:tcW w:w="2177" w:type="dxa"/>
            <w:tcBorders>
              <w:top w:val="nil"/>
              <w:left w:val="nil"/>
              <w:bottom w:val="single" w:sz="8" w:space="0" w:color="auto"/>
              <w:right w:val="single" w:sz="8" w:space="0" w:color="auto"/>
            </w:tcBorders>
            <w:shd w:val="clear" w:color="auto" w:fill="auto"/>
            <w:noWrap/>
            <w:hideMark/>
          </w:tcPr>
          <w:p w14:paraId="754CF61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-194 824</w:t>
            </w:r>
          </w:p>
        </w:tc>
      </w:tr>
      <w:tr w:rsidR="00830FA2" w:rsidRPr="00FD1578" w14:paraId="4240377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7B62D6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24</w:t>
            </w:r>
          </w:p>
        </w:tc>
        <w:tc>
          <w:tcPr>
            <w:tcW w:w="6600" w:type="dxa"/>
            <w:tcBorders>
              <w:top w:val="nil"/>
              <w:left w:val="nil"/>
              <w:bottom w:val="single" w:sz="8" w:space="0" w:color="auto"/>
              <w:right w:val="single" w:sz="8" w:space="0" w:color="auto"/>
            </w:tcBorders>
            <w:shd w:val="clear" w:color="auto" w:fill="auto"/>
            <w:noWrap/>
            <w:hideMark/>
          </w:tcPr>
          <w:p w14:paraId="62F847A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Nacionālais teātris"</w:t>
            </w:r>
          </w:p>
        </w:tc>
        <w:tc>
          <w:tcPr>
            <w:tcW w:w="2121" w:type="dxa"/>
            <w:tcBorders>
              <w:top w:val="nil"/>
              <w:left w:val="nil"/>
              <w:bottom w:val="single" w:sz="8" w:space="0" w:color="auto"/>
              <w:right w:val="single" w:sz="8" w:space="0" w:color="auto"/>
            </w:tcBorders>
            <w:shd w:val="clear" w:color="auto" w:fill="auto"/>
            <w:noWrap/>
            <w:hideMark/>
          </w:tcPr>
          <w:p w14:paraId="69E24C0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5 859 753</w:t>
            </w:r>
          </w:p>
        </w:tc>
        <w:tc>
          <w:tcPr>
            <w:tcW w:w="2121" w:type="dxa"/>
            <w:tcBorders>
              <w:top w:val="nil"/>
              <w:left w:val="nil"/>
              <w:bottom w:val="single" w:sz="8" w:space="0" w:color="auto"/>
              <w:right w:val="single" w:sz="8" w:space="0" w:color="auto"/>
            </w:tcBorders>
            <w:shd w:val="clear" w:color="auto" w:fill="auto"/>
            <w:noWrap/>
            <w:hideMark/>
          </w:tcPr>
          <w:p w14:paraId="298A96E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5 629 663</w:t>
            </w:r>
          </w:p>
        </w:tc>
        <w:tc>
          <w:tcPr>
            <w:tcW w:w="2177" w:type="dxa"/>
            <w:tcBorders>
              <w:top w:val="nil"/>
              <w:left w:val="nil"/>
              <w:bottom w:val="single" w:sz="8" w:space="0" w:color="auto"/>
              <w:right w:val="single" w:sz="8" w:space="0" w:color="auto"/>
            </w:tcBorders>
            <w:shd w:val="clear" w:color="auto" w:fill="auto"/>
            <w:noWrap/>
            <w:hideMark/>
          </w:tcPr>
          <w:p w14:paraId="44CB31B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230 090</w:t>
            </w:r>
          </w:p>
        </w:tc>
      </w:tr>
      <w:tr w:rsidR="00830FA2" w:rsidRPr="00FD1578" w14:paraId="48998F5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49CAA3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25</w:t>
            </w:r>
          </w:p>
        </w:tc>
        <w:tc>
          <w:tcPr>
            <w:tcW w:w="6600" w:type="dxa"/>
            <w:tcBorders>
              <w:top w:val="nil"/>
              <w:left w:val="nil"/>
              <w:bottom w:val="single" w:sz="8" w:space="0" w:color="auto"/>
              <w:right w:val="single" w:sz="8" w:space="0" w:color="auto"/>
            </w:tcBorders>
            <w:shd w:val="clear" w:color="auto" w:fill="auto"/>
            <w:noWrap/>
            <w:hideMark/>
          </w:tcPr>
          <w:p w14:paraId="793B05F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Nacionālā opera un balets"</w:t>
            </w:r>
          </w:p>
        </w:tc>
        <w:tc>
          <w:tcPr>
            <w:tcW w:w="2121" w:type="dxa"/>
            <w:tcBorders>
              <w:top w:val="nil"/>
              <w:left w:val="nil"/>
              <w:bottom w:val="single" w:sz="8" w:space="0" w:color="auto"/>
              <w:right w:val="single" w:sz="8" w:space="0" w:color="auto"/>
            </w:tcBorders>
            <w:shd w:val="clear" w:color="auto" w:fill="auto"/>
            <w:noWrap/>
            <w:hideMark/>
          </w:tcPr>
          <w:p w14:paraId="686032C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6 401 000</w:t>
            </w:r>
          </w:p>
        </w:tc>
        <w:tc>
          <w:tcPr>
            <w:tcW w:w="2121" w:type="dxa"/>
            <w:tcBorders>
              <w:top w:val="nil"/>
              <w:left w:val="nil"/>
              <w:bottom w:val="single" w:sz="8" w:space="0" w:color="auto"/>
              <w:right w:val="single" w:sz="8" w:space="0" w:color="auto"/>
            </w:tcBorders>
            <w:shd w:val="clear" w:color="auto" w:fill="auto"/>
            <w:noWrap/>
            <w:hideMark/>
          </w:tcPr>
          <w:p w14:paraId="4D893E6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6 340 000</w:t>
            </w:r>
          </w:p>
        </w:tc>
        <w:tc>
          <w:tcPr>
            <w:tcW w:w="2177" w:type="dxa"/>
            <w:tcBorders>
              <w:top w:val="nil"/>
              <w:left w:val="nil"/>
              <w:bottom w:val="single" w:sz="8" w:space="0" w:color="auto"/>
              <w:right w:val="single" w:sz="8" w:space="0" w:color="auto"/>
            </w:tcBorders>
            <w:shd w:val="clear" w:color="auto" w:fill="auto"/>
            <w:noWrap/>
            <w:hideMark/>
          </w:tcPr>
          <w:p w14:paraId="252CF40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61 000</w:t>
            </w:r>
          </w:p>
        </w:tc>
      </w:tr>
      <w:tr w:rsidR="00830FA2" w:rsidRPr="00FD1578" w14:paraId="2EBC864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61E148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w:t>
            </w:r>
          </w:p>
        </w:tc>
        <w:tc>
          <w:tcPr>
            <w:tcW w:w="6600" w:type="dxa"/>
            <w:tcBorders>
              <w:top w:val="nil"/>
              <w:left w:val="nil"/>
              <w:bottom w:val="single" w:sz="8" w:space="0" w:color="auto"/>
              <w:right w:val="single" w:sz="8" w:space="0" w:color="auto"/>
            </w:tcBorders>
            <w:shd w:val="clear" w:color="auto" w:fill="auto"/>
            <w:noWrap/>
            <w:hideMark/>
          </w:tcPr>
          <w:p w14:paraId="0B05E01A"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Proves birojs"</w:t>
            </w:r>
          </w:p>
        </w:tc>
        <w:tc>
          <w:tcPr>
            <w:tcW w:w="2121" w:type="dxa"/>
            <w:tcBorders>
              <w:top w:val="nil"/>
              <w:left w:val="nil"/>
              <w:bottom w:val="single" w:sz="8" w:space="0" w:color="auto"/>
              <w:right w:val="single" w:sz="8" w:space="0" w:color="auto"/>
            </w:tcBorders>
            <w:shd w:val="clear" w:color="auto" w:fill="auto"/>
            <w:noWrap/>
            <w:hideMark/>
          </w:tcPr>
          <w:p w14:paraId="7B72F83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707 275</w:t>
            </w:r>
          </w:p>
        </w:tc>
        <w:tc>
          <w:tcPr>
            <w:tcW w:w="2121" w:type="dxa"/>
            <w:tcBorders>
              <w:top w:val="nil"/>
              <w:left w:val="nil"/>
              <w:bottom w:val="single" w:sz="8" w:space="0" w:color="auto"/>
              <w:right w:val="single" w:sz="8" w:space="0" w:color="auto"/>
            </w:tcBorders>
            <w:shd w:val="clear" w:color="auto" w:fill="auto"/>
            <w:noWrap/>
            <w:hideMark/>
          </w:tcPr>
          <w:p w14:paraId="04AA689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1 174 877</w:t>
            </w:r>
          </w:p>
        </w:tc>
        <w:tc>
          <w:tcPr>
            <w:tcW w:w="2177" w:type="dxa"/>
            <w:tcBorders>
              <w:top w:val="nil"/>
              <w:left w:val="nil"/>
              <w:bottom w:val="single" w:sz="8" w:space="0" w:color="auto"/>
              <w:right w:val="single" w:sz="8" w:space="0" w:color="auto"/>
            </w:tcBorders>
            <w:shd w:val="clear" w:color="auto" w:fill="auto"/>
            <w:noWrap/>
            <w:hideMark/>
          </w:tcPr>
          <w:p w14:paraId="187A813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-467 602</w:t>
            </w:r>
          </w:p>
        </w:tc>
      </w:tr>
      <w:tr w:rsidR="00830FA2" w:rsidRPr="00FD1578" w14:paraId="30877C8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17752F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27</w:t>
            </w:r>
          </w:p>
        </w:tc>
        <w:tc>
          <w:tcPr>
            <w:tcW w:w="6600" w:type="dxa"/>
            <w:tcBorders>
              <w:top w:val="nil"/>
              <w:left w:val="nil"/>
              <w:bottom w:val="single" w:sz="8" w:space="0" w:color="auto"/>
              <w:right w:val="single" w:sz="8" w:space="0" w:color="auto"/>
            </w:tcBorders>
            <w:shd w:val="clear" w:color="auto" w:fill="auto"/>
            <w:noWrap/>
            <w:hideMark/>
          </w:tcPr>
          <w:p w14:paraId="29B5AD8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Radio"</w:t>
            </w:r>
          </w:p>
        </w:tc>
        <w:tc>
          <w:tcPr>
            <w:tcW w:w="2121" w:type="dxa"/>
            <w:tcBorders>
              <w:top w:val="nil"/>
              <w:left w:val="nil"/>
              <w:bottom w:val="single" w:sz="8" w:space="0" w:color="auto"/>
              <w:right w:val="single" w:sz="8" w:space="0" w:color="auto"/>
            </w:tcBorders>
            <w:shd w:val="clear" w:color="auto" w:fill="auto"/>
            <w:noWrap/>
            <w:hideMark/>
          </w:tcPr>
          <w:p w14:paraId="39CF2D4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17 250 000</w:t>
            </w:r>
          </w:p>
        </w:tc>
        <w:tc>
          <w:tcPr>
            <w:tcW w:w="2121" w:type="dxa"/>
            <w:tcBorders>
              <w:top w:val="nil"/>
              <w:left w:val="nil"/>
              <w:bottom w:val="single" w:sz="8" w:space="0" w:color="auto"/>
              <w:right w:val="single" w:sz="8" w:space="0" w:color="auto"/>
            </w:tcBorders>
            <w:shd w:val="clear" w:color="auto" w:fill="auto"/>
            <w:noWrap/>
            <w:hideMark/>
          </w:tcPr>
          <w:p w14:paraId="5C089B5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17 334 000</w:t>
            </w:r>
          </w:p>
        </w:tc>
        <w:tc>
          <w:tcPr>
            <w:tcW w:w="2177" w:type="dxa"/>
            <w:tcBorders>
              <w:top w:val="nil"/>
              <w:left w:val="nil"/>
              <w:bottom w:val="single" w:sz="8" w:space="0" w:color="auto"/>
              <w:right w:val="single" w:sz="8" w:space="0" w:color="auto"/>
            </w:tcBorders>
            <w:shd w:val="clear" w:color="auto" w:fill="auto"/>
            <w:noWrap/>
            <w:hideMark/>
          </w:tcPr>
          <w:p w14:paraId="513D1CD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-84 000</w:t>
            </w:r>
          </w:p>
        </w:tc>
      </w:tr>
      <w:tr w:rsidR="00830FA2" w:rsidRPr="00FD1578" w14:paraId="39FA663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8C22C6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w:t>
            </w:r>
          </w:p>
        </w:tc>
        <w:tc>
          <w:tcPr>
            <w:tcW w:w="6600" w:type="dxa"/>
            <w:tcBorders>
              <w:top w:val="nil"/>
              <w:left w:val="nil"/>
              <w:bottom w:val="single" w:sz="8" w:space="0" w:color="auto"/>
              <w:right w:val="single" w:sz="8" w:space="0" w:color="auto"/>
            </w:tcBorders>
            <w:shd w:val="clear" w:color="auto" w:fill="auto"/>
            <w:noWrap/>
            <w:hideMark/>
          </w:tcPr>
          <w:p w14:paraId="2C2D421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"Latvijas standarts"</w:t>
            </w:r>
          </w:p>
        </w:tc>
        <w:tc>
          <w:tcPr>
            <w:tcW w:w="2121" w:type="dxa"/>
            <w:tcBorders>
              <w:top w:val="nil"/>
              <w:left w:val="nil"/>
              <w:bottom w:val="single" w:sz="8" w:space="0" w:color="auto"/>
              <w:right w:val="single" w:sz="8" w:space="0" w:color="auto"/>
            </w:tcBorders>
            <w:shd w:val="clear" w:color="auto" w:fill="auto"/>
            <w:noWrap/>
            <w:hideMark/>
          </w:tcPr>
          <w:p w14:paraId="5F4CE5F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935 000</w:t>
            </w:r>
          </w:p>
        </w:tc>
        <w:tc>
          <w:tcPr>
            <w:tcW w:w="2121" w:type="dxa"/>
            <w:tcBorders>
              <w:top w:val="nil"/>
              <w:left w:val="nil"/>
              <w:bottom w:val="single" w:sz="8" w:space="0" w:color="auto"/>
              <w:right w:val="single" w:sz="8" w:space="0" w:color="auto"/>
            </w:tcBorders>
            <w:shd w:val="clear" w:color="auto" w:fill="auto"/>
            <w:noWrap/>
            <w:hideMark/>
          </w:tcPr>
          <w:p w14:paraId="241FE3E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901 616</w:t>
            </w:r>
          </w:p>
        </w:tc>
        <w:tc>
          <w:tcPr>
            <w:tcW w:w="2177" w:type="dxa"/>
            <w:tcBorders>
              <w:top w:val="nil"/>
              <w:left w:val="nil"/>
              <w:bottom w:val="single" w:sz="8" w:space="0" w:color="auto"/>
              <w:right w:val="single" w:sz="8" w:space="0" w:color="auto"/>
            </w:tcBorders>
            <w:shd w:val="clear" w:color="auto" w:fill="auto"/>
            <w:noWrap/>
            <w:hideMark/>
          </w:tcPr>
          <w:p w14:paraId="7676788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33 384</w:t>
            </w:r>
          </w:p>
        </w:tc>
      </w:tr>
      <w:tr w:rsidR="00830FA2" w:rsidRPr="00FD1578" w14:paraId="09BFB8A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63085B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29</w:t>
            </w:r>
          </w:p>
        </w:tc>
        <w:tc>
          <w:tcPr>
            <w:tcW w:w="6600" w:type="dxa"/>
            <w:tcBorders>
              <w:top w:val="nil"/>
              <w:left w:val="nil"/>
              <w:bottom w:val="single" w:sz="8" w:space="0" w:color="auto"/>
              <w:right w:val="single" w:sz="8" w:space="0" w:color="auto"/>
            </w:tcBorders>
            <w:shd w:val="clear" w:color="auto" w:fill="auto"/>
            <w:noWrap/>
            <w:hideMark/>
          </w:tcPr>
          <w:p w14:paraId="1E87156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Televīzija"</w:t>
            </w:r>
          </w:p>
        </w:tc>
        <w:tc>
          <w:tcPr>
            <w:tcW w:w="2121" w:type="dxa"/>
            <w:tcBorders>
              <w:top w:val="nil"/>
              <w:left w:val="nil"/>
              <w:bottom w:val="single" w:sz="8" w:space="0" w:color="auto"/>
              <w:right w:val="single" w:sz="8" w:space="0" w:color="auto"/>
            </w:tcBorders>
            <w:shd w:val="clear" w:color="auto" w:fill="auto"/>
            <w:noWrap/>
            <w:hideMark/>
          </w:tcPr>
          <w:p w14:paraId="3F4DBCC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37 887 975</w:t>
            </w:r>
          </w:p>
        </w:tc>
        <w:tc>
          <w:tcPr>
            <w:tcW w:w="2121" w:type="dxa"/>
            <w:tcBorders>
              <w:top w:val="nil"/>
              <w:left w:val="nil"/>
              <w:bottom w:val="single" w:sz="8" w:space="0" w:color="auto"/>
              <w:right w:val="single" w:sz="8" w:space="0" w:color="auto"/>
            </w:tcBorders>
            <w:shd w:val="clear" w:color="auto" w:fill="auto"/>
            <w:noWrap/>
            <w:hideMark/>
          </w:tcPr>
          <w:p w14:paraId="24510C3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37 810 325</w:t>
            </w:r>
          </w:p>
        </w:tc>
        <w:tc>
          <w:tcPr>
            <w:tcW w:w="2177" w:type="dxa"/>
            <w:tcBorders>
              <w:top w:val="nil"/>
              <w:left w:val="nil"/>
              <w:bottom w:val="single" w:sz="8" w:space="0" w:color="auto"/>
              <w:right w:val="single" w:sz="8" w:space="0" w:color="auto"/>
            </w:tcBorders>
            <w:shd w:val="clear" w:color="auto" w:fill="auto"/>
            <w:noWrap/>
            <w:hideMark/>
          </w:tcPr>
          <w:p w14:paraId="544F857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77 650</w:t>
            </w:r>
          </w:p>
        </w:tc>
      </w:tr>
      <w:tr w:rsidR="00830FA2" w:rsidRPr="00FD1578" w14:paraId="50BC56C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B1C1F7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w:t>
            </w:r>
          </w:p>
        </w:tc>
        <w:tc>
          <w:tcPr>
            <w:tcW w:w="6600" w:type="dxa"/>
            <w:tcBorders>
              <w:top w:val="nil"/>
              <w:left w:val="nil"/>
              <w:bottom w:val="single" w:sz="8" w:space="0" w:color="auto"/>
              <w:right w:val="single" w:sz="8" w:space="0" w:color="auto"/>
            </w:tcBorders>
            <w:shd w:val="clear" w:color="auto" w:fill="auto"/>
            <w:noWrap/>
            <w:hideMark/>
          </w:tcPr>
          <w:p w14:paraId="20EFB33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"Latvijas Universitātes nekustamā īpašuma aģentūra"</w:t>
            </w:r>
          </w:p>
        </w:tc>
        <w:tc>
          <w:tcPr>
            <w:tcW w:w="2121" w:type="dxa"/>
            <w:tcBorders>
              <w:top w:val="nil"/>
              <w:left w:val="nil"/>
              <w:bottom w:val="single" w:sz="8" w:space="0" w:color="auto"/>
              <w:right w:val="single" w:sz="8" w:space="0" w:color="auto"/>
            </w:tcBorders>
            <w:shd w:val="clear" w:color="auto" w:fill="auto"/>
            <w:noWrap/>
            <w:hideMark/>
          </w:tcPr>
          <w:p w14:paraId="26BABAB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6499DCB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7DB62BD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413BF61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45B012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31</w:t>
            </w:r>
          </w:p>
        </w:tc>
        <w:tc>
          <w:tcPr>
            <w:tcW w:w="6600" w:type="dxa"/>
            <w:tcBorders>
              <w:top w:val="nil"/>
              <w:left w:val="nil"/>
              <w:bottom w:val="single" w:sz="8" w:space="0" w:color="auto"/>
              <w:right w:val="single" w:sz="8" w:space="0" w:color="auto"/>
            </w:tcBorders>
            <w:shd w:val="clear" w:color="auto" w:fill="auto"/>
            <w:noWrap/>
            <w:hideMark/>
          </w:tcPr>
          <w:p w14:paraId="12488A6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Valsts ceļi"</w:t>
            </w:r>
          </w:p>
        </w:tc>
        <w:tc>
          <w:tcPr>
            <w:tcW w:w="2121" w:type="dxa"/>
            <w:tcBorders>
              <w:top w:val="nil"/>
              <w:left w:val="nil"/>
              <w:bottom w:val="single" w:sz="8" w:space="0" w:color="auto"/>
              <w:right w:val="single" w:sz="8" w:space="0" w:color="auto"/>
            </w:tcBorders>
            <w:shd w:val="clear" w:color="auto" w:fill="auto"/>
            <w:noWrap/>
            <w:hideMark/>
          </w:tcPr>
          <w:p w14:paraId="03F2DC6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20 100 000</w:t>
            </w:r>
          </w:p>
        </w:tc>
        <w:tc>
          <w:tcPr>
            <w:tcW w:w="2121" w:type="dxa"/>
            <w:tcBorders>
              <w:top w:val="nil"/>
              <w:left w:val="nil"/>
              <w:bottom w:val="single" w:sz="8" w:space="0" w:color="auto"/>
              <w:right w:val="single" w:sz="8" w:space="0" w:color="auto"/>
            </w:tcBorders>
            <w:shd w:val="clear" w:color="auto" w:fill="auto"/>
            <w:noWrap/>
            <w:hideMark/>
          </w:tcPr>
          <w:p w14:paraId="16FE115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20 000 000</w:t>
            </w:r>
          </w:p>
        </w:tc>
        <w:tc>
          <w:tcPr>
            <w:tcW w:w="2177" w:type="dxa"/>
            <w:tcBorders>
              <w:top w:val="nil"/>
              <w:left w:val="nil"/>
              <w:bottom w:val="single" w:sz="8" w:space="0" w:color="auto"/>
              <w:right w:val="single" w:sz="8" w:space="0" w:color="auto"/>
            </w:tcBorders>
            <w:shd w:val="clear" w:color="auto" w:fill="auto"/>
            <w:noWrap/>
            <w:hideMark/>
          </w:tcPr>
          <w:p w14:paraId="2BED149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100 000</w:t>
            </w:r>
          </w:p>
        </w:tc>
      </w:tr>
      <w:tr w:rsidR="00830FA2" w:rsidRPr="00FD1578" w14:paraId="4CF9F9D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45BC4C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32</w:t>
            </w:r>
          </w:p>
        </w:tc>
        <w:tc>
          <w:tcPr>
            <w:tcW w:w="6600" w:type="dxa"/>
            <w:tcBorders>
              <w:top w:val="nil"/>
              <w:left w:val="nil"/>
              <w:bottom w:val="single" w:sz="8" w:space="0" w:color="auto"/>
              <w:right w:val="single" w:sz="8" w:space="0" w:color="auto"/>
            </w:tcBorders>
            <w:shd w:val="clear" w:color="auto" w:fill="auto"/>
            <w:noWrap/>
            <w:hideMark/>
          </w:tcPr>
          <w:p w14:paraId="3F985DD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Vēstnesis"</w:t>
            </w:r>
          </w:p>
        </w:tc>
        <w:tc>
          <w:tcPr>
            <w:tcW w:w="2121" w:type="dxa"/>
            <w:tcBorders>
              <w:top w:val="nil"/>
              <w:left w:val="nil"/>
              <w:bottom w:val="single" w:sz="8" w:space="0" w:color="auto"/>
              <w:right w:val="single" w:sz="8" w:space="0" w:color="auto"/>
            </w:tcBorders>
            <w:shd w:val="clear" w:color="auto" w:fill="auto"/>
            <w:noWrap/>
            <w:hideMark/>
          </w:tcPr>
          <w:p w14:paraId="53548AE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2 398 932</w:t>
            </w:r>
          </w:p>
        </w:tc>
        <w:tc>
          <w:tcPr>
            <w:tcW w:w="2121" w:type="dxa"/>
            <w:tcBorders>
              <w:top w:val="nil"/>
              <w:left w:val="nil"/>
              <w:bottom w:val="single" w:sz="8" w:space="0" w:color="auto"/>
              <w:right w:val="single" w:sz="8" w:space="0" w:color="auto"/>
            </w:tcBorders>
            <w:shd w:val="clear" w:color="auto" w:fill="auto"/>
            <w:noWrap/>
            <w:hideMark/>
          </w:tcPr>
          <w:p w14:paraId="6D6251B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2 451 930</w:t>
            </w:r>
          </w:p>
        </w:tc>
        <w:tc>
          <w:tcPr>
            <w:tcW w:w="2177" w:type="dxa"/>
            <w:tcBorders>
              <w:top w:val="nil"/>
              <w:left w:val="nil"/>
              <w:bottom w:val="single" w:sz="8" w:space="0" w:color="auto"/>
              <w:right w:val="single" w:sz="8" w:space="0" w:color="auto"/>
            </w:tcBorders>
            <w:shd w:val="clear" w:color="auto" w:fill="auto"/>
            <w:noWrap/>
            <w:hideMark/>
          </w:tcPr>
          <w:p w14:paraId="6FE55BA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-52 998</w:t>
            </w:r>
          </w:p>
        </w:tc>
      </w:tr>
      <w:tr w:rsidR="00830FA2" w:rsidRPr="00FD1578" w14:paraId="593B4E3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CF2CE2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33</w:t>
            </w:r>
          </w:p>
        </w:tc>
        <w:tc>
          <w:tcPr>
            <w:tcW w:w="6600" w:type="dxa"/>
            <w:tcBorders>
              <w:top w:val="nil"/>
              <w:left w:val="nil"/>
              <w:bottom w:val="single" w:sz="8" w:space="0" w:color="auto"/>
              <w:right w:val="single" w:sz="8" w:space="0" w:color="auto"/>
            </w:tcBorders>
            <w:shd w:val="clear" w:color="auto" w:fill="auto"/>
            <w:noWrap/>
            <w:hideMark/>
          </w:tcPr>
          <w:p w14:paraId="79DA88B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Vides, ģeoloģijas un meteoroloģijas centrs"</w:t>
            </w:r>
          </w:p>
        </w:tc>
        <w:tc>
          <w:tcPr>
            <w:tcW w:w="2121" w:type="dxa"/>
            <w:tcBorders>
              <w:top w:val="nil"/>
              <w:left w:val="nil"/>
              <w:bottom w:val="single" w:sz="8" w:space="0" w:color="auto"/>
              <w:right w:val="single" w:sz="8" w:space="0" w:color="auto"/>
            </w:tcBorders>
            <w:shd w:val="clear" w:color="auto" w:fill="auto"/>
            <w:noWrap/>
            <w:hideMark/>
          </w:tcPr>
          <w:p w14:paraId="4FBC1F0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3 208 270</w:t>
            </w:r>
          </w:p>
        </w:tc>
        <w:tc>
          <w:tcPr>
            <w:tcW w:w="2121" w:type="dxa"/>
            <w:tcBorders>
              <w:top w:val="nil"/>
              <w:left w:val="nil"/>
              <w:bottom w:val="single" w:sz="8" w:space="0" w:color="auto"/>
              <w:right w:val="single" w:sz="8" w:space="0" w:color="auto"/>
            </w:tcBorders>
            <w:shd w:val="clear" w:color="auto" w:fill="auto"/>
            <w:noWrap/>
            <w:hideMark/>
          </w:tcPr>
          <w:p w14:paraId="7EFE8F0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2 933 192</w:t>
            </w:r>
          </w:p>
        </w:tc>
        <w:tc>
          <w:tcPr>
            <w:tcW w:w="2177" w:type="dxa"/>
            <w:tcBorders>
              <w:top w:val="nil"/>
              <w:left w:val="nil"/>
              <w:bottom w:val="single" w:sz="8" w:space="0" w:color="auto"/>
              <w:right w:val="single" w:sz="8" w:space="0" w:color="auto"/>
            </w:tcBorders>
            <w:shd w:val="clear" w:color="auto" w:fill="auto"/>
            <w:noWrap/>
            <w:hideMark/>
          </w:tcPr>
          <w:p w14:paraId="06C1F0B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275 078</w:t>
            </w:r>
          </w:p>
        </w:tc>
      </w:tr>
      <w:tr w:rsidR="00830FA2" w:rsidRPr="00FD1578" w14:paraId="4320D3D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333F88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34</w:t>
            </w:r>
          </w:p>
        </w:tc>
        <w:tc>
          <w:tcPr>
            <w:tcW w:w="6600" w:type="dxa"/>
            <w:tcBorders>
              <w:top w:val="nil"/>
              <w:left w:val="nil"/>
              <w:bottom w:val="single" w:sz="8" w:space="0" w:color="auto"/>
              <w:right w:val="single" w:sz="8" w:space="0" w:color="auto"/>
            </w:tcBorders>
            <w:shd w:val="clear" w:color="auto" w:fill="auto"/>
            <w:noWrap/>
            <w:hideMark/>
          </w:tcPr>
          <w:p w14:paraId="0BD34D5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"LDZ apsardze"</w:t>
            </w:r>
          </w:p>
        </w:tc>
        <w:tc>
          <w:tcPr>
            <w:tcW w:w="2121" w:type="dxa"/>
            <w:tcBorders>
              <w:top w:val="nil"/>
              <w:left w:val="nil"/>
              <w:bottom w:val="single" w:sz="8" w:space="0" w:color="auto"/>
              <w:right w:val="single" w:sz="8" w:space="0" w:color="auto"/>
            </w:tcBorders>
            <w:shd w:val="clear" w:color="auto" w:fill="auto"/>
            <w:noWrap/>
            <w:hideMark/>
          </w:tcPr>
          <w:p w14:paraId="444B79D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10 108 940</w:t>
            </w:r>
          </w:p>
        </w:tc>
        <w:tc>
          <w:tcPr>
            <w:tcW w:w="2121" w:type="dxa"/>
            <w:tcBorders>
              <w:top w:val="nil"/>
              <w:left w:val="nil"/>
              <w:bottom w:val="single" w:sz="8" w:space="0" w:color="auto"/>
              <w:right w:val="single" w:sz="8" w:space="0" w:color="auto"/>
            </w:tcBorders>
            <w:shd w:val="clear" w:color="auto" w:fill="auto"/>
            <w:noWrap/>
            <w:hideMark/>
          </w:tcPr>
          <w:p w14:paraId="1E8F236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9 830 283</w:t>
            </w:r>
          </w:p>
        </w:tc>
        <w:tc>
          <w:tcPr>
            <w:tcW w:w="2177" w:type="dxa"/>
            <w:tcBorders>
              <w:top w:val="nil"/>
              <w:left w:val="nil"/>
              <w:bottom w:val="single" w:sz="8" w:space="0" w:color="auto"/>
              <w:right w:val="single" w:sz="8" w:space="0" w:color="auto"/>
            </w:tcBorders>
            <w:shd w:val="clear" w:color="auto" w:fill="auto"/>
            <w:noWrap/>
            <w:hideMark/>
          </w:tcPr>
          <w:p w14:paraId="744CD8A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278 657</w:t>
            </w:r>
          </w:p>
        </w:tc>
      </w:tr>
      <w:tr w:rsidR="00830FA2" w:rsidRPr="00FD1578" w14:paraId="3D410E1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D6BB01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35</w:t>
            </w:r>
          </w:p>
        </w:tc>
        <w:tc>
          <w:tcPr>
            <w:tcW w:w="6600" w:type="dxa"/>
            <w:tcBorders>
              <w:top w:val="nil"/>
              <w:left w:val="nil"/>
              <w:bottom w:val="single" w:sz="8" w:space="0" w:color="auto"/>
              <w:right w:val="single" w:sz="8" w:space="0" w:color="auto"/>
            </w:tcBorders>
            <w:shd w:val="clear" w:color="auto" w:fill="auto"/>
            <w:noWrap/>
            <w:hideMark/>
          </w:tcPr>
          <w:p w14:paraId="074FBCDA"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"LDZ Loģistika"</w:t>
            </w:r>
          </w:p>
        </w:tc>
        <w:tc>
          <w:tcPr>
            <w:tcW w:w="2121" w:type="dxa"/>
            <w:tcBorders>
              <w:top w:val="nil"/>
              <w:left w:val="nil"/>
              <w:bottom w:val="single" w:sz="8" w:space="0" w:color="auto"/>
              <w:right w:val="single" w:sz="8" w:space="0" w:color="auto"/>
            </w:tcBorders>
            <w:shd w:val="clear" w:color="auto" w:fill="auto"/>
            <w:noWrap/>
            <w:hideMark/>
          </w:tcPr>
          <w:p w14:paraId="190C9DC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10 008 000</w:t>
            </w:r>
          </w:p>
        </w:tc>
        <w:tc>
          <w:tcPr>
            <w:tcW w:w="2121" w:type="dxa"/>
            <w:tcBorders>
              <w:top w:val="nil"/>
              <w:left w:val="nil"/>
              <w:bottom w:val="single" w:sz="8" w:space="0" w:color="auto"/>
              <w:right w:val="single" w:sz="8" w:space="0" w:color="auto"/>
            </w:tcBorders>
            <w:shd w:val="clear" w:color="auto" w:fill="auto"/>
            <w:noWrap/>
            <w:hideMark/>
          </w:tcPr>
          <w:p w14:paraId="140DF06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9 967 501</w:t>
            </w:r>
          </w:p>
        </w:tc>
        <w:tc>
          <w:tcPr>
            <w:tcW w:w="2177" w:type="dxa"/>
            <w:tcBorders>
              <w:top w:val="nil"/>
              <w:left w:val="nil"/>
              <w:bottom w:val="single" w:sz="8" w:space="0" w:color="auto"/>
              <w:right w:val="single" w:sz="8" w:space="0" w:color="auto"/>
            </w:tcBorders>
            <w:shd w:val="clear" w:color="auto" w:fill="auto"/>
            <w:noWrap/>
            <w:hideMark/>
          </w:tcPr>
          <w:p w14:paraId="75CC64B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40 499</w:t>
            </w:r>
          </w:p>
        </w:tc>
      </w:tr>
      <w:tr w:rsidR="00830FA2" w:rsidRPr="00FD1578" w14:paraId="795A68E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3C625A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36</w:t>
            </w:r>
          </w:p>
        </w:tc>
        <w:tc>
          <w:tcPr>
            <w:tcW w:w="6600" w:type="dxa"/>
            <w:tcBorders>
              <w:top w:val="nil"/>
              <w:left w:val="nil"/>
              <w:bottom w:val="single" w:sz="8" w:space="0" w:color="auto"/>
              <w:right w:val="single" w:sz="8" w:space="0" w:color="auto"/>
            </w:tcBorders>
            <w:shd w:val="clear" w:color="auto" w:fill="auto"/>
            <w:noWrap/>
            <w:hideMark/>
          </w:tcPr>
          <w:p w14:paraId="639F525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"Lielstraupes pils"</w:t>
            </w:r>
          </w:p>
        </w:tc>
        <w:tc>
          <w:tcPr>
            <w:tcW w:w="2121" w:type="dxa"/>
            <w:tcBorders>
              <w:top w:val="nil"/>
              <w:left w:val="nil"/>
              <w:bottom w:val="single" w:sz="8" w:space="0" w:color="auto"/>
              <w:right w:val="single" w:sz="8" w:space="0" w:color="auto"/>
            </w:tcBorders>
            <w:shd w:val="clear" w:color="auto" w:fill="auto"/>
            <w:noWrap/>
            <w:hideMark/>
          </w:tcPr>
          <w:p w14:paraId="7226587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441D12B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2A64D55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7C62A97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C76C25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w:t>
            </w:r>
          </w:p>
        </w:tc>
        <w:tc>
          <w:tcPr>
            <w:tcW w:w="6600" w:type="dxa"/>
            <w:tcBorders>
              <w:top w:val="nil"/>
              <w:left w:val="nil"/>
              <w:bottom w:val="single" w:sz="8" w:space="0" w:color="auto"/>
              <w:right w:val="single" w:sz="8" w:space="0" w:color="auto"/>
            </w:tcBorders>
            <w:shd w:val="clear" w:color="auto" w:fill="auto"/>
            <w:noWrap/>
            <w:hideMark/>
          </w:tcPr>
          <w:p w14:paraId="1309DFB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"Liepājas simfoniskais orķestris"</w:t>
            </w:r>
          </w:p>
        </w:tc>
        <w:tc>
          <w:tcPr>
            <w:tcW w:w="2121" w:type="dxa"/>
            <w:tcBorders>
              <w:top w:val="nil"/>
              <w:left w:val="nil"/>
              <w:bottom w:val="single" w:sz="8" w:space="0" w:color="auto"/>
              <w:right w:val="single" w:sz="8" w:space="0" w:color="auto"/>
            </w:tcBorders>
            <w:shd w:val="clear" w:color="auto" w:fill="auto"/>
            <w:noWrap/>
            <w:hideMark/>
          </w:tcPr>
          <w:p w14:paraId="7CD8491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373 000</w:t>
            </w:r>
          </w:p>
        </w:tc>
        <w:tc>
          <w:tcPr>
            <w:tcW w:w="2121" w:type="dxa"/>
            <w:tcBorders>
              <w:top w:val="nil"/>
              <w:left w:val="nil"/>
              <w:bottom w:val="single" w:sz="8" w:space="0" w:color="auto"/>
              <w:right w:val="single" w:sz="8" w:space="0" w:color="auto"/>
            </w:tcBorders>
            <w:shd w:val="clear" w:color="auto" w:fill="auto"/>
            <w:noWrap/>
            <w:hideMark/>
          </w:tcPr>
          <w:p w14:paraId="107900D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381 935</w:t>
            </w:r>
          </w:p>
        </w:tc>
        <w:tc>
          <w:tcPr>
            <w:tcW w:w="2177" w:type="dxa"/>
            <w:tcBorders>
              <w:top w:val="nil"/>
              <w:left w:val="nil"/>
              <w:bottom w:val="single" w:sz="8" w:space="0" w:color="auto"/>
              <w:right w:val="single" w:sz="8" w:space="0" w:color="auto"/>
            </w:tcBorders>
            <w:shd w:val="clear" w:color="auto" w:fill="auto"/>
            <w:noWrap/>
            <w:hideMark/>
          </w:tcPr>
          <w:p w14:paraId="0D226AA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-8 935</w:t>
            </w:r>
          </w:p>
        </w:tc>
      </w:tr>
      <w:tr w:rsidR="00830FA2" w:rsidRPr="00FD1578" w14:paraId="5EB240D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00C0C6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lastRenderedPageBreak/>
              <w:t>38</w:t>
            </w:r>
          </w:p>
        </w:tc>
        <w:tc>
          <w:tcPr>
            <w:tcW w:w="6600" w:type="dxa"/>
            <w:tcBorders>
              <w:top w:val="nil"/>
              <w:left w:val="nil"/>
              <w:bottom w:val="single" w:sz="8" w:space="0" w:color="auto"/>
              <w:right w:val="single" w:sz="8" w:space="0" w:color="auto"/>
            </w:tcBorders>
            <w:shd w:val="clear" w:color="auto" w:fill="auto"/>
            <w:noWrap/>
            <w:hideMark/>
          </w:tcPr>
          <w:p w14:paraId="1945957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"Ludzas medicīnas centrs"</w:t>
            </w:r>
          </w:p>
        </w:tc>
        <w:tc>
          <w:tcPr>
            <w:tcW w:w="2121" w:type="dxa"/>
            <w:tcBorders>
              <w:top w:val="nil"/>
              <w:left w:val="nil"/>
              <w:bottom w:val="single" w:sz="8" w:space="0" w:color="auto"/>
              <w:right w:val="single" w:sz="8" w:space="0" w:color="auto"/>
            </w:tcBorders>
            <w:shd w:val="clear" w:color="auto" w:fill="auto"/>
            <w:noWrap/>
            <w:hideMark/>
          </w:tcPr>
          <w:p w14:paraId="1D84481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4 600 000</w:t>
            </w:r>
          </w:p>
        </w:tc>
        <w:tc>
          <w:tcPr>
            <w:tcW w:w="2121" w:type="dxa"/>
            <w:tcBorders>
              <w:top w:val="nil"/>
              <w:left w:val="nil"/>
              <w:bottom w:val="single" w:sz="8" w:space="0" w:color="auto"/>
              <w:right w:val="single" w:sz="8" w:space="0" w:color="auto"/>
            </w:tcBorders>
            <w:shd w:val="clear" w:color="auto" w:fill="auto"/>
            <w:noWrap/>
            <w:hideMark/>
          </w:tcPr>
          <w:p w14:paraId="76CF050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4 520 000</w:t>
            </w:r>
          </w:p>
        </w:tc>
        <w:tc>
          <w:tcPr>
            <w:tcW w:w="2177" w:type="dxa"/>
            <w:tcBorders>
              <w:top w:val="nil"/>
              <w:left w:val="nil"/>
              <w:bottom w:val="single" w:sz="8" w:space="0" w:color="auto"/>
              <w:right w:val="single" w:sz="8" w:space="0" w:color="auto"/>
            </w:tcBorders>
            <w:shd w:val="clear" w:color="auto" w:fill="auto"/>
            <w:noWrap/>
            <w:hideMark/>
          </w:tcPr>
          <w:p w14:paraId="7F00D9D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80 000</w:t>
            </w:r>
          </w:p>
        </w:tc>
      </w:tr>
      <w:tr w:rsidR="00830FA2" w:rsidRPr="00FD1578" w14:paraId="791B3C6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76F087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39</w:t>
            </w:r>
          </w:p>
        </w:tc>
        <w:tc>
          <w:tcPr>
            <w:tcW w:w="6600" w:type="dxa"/>
            <w:tcBorders>
              <w:top w:val="nil"/>
              <w:left w:val="nil"/>
              <w:bottom w:val="single" w:sz="8" w:space="0" w:color="auto"/>
              <w:right w:val="single" w:sz="8" w:space="0" w:color="auto"/>
            </w:tcBorders>
            <w:shd w:val="clear" w:color="auto" w:fill="auto"/>
            <w:noWrap/>
            <w:hideMark/>
          </w:tcPr>
          <w:p w14:paraId="79A4C78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"Mihaila Čehova Rīgas Krievu teātris"</w:t>
            </w:r>
          </w:p>
        </w:tc>
        <w:tc>
          <w:tcPr>
            <w:tcW w:w="2121" w:type="dxa"/>
            <w:tcBorders>
              <w:top w:val="nil"/>
              <w:left w:val="nil"/>
              <w:bottom w:val="single" w:sz="8" w:space="0" w:color="auto"/>
              <w:right w:val="single" w:sz="8" w:space="0" w:color="auto"/>
            </w:tcBorders>
            <w:shd w:val="clear" w:color="auto" w:fill="auto"/>
            <w:noWrap/>
            <w:hideMark/>
          </w:tcPr>
          <w:p w14:paraId="41882BB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2 621 442</w:t>
            </w:r>
          </w:p>
        </w:tc>
        <w:tc>
          <w:tcPr>
            <w:tcW w:w="2121" w:type="dxa"/>
            <w:tcBorders>
              <w:top w:val="nil"/>
              <w:left w:val="nil"/>
              <w:bottom w:val="single" w:sz="8" w:space="0" w:color="auto"/>
              <w:right w:val="single" w:sz="8" w:space="0" w:color="auto"/>
            </w:tcBorders>
            <w:shd w:val="clear" w:color="auto" w:fill="auto"/>
            <w:noWrap/>
            <w:hideMark/>
          </w:tcPr>
          <w:p w14:paraId="2000D31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2 599 330</w:t>
            </w:r>
          </w:p>
        </w:tc>
        <w:tc>
          <w:tcPr>
            <w:tcW w:w="2177" w:type="dxa"/>
            <w:tcBorders>
              <w:top w:val="nil"/>
              <w:left w:val="nil"/>
              <w:bottom w:val="single" w:sz="8" w:space="0" w:color="auto"/>
              <w:right w:val="single" w:sz="8" w:space="0" w:color="auto"/>
            </w:tcBorders>
            <w:shd w:val="clear" w:color="auto" w:fill="auto"/>
            <w:noWrap/>
            <w:hideMark/>
          </w:tcPr>
          <w:p w14:paraId="5AAEA5C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22 112</w:t>
            </w:r>
          </w:p>
        </w:tc>
      </w:tr>
      <w:tr w:rsidR="00830FA2" w:rsidRPr="00FD1578" w14:paraId="0018A8D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4EA201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40</w:t>
            </w:r>
          </w:p>
        </w:tc>
        <w:tc>
          <w:tcPr>
            <w:tcW w:w="6600" w:type="dxa"/>
            <w:tcBorders>
              <w:top w:val="nil"/>
              <w:left w:val="nil"/>
              <w:bottom w:val="single" w:sz="8" w:space="0" w:color="auto"/>
              <w:right w:val="single" w:sz="8" w:space="0" w:color="auto"/>
            </w:tcBorders>
            <w:shd w:val="clear" w:color="auto" w:fill="auto"/>
            <w:noWrap/>
            <w:hideMark/>
          </w:tcPr>
          <w:p w14:paraId="44DD6A1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"Pasažieru vilciens"</w:t>
            </w:r>
          </w:p>
        </w:tc>
        <w:tc>
          <w:tcPr>
            <w:tcW w:w="2121" w:type="dxa"/>
            <w:tcBorders>
              <w:top w:val="nil"/>
              <w:left w:val="nil"/>
              <w:bottom w:val="single" w:sz="8" w:space="0" w:color="auto"/>
              <w:right w:val="single" w:sz="8" w:space="0" w:color="auto"/>
            </w:tcBorders>
            <w:shd w:val="clear" w:color="auto" w:fill="auto"/>
            <w:noWrap/>
            <w:hideMark/>
          </w:tcPr>
          <w:p w14:paraId="7D3CEC5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85 700 356</w:t>
            </w:r>
          </w:p>
        </w:tc>
        <w:tc>
          <w:tcPr>
            <w:tcW w:w="2121" w:type="dxa"/>
            <w:tcBorders>
              <w:top w:val="nil"/>
              <w:left w:val="nil"/>
              <w:bottom w:val="single" w:sz="8" w:space="0" w:color="auto"/>
              <w:right w:val="single" w:sz="8" w:space="0" w:color="auto"/>
            </w:tcBorders>
            <w:shd w:val="clear" w:color="auto" w:fill="auto"/>
            <w:noWrap/>
            <w:hideMark/>
          </w:tcPr>
          <w:p w14:paraId="2543D7F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85 164 970</w:t>
            </w:r>
          </w:p>
        </w:tc>
        <w:tc>
          <w:tcPr>
            <w:tcW w:w="2177" w:type="dxa"/>
            <w:tcBorders>
              <w:top w:val="nil"/>
              <w:left w:val="nil"/>
              <w:bottom w:val="single" w:sz="8" w:space="0" w:color="auto"/>
              <w:right w:val="single" w:sz="8" w:space="0" w:color="auto"/>
            </w:tcBorders>
            <w:shd w:val="clear" w:color="auto" w:fill="auto"/>
            <w:noWrap/>
            <w:hideMark/>
          </w:tcPr>
          <w:p w14:paraId="36C008A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535 386</w:t>
            </w:r>
          </w:p>
        </w:tc>
      </w:tr>
      <w:tr w:rsidR="00830FA2" w:rsidRPr="00FD1578" w14:paraId="0DA9C08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D110B9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41</w:t>
            </w:r>
          </w:p>
        </w:tc>
        <w:tc>
          <w:tcPr>
            <w:tcW w:w="6600" w:type="dxa"/>
            <w:tcBorders>
              <w:top w:val="nil"/>
              <w:left w:val="nil"/>
              <w:bottom w:val="single" w:sz="8" w:space="0" w:color="auto"/>
              <w:right w:val="single" w:sz="8" w:space="0" w:color="auto"/>
            </w:tcBorders>
            <w:shd w:val="clear" w:color="auto" w:fill="auto"/>
            <w:noWrap/>
            <w:hideMark/>
          </w:tcPr>
          <w:p w14:paraId="21F6FD3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"Paula Stradiņa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1B5C3E0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211 725 362</w:t>
            </w:r>
          </w:p>
        </w:tc>
        <w:tc>
          <w:tcPr>
            <w:tcW w:w="2121" w:type="dxa"/>
            <w:tcBorders>
              <w:top w:val="nil"/>
              <w:left w:val="nil"/>
              <w:bottom w:val="single" w:sz="8" w:space="0" w:color="auto"/>
              <w:right w:val="single" w:sz="8" w:space="0" w:color="auto"/>
            </w:tcBorders>
            <w:shd w:val="clear" w:color="auto" w:fill="auto"/>
            <w:noWrap/>
            <w:hideMark/>
          </w:tcPr>
          <w:p w14:paraId="3CC39A3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204 530 005</w:t>
            </w:r>
          </w:p>
        </w:tc>
        <w:tc>
          <w:tcPr>
            <w:tcW w:w="2177" w:type="dxa"/>
            <w:tcBorders>
              <w:top w:val="nil"/>
              <w:left w:val="nil"/>
              <w:bottom w:val="single" w:sz="8" w:space="0" w:color="auto"/>
              <w:right w:val="single" w:sz="8" w:space="0" w:color="auto"/>
            </w:tcBorders>
            <w:shd w:val="clear" w:color="auto" w:fill="auto"/>
            <w:noWrap/>
            <w:hideMark/>
          </w:tcPr>
          <w:p w14:paraId="36FFC80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7 195 357</w:t>
            </w:r>
          </w:p>
        </w:tc>
      </w:tr>
      <w:tr w:rsidR="00830FA2" w:rsidRPr="00FD1578" w14:paraId="7B35B73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44B20C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42</w:t>
            </w:r>
          </w:p>
        </w:tc>
        <w:tc>
          <w:tcPr>
            <w:tcW w:w="6600" w:type="dxa"/>
            <w:tcBorders>
              <w:top w:val="nil"/>
              <w:left w:val="nil"/>
              <w:bottom w:val="single" w:sz="8" w:space="0" w:color="auto"/>
              <w:right w:val="single" w:sz="8" w:space="0" w:color="auto"/>
            </w:tcBorders>
            <w:shd w:val="clear" w:color="auto" w:fill="auto"/>
            <w:noWrap/>
            <w:hideMark/>
          </w:tcPr>
          <w:p w14:paraId="11346AA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"Piejūras slimnīca"</w:t>
            </w:r>
          </w:p>
        </w:tc>
        <w:tc>
          <w:tcPr>
            <w:tcW w:w="2121" w:type="dxa"/>
            <w:tcBorders>
              <w:top w:val="nil"/>
              <w:left w:val="nil"/>
              <w:bottom w:val="single" w:sz="8" w:space="0" w:color="auto"/>
              <w:right w:val="single" w:sz="8" w:space="0" w:color="auto"/>
            </w:tcBorders>
            <w:shd w:val="clear" w:color="auto" w:fill="auto"/>
            <w:noWrap/>
            <w:hideMark/>
          </w:tcPr>
          <w:p w14:paraId="22ED2B2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6 008 100</w:t>
            </w:r>
          </w:p>
        </w:tc>
        <w:tc>
          <w:tcPr>
            <w:tcW w:w="2121" w:type="dxa"/>
            <w:tcBorders>
              <w:top w:val="nil"/>
              <w:left w:val="nil"/>
              <w:bottom w:val="single" w:sz="8" w:space="0" w:color="auto"/>
              <w:right w:val="single" w:sz="8" w:space="0" w:color="auto"/>
            </w:tcBorders>
            <w:shd w:val="clear" w:color="auto" w:fill="auto"/>
            <w:noWrap/>
            <w:hideMark/>
          </w:tcPr>
          <w:p w14:paraId="7F9DCC8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5 994 532</w:t>
            </w:r>
          </w:p>
        </w:tc>
        <w:tc>
          <w:tcPr>
            <w:tcW w:w="2177" w:type="dxa"/>
            <w:tcBorders>
              <w:top w:val="nil"/>
              <w:left w:val="nil"/>
              <w:bottom w:val="single" w:sz="8" w:space="0" w:color="auto"/>
              <w:right w:val="single" w:sz="8" w:space="0" w:color="auto"/>
            </w:tcBorders>
            <w:shd w:val="clear" w:color="auto" w:fill="auto"/>
            <w:noWrap/>
            <w:hideMark/>
          </w:tcPr>
          <w:p w14:paraId="63BD962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13 568</w:t>
            </w:r>
          </w:p>
        </w:tc>
      </w:tr>
      <w:tr w:rsidR="00830FA2" w:rsidRPr="00FD1578" w14:paraId="4AC3EE1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6C2DED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43</w:t>
            </w:r>
          </w:p>
        </w:tc>
        <w:tc>
          <w:tcPr>
            <w:tcW w:w="6600" w:type="dxa"/>
            <w:tcBorders>
              <w:top w:val="nil"/>
              <w:left w:val="nil"/>
              <w:bottom w:val="single" w:sz="8" w:space="0" w:color="auto"/>
              <w:right w:val="single" w:sz="8" w:space="0" w:color="auto"/>
            </w:tcBorders>
            <w:shd w:val="clear" w:color="auto" w:fill="auto"/>
            <w:noWrap/>
            <w:hideMark/>
          </w:tcPr>
          <w:p w14:paraId="0CECF0D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 xml:space="preserve">SIA "Publisko aktīvu pārvaldītājs </w:t>
            </w:r>
            <w:proofErr w:type="spellStart"/>
            <w:r w:rsidRPr="00FD1578">
              <w:rPr>
                <w:rFonts w:eastAsia="Calibri" w:cs="Times New Roman"/>
                <w:sz w:val="18"/>
                <w:szCs w:val="18"/>
                <w:lang w:eastAsia="en-US"/>
              </w:rPr>
              <w:t>Possessor</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78E0748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3 708 370</w:t>
            </w:r>
          </w:p>
        </w:tc>
        <w:tc>
          <w:tcPr>
            <w:tcW w:w="2121" w:type="dxa"/>
            <w:tcBorders>
              <w:top w:val="nil"/>
              <w:left w:val="nil"/>
              <w:bottom w:val="single" w:sz="8" w:space="0" w:color="auto"/>
              <w:right w:val="single" w:sz="8" w:space="0" w:color="auto"/>
            </w:tcBorders>
            <w:shd w:val="clear" w:color="auto" w:fill="auto"/>
            <w:noWrap/>
            <w:hideMark/>
          </w:tcPr>
          <w:p w14:paraId="55E2FB4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3 615 704</w:t>
            </w:r>
          </w:p>
        </w:tc>
        <w:tc>
          <w:tcPr>
            <w:tcW w:w="2177" w:type="dxa"/>
            <w:tcBorders>
              <w:top w:val="nil"/>
              <w:left w:val="nil"/>
              <w:bottom w:val="single" w:sz="8" w:space="0" w:color="auto"/>
              <w:right w:val="single" w:sz="8" w:space="0" w:color="auto"/>
            </w:tcBorders>
            <w:shd w:val="clear" w:color="auto" w:fill="auto"/>
            <w:noWrap/>
            <w:hideMark/>
          </w:tcPr>
          <w:p w14:paraId="7FCF322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92 666</w:t>
            </w:r>
          </w:p>
        </w:tc>
      </w:tr>
      <w:tr w:rsidR="00830FA2" w:rsidRPr="00FD1578" w14:paraId="5F4809A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990CB3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44</w:t>
            </w:r>
          </w:p>
        </w:tc>
        <w:tc>
          <w:tcPr>
            <w:tcW w:w="6600" w:type="dxa"/>
            <w:tcBorders>
              <w:top w:val="nil"/>
              <w:left w:val="nil"/>
              <w:bottom w:val="single" w:sz="8" w:space="0" w:color="auto"/>
              <w:right w:val="single" w:sz="8" w:space="0" w:color="auto"/>
            </w:tcBorders>
            <w:shd w:val="clear" w:color="auto" w:fill="auto"/>
            <w:noWrap/>
            <w:hideMark/>
          </w:tcPr>
          <w:p w14:paraId="22D1741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"REAP"</w:t>
            </w:r>
          </w:p>
        </w:tc>
        <w:tc>
          <w:tcPr>
            <w:tcW w:w="2121" w:type="dxa"/>
            <w:tcBorders>
              <w:top w:val="nil"/>
              <w:left w:val="nil"/>
              <w:bottom w:val="single" w:sz="8" w:space="0" w:color="auto"/>
              <w:right w:val="single" w:sz="8" w:space="0" w:color="auto"/>
            </w:tcBorders>
            <w:shd w:val="clear" w:color="auto" w:fill="auto"/>
            <w:noWrap/>
            <w:hideMark/>
          </w:tcPr>
          <w:p w14:paraId="585F988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195 200</w:t>
            </w:r>
          </w:p>
        </w:tc>
        <w:tc>
          <w:tcPr>
            <w:tcW w:w="2121" w:type="dxa"/>
            <w:tcBorders>
              <w:top w:val="nil"/>
              <w:left w:val="nil"/>
              <w:bottom w:val="single" w:sz="8" w:space="0" w:color="auto"/>
              <w:right w:val="single" w:sz="8" w:space="0" w:color="auto"/>
            </w:tcBorders>
            <w:shd w:val="clear" w:color="auto" w:fill="auto"/>
            <w:noWrap/>
            <w:hideMark/>
          </w:tcPr>
          <w:p w14:paraId="666A7A4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195 200</w:t>
            </w:r>
          </w:p>
        </w:tc>
        <w:tc>
          <w:tcPr>
            <w:tcW w:w="2177" w:type="dxa"/>
            <w:tcBorders>
              <w:top w:val="nil"/>
              <w:left w:val="nil"/>
              <w:bottom w:val="single" w:sz="8" w:space="0" w:color="auto"/>
              <w:right w:val="single" w:sz="8" w:space="0" w:color="auto"/>
            </w:tcBorders>
            <w:shd w:val="clear" w:color="auto" w:fill="auto"/>
            <w:noWrap/>
            <w:hideMark/>
          </w:tcPr>
          <w:p w14:paraId="1DE1175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74E784D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9A7A20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45</w:t>
            </w:r>
          </w:p>
        </w:tc>
        <w:tc>
          <w:tcPr>
            <w:tcW w:w="6600" w:type="dxa"/>
            <w:tcBorders>
              <w:top w:val="nil"/>
              <w:left w:val="nil"/>
              <w:bottom w:val="single" w:sz="8" w:space="0" w:color="auto"/>
              <w:right w:val="single" w:sz="8" w:space="0" w:color="auto"/>
            </w:tcBorders>
            <w:shd w:val="clear" w:color="auto" w:fill="auto"/>
            <w:noWrap/>
            <w:hideMark/>
          </w:tcPr>
          <w:p w14:paraId="5F0026F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w:t>
            </w:r>
            <w:proofErr w:type="spellStart"/>
            <w:r w:rsidRPr="00FD1578">
              <w:rPr>
                <w:rFonts w:eastAsia="Calibri" w:cs="Times New Roman"/>
                <w:sz w:val="18"/>
                <w:szCs w:val="18"/>
                <w:lang w:eastAsia="en-US"/>
              </w:rPr>
              <w:t>Reverta</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23E3703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6755382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4B57731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7920C40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0E0D2A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46</w:t>
            </w:r>
          </w:p>
        </w:tc>
        <w:tc>
          <w:tcPr>
            <w:tcW w:w="6600" w:type="dxa"/>
            <w:tcBorders>
              <w:top w:val="nil"/>
              <w:left w:val="nil"/>
              <w:bottom w:val="single" w:sz="8" w:space="0" w:color="auto"/>
              <w:right w:val="single" w:sz="8" w:space="0" w:color="auto"/>
            </w:tcBorders>
            <w:shd w:val="clear" w:color="auto" w:fill="auto"/>
            <w:noWrap/>
            <w:hideMark/>
          </w:tcPr>
          <w:p w14:paraId="7BFE055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Austrumu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5B1FCF1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258 475 486</w:t>
            </w:r>
          </w:p>
        </w:tc>
        <w:tc>
          <w:tcPr>
            <w:tcW w:w="2121" w:type="dxa"/>
            <w:tcBorders>
              <w:top w:val="nil"/>
              <w:left w:val="nil"/>
              <w:bottom w:val="single" w:sz="8" w:space="0" w:color="auto"/>
              <w:right w:val="single" w:sz="8" w:space="0" w:color="auto"/>
            </w:tcBorders>
            <w:shd w:val="clear" w:color="auto" w:fill="auto"/>
            <w:noWrap/>
            <w:hideMark/>
          </w:tcPr>
          <w:p w14:paraId="6E599D1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255 487 968</w:t>
            </w:r>
          </w:p>
        </w:tc>
        <w:tc>
          <w:tcPr>
            <w:tcW w:w="2177" w:type="dxa"/>
            <w:tcBorders>
              <w:top w:val="nil"/>
              <w:left w:val="nil"/>
              <w:bottom w:val="single" w:sz="8" w:space="0" w:color="auto"/>
              <w:right w:val="single" w:sz="8" w:space="0" w:color="auto"/>
            </w:tcBorders>
            <w:shd w:val="clear" w:color="auto" w:fill="auto"/>
            <w:noWrap/>
            <w:hideMark/>
          </w:tcPr>
          <w:p w14:paraId="7EED855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2 987 518</w:t>
            </w:r>
          </w:p>
        </w:tc>
      </w:tr>
      <w:tr w:rsidR="00830FA2" w:rsidRPr="00FD1578" w14:paraId="36A54A3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90E0D2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47</w:t>
            </w:r>
          </w:p>
        </w:tc>
        <w:tc>
          <w:tcPr>
            <w:tcW w:w="6600" w:type="dxa"/>
            <w:tcBorders>
              <w:top w:val="nil"/>
              <w:left w:val="nil"/>
              <w:bottom w:val="single" w:sz="8" w:space="0" w:color="auto"/>
              <w:right w:val="single" w:sz="8" w:space="0" w:color="auto"/>
            </w:tcBorders>
            <w:shd w:val="clear" w:color="auto" w:fill="auto"/>
            <w:noWrap/>
            <w:hideMark/>
          </w:tcPr>
          <w:p w14:paraId="2B1B505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"Rīgas Cirks"</w:t>
            </w:r>
          </w:p>
        </w:tc>
        <w:tc>
          <w:tcPr>
            <w:tcW w:w="2121" w:type="dxa"/>
            <w:tcBorders>
              <w:top w:val="nil"/>
              <w:left w:val="nil"/>
              <w:bottom w:val="single" w:sz="8" w:space="0" w:color="auto"/>
              <w:right w:val="single" w:sz="8" w:space="0" w:color="auto"/>
            </w:tcBorders>
            <w:shd w:val="clear" w:color="auto" w:fill="auto"/>
            <w:noWrap/>
            <w:hideMark/>
          </w:tcPr>
          <w:p w14:paraId="51E5AB8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1 013 000</w:t>
            </w:r>
          </w:p>
        </w:tc>
        <w:tc>
          <w:tcPr>
            <w:tcW w:w="2121" w:type="dxa"/>
            <w:tcBorders>
              <w:top w:val="nil"/>
              <w:left w:val="nil"/>
              <w:bottom w:val="single" w:sz="8" w:space="0" w:color="auto"/>
              <w:right w:val="single" w:sz="8" w:space="0" w:color="auto"/>
            </w:tcBorders>
            <w:shd w:val="clear" w:color="auto" w:fill="auto"/>
            <w:noWrap/>
            <w:hideMark/>
          </w:tcPr>
          <w:p w14:paraId="72F1AA3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1 006 000</w:t>
            </w:r>
          </w:p>
        </w:tc>
        <w:tc>
          <w:tcPr>
            <w:tcW w:w="2177" w:type="dxa"/>
            <w:tcBorders>
              <w:top w:val="nil"/>
              <w:left w:val="nil"/>
              <w:bottom w:val="single" w:sz="8" w:space="0" w:color="auto"/>
              <w:right w:val="single" w:sz="8" w:space="0" w:color="auto"/>
            </w:tcBorders>
            <w:shd w:val="clear" w:color="auto" w:fill="auto"/>
            <w:noWrap/>
            <w:hideMark/>
          </w:tcPr>
          <w:p w14:paraId="3C1CC45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7 000</w:t>
            </w:r>
          </w:p>
        </w:tc>
      </w:tr>
      <w:tr w:rsidR="00830FA2" w:rsidRPr="00FD1578" w14:paraId="277A2B4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E1E2A6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48</w:t>
            </w:r>
          </w:p>
        </w:tc>
        <w:tc>
          <w:tcPr>
            <w:tcW w:w="6600" w:type="dxa"/>
            <w:tcBorders>
              <w:top w:val="nil"/>
              <w:left w:val="nil"/>
              <w:bottom w:val="single" w:sz="8" w:space="0" w:color="auto"/>
              <w:right w:val="single" w:sz="8" w:space="0" w:color="auto"/>
            </w:tcBorders>
            <w:shd w:val="clear" w:color="auto" w:fill="auto"/>
            <w:noWrap/>
            <w:hideMark/>
          </w:tcPr>
          <w:p w14:paraId="664D914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"Rīgas psihiatrijas un narkoloģijas centrs"</w:t>
            </w:r>
          </w:p>
        </w:tc>
        <w:tc>
          <w:tcPr>
            <w:tcW w:w="2121" w:type="dxa"/>
            <w:tcBorders>
              <w:top w:val="nil"/>
              <w:left w:val="nil"/>
              <w:bottom w:val="single" w:sz="8" w:space="0" w:color="auto"/>
              <w:right w:val="single" w:sz="8" w:space="0" w:color="auto"/>
            </w:tcBorders>
            <w:shd w:val="clear" w:color="auto" w:fill="auto"/>
            <w:noWrap/>
            <w:hideMark/>
          </w:tcPr>
          <w:p w14:paraId="48CA2A6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35 246 031</w:t>
            </w:r>
          </w:p>
        </w:tc>
        <w:tc>
          <w:tcPr>
            <w:tcW w:w="2121" w:type="dxa"/>
            <w:tcBorders>
              <w:top w:val="nil"/>
              <w:left w:val="nil"/>
              <w:bottom w:val="single" w:sz="8" w:space="0" w:color="auto"/>
              <w:right w:val="single" w:sz="8" w:space="0" w:color="auto"/>
            </w:tcBorders>
            <w:shd w:val="clear" w:color="auto" w:fill="auto"/>
            <w:noWrap/>
            <w:hideMark/>
          </w:tcPr>
          <w:p w14:paraId="0EC894D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35 246 031</w:t>
            </w:r>
          </w:p>
        </w:tc>
        <w:tc>
          <w:tcPr>
            <w:tcW w:w="2177" w:type="dxa"/>
            <w:tcBorders>
              <w:top w:val="nil"/>
              <w:left w:val="nil"/>
              <w:bottom w:val="single" w:sz="8" w:space="0" w:color="auto"/>
              <w:right w:val="single" w:sz="8" w:space="0" w:color="auto"/>
            </w:tcBorders>
            <w:shd w:val="clear" w:color="auto" w:fill="auto"/>
            <w:noWrap/>
            <w:hideMark/>
          </w:tcPr>
          <w:p w14:paraId="4001FE0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2EB8ABE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4DC18F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49</w:t>
            </w:r>
          </w:p>
        </w:tc>
        <w:tc>
          <w:tcPr>
            <w:tcW w:w="6600" w:type="dxa"/>
            <w:tcBorders>
              <w:top w:val="nil"/>
              <w:left w:val="nil"/>
              <w:bottom w:val="single" w:sz="8" w:space="0" w:color="auto"/>
              <w:right w:val="single" w:sz="8" w:space="0" w:color="auto"/>
            </w:tcBorders>
            <w:shd w:val="clear" w:color="auto" w:fill="auto"/>
            <w:noWrap/>
            <w:hideMark/>
          </w:tcPr>
          <w:p w14:paraId="5AB790F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"Rīgas Tūrisma un radošās industrijas tehnikums"</w:t>
            </w:r>
          </w:p>
        </w:tc>
        <w:tc>
          <w:tcPr>
            <w:tcW w:w="2121" w:type="dxa"/>
            <w:tcBorders>
              <w:top w:val="nil"/>
              <w:left w:val="nil"/>
              <w:bottom w:val="single" w:sz="8" w:space="0" w:color="auto"/>
              <w:right w:val="single" w:sz="8" w:space="0" w:color="auto"/>
            </w:tcBorders>
            <w:shd w:val="clear" w:color="auto" w:fill="auto"/>
            <w:noWrap/>
            <w:hideMark/>
          </w:tcPr>
          <w:p w14:paraId="4F40C1D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9 110 660</w:t>
            </w:r>
          </w:p>
        </w:tc>
        <w:tc>
          <w:tcPr>
            <w:tcW w:w="2121" w:type="dxa"/>
            <w:tcBorders>
              <w:top w:val="nil"/>
              <w:left w:val="nil"/>
              <w:bottom w:val="single" w:sz="8" w:space="0" w:color="auto"/>
              <w:right w:val="single" w:sz="8" w:space="0" w:color="auto"/>
            </w:tcBorders>
            <w:shd w:val="clear" w:color="auto" w:fill="auto"/>
            <w:noWrap/>
            <w:hideMark/>
          </w:tcPr>
          <w:p w14:paraId="025885B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8 960 981</w:t>
            </w:r>
          </w:p>
        </w:tc>
        <w:tc>
          <w:tcPr>
            <w:tcW w:w="2177" w:type="dxa"/>
            <w:tcBorders>
              <w:top w:val="nil"/>
              <w:left w:val="nil"/>
              <w:bottom w:val="single" w:sz="8" w:space="0" w:color="auto"/>
              <w:right w:val="single" w:sz="8" w:space="0" w:color="auto"/>
            </w:tcBorders>
            <w:shd w:val="clear" w:color="auto" w:fill="auto"/>
            <w:noWrap/>
            <w:hideMark/>
          </w:tcPr>
          <w:p w14:paraId="190D4FB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149 679</w:t>
            </w:r>
          </w:p>
        </w:tc>
      </w:tr>
      <w:tr w:rsidR="00830FA2" w:rsidRPr="00FD1578" w14:paraId="1054A7D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DA6934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50</w:t>
            </w:r>
          </w:p>
        </w:tc>
        <w:tc>
          <w:tcPr>
            <w:tcW w:w="6600" w:type="dxa"/>
            <w:tcBorders>
              <w:top w:val="nil"/>
              <w:left w:val="nil"/>
              <w:bottom w:val="single" w:sz="8" w:space="0" w:color="auto"/>
              <w:right w:val="single" w:sz="8" w:space="0" w:color="auto"/>
            </w:tcBorders>
            <w:shd w:val="clear" w:color="auto" w:fill="auto"/>
            <w:noWrap/>
            <w:hideMark/>
          </w:tcPr>
          <w:p w14:paraId="7A6D020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"RTU Starptautiskā zinātņu un tehnoloģiju skola"</w:t>
            </w:r>
          </w:p>
        </w:tc>
        <w:tc>
          <w:tcPr>
            <w:tcW w:w="2121" w:type="dxa"/>
            <w:tcBorders>
              <w:top w:val="nil"/>
              <w:left w:val="nil"/>
              <w:bottom w:val="single" w:sz="8" w:space="0" w:color="auto"/>
              <w:right w:val="single" w:sz="8" w:space="0" w:color="auto"/>
            </w:tcBorders>
            <w:shd w:val="clear" w:color="auto" w:fill="auto"/>
            <w:noWrap/>
            <w:hideMark/>
          </w:tcPr>
          <w:p w14:paraId="42F2B9E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1 059 325</w:t>
            </w:r>
          </w:p>
        </w:tc>
        <w:tc>
          <w:tcPr>
            <w:tcW w:w="2121" w:type="dxa"/>
            <w:tcBorders>
              <w:top w:val="nil"/>
              <w:left w:val="nil"/>
              <w:bottom w:val="single" w:sz="8" w:space="0" w:color="auto"/>
              <w:right w:val="single" w:sz="8" w:space="0" w:color="auto"/>
            </w:tcBorders>
            <w:shd w:val="clear" w:color="auto" w:fill="auto"/>
            <w:noWrap/>
            <w:hideMark/>
          </w:tcPr>
          <w:p w14:paraId="74D2AF2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952 355</w:t>
            </w:r>
          </w:p>
        </w:tc>
        <w:tc>
          <w:tcPr>
            <w:tcW w:w="2177" w:type="dxa"/>
            <w:tcBorders>
              <w:top w:val="nil"/>
              <w:left w:val="nil"/>
              <w:bottom w:val="single" w:sz="8" w:space="0" w:color="auto"/>
              <w:right w:val="single" w:sz="8" w:space="0" w:color="auto"/>
            </w:tcBorders>
            <w:shd w:val="clear" w:color="auto" w:fill="auto"/>
            <w:noWrap/>
            <w:hideMark/>
          </w:tcPr>
          <w:p w14:paraId="51965C0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106 970</w:t>
            </w:r>
          </w:p>
        </w:tc>
      </w:tr>
      <w:tr w:rsidR="00830FA2" w:rsidRPr="00FD1578" w14:paraId="3788342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AB7F19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51</w:t>
            </w:r>
          </w:p>
        </w:tc>
        <w:tc>
          <w:tcPr>
            <w:tcW w:w="6600" w:type="dxa"/>
            <w:tcBorders>
              <w:top w:val="nil"/>
              <w:left w:val="nil"/>
              <w:bottom w:val="single" w:sz="8" w:space="0" w:color="auto"/>
              <w:right w:val="single" w:sz="8" w:space="0" w:color="auto"/>
            </w:tcBorders>
            <w:shd w:val="clear" w:color="auto" w:fill="auto"/>
            <w:noWrap/>
            <w:hideMark/>
          </w:tcPr>
          <w:p w14:paraId="1DBD26A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Starptautiskā Rakstnieku un tulkotāju māja"</w:t>
            </w:r>
          </w:p>
        </w:tc>
        <w:tc>
          <w:tcPr>
            <w:tcW w:w="2121" w:type="dxa"/>
            <w:tcBorders>
              <w:top w:val="nil"/>
              <w:left w:val="nil"/>
              <w:bottom w:val="single" w:sz="8" w:space="0" w:color="auto"/>
              <w:right w:val="single" w:sz="8" w:space="0" w:color="auto"/>
            </w:tcBorders>
            <w:shd w:val="clear" w:color="auto" w:fill="auto"/>
            <w:noWrap/>
            <w:hideMark/>
          </w:tcPr>
          <w:p w14:paraId="7C815A0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748 315</w:t>
            </w:r>
          </w:p>
        </w:tc>
        <w:tc>
          <w:tcPr>
            <w:tcW w:w="2121" w:type="dxa"/>
            <w:tcBorders>
              <w:top w:val="nil"/>
              <w:left w:val="nil"/>
              <w:bottom w:val="single" w:sz="8" w:space="0" w:color="auto"/>
              <w:right w:val="single" w:sz="8" w:space="0" w:color="auto"/>
            </w:tcBorders>
            <w:shd w:val="clear" w:color="auto" w:fill="auto"/>
            <w:noWrap/>
            <w:hideMark/>
          </w:tcPr>
          <w:p w14:paraId="09673AE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748 171</w:t>
            </w:r>
          </w:p>
        </w:tc>
        <w:tc>
          <w:tcPr>
            <w:tcW w:w="2177" w:type="dxa"/>
            <w:tcBorders>
              <w:top w:val="nil"/>
              <w:left w:val="nil"/>
              <w:bottom w:val="single" w:sz="8" w:space="0" w:color="auto"/>
              <w:right w:val="single" w:sz="8" w:space="0" w:color="auto"/>
            </w:tcBorders>
            <w:shd w:val="clear" w:color="auto" w:fill="auto"/>
            <w:noWrap/>
            <w:hideMark/>
          </w:tcPr>
          <w:p w14:paraId="584A5AB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144</w:t>
            </w:r>
          </w:p>
        </w:tc>
      </w:tr>
      <w:tr w:rsidR="00830FA2" w:rsidRPr="00FD1578" w14:paraId="1F05B34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F45325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52</w:t>
            </w:r>
          </w:p>
        </w:tc>
        <w:tc>
          <w:tcPr>
            <w:tcW w:w="6600" w:type="dxa"/>
            <w:tcBorders>
              <w:top w:val="nil"/>
              <w:left w:val="nil"/>
              <w:bottom w:val="single" w:sz="8" w:space="0" w:color="auto"/>
              <w:right w:val="single" w:sz="8" w:space="0" w:color="auto"/>
            </w:tcBorders>
            <w:shd w:val="clear" w:color="auto" w:fill="auto"/>
            <w:noWrap/>
            <w:hideMark/>
          </w:tcPr>
          <w:p w14:paraId="1CA9886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"Strenču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2EE2ABD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11 017 600</w:t>
            </w:r>
          </w:p>
        </w:tc>
        <w:tc>
          <w:tcPr>
            <w:tcW w:w="2121" w:type="dxa"/>
            <w:tcBorders>
              <w:top w:val="nil"/>
              <w:left w:val="nil"/>
              <w:bottom w:val="single" w:sz="8" w:space="0" w:color="auto"/>
              <w:right w:val="single" w:sz="8" w:space="0" w:color="auto"/>
            </w:tcBorders>
            <w:shd w:val="clear" w:color="auto" w:fill="auto"/>
            <w:noWrap/>
            <w:hideMark/>
          </w:tcPr>
          <w:p w14:paraId="48E80BF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10 572 950</w:t>
            </w:r>
          </w:p>
        </w:tc>
        <w:tc>
          <w:tcPr>
            <w:tcW w:w="2177" w:type="dxa"/>
            <w:tcBorders>
              <w:top w:val="nil"/>
              <w:left w:val="nil"/>
              <w:bottom w:val="single" w:sz="8" w:space="0" w:color="auto"/>
              <w:right w:val="single" w:sz="8" w:space="0" w:color="auto"/>
            </w:tcBorders>
            <w:shd w:val="clear" w:color="auto" w:fill="auto"/>
            <w:noWrap/>
            <w:hideMark/>
          </w:tcPr>
          <w:p w14:paraId="091FAB9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444 650</w:t>
            </w:r>
          </w:p>
        </w:tc>
      </w:tr>
      <w:tr w:rsidR="00830FA2" w:rsidRPr="00FD1578" w14:paraId="57929B2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8BC010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53</w:t>
            </w:r>
          </w:p>
        </w:tc>
        <w:tc>
          <w:tcPr>
            <w:tcW w:w="6600" w:type="dxa"/>
            <w:tcBorders>
              <w:top w:val="nil"/>
              <w:left w:val="nil"/>
              <w:bottom w:val="single" w:sz="8" w:space="0" w:color="auto"/>
              <w:right w:val="single" w:sz="8" w:space="0" w:color="auto"/>
            </w:tcBorders>
            <w:shd w:val="clear" w:color="auto" w:fill="auto"/>
            <w:noWrap/>
            <w:hideMark/>
          </w:tcPr>
          <w:p w14:paraId="1F7FB5D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"Šampētera nams"</w:t>
            </w:r>
          </w:p>
        </w:tc>
        <w:tc>
          <w:tcPr>
            <w:tcW w:w="2121" w:type="dxa"/>
            <w:tcBorders>
              <w:top w:val="nil"/>
              <w:left w:val="nil"/>
              <w:bottom w:val="single" w:sz="8" w:space="0" w:color="auto"/>
              <w:right w:val="single" w:sz="8" w:space="0" w:color="auto"/>
            </w:tcBorders>
            <w:shd w:val="clear" w:color="auto" w:fill="auto"/>
            <w:noWrap/>
            <w:hideMark/>
          </w:tcPr>
          <w:p w14:paraId="016FEC9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2 795 660</w:t>
            </w:r>
          </w:p>
        </w:tc>
        <w:tc>
          <w:tcPr>
            <w:tcW w:w="2121" w:type="dxa"/>
            <w:tcBorders>
              <w:top w:val="nil"/>
              <w:left w:val="nil"/>
              <w:bottom w:val="single" w:sz="8" w:space="0" w:color="auto"/>
              <w:right w:val="single" w:sz="8" w:space="0" w:color="auto"/>
            </w:tcBorders>
            <w:shd w:val="clear" w:color="auto" w:fill="auto"/>
            <w:noWrap/>
            <w:hideMark/>
          </w:tcPr>
          <w:p w14:paraId="3DD3735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2 769 744</w:t>
            </w:r>
          </w:p>
        </w:tc>
        <w:tc>
          <w:tcPr>
            <w:tcW w:w="2177" w:type="dxa"/>
            <w:tcBorders>
              <w:top w:val="nil"/>
              <w:left w:val="nil"/>
              <w:bottom w:val="single" w:sz="8" w:space="0" w:color="auto"/>
              <w:right w:val="single" w:sz="8" w:space="0" w:color="auto"/>
            </w:tcBorders>
            <w:shd w:val="clear" w:color="auto" w:fill="auto"/>
            <w:noWrap/>
            <w:hideMark/>
          </w:tcPr>
          <w:p w14:paraId="73FD4D7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25 916</w:t>
            </w:r>
          </w:p>
        </w:tc>
      </w:tr>
      <w:tr w:rsidR="00830FA2" w:rsidRPr="00FD1578" w14:paraId="2E4E4A0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E5668C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54</w:t>
            </w:r>
          </w:p>
        </w:tc>
        <w:tc>
          <w:tcPr>
            <w:tcW w:w="6600" w:type="dxa"/>
            <w:tcBorders>
              <w:top w:val="nil"/>
              <w:left w:val="nil"/>
              <w:bottom w:val="single" w:sz="8" w:space="0" w:color="auto"/>
              <w:right w:val="single" w:sz="8" w:space="0" w:color="auto"/>
            </w:tcBorders>
            <w:shd w:val="clear" w:color="auto" w:fill="auto"/>
            <w:noWrap/>
            <w:hideMark/>
          </w:tcPr>
          <w:p w14:paraId="43FD823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"Tiesu namu aģentūra"</w:t>
            </w:r>
          </w:p>
        </w:tc>
        <w:tc>
          <w:tcPr>
            <w:tcW w:w="2121" w:type="dxa"/>
            <w:tcBorders>
              <w:top w:val="nil"/>
              <w:left w:val="nil"/>
              <w:bottom w:val="single" w:sz="8" w:space="0" w:color="auto"/>
              <w:right w:val="single" w:sz="8" w:space="0" w:color="auto"/>
            </w:tcBorders>
            <w:shd w:val="clear" w:color="auto" w:fill="auto"/>
            <w:noWrap/>
            <w:hideMark/>
          </w:tcPr>
          <w:p w14:paraId="6F784F9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9 250 000</w:t>
            </w:r>
          </w:p>
        </w:tc>
        <w:tc>
          <w:tcPr>
            <w:tcW w:w="2121" w:type="dxa"/>
            <w:tcBorders>
              <w:top w:val="nil"/>
              <w:left w:val="nil"/>
              <w:bottom w:val="single" w:sz="8" w:space="0" w:color="auto"/>
              <w:right w:val="single" w:sz="8" w:space="0" w:color="auto"/>
            </w:tcBorders>
            <w:shd w:val="clear" w:color="auto" w:fill="auto"/>
            <w:noWrap/>
            <w:hideMark/>
          </w:tcPr>
          <w:p w14:paraId="7593349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7 538 000</w:t>
            </w:r>
          </w:p>
        </w:tc>
        <w:tc>
          <w:tcPr>
            <w:tcW w:w="2177" w:type="dxa"/>
            <w:tcBorders>
              <w:top w:val="nil"/>
              <w:left w:val="nil"/>
              <w:bottom w:val="single" w:sz="8" w:space="0" w:color="auto"/>
              <w:right w:val="single" w:sz="8" w:space="0" w:color="auto"/>
            </w:tcBorders>
            <w:shd w:val="clear" w:color="auto" w:fill="auto"/>
            <w:noWrap/>
            <w:hideMark/>
          </w:tcPr>
          <w:p w14:paraId="2B56718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1 712 000</w:t>
            </w:r>
          </w:p>
        </w:tc>
      </w:tr>
      <w:tr w:rsidR="00830FA2" w:rsidRPr="00FD1578" w14:paraId="12D84A1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C7B677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55</w:t>
            </w:r>
          </w:p>
        </w:tc>
        <w:tc>
          <w:tcPr>
            <w:tcW w:w="6600" w:type="dxa"/>
            <w:tcBorders>
              <w:top w:val="nil"/>
              <w:left w:val="nil"/>
              <w:bottom w:val="single" w:sz="8" w:space="0" w:color="auto"/>
              <w:right w:val="single" w:sz="8" w:space="0" w:color="auto"/>
            </w:tcBorders>
            <w:shd w:val="clear" w:color="auto" w:fill="auto"/>
            <w:noWrap/>
            <w:hideMark/>
          </w:tcPr>
          <w:p w14:paraId="753CB6B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"Traumatoloģijas un ortopēdijas slimnīca"</w:t>
            </w:r>
          </w:p>
        </w:tc>
        <w:tc>
          <w:tcPr>
            <w:tcW w:w="2121" w:type="dxa"/>
            <w:tcBorders>
              <w:top w:val="nil"/>
              <w:left w:val="nil"/>
              <w:bottom w:val="single" w:sz="8" w:space="0" w:color="auto"/>
              <w:right w:val="single" w:sz="8" w:space="0" w:color="auto"/>
            </w:tcBorders>
            <w:shd w:val="clear" w:color="auto" w:fill="auto"/>
            <w:noWrap/>
            <w:hideMark/>
          </w:tcPr>
          <w:p w14:paraId="353A61B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34 414 641</w:t>
            </w:r>
          </w:p>
        </w:tc>
        <w:tc>
          <w:tcPr>
            <w:tcW w:w="2121" w:type="dxa"/>
            <w:tcBorders>
              <w:top w:val="nil"/>
              <w:left w:val="nil"/>
              <w:bottom w:val="single" w:sz="8" w:space="0" w:color="auto"/>
              <w:right w:val="single" w:sz="8" w:space="0" w:color="auto"/>
            </w:tcBorders>
            <w:shd w:val="clear" w:color="auto" w:fill="auto"/>
            <w:noWrap/>
            <w:hideMark/>
          </w:tcPr>
          <w:p w14:paraId="1BC2D3F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34 175 010</w:t>
            </w:r>
          </w:p>
        </w:tc>
        <w:tc>
          <w:tcPr>
            <w:tcW w:w="2177" w:type="dxa"/>
            <w:tcBorders>
              <w:top w:val="nil"/>
              <w:left w:val="nil"/>
              <w:bottom w:val="single" w:sz="8" w:space="0" w:color="auto"/>
              <w:right w:val="single" w:sz="8" w:space="0" w:color="auto"/>
            </w:tcBorders>
            <w:shd w:val="clear" w:color="auto" w:fill="auto"/>
            <w:noWrap/>
            <w:hideMark/>
          </w:tcPr>
          <w:p w14:paraId="1C4B611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239 631</w:t>
            </w:r>
          </w:p>
        </w:tc>
      </w:tr>
      <w:tr w:rsidR="00830FA2" w:rsidRPr="00FD1578" w14:paraId="3F2DEBF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0E9FC1B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56</w:t>
            </w:r>
          </w:p>
        </w:tc>
        <w:tc>
          <w:tcPr>
            <w:tcW w:w="6600" w:type="dxa"/>
            <w:tcBorders>
              <w:top w:val="nil"/>
              <w:left w:val="nil"/>
              <w:bottom w:val="single" w:sz="8" w:space="0" w:color="auto"/>
              <w:right w:val="single" w:sz="8" w:space="0" w:color="auto"/>
            </w:tcBorders>
            <w:shd w:val="clear" w:color="auto" w:fill="auto"/>
            <w:noWrap/>
          </w:tcPr>
          <w:p w14:paraId="21D7E732"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VSIA "Nacionālais rehabilitācijas centrs "Vaivari""</w:t>
            </w:r>
          </w:p>
        </w:tc>
        <w:tc>
          <w:tcPr>
            <w:tcW w:w="2121" w:type="dxa"/>
            <w:tcBorders>
              <w:top w:val="nil"/>
              <w:left w:val="nil"/>
              <w:bottom w:val="single" w:sz="8" w:space="0" w:color="auto"/>
              <w:right w:val="single" w:sz="8" w:space="0" w:color="auto"/>
            </w:tcBorders>
            <w:shd w:val="clear" w:color="auto" w:fill="auto"/>
            <w:noWrap/>
          </w:tcPr>
          <w:p w14:paraId="72CD2ED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28 887 636</w:t>
            </w:r>
          </w:p>
        </w:tc>
        <w:tc>
          <w:tcPr>
            <w:tcW w:w="2121" w:type="dxa"/>
            <w:tcBorders>
              <w:top w:val="nil"/>
              <w:left w:val="nil"/>
              <w:bottom w:val="single" w:sz="8" w:space="0" w:color="auto"/>
              <w:right w:val="single" w:sz="8" w:space="0" w:color="auto"/>
            </w:tcBorders>
            <w:shd w:val="clear" w:color="auto" w:fill="auto"/>
            <w:noWrap/>
          </w:tcPr>
          <w:p w14:paraId="448B11D3"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28 069 527</w:t>
            </w:r>
          </w:p>
        </w:tc>
        <w:tc>
          <w:tcPr>
            <w:tcW w:w="2177" w:type="dxa"/>
            <w:tcBorders>
              <w:top w:val="nil"/>
              <w:left w:val="nil"/>
              <w:bottom w:val="single" w:sz="8" w:space="0" w:color="auto"/>
              <w:right w:val="single" w:sz="8" w:space="0" w:color="auto"/>
            </w:tcBorders>
            <w:shd w:val="clear" w:color="auto" w:fill="auto"/>
            <w:noWrap/>
          </w:tcPr>
          <w:p w14:paraId="2637A126"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818 109</w:t>
            </w:r>
          </w:p>
        </w:tc>
      </w:tr>
      <w:tr w:rsidR="00830FA2" w:rsidRPr="00FD1578" w14:paraId="1405753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FC1852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57</w:t>
            </w:r>
          </w:p>
        </w:tc>
        <w:tc>
          <w:tcPr>
            <w:tcW w:w="6600" w:type="dxa"/>
            <w:tcBorders>
              <w:top w:val="nil"/>
              <w:left w:val="nil"/>
              <w:bottom w:val="single" w:sz="8" w:space="0" w:color="auto"/>
              <w:right w:val="single" w:sz="8" w:space="0" w:color="auto"/>
            </w:tcBorders>
            <w:shd w:val="clear" w:color="auto" w:fill="auto"/>
            <w:noWrap/>
          </w:tcPr>
          <w:p w14:paraId="1E1DBB4E"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VSIA "Valmieras drāmas teātris"</w:t>
            </w:r>
          </w:p>
        </w:tc>
        <w:tc>
          <w:tcPr>
            <w:tcW w:w="2121" w:type="dxa"/>
            <w:tcBorders>
              <w:top w:val="nil"/>
              <w:left w:val="nil"/>
              <w:bottom w:val="single" w:sz="8" w:space="0" w:color="auto"/>
              <w:right w:val="single" w:sz="8" w:space="0" w:color="auto"/>
            </w:tcBorders>
            <w:shd w:val="clear" w:color="auto" w:fill="auto"/>
            <w:noWrap/>
          </w:tcPr>
          <w:p w14:paraId="75A75129"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992 152</w:t>
            </w:r>
          </w:p>
        </w:tc>
        <w:tc>
          <w:tcPr>
            <w:tcW w:w="2121" w:type="dxa"/>
            <w:tcBorders>
              <w:top w:val="nil"/>
              <w:left w:val="nil"/>
              <w:bottom w:val="single" w:sz="8" w:space="0" w:color="auto"/>
              <w:right w:val="single" w:sz="8" w:space="0" w:color="auto"/>
            </w:tcBorders>
            <w:shd w:val="clear" w:color="auto" w:fill="auto"/>
            <w:noWrap/>
          </w:tcPr>
          <w:p w14:paraId="2EE18A15"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923 729</w:t>
            </w:r>
          </w:p>
        </w:tc>
        <w:tc>
          <w:tcPr>
            <w:tcW w:w="2177" w:type="dxa"/>
            <w:tcBorders>
              <w:top w:val="nil"/>
              <w:left w:val="nil"/>
              <w:bottom w:val="single" w:sz="8" w:space="0" w:color="auto"/>
              <w:right w:val="single" w:sz="8" w:space="0" w:color="auto"/>
            </w:tcBorders>
            <w:shd w:val="clear" w:color="auto" w:fill="auto"/>
            <w:noWrap/>
          </w:tcPr>
          <w:p w14:paraId="1D7B089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68 423</w:t>
            </w:r>
          </w:p>
        </w:tc>
      </w:tr>
      <w:tr w:rsidR="00830FA2" w:rsidRPr="00FD1578" w14:paraId="6009B1C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06E186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58</w:t>
            </w:r>
          </w:p>
        </w:tc>
        <w:tc>
          <w:tcPr>
            <w:tcW w:w="6600" w:type="dxa"/>
            <w:tcBorders>
              <w:top w:val="nil"/>
              <w:left w:val="nil"/>
              <w:bottom w:val="single" w:sz="8" w:space="0" w:color="auto"/>
              <w:right w:val="single" w:sz="8" w:space="0" w:color="auto"/>
            </w:tcBorders>
            <w:shd w:val="clear" w:color="auto" w:fill="auto"/>
            <w:noWrap/>
          </w:tcPr>
          <w:p w14:paraId="0AAA9FA1"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"Valsts aizsardzības korporācijas"</w:t>
            </w:r>
          </w:p>
        </w:tc>
        <w:tc>
          <w:tcPr>
            <w:tcW w:w="2121" w:type="dxa"/>
            <w:tcBorders>
              <w:top w:val="nil"/>
              <w:left w:val="nil"/>
              <w:bottom w:val="single" w:sz="8" w:space="0" w:color="auto"/>
              <w:right w:val="single" w:sz="8" w:space="0" w:color="auto"/>
            </w:tcBorders>
            <w:shd w:val="clear" w:color="auto" w:fill="auto"/>
            <w:noWrap/>
          </w:tcPr>
          <w:p w14:paraId="4EBA9B29"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tcPr>
          <w:p w14:paraId="67DF4C2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tcPr>
          <w:p w14:paraId="7C7999AE"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0</w:t>
            </w:r>
          </w:p>
        </w:tc>
      </w:tr>
      <w:tr w:rsidR="00830FA2" w:rsidRPr="00FD1578" w14:paraId="6AAD783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6EF60C0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59</w:t>
            </w:r>
          </w:p>
        </w:tc>
        <w:tc>
          <w:tcPr>
            <w:tcW w:w="6600" w:type="dxa"/>
            <w:tcBorders>
              <w:top w:val="nil"/>
              <w:left w:val="nil"/>
              <w:bottom w:val="single" w:sz="8" w:space="0" w:color="auto"/>
              <w:right w:val="single" w:sz="8" w:space="0" w:color="auto"/>
            </w:tcBorders>
            <w:shd w:val="clear" w:color="auto" w:fill="auto"/>
            <w:noWrap/>
          </w:tcPr>
          <w:p w14:paraId="7037BE6E"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AS "Valsts nekustamie īpašumi"</w:t>
            </w:r>
          </w:p>
        </w:tc>
        <w:tc>
          <w:tcPr>
            <w:tcW w:w="2121" w:type="dxa"/>
            <w:tcBorders>
              <w:top w:val="nil"/>
              <w:left w:val="nil"/>
              <w:bottom w:val="single" w:sz="8" w:space="0" w:color="auto"/>
              <w:right w:val="single" w:sz="8" w:space="0" w:color="auto"/>
            </w:tcBorders>
            <w:shd w:val="clear" w:color="auto" w:fill="auto"/>
            <w:noWrap/>
          </w:tcPr>
          <w:p w14:paraId="25917F2B"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46 943 934</w:t>
            </w:r>
          </w:p>
        </w:tc>
        <w:tc>
          <w:tcPr>
            <w:tcW w:w="2121" w:type="dxa"/>
            <w:tcBorders>
              <w:top w:val="nil"/>
              <w:left w:val="nil"/>
              <w:bottom w:val="single" w:sz="8" w:space="0" w:color="auto"/>
              <w:right w:val="single" w:sz="8" w:space="0" w:color="auto"/>
            </w:tcBorders>
            <w:shd w:val="clear" w:color="auto" w:fill="auto"/>
            <w:noWrap/>
          </w:tcPr>
          <w:p w14:paraId="59C85C2D"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51 872 175</w:t>
            </w:r>
          </w:p>
        </w:tc>
        <w:tc>
          <w:tcPr>
            <w:tcW w:w="2177" w:type="dxa"/>
            <w:tcBorders>
              <w:top w:val="nil"/>
              <w:left w:val="nil"/>
              <w:bottom w:val="single" w:sz="8" w:space="0" w:color="auto"/>
              <w:right w:val="single" w:sz="8" w:space="0" w:color="auto"/>
            </w:tcBorders>
            <w:shd w:val="clear" w:color="auto" w:fill="auto"/>
            <w:noWrap/>
          </w:tcPr>
          <w:p w14:paraId="76851617"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-4 928 241</w:t>
            </w:r>
          </w:p>
        </w:tc>
      </w:tr>
      <w:tr w:rsidR="00830FA2" w:rsidRPr="00FD1578" w14:paraId="432D08D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1BE9228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60</w:t>
            </w:r>
          </w:p>
        </w:tc>
        <w:tc>
          <w:tcPr>
            <w:tcW w:w="6600" w:type="dxa"/>
            <w:tcBorders>
              <w:top w:val="nil"/>
              <w:left w:val="nil"/>
              <w:bottom w:val="single" w:sz="8" w:space="0" w:color="auto"/>
              <w:right w:val="single" w:sz="8" w:space="0" w:color="auto"/>
            </w:tcBorders>
            <w:shd w:val="clear" w:color="auto" w:fill="auto"/>
            <w:noWrap/>
          </w:tcPr>
          <w:p w14:paraId="59DD90DE"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"Vides investīciju fonds"</w:t>
            </w:r>
          </w:p>
        </w:tc>
        <w:tc>
          <w:tcPr>
            <w:tcW w:w="2121" w:type="dxa"/>
            <w:tcBorders>
              <w:top w:val="nil"/>
              <w:left w:val="nil"/>
              <w:bottom w:val="single" w:sz="8" w:space="0" w:color="auto"/>
              <w:right w:val="single" w:sz="8" w:space="0" w:color="auto"/>
            </w:tcBorders>
            <w:shd w:val="clear" w:color="auto" w:fill="auto"/>
            <w:noWrap/>
          </w:tcPr>
          <w:p w14:paraId="240B84F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1 232 459</w:t>
            </w:r>
          </w:p>
        </w:tc>
        <w:tc>
          <w:tcPr>
            <w:tcW w:w="2121" w:type="dxa"/>
            <w:tcBorders>
              <w:top w:val="nil"/>
              <w:left w:val="nil"/>
              <w:bottom w:val="single" w:sz="8" w:space="0" w:color="auto"/>
              <w:right w:val="single" w:sz="8" w:space="0" w:color="auto"/>
            </w:tcBorders>
            <w:shd w:val="clear" w:color="auto" w:fill="auto"/>
            <w:noWrap/>
          </w:tcPr>
          <w:p w14:paraId="68F8DC4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1 218 267</w:t>
            </w:r>
          </w:p>
        </w:tc>
        <w:tc>
          <w:tcPr>
            <w:tcW w:w="2177" w:type="dxa"/>
            <w:tcBorders>
              <w:top w:val="nil"/>
              <w:left w:val="nil"/>
              <w:bottom w:val="single" w:sz="8" w:space="0" w:color="auto"/>
              <w:right w:val="single" w:sz="8" w:space="0" w:color="auto"/>
            </w:tcBorders>
            <w:shd w:val="clear" w:color="auto" w:fill="auto"/>
            <w:noWrap/>
          </w:tcPr>
          <w:p w14:paraId="2E27AD3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14 192</w:t>
            </w:r>
          </w:p>
        </w:tc>
      </w:tr>
      <w:tr w:rsidR="00830FA2" w:rsidRPr="00FD1578" w14:paraId="09001E5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31BA3073"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lastRenderedPageBreak/>
              <w:t>61</w:t>
            </w:r>
          </w:p>
        </w:tc>
        <w:tc>
          <w:tcPr>
            <w:tcW w:w="6600" w:type="dxa"/>
            <w:tcBorders>
              <w:top w:val="nil"/>
              <w:left w:val="nil"/>
              <w:bottom w:val="single" w:sz="8" w:space="0" w:color="auto"/>
              <w:right w:val="single" w:sz="8" w:space="0" w:color="auto"/>
            </w:tcBorders>
            <w:shd w:val="clear" w:color="auto" w:fill="auto"/>
            <w:noWrap/>
          </w:tcPr>
          <w:p w14:paraId="4EE172A9"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VSIA "Zemkopības ministrijas nekustamie īpašumi"</w:t>
            </w:r>
          </w:p>
        </w:tc>
        <w:tc>
          <w:tcPr>
            <w:tcW w:w="2121" w:type="dxa"/>
            <w:tcBorders>
              <w:top w:val="nil"/>
              <w:left w:val="nil"/>
              <w:bottom w:val="single" w:sz="8" w:space="0" w:color="auto"/>
              <w:right w:val="single" w:sz="8" w:space="0" w:color="auto"/>
            </w:tcBorders>
            <w:shd w:val="clear" w:color="auto" w:fill="auto"/>
            <w:noWrap/>
          </w:tcPr>
          <w:p w14:paraId="39F890CA"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3 742 587</w:t>
            </w:r>
          </w:p>
        </w:tc>
        <w:tc>
          <w:tcPr>
            <w:tcW w:w="2121" w:type="dxa"/>
            <w:tcBorders>
              <w:top w:val="nil"/>
              <w:left w:val="nil"/>
              <w:bottom w:val="single" w:sz="8" w:space="0" w:color="auto"/>
              <w:right w:val="single" w:sz="8" w:space="0" w:color="auto"/>
            </w:tcBorders>
            <w:shd w:val="clear" w:color="auto" w:fill="auto"/>
            <w:noWrap/>
          </w:tcPr>
          <w:p w14:paraId="0FD7759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3 825 261</w:t>
            </w:r>
          </w:p>
        </w:tc>
        <w:tc>
          <w:tcPr>
            <w:tcW w:w="2177" w:type="dxa"/>
            <w:tcBorders>
              <w:top w:val="nil"/>
              <w:left w:val="nil"/>
              <w:bottom w:val="single" w:sz="8" w:space="0" w:color="auto"/>
              <w:right w:val="single" w:sz="8" w:space="0" w:color="auto"/>
            </w:tcBorders>
            <w:shd w:val="clear" w:color="auto" w:fill="auto"/>
            <w:noWrap/>
          </w:tcPr>
          <w:p w14:paraId="57C70463"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-82 674</w:t>
            </w:r>
          </w:p>
        </w:tc>
      </w:tr>
      <w:tr w:rsidR="00830FA2" w:rsidRPr="00FD1578" w14:paraId="53091C16" w14:textId="77777777" w:rsidTr="001D67A3">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649890F2"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S130330</w:t>
            </w:r>
          </w:p>
        </w:tc>
        <w:tc>
          <w:tcPr>
            <w:tcW w:w="6600" w:type="dxa"/>
            <w:tcBorders>
              <w:top w:val="nil"/>
              <w:left w:val="nil"/>
              <w:bottom w:val="single" w:sz="8" w:space="0" w:color="auto"/>
              <w:right w:val="single" w:sz="8" w:space="0" w:color="auto"/>
            </w:tcBorders>
            <w:shd w:val="clear" w:color="000000" w:fill="DDEBF7"/>
            <w:noWrap/>
            <w:vAlign w:val="center"/>
            <w:hideMark/>
          </w:tcPr>
          <w:p w14:paraId="4BFD8D9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Pašvaldības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592DFFD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54BC01F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4BA34E8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r>
      <w:tr w:rsidR="00830FA2" w:rsidRPr="00FD1578" w14:paraId="4C9A459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F875FE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62</w:t>
            </w:r>
          </w:p>
        </w:tc>
        <w:tc>
          <w:tcPr>
            <w:tcW w:w="6600" w:type="dxa"/>
            <w:tcBorders>
              <w:top w:val="nil"/>
              <w:left w:val="nil"/>
              <w:bottom w:val="single" w:sz="8" w:space="0" w:color="auto"/>
              <w:right w:val="single" w:sz="8" w:space="0" w:color="auto"/>
            </w:tcBorders>
            <w:shd w:val="clear" w:color="auto" w:fill="auto"/>
            <w:noWrap/>
            <w:hideMark/>
          </w:tcPr>
          <w:p w14:paraId="277791B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Aviasabiedrība</w:t>
            </w:r>
            <w:proofErr w:type="spellEnd"/>
            <w:r w:rsidRPr="00FD1578">
              <w:rPr>
                <w:rFonts w:eastAsia="Calibri" w:cs="Times New Roman"/>
                <w:sz w:val="18"/>
                <w:szCs w:val="18"/>
                <w:lang w:eastAsia="en-US"/>
              </w:rPr>
              <w:t xml:space="preserve"> "Liepāja""</w:t>
            </w:r>
          </w:p>
        </w:tc>
        <w:tc>
          <w:tcPr>
            <w:tcW w:w="2121" w:type="dxa"/>
            <w:tcBorders>
              <w:top w:val="nil"/>
              <w:left w:val="nil"/>
              <w:bottom w:val="single" w:sz="8" w:space="0" w:color="auto"/>
              <w:right w:val="single" w:sz="8" w:space="0" w:color="auto"/>
            </w:tcBorders>
            <w:shd w:val="clear" w:color="auto" w:fill="auto"/>
            <w:noWrap/>
            <w:hideMark/>
          </w:tcPr>
          <w:p w14:paraId="311ED18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1 801 604</w:t>
            </w:r>
          </w:p>
        </w:tc>
        <w:tc>
          <w:tcPr>
            <w:tcW w:w="2121" w:type="dxa"/>
            <w:tcBorders>
              <w:top w:val="nil"/>
              <w:left w:val="nil"/>
              <w:bottom w:val="single" w:sz="8" w:space="0" w:color="auto"/>
              <w:right w:val="single" w:sz="8" w:space="0" w:color="auto"/>
            </w:tcBorders>
            <w:shd w:val="clear" w:color="auto" w:fill="auto"/>
            <w:noWrap/>
            <w:hideMark/>
          </w:tcPr>
          <w:p w14:paraId="065A22E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1 484 035</w:t>
            </w:r>
          </w:p>
        </w:tc>
        <w:tc>
          <w:tcPr>
            <w:tcW w:w="2177" w:type="dxa"/>
            <w:tcBorders>
              <w:top w:val="nil"/>
              <w:left w:val="nil"/>
              <w:bottom w:val="single" w:sz="8" w:space="0" w:color="auto"/>
              <w:right w:val="single" w:sz="8" w:space="0" w:color="auto"/>
            </w:tcBorders>
            <w:shd w:val="clear" w:color="auto" w:fill="auto"/>
            <w:noWrap/>
            <w:hideMark/>
          </w:tcPr>
          <w:p w14:paraId="4AF8F9F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317 569</w:t>
            </w:r>
          </w:p>
        </w:tc>
      </w:tr>
      <w:tr w:rsidR="00830FA2" w:rsidRPr="00FD1578" w14:paraId="1ACFDDC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56D331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63</w:t>
            </w:r>
          </w:p>
        </w:tc>
        <w:tc>
          <w:tcPr>
            <w:tcW w:w="6600" w:type="dxa"/>
            <w:tcBorders>
              <w:top w:val="nil"/>
              <w:left w:val="nil"/>
              <w:bottom w:val="single" w:sz="8" w:space="0" w:color="auto"/>
              <w:right w:val="single" w:sz="8" w:space="0" w:color="auto"/>
            </w:tcBorders>
            <w:shd w:val="clear" w:color="auto" w:fill="auto"/>
            <w:noWrap/>
            <w:hideMark/>
          </w:tcPr>
          <w:p w14:paraId="594D9C6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Cēsu</w:t>
            </w:r>
            <w:proofErr w:type="spellEnd"/>
            <w:r w:rsidRPr="00FD1578">
              <w:rPr>
                <w:rFonts w:eastAsia="Calibri" w:cs="Times New Roman"/>
                <w:sz w:val="18"/>
                <w:szCs w:val="18"/>
                <w:lang w:eastAsia="en-US"/>
              </w:rPr>
              <w:t xml:space="preserve"> klīnika"</w:t>
            </w:r>
          </w:p>
        </w:tc>
        <w:tc>
          <w:tcPr>
            <w:tcW w:w="2121" w:type="dxa"/>
            <w:tcBorders>
              <w:top w:val="nil"/>
              <w:left w:val="nil"/>
              <w:bottom w:val="single" w:sz="8" w:space="0" w:color="auto"/>
              <w:right w:val="single" w:sz="8" w:space="0" w:color="auto"/>
            </w:tcBorders>
            <w:shd w:val="clear" w:color="auto" w:fill="auto"/>
            <w:noWrap/>
            <w:hideMark/>
          </w:tcPr>
          <w:p w14:paraId="1176B56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11 200 000</w:t>
            </w:r>
          </w:p>
        </w:tc>
        <w:tc>
          <w:tcPr>
            <w:tcW w:w="2121" w:type="dxa"/>
            <w:tcBorders>
              <w:top w:val="nil"/>
              <w:left w:val="nil"/>
              <w:bottom w:val="single" w:sz="8" w:space="0" w:color="auto"/>
              <w:right w:val="single" w:sz="8" w:space="0" w:color="auto"/>
            </w:tcBorders>
            <w:shd w:val="clear" w:color="auto" w:fill="auto"/>
            <w:noWrap/>
            <w:hideMark/>
          </w:tcPr>
          <w:p w14:paraId="1218EB0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11 200 000</w:t>
            </w:r>
          </w:p>
        </w:tc>
        <w:tc>
          <w:tcPr>
            <w:tcW w:w="2177" w:type="dxa"/>
            <w:tcBorders>
              <w:top w:val="nil"/>
              <w:left w:val="nil"/>
              <w:bottom w:val="single" w:sz="8" w:space="0" w:color="auto"/>
              <w:right w:val="single" w:sz="8" w:space="0" w:color="auto"/>
            </w:tcBorders>
            <w:shd w:val="clear" w:color="auto" w:fill="auto"/>
            <w:noWrap/>
            <w:hideMark/>
          </w:tcPr>
          <w:p w14:paraId="60FE675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0</w:t>
            </w:r>
          </w:p>
        </w:tc>
      </w:tr>
      <w:tr w:rsidR="00830FA2" w:rsidRPr="00FD1578" w14:paraId="111838D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37C25B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64</w:t>
            </w:r>
          </w:p>
        </w:tc>
        <w:tc>
          <w:tcPr>
            <w:tcW w:w="6600" w:type="dxa"/>
            <w:tcBorders>
              <w:top w:val="nil"/>
              <w:left w:val="nil"/>
              <w:bottom w:val="single" w:sz="8" w:space="0" w:color="auto"/>
              <w:right w:val="single" w:sz="8" w:space="0" w:color="auto"/>
            </w:tcBorders>
            <w:shd w:val="clear" w:color="auto" w:fill="auto"/>
            <w:noWrap/>
            <w:hideMark/>
          </w:tcPr>
          <w:p w14:paraId="3CBE973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"Daugavpils bērnu veselības centrs"</w:t>
            </w:r>
          </w:p>
        </w:tc>
        <w:tc>
          <w:tcPr>
            <w:tcW w:w="2121" w:type="dxa"/>
            <w:tcBorders>
              <w:top w:val="nil"/>
              <w:left w:val="nil"/>
              <w:bottom w:val="single" w:sz="8" w:space="0" w:color="auto"/>
              <w:right w:val="single" w:sz="8" w:space="0" w:color="auto"/>
            </w:tcBorders>
            <w:shd w:val="clear" w:color="auto" w:fill="auto"/>
            <w:noWrap/>
            <w:hideMark/>
          </w:tcPr>
          <w:p w14:paraId="76BC27B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2 899 850</w:t>
            </w:r>
          </w:p>
        </w:tc>
        <w:tc>
          <w:tcPr>
            <w:tcW w:w="2121" w:type="dxa"/>
            <w:tcBorders>
              <w:top w:val="nil"/>
              <w:left w:val="nil"/>
              <w:bottom w:val="single" w:sz="8" w:space="0" w:color="auto"/>
              <w:right w:val="single" w:sz="8" w:space="0" w:color="auto"/>
            </w:tcBorders>
            <w:shd w:val="clear" w:color="auto" w:fill="auto"/>
            <w:noWrap/>
            <w:hideMark/>
          </w:tcPr>
          <w:p w14:paraId="2B4C98A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2 877 500</w:t>
            </w:r>
          </w:p>
        </w:tc>
        <w:tc>
          <w:tcPr>
            <w:tcW w:w="2177" w:type="dxa"/>
            <w:tcBorders>
              <w:top w:val="nil"/>
              <w:left w:val="nil"/>
              <w:bottom w:val="single" w:sz="8" w:space="0" w:color="auto"/>
              <w:right w:val="single" w:sz="8" w:space="0" w:color="auto"/>
            </w:tcBorders>
            <w:shd w:val="clear" w:color="auto" w:fill="auto"/>
            <w:noWrap/>
            <w:hideMark/>
          </w:tcPr>
          <w:p w14:paraId="3489449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22 350</w:t>
            </w:r>
          </w:p>
        </w:tc>
      </w:tr>
      <w:tr w:rsidR="00830FA2" w:rsidRPr="00FD1578" w14:paraId="72C07CD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949FCA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65</w:t>
            </w:r>
          </w:p>
        </w:tc>
        <w:tc>
          <w:tcPr>
            <w:tcW w:w="6600" w:type="dxa"/>
            <w:tcBorders>
              <w:top w:val="nil"/>
              <w:left w:val="nil"/>
              <w:bottom w:val="single" w:sz="8" w:space="0" w:color="auto"/>
              <w:right w:val="single" w:sz="8" w:space="0" w:color="auto"/>
            </w:tcBorders>
            <w:shd w:val="clear" w:color="auto" w:fill="auto"/>
            <w:noWrap/>
            <w:hideMark/>
          </w:tcPr>
          <w:p w14:paraId="566E7D5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"Daugavpils reģionālā slimnīca"</w:t>
            </w:r>
          </w:p>
        </w:tc>
        <w:tc>
          <w:tcPr>
            <w:tcW w:w="2121" w:type="dxa"/>
            <w:tcBorders>
              <w:top w:val="nil"/>
              <w:left w:val="nil"/>
              <w:bottom w:val="single" w:sz="8" w:space="0" w:color="auto"/>
              <w:right w:val="single" w:sz="8" w:space="0" w:color="auto"/>
            </w:tcBorders>
            <w:shd w:val="clear" w:color="auto" w:fill="auto"/>
            <w:noWrap/>
            <w:hideMark/>
          </w:tcPr>
          <w:p w14:paraId="67CC4BC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62 562 711</w:t>
            </w:r>
          </w:p>
        </w:tc>
        <w:tc>
          <w:tcPr>
            <w:tcW w:w="2121" w:type="dxa"/>
            <w:tcBorders>
              <w:top w:val="nil"/>
              <w:left w:val="nil"/>
              <w:bottom w:val="single" w:sz="8" w:space="0" w:color="auto"/>
              <w:right w:val="single" w:sz="8" w:space="0" w:color="auto"/>
            </w:tcBorders>
            <w:shd w:val="clear" w:color="auto" w:fill="auto"/>
            <w:noWrap/>
            <w:hideMark/>
          </w:tcPr>
          <w:p w14:paraId="2384CA5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61 354 318</w:t>
            </w:r>
          </w:p>
        </w:tc>
        <w:tc>
          <w:tcPr>
            <w:tcW w:w="2177" w:type="dxa"/>
            <w:tcBorders>
              <w:top w:val="nil"/>
              <w:left w:val="nil"/>
              <w:bottom w:val="single" w:sz="8" w:space="0" w:color="auto"/>
              <w:right w:val="single" w:sz="8" w:space="0" w:color="auto"/>
            </w:tcBorders>
            <w:shd w:val="clear" w:color="auto" w:fill="auto"/>
            <w:noWrap/>
            <w:hideMark/>
          </w:tcPr>
          <w:p w14:paraId="385367C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1 208 393</w:t>
            </w:r>
          </w:p>
        </w:tc>
      </w:tr>
      <w:tr w:rsidR="00830FA2" w:rsidRPr="00FD1578" w14:paraId="536C17B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D82AF4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66</w:t>
            </w:r>
          </w:p>
        </w:tc>
        <w:tc>
          <w:tcPr>
            <w:tcW w:w="6600" w:type="dxa"/>
            <w:tcBorders>
              <w:top w:val="nil"/>
              <w:left w:val="nil"/>
              <w:bottom w:val="single" w:sz="8" w:space="0" w:color="auto"/>
              <w:right w:val="single" w:sz="8" w:space="0" w:color="auto"/>
            </w:tcBorders>
            <w:shd w:val="clear" w:color="auto" w:fill="auto"/>
            <w:noWrap/>
            <w:hideMark/>
          </w:tcPr>
          <w:p w14:paraId="798C23C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"Daugavpils satiksme"</w:t>
            </w:r>
          </w:p>
        </w:tc>
        <w:tc>
          <w:tcPr>
            <w:tcW w:w="2121" w:type="dxa"/>
            <w:tcBorders>
              <w:top w:val="nil"/>
              <w:left w:val="nil"/>
              <w:bottom w:val="single" w:sz="8" w:space="0" w:color="auto"/>
              <w:right w:val="single" w:sz="8" w:space="0" w:color="auto"/>
            </w:tcBorders>
            <w:shd w:val="clear" w:color="auto" w:fill="auto"/>
            <w:noWrap/>
            <w:hideMark/>
          </w:tcPr>
          <w:p w14:paraId="10450DA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14 665 739</w:t>
            </w:r>
          </w:p>
        </w:tc>
        <w:tc>
          <w:tcPr>
            <w:tcW w:w="2121" w:type="dxa"/>
            <w:tcBorders>
              <w:top w:val="nil"/>
              <w:left w:val="nil"/>
              <w:bottom w:val="single" w:sz="8" w:space="0" w:color="auto"/>
              <w:right w:val="single" w:sz="8" w:space="0" w:color="auto"/>
            </w:tcBorders>
            <w:shd w:val="clear" w:color="auto" w:fill="auto"/>
            <w:noWrap/>
            <w:hideMark/>
          </w:tcPr>
          <w:p w14:paraId="442914B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13 834 485</w:t>
            </w:r>
          </w:p>
        </w:tc>
        <w:tc>
          <w:tcPr>
            <w:tcW w:w="2177" w:type="dxa"/>
            <w:tcBorders>
              <w:top w:val="nil"/>
              <w:left w:val="nil"/>
              <w:bottom w:val="single" w:sz="8" w:space="0" w:color="auto"/>
              <w:right w:val="single" w:sz="8" w:space="0" w:color="auto"/>
            </w:tcBorders>
            <w:shd w:val="clear" w:color="auto" w:fill="auto"/>
            <w:noWrap/>
            <w:hideMark/>
          </w:tcPr>
          <w:p w14:paraId="770D4710"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831 254</w:t>
            </w:r>
          </w:p>
        </w:tc>
      </w:tr>
      <w:tr w:rsidR="00830FA2" w:rsidRPr="00FD1578" w14:paraId="274BA05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4D5A3E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67</w:t>
            </w:r>
          </w:p>
        </w:tc>
        <w:tc>
          <w:tcPr>
            <w:tcW w:w="6600" w:type="dxa"/>
            <w:tcBorders>
              <w:top w:val="nil"/>
              <w:left w:val="nil"/>
              <w:bottom w:val="single" w:sz="8" w:space="0" w:color="auto"/>
              <w:right w:val="single" w:sz="8" w:space="0" w:color="auto"/>
            </w:tcBorders>
            <w:shd w:val="clear" w:color="auto" w:fill="auto"/>
            <w:noWrap/>
            <w:hideMark/>
          </w:tcPr>
          <w:p w14:paraId="42FE0DD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"Dobeles un apkārtnes slimnīca"</w:t>
            </w:r>
          </w:p>
        </w:tc>
        <w:tc>
          <w:tcPr>
            <w:tcW w:w="2121" w:type="dxa"/>
            <w:tcBorders>
              <w:top w:val="nil"/>
              <w:left w:val="nil"/>
              <w:bottom w:val="single" w:sz="8" w:space="0" w:color="auto"/>
              <w:right w:val="single" w:sz="8" w:space="0" w:color="auto"/>
            </w:tcBorders>
            <w:shd w:val="clear" w:color="auto" w:fill="auto"/>
            <w:noWrap/>
            <w:hideMark/>
          </w:tcPr>
          <w:p w14:paraId="2765D60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7 856 161</w:t>
            </w:r>
          </w:p>
        </w:tc>
        <w:tc>
          <w:tcPr>
            <w:tcW w:w="2121" w:type="dxa"/>
            <w:tcBorders>
              <w:top w:val="nil"/>
              <w:left w:val="nil"/>
              <w:bottom w:val="single" w:sz="8" w:space="0" w:color="auto"/>
              <w:right w:val="single" w:sz="8" w:space="0" w:color="auto"/>
            </w:tcBorders>
            <w:shd w:val="clear" w:color="auto" w:fill="auto"/>
            <w:noWrap/>
            <w:hideMark/>
          </w:tcPr>
          <w:p w14:paraId="08D0E47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7 852 117</w:t>
            </w:r>
          </w:p>
        </w:tc>
        <w:tc>
          <w:tcPr>
            <w:tcW w:w="2177" w:type="dxa"/>
            <w:tcBorders>
              <w:top w:val="nil"/>
              <w:left w:val="nil"/>
              <w:bottom w:val="single" w:sz="8" w:space="0" w:color="auto"/>
              <w:right w:val="single" w:sz="8" w:space="0" w:color="auto"/>
            </w:tcBorders>
            <w:shd w:val="clear" w:color="auto" w:fill="auto"/>
            <w:noWrap/>
            <w:hideMark/>
          </w:tcPr>
          <w:p w14:paraId="50D8C6B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4 044</w:t>
            </w:r>
          </w:p>
        </w:tc>
      </w:tr>
      <w:tr w:rsidR="00830FA2" w:rsidRPr="00FD1578" w14:paraId="664A533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B52DEE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68</w:t>
            </w:r>
          </w:p>
        </w:tc>
        <w:tc>
          <w:tcPr>
            <w:tcW w:w="6600" w:type="dxa"/>
            <w:tcBorders>
              <w:top w:val="nil"/>
              <w:left w:val="nil"/>
              <w:bottom w:val="single" w:sz="8" w:space="0" w:color="auto"/>
              <w:right w:val="single" w:sz="8" w:space="0" w:color="auto"/>
            </w:tcBorders>
            <w:shd w:val="clear" w:color="auto" w:fill="auto"/>
            <w:noWrap/>
            <w:hideMark/>
          </w:tcPr>
          <w:p w14:paraId="553D3D3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"Jelgavas pilsētas slimnīca"</w:t>
            </w:r>
          </w:p>
        </w:tc>
        <w:tc>
          <w:tcPr>
            <w:tcW w:w="2121" w:type="dxa"/>
            <w:tcBorders>
              <w:top w:val="nil"/>
              <w:left w:val="nil"/>
              <w:bottom w:val="single" w:sz="8" w:space="0" w:color="auto"/>
              <w:right w:val="single" w:sz="8" w:space="0" w:color="auto"/>
            </w:tcBorders>
            <w:shd w:val="clear" w:color="auto" w:fill="auto"/>
            <w:noWrap/>
            <w:hideMark/>
          </w:tcPr>
          <w:p w14:paraId="296190B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18 256 443</w:t>
            </w:r>
          </w:p>
        </w:tc>
        <w:tc>
          <w:tcPr>
            <w:tcW w:w="2121" w:type="dxa"/>
            <w:tcBorders>
              <w:top w:val="nil"/>
              <w:left w:val="nil"/>
              <w:bottom w:val="single" w:sz="8" w:space="0" w:color="auto"/>
              <w:right w:val="single" w:sz="8" w:space="0" w:color="auto"/>
            </w:tcBorders>
            <w:shd w:val="clear" w:color="auto" w:fill="auto"/>
            <w:noWrap/>
            <w:hideMark/>
          </w:tcPr>
          <w:p w14:paraId="1EFA79E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17 605 255</w:t>
            </w:r>
          </w:p>
        </w:tc>
        <w:tc>
          <w:tcPr>
            <w:tcW w:w="2177" w:type="dxa"/>
            <w:tcBorders>
              <w:top w:val="nil"/>
              <w:left w:val="nil"/>
              <w:bottom w:val="single" w:sz="8" w:space="0" w:color="auto"/>
              <w:right w:val="single" w:sz="8" w:space="0" w:color="auto"/>
            </w:tcBorders>
            <w:shd w:val="clear" w:color="auto" w:fill="auto"/>
            <w:noWrap/>
            <w:hideMark/>
          </w:tcPr>
          <w:p w14:paraId="0A2270B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651 188</w:t>
            </w:r>
          </w:p>
        </w:tc>
      </w:tr>
      <w:tr w:rsidR="00830FA2" w:rsidRPr="00FD1578" w14:paraId="366BA60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C66B30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69</w:t>
            </w:r>
          </w:p>
        </w:tc>
        <w:tc>
          <w:tcPr>
            <w:tcW w:w="6600" w:type="dxa"/>
            <w:tcBorders>
              <w:top w:val="nil"/>
              <w:left w:val="nil"/>
              <w:bottom w:val="single" w:sz="8" w:space="0" w:color="auto"/>
              <w:right w:val="single" w:sz="8" w:space="0" w:color="auto"/>
            </w:tcBorders>
            <w:shd w:val="clear" w:color="auto" w:fill="auto"/>
            <w:noWrap/>
            <w:hideMark/>
          </w:tcPr>
          <w:p w14:paraId="1AEE014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"Jēkabpils reģionālā slimnīca"</w:t>
            </w:r>
          </w:p>
        </w:tc>
        <w:tc>
          <w:tcPr>
            <w:tcW w:w="2121" w:type="dxa"/>
            <w:tcBorders>
              <w:top w:val="nil"/>
              <w:left w:val="nil"/>
              <w:bottom w:val="single" w:sz="8" w:space="0" w:color="auto"/>
              <w:right w:val="single" w:sz="8" w:space="0" w:color="auto"/>
            </w:tcBorders>
            <w:shd w:val="clear" w:color="auto" w:fill="auto"/>
            <w:noWrap/>
            <w:hideMark/>
          </w:tcPr>
          <w:p w14:paraId="37B411C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21 357 469</w:t>
            </w:r>
          </w:p>
        </w:tc>
        <w:tc>
          <w:tcPr>
            <w:tcW w:w="2121" w:type="dxa"/>
            <w:tcBorders>
              <w:top w:val="nil"/>
              <w:left w:val="nil"/>
              <w:bottom w:val="single" w:sz="8" w:space="0" w:color="auto"/>
              <w:right w:val="single" w:sz="8" w:space="0" w:color="auto"/>
            </w:tcBorders>
            <w:shd w:val="clear" w:color="auto" w:fill="auto"/>
            <w:noWrap/>
            <w:hideMark/>
          </w:tcPr>
          <w:p w14:paraId="121AEB5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21 088 100</w:t>
            </w:r>
          </w:p>
        </w:tc>
        <w:tc>
          <w:tcPr>
            <w:tcW w:w="2177" w:type="dxa"/>
            <w:tcBorders>
              <w:top w:val="nil"/>
              <w:left w:val="nil"/>
              <w:bottom w:val="single" w:sz="8" w:space="0" w:color="auto"/>
              <w:right w:val="single" w:sz="8" w:space="0" w:color="auto"/>
            </w:tcBorders>
            <w:shd w:val="clear" w:color="auto" w:fill="auto"/>
            <w:noWrap/>
            <w:hideMark/>
          </w:tcPr>
          <w:p w14:paraId="2DC33F9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269 369</w:t>
            </w:r>
          </w:p>
        </w:tc>
      </w:tr>
      <w:tr w:rsidR="00830FA2" w:rsidRPr="00FD1578" w14:paraId="332223C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ACC2A8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70</w:t>
            </w:r>
          </w:p>
        </w:tc>
        <w:tc>
          <w:tcPr>
            <w:tcW w:w="6600" w:type="dxa"/>
            <w:tcBorders>
              <w:top w:val="nil"/>
              <w:left w:val="nil"/>
              <w:bottom w:val="single" w:sz="8" w:space="0" w:color="auto"/>
              <w:right w:val="single" w:sz="8" w:space="0" w:color="auto"/>
            </w:tcBorders>
            <w:shd w:val="clear" w:color="auto" w:fill="auto"/>
            <w:noWrap/>
            <w:hideMark/>
          </w:tcPr>
          <w:p w14:paraId="6588B01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"Jūrmalas slimnīca"</w:t>
            </w:r>
          </w:p>
        </w:tc>
        <w:tc>
          <w:tcPr>
            <w:tcW w:w="2121" w:type="dxa"/>
            <w:tcBorders>
              <w:top w:val="nil"/>
              <w:left w:val="nil"/>
              <w:bottom w:val="single" w:sz="8" w:space="0" w:color="auto"/>
              <w:right w:val="single" w:sz="8" w:space="0" w:color="auto"/>
            </w:tcBorders>
            <w:shd w:val="clear" w:color="auto" w:fill="auto"/>
            <w:noWrap/>
            <w:hideMark/>
          </w:tcPr>
          <w:p w14:paraId="47D973B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12 392 441</w:t>
            </w:r>
          </w:p>
        </w:tc>
        <w:tc>
          <w:tcPr>
            <w:tcW w:w="2121" w:type="dxa"/>
            <w:tcBorders>
              <w:top w:val="nil"/>
              <w:left w:val="nil"/>
              <w:bottom w:val="single" w:sz="8" w:space="0" w:color="auto"/>
              <w:right w:val="single" w:sz="8" w:space="0" w:color="auto"/>
            </w:tcBorders>
            <w:shd w:val="clear" w:color="auto" w:fill="auto"/>
            <w:noWrap/>
            <w:hideMark/>
          </w:tcPr>
          <w:p w14:paraId="7C3A421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10 471 515</w:t>
            </w:r>
          </w:p>
        </w:tc>
        <w:tc>
          <w:tcPr>
            <w:tcW w:w="2177" w:type="dxa"/>
            <w:tcBorders>
              <w:top w:val="nil"/>
              <w:left w:val="nil"/>
              <w:bottom w:val="single" w:sz="8" w:space="0" w:color="auto"/>
              <w:right w:val="single" w:sz="8" w:space="0" w:color="auto"/>
            </w:tcBorders>
            <w:shd w:val="clear" w:color="auto" w:fill="auto"/>
            <w:noWrap/>
            <w:hideMark/>
          </w:tcPr>
          <w:p w14:paraId="62069F8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1 920 926</w:t>
            </w:r>
          </w:p>
        </w:tc>
      </w:tr>
      <w:tr w:rsidR="00830FA2" w:rsidRPr="00FD1578" w14:paraId="6B2F4A0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FC281A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71</w:t>
            </w:r>
          </w:p>
        </w:tc>
        <w:tc>
          <w:tcPr>
            <w:tcW w:w="6600" w:type="dxa"/>
            <w:tcBorders>
              <w:top w:val="nil"/>
              <w:left w:val="nil"/>
              <w:bottom w:val="single" w:sz="8" w:space="0" w:color="auto"/>
              <w:right w:val="single" w:sz="8" w:space="0" w:color="auto"/>
            </w:tcBorders>
            <w:shd w:val="clear" w:color="auto" w:fill="auto"/>
            <w:noWrap/>
            <w:hideMark/>
          </w:tcPr>
          <w:p w14:paraId="23F5862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"Kuldīgas slimnīca"</w:t>
            </w:r>
          </w:p>
        </w:tc>
        <w:tc>
          <w:tcPr>
            <w:tcW w:w="2121" w:type="dxa"/>
            <w:tcBorders>
              <w:top w:val="nil"/>
              <w:left w:val="nil"/>
              <w:bottom w:val="single" w:sz="8" w:space="0" w:color="auto"/>
              <w:right w:val="single" w:sz="8" w:space="0" w:color="auto"/>
            </w:tcBorders>
            <w:shd w:val="clear" w:color="auto" w:fill="auto"/>
            <w:noWrap/>
            <w:hideMark/>
          </w:tcPr>
          <w:p w14:paraId="1D28DB9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13 093 622</w:t>
            </w:r>
          </w:p>
        </w:tc>
        <w:tc>
          <w:tcPr>
            <w:tcW w:w="2121" w:type="dxa"/>
            <w:tcBorders>
              <w:top w:val="nil"/>
              <w:left w:val="nil"/>
              <w:bottom w:val="single" w:sz="8" w:space="0" w:color="auto"/>
              <w:right w:val="single" w:sz="8" w:space="0" w:color="auto"/>
            </w:tcBorders>
            <w:shd w:val="clear" w:color="auto" w:fill="auto"/>
            <w:noWrap/>
            <w:hideMark/>
          </w:tcPr>
          <w:p w14:paraId="437C092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12 623 690</w:t>
            </w:r>
          </w:p>
        </w:tc>
        <w:tc>
          <w:tcPr>
            <w:tcW w:w="2177" w:type="dxa"/>
            <w:tcBorders>
              <w:top w:val="nil"/>
              <w:left w:val="nil"/>
              <w:bottom w:val="single" w:sz="8" w:space="0" w:color="auto"/>
              <w:right w:val="single" w:sz="8" w:space="0" w:color="auto"/>
            </w:tcBorders>
            <w:shd w:val="clear" w:color="auto" w:fill="auto"/>
            <w:noWrap/>
            <w:hideMark/>
          </w:tcPr>
          <w:p w14:paraId="08777E2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469 932</w:t>
            </w:r>
          </w:p>
        </w:tc>
      </w:tr>
      <w:tr w:rsidR="00830FA2" w:rsidRPr="00FD1578" w14:paraId="723C819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036C5C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72</w:t>
            </w:r>
          </w:p>
        </w:tc>
        <w:tc>
          <w:tcPr>
            <w:tcW w:w="6600" w:type="dxa"/>
            <w:tcBorders>
              <w:top w:val="nil"/>
              <w:left w:val="nil"/>
              <w:bottom w:val="single" w:sz="8" w:space="0" w:color="auto"/>
              <w:right w:val="single" w:sz="8" w:space="0" w:color="auto"/>
            </w:tcBorders>
            <w:shd w:val="clear" w:color="auto" w:fill="auto"/>
            <w:noWrap/>
            <w:hideMark/>
          </w:tcPr>
          <w:p w14:paraId="204F479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"Liepājas Olimpiskais Centrs"</w:t>
            </w:r>
          </w:p>
        </w:tc>
        <w:tc>
          <w:tcPr>
            <w:tcW w:w="2121" w:type="dxa"/>
            <w:tcBorders>
              <w:top w:val="nil"/>
              <w:left w:val="nil"/>
              <w:bottom w:val="single" w:sz="8" w:space="0" w:color="auto"/>
              <w:right w:val="single" w:sz="8" w:space="0" w:color="auto"/>
            </w:tcBorders>
            <w:shd w:val="clear" w:color="auto" w:fill="auto"/>
            <w:noWrap/>
            <w:hideMark/>
          </w:tcPr>
          <w:p w14:paraId="1C79C72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3 398 801</w:t>
            </w:r>
          </w:p>
        </w:tc>
        <w:tc>
          <w:tcPr>
            <w:tcW w:w="2121" w:type="dxa"/>
            <w:tcBorders>
              <w:top w:val="nil"/>
              <w:left w:val="nil"/>
              <w:bottom w:val="single" w:sz="8" w:space="0" w:color="auto"/>
              <w:right w:val="single" w:sz="8" w:space="0" w:color="auto"/>
            </w:tcBorders>
            <w:shd w:val="clear" w:color="auto" w:fill="auto"/>
            <w:noWrap/>
            <w:hideMark/>
          </w:tcPr>
          <w:p w14:paraId="06D989C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2 619 842</w:t>
            </w:r>
          </w:p>
        </w:tc>
        <w:tc>
          <w:tcPr>
            <w:tcW w:w="2177" w:type="dxa"/>
            <w:tcBorders>
              <w:top w:val="nil"/>
              <w:left w:val="nil"/>
              <w:bottom w:val="single" w:sz="8" w:space="0" w:color="auto"/>
              <w:right w:val="single" w:sz="8" w:space="0" w:color="auto"/>
            </w:tcBorders>
            <w:shd w:val="clear" w:color="auto" w:fill="auto"/>
            <w:noWrap/>
            <w:hideMark/>
          </w:tcPr>
          <w:p w14:paraId="62870E4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778 959</w:t>
            </w:r>
          </w:p>
        </w:tc>
      </w:tr>
      <w:tr w:rsidR="00830FA2" w:rsidRPr="00FD1578" w14:paraId="6A00802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644E4C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73</w:t>
            </w:r>
          </w:p>
        </w:tc>
        <w:tc>
          <w:tcPr>
            <w:tcW w:w="6600" w:type="dxa"/>
            <w:tcBorders>
              <w:top w:val="nil"/>
              <w:left w:val="nil"/>
              <w:bottom w:val="single" w:sz="8" w:space="0" w:color="auto"/>
              <w:right w:val="single" w:sz="8" w:space="0" w:color="auto"/>
            </w:tcBorders>
            <w:shd w:val="clear" w:color="auto" w:fill="auto"/>
            <w:noWrap/>
            <w:hideMark/>
          </w:tcPr>
          <w:p w14:paraId="6C09C5F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"Liepājas reģionālā slimnīca"</w:t>
            </w:r>
          </w:p>
        </w:tc>
        <w:tc>
          <w:tcPr>
            <w:tcW w:w="2121" w:type="dxa"/>
            <w:tcBorders>
              <w:top w:val="nil"/>
              <w:left w:val="nil"/>
              <w:bottom w:val="single" w:sz="8" w:space="0" w:color="auto"/>
              <w:right w:val="single" w:sz="8" w:space="0" w:color="auto"/>
            </w:tcBorders>
            <w:shd w:val="clear" w:color="auto" w:fill="auto"/>
            <w:noWrap/>
            <w:hideMark/>
          </w:tcPr>
          <w:p w14:paraId="4DFC717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43 876 850</w:t>
            </w:r>
          </w:p>
        </w:tc>
        <w:tc>
          <w:tcPr>
            <w:tcW w:w="2121" w:type="dxa"/>
            <w:tcBorders>
              <w:top w:val="nil"/>
              <w:left w:val="nil"/>
              <w:bottom w:val="single" w:sz="8" w:space="0" w:color="auto"/>
              <w:right w:val="single" w:sz="8" w:space="0" w:color="auto"/>
            </w:tcBorders>
            <w:shd w:val="clear" w:color="auto" w:fill="auto"/>
            <w:noWrap/>
            <w:hideMark/>
          </w:tcPr>
          <w:p w14:paraId="689AC3D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43 614 634</w:t>
            </w:r>
          </w:p>
        </w:tc>
        <w:tc>
          <w:tcPr>
            <w:tcW w:w="2177" w:type="dxa"/>
            <w:tcBorders>
              <w:top w:val="nil"/>
              <w:left w:val="nil"/>
              <w:bottom w:val="single" w:sz="8" w:space="0" w:color="auto"/>
              <w:right w:val="single" w:sz="8" w:space="0" w:color="auto"/>
            </w:tcBorders>
            <w:shd w:val="clear" w:color="auto" w:fill="auto"/>
            <w:noWrap/>
            <w:hideMark/>
          </w:tcPr>
          <w:p w14:paraId="145708F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262 216</w:t>
            </w:r>
          </w:p>
        </w:tc>
      </w:tr>
      <w:tr w:rsidR="00830FA2" w:rsidRPr="00FD1578" w14:paraId="7B05D3F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040C1B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74</w:t>
            </w:r>
          </w:p>
        </w:tc>
        <w:tc>
          <w:tcPr>
            <w:tcW w:w="6600" w:type="dxa"/>
            <w:tcBorders>
              <w:top w:val="nil"/>
              <w:left w:val="nil"/>
              <w:bottom w:val="single" w:sz="8" w:space="0" w:color="auto"/>
              <w:right w:val="single" w:sz="8" w:space="0" w:color="auto"/>
            </w:tcBorders>
            <w:shd w:val="clear" w:color="auto" w:fill="auto"/>
            <w:noWrap/>
            <w:hideMark/>
          </w:tcPr>
          <w:p w14:paraId="3F536A4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"Liepājas tramvajs"</w:t>
            </w:r>
          </w:p>
        </w:tc>
        <w:tc>
          <w:tcPr>
            <w:tcW w:w="2121" w:type="dxa"/>
            <w:tcBorders>
              <w:top w:val="nil"/>
              <w:left w:val="nil"/>
              <w:bottom w:val="single" w:sz="8" w:space="0" w:color="auto"/>
              <w:right w:val="single" w:sz="8" w:space="0" w:color="auto"/>
            </w:tcBorders>
            <w:shd w:val="clear" w:color="auto" w:fill="auto"/>
            <w:noWrap/>
            <w:hideMark/>
          </w:tcPr>
          <w:p w14:paraId="7E20405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2 700 000</w:t>
            </w:r>
          </w:p>
        </w:tc>
        <w:tc>
          <w:tcPr>
            <w:tcW w:w="2121" w:type="dxa"/>
            <w:tcBorders>
              <w:top w:val="nil"/>
              <w:left w:val="nil"/>
              <w:bottom w:val="single" w:sz="8" w:space="0" w:color="auto"/>
              <w:right w:val="single" w:sz="8" w:space="0" w:color="auto"/>
            </w:tcBorders>
            <w:shd w:val="clear" w:color="auto" w:fill="auto"/>
            <w:noWrap/>
            <w:hideMark/>
          </w:tcPr>
          <w:p w14:paraId="365125B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2 649 000</w:t>
            </w:r>
          </w:p>
        </w:tc>
        <w:tc>
          <w:tcPr>
            <w:tcW w:w="2177" w:type="dxa"/>
            <w:tcBorders>
              <w:top w:val="nil"/>
              <w:left w:val="nil"/>
              <w:bottom w:val="single" w:sz="8" w:space="0" w:color="auto"/>
              <w:right w:val="single" w:sz="8" w:space="0" w:color="auto"/>
            </w:tcBorders>
            <w:shd w:val="clear" w:color="auto" w:fill="auto"/>
            <w:noWrap/>
            <w:hideMark/>
          </w:tcPr>
          <w:p w14:paraId="621FDA4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51 000</w:t>
            </w:r>
          </w:p>
        </w:tc>
      </w:tr>
      <w:tr w:rsidR="00830FA2" w:rsidRPr="00FD1578" w14:paraId="5A2FB15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9A1CCC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75</w:t>
            </w:r>
          </w:p>
        </w:tc>
        <w:tc>
          <w:tcPr>
            <w:tcW w:w="6600" w:type="dxa"/>
            <w:tcBorders>
              <w:top w:val="nil"/>
              <w:left w:val="nil"/>
              <w:bottom w:val="single" w:sz="8" w:space="0" w:color="auto"/>
              <w:right w:val="single" w:sz="8" w:space="0" w:color="auto"/>
            </w:tcBorders>
            <w:shd w:val="clear" w:color="auto" w:fill="auto"/>
            <w:noWrap/>
            <w:hideMark/>
          </w:tcPr>
          <w:p w14:paraId="3F3AAA1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"Madonas slimnīca"</w:t>
            </w:r>
          </w:p>
        </w:tc>
        <w:tc>
          <w:tcPr>
            <w:tcW w:w="2121" w:type="dxa"/>
            <w:tcBorders>
              <w:top w:val="nil"/>
              <w:left w:val="nil"/>
              <w:bottom w:val="single" w:sz="8" w:space="0" w:color="auto"/>
              <w:right w:val="single" w:sz="8" w:space="0" w:color="auto"/>
            </w:tcBorders>
            <w:shd w:val="clear" w:color="auto" w:fill="auto"/>
            <w:noWrap/>
            <w:hideMark/>
          </w:tcPr>
          <w:p w14:paraId="489D0BF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14 500 000</w:t>
            </w:r>
          </w:p>
        </w:tc>
        <w:tc>
          <w:tcPr>
            <w:tcW w:w="2121" w:type="dxa"/>
            <w:tcBorders>
              <w:top w:val="nil"/>
              <w:left w:val="nil"/>
              <w:bottom w:val="single" w:sz="8" w:space="0" w:color="auto"/>
              <w:right w:val="single" w:sz="8" w:space="0" w:color="auto"/>
            </w:tcBorders>
            <w:shd w:val="clear" w:color="auto" w:fill="auto"/>
            <w:noWrap/>
            <w:hideMark/>
          </w:tcPr>
          <w:p w14:paraId="4BE14FC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14 429 730</w:t>
            </w:r>
          </w:p>
        </w:tc>
        <w:tc>
          <w:tcPr>
            <w:tcW w:w="2177" w:type="dxa"/>
            <w:tcBorders>
              <w:top w:val="nil"/>
              <w:left w:val="nil"/>
              <w:bottom w:val="single" w:sz="8" w:space="0" w:color="auto"/>
              <w:right w:val="single" w:sz="8" w:space="0" w:color="auto"/>
            </w:tcBorders>
            <w:shd w:val="clear" w:color="auto" w:fill="auto"/>
            <w:noWrap/>
            <w:hideMark/>
          </w:tcPr>
          <w:p w14:paraId="1DBF97C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70 270</w:t>
            </w:r>
          </w:p>
        </w:tc>
      </w:tr>
      <w:tr w:rsidR="00830FA2" w:rsidRPr="00FD1578" w14:paraId="1EBB918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2B3724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76</w:t>
            </w:r>
          </w:p>
        </w:tc>
        <w:tc>
          <w:tcPr>
            <w:tcW w:w="6600" w:type="dxa"/>
            <w:tcBorders>
              <w:top w:val="nil"/>
              <w:left w:val="nil"/>
              <w:bottom w:val="single" w:sz="8" w:space="0" w:color="auto"/>
              <w:right w:val="single" w:sz="8" w:space="0" w:color="auto"/>
            </w:tcBorders>
            <w:shd w:val="clear" w:color="auto" w:fill="auto"/>
            <w:noWrap/>
            <w:hideMark/>
          </w:tcPr>
          <w:p w14:paraId="6935056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"Ogres rajona slimnīca"</w:t>
            </w:r>
          </w:p>
        </w:tc>
        <w:tc>
          <w:tcPr>
            <w:tcW w:w="2121" w:type="dxa"/>
            <w:tcBorders>
              <w:top w:val="nil"/>
              <w:left w:val="nil"/>
              <w:bottom w:val="single" w:sz="8" w:space="0" w:color="auto"/>
              <w:right w:val="single" w:sz="8" w:space="0" w:color="auto"/>
            </w:tcBorders>
            <w:shd w:val="clear" w:color="auto" w:fill="auto"/>
            <w:noWrap/>
            <w:hideMark/>
          </w:tcPr>
          <w:p w14:paraId="321D565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17 463 218</w:t>
            </w:r>
          </w:p>
        </w:tc>
        <w:tc>
          <w:tcPr>
            <w:tcW w:w="2121" w:type="dxa"/>
            <w:tcBorders>
              <w:top w:val="nil"/>
              <w:left w:val="nil"/>
              <w:bottom w:val="single" w:sz="8" w:space="0" w:color="auto"/>
              <w:right w:val="single" w:sz="8" w:space="0" w:color="auto"/>
            </w:tcBorders>
            <w:shd w:val="clear" w:color="auto" w:fill="auto"/>
            <w:noWrap/>
            <w:hideMark/>
          </w:tcPr>
          <w:p w14:paraId="2A867FE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16 971 813</w:t>
            </w:r>
          </w:p>
        </w:tc>
        <w:tc>
          <w:tcPr>
            <w:tcW w:w="2177" w:type="dxa"/>
            <w:tcBorders>
              <w:top w:val="nil"/>
              <w:left w:val="nil"/>
              <w:bottom w:val="single" w:sz="8" w:space="0" w:color="auto"/>
              <w:right w:val="single" w:sz="8" w:space="0" w:color="auto"/>
            </w:tcBorders>
            <w:shd w:val="clear" w:color="auto" w:fill="auto"/>
            <w:noWrap/>
            <w:hideMark/>
          </w:tcPr>
          <w:p w14:paraId="04E6A10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491 405</w:t>
            </w:r>
          </w:p>
        </w:tc>
      </w:tr>
      <w:tr w:rsidR="00830FA2" w:rsidRPr="00FD1578" w14:paraId="48D7EC2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CCA028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77</w:t>
            </w:r>
          </w:p>
        </w:tc>
        <w:tc>
          <w:tcPr>
            <w:tcW w:w="6600" w:type="dxa"/>
            <w:tcBorders>
              <w:top w:val="nil"/>
              <w:left w:val="nil"/>
              <w:bottom w:val="single" w:sz="8" w:space="0" w:color="auto"/>
              <w:right w:val="single" w:sz="8" w:space="0" w:color="auto"/>
            </w:tcBorders>
            <w:shd w:val="clear" w:color="auto" w:fill="auto"/>
            <w:noWrap/>
            <w:hideMark/>
          </w:tcPr>
          <w:p w14:paraId="0CCF571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"Rēzeknes Satiksme"</w:t>
            </w:r>
          </w:p>
        </w:tc>
        <w:tc>
          <w:tcPr>
            <w:tcW w:w="2121" w:type="dxa"/>
            <w:tcBorders>
              <w:top w:val="nil"/>
              <w:left w:val="nil"/>
              <w:bottom w:val="single" w:sz="8" w:space="0" w:color="auto"/>
              <w:right w:val="single" w:sz="8" w:space="0" w:color="auto"/>
            </w:tcBorders>
            <w:shd w:val="clear" w:color="auto" w:fill="auto"/>
            <w:noWrap/>
            <w:hideMark/>
          </w:tcPr>
          <w:p w14:paraId="094C349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2 830 354</w:t>
            </w:r>
          </w:p>
        </w:tc>
        <w:tc>
          <w:tcPr>
            <w:tcW w:w="2121" w:type="dxa"/>
            <w:tcBorders>
              <w:top w:val="nil"/>
              <w:left w:val="nil"/>
              <w:bottom w:val="single" w:sz="8" w:space="0" w:color="auto"/>
              <w:right w:val="single" w:sz="8" w:space="0" w:color="auto"/>
            </w:tcBorders>
            <w:shd w:val="clear" w:color="auto" w:fill="auto"/>
            <w:noWrap/>
            <w:hideMark/>
          </w:tcPr>
          <w:p w14:paraId="4B896F2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5 503 586</w:t>
            </w:r>
          </w:p>
        </w:tc>
        <w:tc>
          <w:tcPr>
            <w:tcW w:w="2177" w:type="dxa"/>
            <w:tcBorders>
              <w:top w:val="nil"/>
              <w:left w:val="nil"/>
              <w:bottom w:val="single" w:sz="8" w:space="0" w:color="auto"/>
              <w:right w:val="single" w:sz="8" w:space="0" w:color="auto"/>
            </w:tcBorders>
            <w:shd w:val="clear" w:color="auto" w:fill="auto"/>
            <w:noWrap/>
            <w:hideMark/>
          </w:tcPr>
          <w:p w14:paraId="7279E1C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-2 673 232</w:t>
            </w:r>
          </w:p>
        </w:tc>
      </w:tr>
      <w:tr w:rsidR="00830FA2" w:rsidRPr="00FD1578" w14:paraId="69B6BAC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E8C8CD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78</w:t>
            </w:r>
          </w:p>
        </w:tc>
        <w:tc>
          <w:tcPr>
            <w:tcW w:w="6600" w:type="dxa"/>
            <w:tcBorders>
              <w:top w:val="nil"/>
              <w:left w:val="nil"/>
              <w:bottom w:val="single" w:sz="8" w:space="0" w:color="auto"/>
              <w:right w:val="single" w:sz="8" w:space="0" w:color="auto"/>
            </w:tcBorders>
            <w:shd w:val="clear" w:color="auto" w:fill="auto"/>
            <w:noWrap/>
            <w:hideMark/>
          </w:tcPr>
          <w:p w14:paraId="1103A55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"Rēzeknes slimnīca"</w:t>
            </w:r>
          </w:p>
        </w:tc>
        <w:tc>
          <w:tcPr>
            <w:tcW w:w="2121" w:type="dxa"/>
            <w:tcBorders>
              <w:top w:val="nil"/>
              <w:left w:val="nil"/>
              <w:bottom w:val="single" w:sz="8" w:space="0" w:color="auto"/>
              <w:right w:val="single" w:sz="8" w:space="0" w:color="auto"/>
            </w:tcBorders>
            <w:shd w:val="clear" w:color="auto" w:fill="auto"/>
            <w:noWrap/>
            <w:hideMark/>
          </w:tcPr>
          <w:p w14:paraId="53EACBE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28 994 906</w:t>
            </w:r>
          </w:p>
        </w:tc>
        <w:tc>
          <w:tcPr>
            <w:tcW w:w="2121" w:type="dxa"/>
            <w:tcBorders>
              <w:top w:val="nil"/>
              <w:left w:val="nil"/>
              <w:bottom w:val="single" w:sz="8" w:space="0" w:color="auto"/>
              <w:right w:val="single" w:sz="8" w:space="0" w:color="auto"/>
            </w:tcBorders>
            <w:shd w:val="clear" w:color="auto" w:fill="auto"/>
            <w:noWrap/>
            <w:hideMark/>
          </w:tcPr>
          <w:p w14:paraId="719D39D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28 840 106</w:t>
            </w:r>
          </w:p>
        </w:tc>
        <w:tc>
          <w:tcPr>
            <w:tcW w:w="2177" w:type="dxa"/>
            <w:tcBorders>
              <w:top w:val="nil"/>
              <w:left w:val="nil"/>
              <w:bottom w:val="single" w:sz="8" w:space="0" w:color="auto"/>
              <w:right w:val="single" w:sz="8" w:space="0" w:color="auto"/>
            </w:tcBorders>
            <w:shd w:val="clear" w:color="auto" w:fill="auto"/>
            <w:noWrap/>
            <w:hideMark/>
          </w:tcPr>
          <w:p w14:paraId="37C05CD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154 800</w:t>
            </w:r>
          </w:p>
        </w:tc>
      </w:tr>
      <w:tr w:rsidR="00830FA2" w:rsidRPr="00FD1578" w14:paraId="7185724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228959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79</w:t>
            </w:r>
          </w:p>
        </w:tc>
        <w:tc>
          <w:tcPr>
            <w:tcW w:w="6600" w:type="dxa"/>
            <w:tcBorders>
              <w:top w:val="nil"/>
              <w:left w:val="nil"/>
              <w:bottom w:val="single" w:sz="8" w:space="0" w:color="auto"/>
              <w:right w:val="single" w:sz="8" w:space="0" w:color="auto"/>
            </w:tcBorders>
            <w:shd w:val="clear" w:color="auto" w:fill="auto"/>
            <w:noWrap/>
            <w:hideMark/>
          </w:tcPr>
          <w:p w14:paraId="09FEF91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1.slimnīca"</w:t>
            </w:r>
          </w:p>
        </w:tc>
        <w:tc>
          <w:tcPr>
            <w:tcW w:w="2121" w:type="dxa"/>
            <w:tcBorders>
              <w:top w:val="nil"/>
              <w:left w:val="nil"/>
              <w:bottom w:val="single" w:sz="8" w:space="0" w:color="auto"/>
              <w:right w:val="single" w:sz="8" w:space="0" w:color="auto"/>
            </w:tcBorders>
            <w:shd w:val="clear" w:color="auto" w:fill="auto"/>
            <w:noWrap/>
            <w:hideMark/>
          </w:tcPr>
          <w:p w14:paraId="15A725F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31 567 165</w:t>
            </w:r>
          </w:p>
        </w:tc>
        <w:tc>
          <w:tcPr>
            <w:tcW w:w="2121" w:type="dxa"/>
            <w:tcBorders>
              <w:top w:val="nil"/>
              <w:left w:val="nil"/>
              <w:bottom w:val="single" w:sz="8" w:space="0" w:color="auto"/>
              <w:right w:val="single" w:sz="8" w:space="0" w:color="auto"/>
            </w:tcBorders>
            <w:shd w:val="clear" w:color="auto" w:fill="auto"/>
            <w:noWrap/>
            <w:hideMark/>
          </w:tcPr>
          <w:p w14:paraId="48689EE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31 919 324</w:t>
            </w:r>
          </w:p>
        </w:tc>
        <w:tc>
          <w:tcPr>
            <w:tcW w:w="2177" w:type="dxa"/>
            <w:tcBorders>
              <w:top w:val="nil"/>
              <w:left w:val="nil"/>
              <w:bottom w:val="single" w:sz="8" w:space="0" w:color="auto"/>
              <w:right w:val="single" w:sz="8" w:space="0" w:color="auto"/>
            </w:tcBorders>
            <w:shd w:val="clear" w:color="auto" w:fill="auto"/>
            <w:noWrap/>
            <w:hideMark/>
          </w:tcPr>
          <w:p w14:paraId="70A47E1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-352 159</w:t>
            </w:r>
          </w:p>
        </w:tc>
      </w:tr>
      <w:tr w:rsidR="00830FA2" w:rsidRPr="00FD1578" w14:paraId="4CBABFC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77EADE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80</w:t>
            </w:r>
          </w:p>
        </w:tc>
        <w:tc>
          <w:tcPr>
            <w:tcW w:w="6600" w:type="dxa"/>
            <w:tcBorders>
              <w:top w:val="nil"/>
              <w:left w:val="nil"/>
              <w:bottom w:val="single" w:sz="8" w:space="0" w:color="auto"/>
              <w:right w:val="single" w:sz="8" w:space="0" w:color="auto"/>
            </w:tcBorders>
            <w:shd w:val="clear" w:color="auto" w:fill="auto"/>
            <w:noWrap/>
            <w:hideMark/>
          </w:tcPr>
          <w:p w14:paraId="41E1ED6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2.slimnīca"</w:t>
            </w:r>
          </w:p>
        </w:tc>
        <w:tc>
          <w:tcPr>
            <w:tcW w:w="2121" w:type="dxa"/>
            <w:tcBorders>
              <w:top w:val="nil"/>
              <w:left w:val="nil"/>
              <w:bottom w:val="single" w:sz="8" w:space="0" w:color="auto"/>
              <w:right w:val="single" w:sz="8" w:space="0" w:color="auto"/>
            </w:tcBorders>
            <w:shd w:val="clear" w:color="auto" w:fill="auto"/>
            <w:noWrap/>
            <w:hideMark/>
          </w:tcPr>
          <w:p w14:paraId="135D5FA3"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14 146 278</w:t>
            </w:r>
          </w:p>
        </w:tc>
        <w:tc>
          <w:tcPr>
            <w:tcW w:w="2121" w:type="dxa"/>
            <w:tcBorders>
              <w:top w:val="nil"/>
              <w:left w:val="nil"/>
              <w:bottom w:val="single" w:sz="8" w:space="0" w:color="auto"/>
              <w:right w:val="single" w:sz="8" w:space="0" w:color="auto"/>
            </w:tcBorders>
            <w:shd w:val="clear" w:color="auto" w:fill="auto"/>
            <w:noWrap/>
            <w:hideMark/>
          </w:tcPr>
          <w:p w14:paraId="002AB42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14 144 959</w:t>
            </w:r>
          </w:p>
        </w:tc>
        <w:tc>
          <w:tcPr>
            <w:tcW w:w="2177" w:type="dxa"/>
            <w:tcBorders>
              <w:top w:val="nil"/>
              <w:left w:val="nil"/>
              <w:bottom w:val="single" w:sz="8" w:space="0" w:color="auto"/>
              <w:right w:val="single" w:sz="8" w:space="0" w:color="auto"/>
            </w:tcBorders>
            <w:shd w:val="clear" w:color="auto" w:fill="auto"/>
            <w:noWrap/>
            <w:hideMark/>
          </w:tcPr>
          <w:p w14:paraId="014EF28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1 319</w:t>
            </w:r>
          </w:p>
        </w:tc>
      </w:tr>
      <w:tr w:rsidR="00830FA2" w:rsidRPr="00FD1578" w14:paraId="627DA16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35CB10A"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81</w:t>
            </w:r>
          </w:p>
        </w:tc>
        <w:tc>
          <w:tcPr>
            <w:tcW w:w="6600" w:type="dxa"/>
            <w:tcBorders>
              <w:top w:val="nil"/>
              <w:left w:val="nil"/>
              <w:bottom w:val="single" w:sz="8" w:space="0" w:color="auto"/>
              <w:right w:val="single" w:sz="8" w:space="0" w:color="auto"/>
            </w:tcBorders>
            <w:shd w:val="clear" w:color="auto" w:fill="auto"/>
            <w:noWrap/>
            <w:hideMark/>
          </w:tcPr>
          <w:p w14:paraId="0600A71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Dzemdību nams"</w:t>
            </w:r>
          </w:p>
        </w:tc>
        <w:tc>
          <w:tcPr>
            <w:tcW w:w="2121" w:type="dxa"/>
            <w:tcBorders>
              <w:top w:val="nil"/>
              <w:left w:val="nil"/>
              <w:bottom w:val="single" w:sz="8" w:space="0" w:color="auto"/>
              <w:right w:val="single" w:sz="8" w:space="0" w:color="auto"/>
            </w:tcBorders>
            <w:shd w:val="clear" w:color="auto" w:fill="auto"/>
            <w:noWrap/>
            <w:hideMark/>
          </w:tcPr>
          <w:p w14:paraId="6216409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13 686 322</w:t>
            </w:r>
          </w:p>
        </w:tc>
        <w:tc>
          <w:tcPr>
            <w:tcW w:w="2121" w:type="dxa"/>
            <w:tcBorders>
              <w:top w:val="nil"/>
              <w:left w:val="nil"/>
              <w:bottom w:val="single" w:sz="8" w:space="0" w:color="auto"/>
              <w:right w:val="single" w:sz="8" w:space="0" w:color="auto"/>
            </w:tcBorders>
            <w:shd w:val="clear" w:color="auto" w:fill="auto"/>
            <w:noWrap/>
            <w:hideMark/>
          </w:tcPr>
          <w:p w14:paraId="0AB8E60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13 611 981</w:t>
            </w:r>
          </w:p>
        </w:tc>
        <w:tc>
          <w:tcPr>
            <w:tcW w:w="2177" w:type="dxa"/>
            <w:tcBorders>
              <w:top w:val="nil"/>
              <w:left w:val="nil"/>
              <w:bottom w:val="single" w:sz="8" w:space="0" w:color="auto"/>
              <w:right w:val="single" w:sz="8" w:space="0" w:color="auto"/>
            </w:tcBorders>
            <w:shd w:val="clear" w:color="auto" w:fill="auto"/>
            <w:noWrap/>
            <w:hideMark/>
          </w:tcPr>
          <w:p w14:paraId="725C859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74 341</w:t>
            </w:r>
          </w:p>
        </w:tc>
      </w:tr>
      <w:tr w:rsidR="00830FA2" w:rsidRPr="00FD1578" w14:paraId="49C5786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8A7065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82</w:t>
            </w:r>
          </w:p>
        </w:tc>
        <w:tc>
          <w:tcPr>
            <w:tcW w:w="6600" w:type="dxa"/>
            <w:tcBorders>
              <w:top w:val="nil"/>
              <w:left w:val="nil"/>
              <w:bottom w:val="single" w:sz="8" w:space="0" w:color="auto"/>
              <w:right w:val="single" w:sz="8" w:space="0" w:color="auto"/>
            </w:tcBorders>
            <w:shd w:val="clear" w:color="auto" w:fill="auto"/>
            <w:noWrap/>
            <w:hideMark/>
          </w:tcPr>
          <w:p w14:paraId="0AAB7B2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satiksme"</w:t>
            </w:r>
          </w:p>
        </w:tc>
        <w:tc>
          <w:tcPr>
            <w:tcW w:w="2121" w:type="dxa"/>
            <w:tcBorders>
              <w:top w:val="nil"/>
              <w:left w:val="nil"/>
              <w:bottom w:val="single" w:sz="8" w:space="0" w:color="auto"/>
              <w:right w:val="single" w:sz="8" w:space="0" w:color="auto"/>
            </w:tcBorders>
            <w:shd w:val="clear" w:color="auto" w:fill="auto"/>
            <w:noWrap/>
            <w:hideMark/>
          </w:tcPr>
          <w:p w14:paraId="6FA0FD9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222 818 846</w:t>
            </w:r>
          </w:p>
        </w:tc>
        <w:tc>
          <w:tcPr>
            <w:tcW w:w="2121" w:type="dxa"/>
            <w:tcBorders>
              <w:top w:val="nil"/>
              <w:left w:val="nil"/>
              <w:bottom w:val="single" w:sz="8" w:space="0" w:color="auto"/>
              <w:right w:val="single" w:sz="8" w:space="0" w:color="auto"/>
            </w:tcBorders>
            <w:shd w:val="clear" w:color="auto" w:fill="auto"/>
            <w:noWrap/>
            <w:hideMark/>
          </w:tcPr>
          <w:p w14:paraId="0E2E0D1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221 867 257</w:t>
            </w:r>
          </w:p>
        </w:tc>
        <w:tc>
          <w:tcPr>
            <w:tcW w:w="2177" w:type="dxa"/>
            <w:tcBorders>
              <w:top w:val="nil"/>
              <w:left w:val="nil"/>
              <w:bottom w:val="single" w:sz="8" w:space="0" w:color="auto"/>
              <w:right w:val="single" w:sz="8" w:space="0" w:color="auto"/>
            </w:tcBorders>
            <w:shd w:val="clear" w:color="auto" w:fill="auto"/>
            <w:noWrap/>
            <w:hideMark/>
          </w:tcPr>
          <w:p w14:paraId="17B9B0E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951 589</w:t>
            </w:r>
          </w:p>
        </w:tc>
      </w:tr>
      <w:tr w:rsidR="00830FA2" w:rsidRPr="00FD1578" w14:paraId="0A38236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7A9988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lastRenderedPageBreak/>
              <w:t>83</w:t>
            </w:r>
          </w:p>
        </w:tc>
        <w:tc>
          <w:tcPr>
            <w:tcW w:w="6600" w:type="dxa"/>
            <w:tcBorders>
              <w:top w:val="nil"/>
              <w:left w:val="nil"/>
              <w:bottom w:val="single" w:sz="8" w:space="0" w:color="auto"/>
              <w:right w:val="single" w:sz="8" w:space="0" w:color="auto"/>
            </w:tcBorders>
            <w:shd w:val="clear" w:color="auto" w:fill="auto"/>
            <w:noWrap/>
            <w:hideMark/>
          </w:tcPr>
          <w:p w14:paraId="004D765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veselības centrs"</w:t>
            </w:r>
          </w:p>
        </w:tc>
        <w:tc>
          <w:tcPr>
            <w:tcW w:w="2121" w:type="dxa"/>
            <w:tcBorders>
              <w:top w:val="nil"/>
              <w:left w:val="nil"/>
              <w:bottom w:val="single" w:sz="8" w:space="0" w:color="auto"/>
              <w:right w:val="single" w:sz="8" w:space="0" w:color="auto"/>
            </w:tcBorders>
            <w:shd w:val="clear" w:color="auto" w:fill="auto"/>
            <w:noWrap/>
            <w:hideMark/>
          </w:tcPr>
          <w:p w14:paraId="36C0E442"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12 979 603</w:t>
            </w:r>
          </w:p>
        </w:tc>
        <w:tc>
          <w:tcPr>
            <w:tcW w:w="2121" w:type="dxa"/>
            <w:tcBorders>
              <w:top w:val="nil"/>
              <w:left w:val="nil"/>
              <w:bottom w:val="single" w:sz="8" w:space="0" w:color="auto"/>
              <w:right w:val="single" w:sz="8" w:space="0" w:color="auto"/>
            </w:tcBorders>
            <w:shd w:val="clear" w:color="auto" w:fill="auto"/>
            <w:noWrap/>
            <w:hideMark/>
          </w:tcPr>
          <w:p w14:paraId="210181D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12 979 508</w:t>
            </w:r>
          </w:p>
        </w:tc>
        <w:tc>
          <w:tcPr>
            <w:tcW w:w="2177" w:type="dxa"/>
            <w:tcBorders>
              <w:top w:val="nil"/>
              <w:left w:val="nil"/>
              <w:bottom w:val="single" w:sz="8" w:space="0" w:color="auto"/>
              <w:right w:val="single" w:sz="8" w:space="0" w:color="auto"/>
            </w:tcBorders>
            <w:shd w:val="clear" w:color="auto" w:fill="auto"/>
            <w:noWrap/>
            <w:hideMark/>
          </w:tcPr>
          <w:p w14:paraId="51DF9A8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95</w:t>
            </w:r>
          </w:p>
        </w:tc>
      </w:tr>
      <w:tr w:rsidR="00830FA2" w:rsidRPr="00FD1578" w14:paraId="0A2F4F2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6B40C81"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84</w:t>
            </w:r>
          </w:p>
        </w:tc>
        <w:tc>
          <w:tcPr>
            <w:tcW w:w="6600" w:type="dxa"/>
            <w:tcBorders>
              <w:top w:val="nil"/>
              <w:left w:val="nil"/>
              <w:bottom w:val="single" w:sz="8" w:space="0" w:color="auto"/>
              <w:right w:val="single" w:sz="8" w:space="0" w:color="auto"/>
            </w:tcBorders>
            <w:shd w:val="clear" w:color="auto" w:fill="auto"/>
            <w:noWrap/>
            <w:hideMark/>
          </w:tcPr>
          <w:p w14:paraId="645066A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"Salaspils Veselības Centrs"</w:t>
            </w:r>
          </w:p>
        </w:tc>
        <w:tc>
          <w:tcPr>
            <w:tcW w:w="2121" w:type="dxa"/>
            <w:tcBorders>
              <w:top w:val="nil"/>
              <w:left w:val="nil"/>
              <w:bottom w:val="single" w:sz="8" w:space="0" w:color="auto"/>
              <w:right w:val="single" w:sz="8" w:space="0" w:color="auto"/>
            </w:tcBorders>
            <w:shd w:val="clear" w:color="auto" w:fill="auto"/>
            <w:noWrap/>
            <w:hideMark/>
          </w:tcPr>
          <w:p w14:paraId="7B7F4B4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29 208 314</w:t>
            </w:r>
          </w:p>
        </w:tc>
        <w:tc>
          <w:tcPr>
            <w:tcW w:w="2121" w:type="dxa"/>
            <w:tcBorders>
              <w:top w:val="nil"/>
              <w:left w:val="nil"/>
              <w:bottom w:val="single" w:sz="8" w:space="0" w:color="auto"/>
              <w:right w:val="single" w:sz="8" w:space="0" w:color="auto"/>
            </w:tcBorders>
            <w:shd w:val="clear" w:color="auto" w:fill="auto"/>
            <w:noWrap/>
            <w:hideMark/>
          </w:tcPr>
          <w:p w14:paraId="5D7762CB"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29 171 263</w:t>
            </w:r>
          </w:p>
        </w:tc>
        <w:tc>
          <w:tcPr>
            <w:tcW w:w="2177" w:type="dxa"/>
            <w:tcBorders>
              <w:top w:val="nil"/>
              <w:left w:val="nil"/>
              <w:bottom w:val="single" w:sz="8" w:space="0" w:color="auto"/>
              <w:right w:val="single" w:sz="8" w:space="0" w:color="auto"/>
            </w:tcBorders>
            <w:shd w:val="clear" w:color="auto" w:fill="auto"/>
            <w:noWrap/>
            <w:hideMark/>
          </w:tcPr>
          <w:p w14:paraId="4815DF9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37 051</w:t>
            </w:r>
          </w:p>
        </w:tc>
      </w:tr>
      <w:tr w:rsidR="00830FA2" w:rsidRPr="00FD1578" w14:paraId="54BACEB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3FCD7A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85</w:t>
            </w:r>
          </w:p>
        </w:tc>
        <w:tc>
          <w:tcPr>
            <w:tcW w:w="6600" w:type="dxa"/>
            <w:tcBorders>
              <w:top w:val="nil"/>
              <w:left w:val="nil"/>
              <w:bottom w:val="single" w:sz="8" w:space="0" w:color="auto"/>
              <w:right w:val="single" w:sz="8" w:space="0" w:color="auto"/>
            </w:tcBorders>
            <w:shd w:val="clear" w:color="auto" w:fill="auto"/>
            <w:noWrap/>
            <w:hideMark/>
          </w:tcPr>
          <w:p w14:paraId="25E9C98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"Olimpiskais centrs "Ventspils""</w:t>
            </w:r>
          </w:p>
        </w:tc>
        <w:tc>
          <w:tcPr>
            <w:tcW w:w="2121" w:type="dxa"/>
            <w:tcBorders>
              <w:top w:val="nil"/>
              <w:left w:val="nil"/>
              <w:bottom w:val="single" w:sz="8" w:space="0" w:color="auto"/>
              <w:right w:val="single" w:sz="8" w:space="0" w:color="auto"/>
            </w:tcBorders>
            <w:shd w:val="clear" w:color="auto" w:fill="auto"/>
            <w:noWrap/>
            <w:hideMark/>
          </w:tcPr>
          <w:p w14:paraId="14E53229"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4 550 181</w:t>
            </w:r>
          </w:p>
        </w:tc>
        <w:tc>
          <w:tcPr>
            <w:tcW w:w="2121" w:type="dxa"/>
            <w:tcBorders>
              <w:top w:val="nil"/>
              <w:left w:val="nil"/>
              <w:bottom w:val="single" w:sz="8" w:space="0" w:color="auto"/>
              <w:right w:val="single" w:sz="8" w:space="0" w:color="auto"/>
            </w:tcBorders>
            <w:shd w:val="clear" w:color="auto" w:fill="auto"/>
            <w:noWrap/>
            <w:hideMark/>
          </w:tcPr>
          <w:p w14:paraId="37C21ADF"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4 518 482</w:t>
            </w:r>
          </w:p>
        </w:tc>
        <w:tc>
          <w:tcPr>
            <w:tcW w:w="2177" w:type="dxa"/>
            <w:tcBorders>
              <w:top w:val="nil"/>
              <w:left w:val="nil"/>
              <w:bottom w:val="single" w:sz="8" w:space="0" w:color="auto"/>
              <w:right w:val="single" w:sz="8" w:space="0" w:color="auto"/>
            </w:tcBorders>
            <w:shd w:val="clear" w:color="auto" w:fill="auto"/>
            <w:noWrap/>
            <w:hideMark/>
          </w:tcPr>
          <w:p w14:paraId="2C8DBDE5"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31 699</w:t>
            </w:r>
          </w:p>
        </w:tc>
      </w:tr>
      <w:tr w:rsidR="00830FA2" w:rsidRPr="00FD1578" w14:paraId="23BEF21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tcPr>
          <w:p w14:paraId="1D98F1C3"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Times New Roman" w:cs="Times New Roman"/>
                <w:color w:val="000000"/>
                <w:sz w:val="18"/>
                <w:szCs w:val="18"/>
              </w:rPr>
              <w:t>86</w:t>
            </w:r>
          </w:p>
        </w:tc>
        <w:tc>
          <w:tcPr>
            <w:tcW w:w="6600" w:type="dxa"/>
            <w:tcBorders>
              <w:top w:val="nil"/>
              <w:left w:val="nil"/>
              <w:bottom w:val="single" w:sz="8" w:space="0" w:color="auto"/>
              <w:right w:val="single" w:sz="8" w:space="0" w:color="auto"/>
            </w:tcBorders>
            <w:shd w:val="clear" w:color="auto" w:fill="auto"/>
            <w:noWrap/>
          </w:tcPr>
          <w:p w14:paraId="0F7F90EC" w14:textId="77777777" w:rsidR="00830FA2" w:rsidRPr="00FD1578" w:rsidRDefault="00830FA2" w:rsidP="008349F0">
            <w:pPr>
              <w:spacing w:after="0"/>
              <w:ind w:firstLine="0"/>
              <w:jc w:val="left"/>
              <w:rPr>
                <w:rFonts w:eastAsia="Calibri" w:cs="Times New Roman"/>
                <w:sz w:val="18"/>
                <w:szCs w:val="18"/>
                <w:highlight w:val="yellow"/>
                <w:lang w:eastAsia="en-US"/>
              </w:rPr>
            </w:pPr>
            <w:r w:rsidRPr="00FD1578">
              <w:rPr>
                <w:rFonts w:eastAsia="Calibri" w:cs="Times New Roman"/>
                <w:sz w:val="18"/>
                <w:szCs w:val="18"/>
                <w:lang w:eastAsia="en-US"/>
              </w:rPr>
              <w:t>SIA "Vidzemes slimnīca"</w:t>
            </w:r>
          </w:p>
        </w:tc>
        <w:tc>
          <w:tcPr>
            <w:tcW w:w="2121" w:type="dxa"/>
            <w:tcBorders>
              <w:top w:val="nil"/>
              <w:left w:val="nil"/>
              <w:bottom w:val="single" w:sz="8" w:space="0" w:color="auto"/>
              <w:right w:val="single" w:sz="8" w:space="0" w:color="auto"/>
            </w:tcBorders>
            <w:shd w:val="clear" w:color="auto" w:fill="auto"/>
            <w:noWrap/>
          </w:tcPr>
          <w:p w14:paraId="2BE7615D"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Calibri" w:cs="Times New Roman"/>
                <w:sz w:val="18"/>
                <w:szCs w:val="18"/>
                <w:lang w:eastAsia="en-US"/>
              </w:rPr>
              <w:t>29 748 275</w:t>
            </w:r>
          </w:p>
        </w:tc>
        <w:tc>
          <w:tcPr>
            <w:tcW w:w="2121" w:type="dxa"/>
            <w:tcBorders>
              <w:top w:val="nil"/>
              <w:left w:val="nil"/>
              <w:bottom w:val="single" w:sz="8" w:space="0" w:color="auto"/>
              <w:right w:val="single" w:sz="8" w:space="0" w:color="auto"/>
            </w:tcBorders>
            <w:shd w:val="clear" w:color="auto" w:fill="auto"/>
            <w:noWrap/>
          </w:tcPr>
          <w:p w14:paraId="668EE607"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Calibri" w:cs="Times New Roman"/>
                <w:sz w:val="18"/>
                <w:szCs w:val="18"/>
                <w:lang w:eastAsia="en-US"/>
              </w:rPr>
              <w:t>30 385 090</w:t>
            </w:r>
          </w:p>
        </w:tc>
        <w:tc>
          <w:tcPr>
            <w:tcW w:w="2177" w:type="dxa"/>
            <w:tcBorders>
              <w:top w:val="nil"/>
              <w:left w:val="nil"/>
              <w:bottom w:val="single" w:sz="8" w:space="0" w:color="auto"/>
              <w:right w:val="single" w:sz="8" w:space="0" w:color="auto"/>
            </w:tcBorders>
            <w:shd w:val="clear" w:color="auto" w:fill="auto"/>
            <w:noWrap/>
          </w:tcPr>
          <w:p w14:paraId="131B920F"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Calibri" w:cs="Times New Roman"/>
                <w:sz w:val="18"/>
                <w:szCs w:val="18"/>
                <w:lang w:eastAsia="en-US"/>
              </w:rPr>
              <w:t>-636 815</w:t>
            </w:r>
          </w:p>
        </w:tc>
      </w:tr>
      <w:tr w:rsidR="00830FA2" w:rsidRPr="00FD1578" w14:paraId="636034B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tcPr>
          <w:p w14:paraId="6F591485"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Times New Roman" w:cs="Times New Roman"/>
                <w:color w:val="000000"/>
                <w:sz w:val="18"/>
                <w:szCs w:val="18"/>
              </w:rPr>
              <w:t>87</w:t>
            </w:r>
          </w:p>
        </w:tc>
        <w:tc>
          <w:tcPr>
            <w:tcW w:w="6600" w:type="dxa"/>
            <w:tcBorders>
              <w:top w:val="nil"/>
              <w:left w:val="nil"/>
              <w:bottom w:val="single" w:sz="8" w:space="0" w:color="auto"/>
              <w:right w:val="single" w:sz="8" w:space="0" w:color="auto"/>
            </w:tcBorders>
            <w:shd w:val="clear" w:color="auto" w:fill="auto"/>
            <w:noWrap/>
          </w:tcPr>
          <w:p w14:paraId="477521CF" w14:textId="77777777" w:rsidR="00830FA2" w:rsidRPr="00FD1578" w:rsidRDefault="00830FA2" w:rsidP="008349F0">
            <w:pPr>
              <w:spacing w:after="0"/>
              <w:ind w:firstLine="0"/>
              <w:jc w:val="left"/>
              <w:rPr>
                <w:rFonts w:eastAsia="Calibri" w:cs="Times New Roman"/>
                <w:sz w:val="18"/>
                <w:szCs w:val="18"/>
                <w:highlight w:val="yellow"/>
                <w:lang w:eastAsia="en-US"/>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Ziemeļkurzemes</w:t>
            </w:r>
            <w:proofErr w:type="spellEnd"/>
            <w:r w:rsidRPr="00FD1578">
              <w:rPr>
                <w:rFonts w:eastAsia="Calibri" w:cs="Times New Roman"/>
                <w:sz w:val="18"/>
                <w:szCs w:val="18"/>
                <w:lang w:eastAsia="en-US"/>
              </w:rPr>
              <w:t xml:space="preserve"> reģionālā slimnīca"</w:t>
            </w:r>
          </w:p>
        </w:tc>
        <w:tc>
          <w:tcPr>
            <w:tcW w:w="2121" w:type="dxa"/>
            <w:tcBorders>
              <w:top w:val="nil"/>
              <w:left w:val="nil"/>
              <w:bottom w:val="single" w:sz="8" w:space="0" w:color="auto"/>
              <w:right w:val="single" w:sz="8" w:space="0" w:color="auto"/>
            </w:tcBorders>
            <w:shd w:val="clear" w:color="auto" w:fill="auto"/>
            <w:noWrap/>
          </w:tcPr>
          <w:p w14:paraId="739EE6D3"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Calibri" w:cs="Times New Roman"/>
                <w:sz w:val="18"/>
                <w:szCs w:val="18"/>
                <w:lang w:eastAsia="en-US"/>
              </w:rPr>
              <w:t>29 208 314</w:t>
            </w:r>
          </w:p>
        </w:tc>
        <w:tc>
          <w:tcPr>
            <w:tcW w:w="2121" w:type="dxa"/>
            <w:tcBorders>
              <w:top w:val="nil"/>
              <w:left w:val="nil"/>
              <w:bottom w:val="single" w:sz="8" w:space="0" w:color="auto"/>
              <w:right w:val="single" w:sz="8" w:space="0" w:color="auto"/>
            </w:tcBorders>
            <w:shd w:val="clear" w:color="auto" w:fill="auto"/>
            <w:noWrap/>
          </w:tcPr>
          <w:p w14:paraId="320A2AAF"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Calibri" w:cs="Times New Roman"/>
                <w:sz w:val="18"/>
                <w:szCs w:val="18"/>
                <w:lang w:eastAsia="en-US"/>
              </w:rPr>
              <w:t>29 171 263</w:t>
            </w:r>
          </w:p>
        </w:tc>
        <w:tc>
          <w:tcPr>
            <w:tcW w:w="2177" w:type="dxa"/>
            <w:tcBorders>
              <w:top w:val="nil"/>
              <w:left w:val="nil"/>
              <w:bottom w:val="single" w:sz="8" w:space="0" w:color="auto"/>
              <w:right w:val="single" w:sz="8" w:space="0" w:color="auto"/>
            </w:tcBorders>
            <w:shd w:val="clear" w:color="auto" w:fill="auto"/>
            <w:noWrap/>
          </w:tcPr>
          <w:p w14:paraId="4B144321" w14:textId="77777777" w:rsidR="00830FA2" w:rsidRPr="00FD1578" w:rsidRDefault="00830FA2" w:rsidP="008349F0">
            <w:pPr>
              <w:spacing w:after="0"/>
              <w:ind w:firstLine="0"/>
              <w:jc w:val="right"/>
              <w:rPr>
                <w:rFonts w:eastAsia="Calibri" w:cs="Times New Roman"/>
                <w:sz w:val="18"/>
                <w:szCs w:val="18"/>
                <w:highlight w:val="yellow"/>
                <w:lang w:eastAsia="en-US"/>
              </w:rPr>
            </w:pPr>
            <w:r w:rsidRPr="00FD1578">
              <w:rPr>
                <w:rFonts w:eastAsia="Calibri" w:cs="Times New Roman"/>
                <w:sz w:val="18"/>
                <w:szCs w:val="18"/>
                <w:lang w:eastAsia="en-US"/>
              </w:rPr>
              <w:t>37 051</w:t>
            </w:r>
          </w:p>
        </w:tc>
      </w:tr>
      <w:tr w:rsidR="00830FA2" w:rsidRPr="00FD1578" w14:paraId="69EF4531" w14:textId="77777777" w:rsidTr="001D67A3">
        <w:trPr>
          <w:trHeight w:val="468"/>
        </w:trPr>
        <w:tc>
          <w:tcPr>
            <w:tcW w:w="14206"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CD3F1C6" w14:textId="154AB4B1" w:rsidR="00830FA2" w:rsidRPr="00FD1578" w:rsidRDefault="00B6146E" w:rsidP="008349F0">
            <w:pPr>
              <w:spacing w:after="0"/>
              <w:ind w:firstLine="0"/>
              <w:rPr>
                <w:rFonts w:eastAsia="Times New Roman" w:cs="Times New Roman"/>
                <w:color w:val="000000"/>
                <w:sz w:val="18"/>
                <w:szCs w:val="18"/>
                <w:highlight w:val="yellow"/>
              </w:rPr>
            </w:pPr>
            <w:r w:rsidRPr="00B6146E">
              <w:rPr>
                <w:rFonts w:eastAsia="Times New Roman" w:cs="Times New Roman"/>
                <w:color w:val="000000"/>
                <w:sz w:val="18"/>
                <w:szCs w:val="18"/>
              </w:rPr>
              <w:t>Prognozes izstrādātas atbilstoši 2024. gada jūnijā-jūlijā FM iesniegtajai informācijai par visu centrālās valdības komersantu (61) un izlasi fiskāli nozīmīgu vietējās valdības (pašvaldību) komersantu (26) prognozēto saimniecisko un finanšu darbību, kā arī ņemot vērā tieši saistītos MK lēmumus 2024. gada septembrī.</w:t>
            </w:r>
          </w:p>
        </w:tc>
      </w:tr>
      <w:tr w:rsidR="00830FA2" w:rsidRPr="00FD1578" w14:paraId="447D1AF7" w14:textId="77777777" w:rsidTr="001D67A3">
        <w:trPr>
          <w:trHeight w:val="492"/>
        </w:trPr>
        <w:tc>
          <w:tcPr>
            <w:tcW w:w="14206" w:type="dxa"/>
            <w:gridSpan w:val="5"/>
            <w:tcBorders>
              <w:top w:val="nil"/>
              <w:left w:val="single" w:sz="8" w:space="0" w:color="auto"/>
              <w:bottom w:val="single" w:sz="8" w:space="0" w:color="auto"/>
              <w:right w:val="single" w:sz="8" w:space="0" w:color="000000"/>
            </w:tcBorders>
            <w:shd w:val="clear" w:color="auto" w:fill="auto"/>
            <w:noWrap/>
            <w:vAlign w:val="center"/>
            <w:hideMark/>
          </w:tcPr>
          <w:p w14:paraId="1B3E6A34" w14:textId="77777777" w:rsidR="00830FA2" w:rsidRPr="00FD1578" w:rsidRDefault="00830FA2" w:rsidP="008349F0">
            <w:pPr>
              <w:spacing w:after="0"/>
              <w:ind w:firstLine="0"/>
              <w:rPr>
                <w:rFonts w:eastAsia="Times New Roman" w:cs="Times New Roman"/>
                <w:color w:val="000000"/>
                <w:sz w:val="18"/>
                <w:szCs w:val="18"/>
                <w:highlight w:val="yellow"/>
              </w:rPr>
            </w:pPr>
            <w:r w:rsidRPr="00FD1578">
              <w:rPr>
                <w:rFonts w:eastAsia="Times New Roman" w:cs="Times New Roman"/>
                <w:color w:val="000000"/>
                <w:sz w:val="18"/>
                <w:szCs w:val="18"/>
              </w:rPr>
              <w:t xml:space="preserve">Vispārējās valdības budžeta pieklasificēto kapitālsabiedrību ietekme uz B.9 neto aizdevumiem (+)/neto aizņēmumiem (-), kas iekļauta vispārējās valdības budžeta prognozēs 2026. gadā ir -25 182 637 </w:t>
            </w:r>
            <w:proofErr w:type="spellStart"/>
            <w:r w:rsidRPr="00FD1578">
              <w:rPr>
                <w:rFonts w:eastAsia="Times New Roman" w:cs="Times New Roman"/>
                <w:i/>
                <w:iCs/>
                <w:color w:val="000000"/>
                <w:sz w:val="18"/>
                <w:szCs w:val="18"/>
              </w:rPr>
              <w:t>euro</w:t>
            </w:r>
            <w:proofErr w:type="spellEnd"/>
            <w:r w:rsidRPr="00FD1578">
              <w:rPr>
                <w:rFonts w:eastAsia="Times New Roman" w:cs="Times New Roman"/>
                <w:i/>
                <w:iCs/>
                <w:color w:val="000000"/>
                <w:sz w:val="18"/>
                <w:szCs w:val="18"/>
              </w:rPr>
              <w:t>.</w:t>
            </w:r>
          </w:p>
        </w:tc>
      </w:tr>
    </w:tbl>
    <w:p w14:paraId="0E8059EA" w14:textId="77777777" w:rsidR="00830FA2" w:rsidRPr="00FD1578" w:rsidRDefault="00830FA2" w:rsidP="008349F0">
      <w:pPr>
        <w:widowControl w:val="0"/>
        <w:ind w:firstLine="0"/>
        <w:jc w:val="left"/>
        <w:rPr>
          <w:rFonts w:eastAsia="Times New Roman" w:cs="Times New Roman"/>
          <w:b/>
          <w:sz w:val="18"/>
          <w:szCs w:val="18"/>
          <w:highlight w:val="yellow"/>
        </w:rPr>
      </w:pPr>
    </w:p>
    <w:p w14:paraId="6D0613DD" w14:textId="77777777" w:rsidR="00830FA2" w:rsidRPr="00FD1578" w:rsidRDefault="00830FA2" w:rsidP="008349F0">
      <w:pPr>
        <w:widowControl w:val="0"/>
        <w:ind w:firstLine="0"/>
        <w:jc w:val="left"/>
        <w:rPr>
          <w:rFonts w:eastAsia="Times New Roman" w:cs="Times New Roman"/>
          <w:b/>
          <w:sz w:val="18"/>
          <w:szCs w:val="18"/>
          <w:highlight w:val="yellow"/>
        </w:rPr>
      </w:pPr>
    </w:p>
    <w:tbl>
      <w:tblPr>
        <w:tblW w:w="14206" w:type="dxa"/>
        <w:tblLook w:val="04A0" w:firstRow="1" w:lastRow="0" w:firstColumn="1" w:lastColumn="0" w:noHBand="0" w:noVBand="1"/>
      </w:tblPr>
      <w:tblGrid>
        <w:gridCol w:w="1187"/>
        <w:gridCol w:w="6600"/>
        <w:gridCol w:w="2121"/>
        <w:gridCol w:w="2121"/>
        <w:gridCol w:w="2177"/>
      </w:tblGrid>
      <w:tr w:rsidR="00830FA2" w:rsidRPr="00FD1578" w14:paraId="11521583" w14:textId="77777777" w:rsidTr="00830FA2">
        <w:trPr>
          <w:trHeight w:val="324"/>
          <w:tblHeader/>
        </w:trPr>
        <w:tc>
          <w:tcPr>
            <w:tcW w:w="14206" w:type="dxa"/>
            <w:gridSpan w:val="5"/>
            <w:tcBorders>
              <w:top w:val="single" w:sz="8" w:space="0" w:color="auto"/>
              <w:left w:val="single" w:sz="8" w:space="0" w:color="auto"/>
              <w:bottom w:val="single" w:sz="8" w:space="0" w:color="auto"/>
              <w:right w:val="single" w:sz="8" w:space="0" w:color="000000"/>
            </w:tcBorders>
            <w:shd w:val="clear" w:color="000000" w:fill="9BC2E6"/>
            <w:noWrap/>
            <w:vAlign w:val="center"/>
            <w:hideMark/>
          </w:tcPr>
          <w:p w14:paraId="1D34E56C" w14:textId="77777777" w:rsidR="00830FA2" w:rsidRPr="00FD1578" w:rsidRDefault="00830FA2" w:rsidP="008349F0">
            <w:pPr>
              <w:spacing w:after="0"/>
              <w:ind w:firstLine="0"/>
              <w:jc w:val="center"/>
              <w:rPr>
                <w:rFonts w:eastAsia="Times New Roman" w:cs="Times New Roman"/>
                <w:b/>
                <w:bCs/>
                <w:color w:val="000000"/>
                <w:sz w:val="18"/>
                <w:szCs w:val="18"/>
              </w:rPr>
            </w:pPr>
            <w:r w:rsidRPr="00FD1578">
              <w:rPr>
                <w:rFonts w:eastAsia="Times New Roman" w:cs="Times New Roman"/>
                <w:b/>
                <w:bCs/>
                <w:color w:val="000000"/>
                <w:sz w:val="18"/>
                <w:szCs w:val="18"/>
              </w:rPr>
              <w:t>2027</w:t>
            </w:r>
          </w:p>
        </w:tc>
      </w:tr>
      <w:tr w:rsidR="00830FA2" w:rsidRPr="00FD1578" w14:paraId="5C5AD8B9" w14:textId="77777777" w:rsidTr="00830FA2">
        <w:trPr>
          <w:trHeight w:val="765"/>
          <w:tblHeader/>
        </w:trPr>
        <w:tc>
          <w:tcPr>
            <w:tcW w:w="1187" w:type="dxa"/>
            <w:tcBorders>
              <w:top w:val="nil"/>
              <w:left w:val="single" w:sz="8" w:space="0" w:color="auto"/>
              <w:bottom w:val="single" w:sz="8" w:space="0" w:color="auto"/>
              <w:right w:val="single" w:sz="8" w:space="0" w:color="auto"/>
            </w:tcBorders>
            <w:shd w:val="clear" w:color="000000" w:fill="BDD7EE"/>
            <w:noWrap/>
            <w:vAlign w:val="center"/>
            <w:hideMark/>
          </w:tcPr>
          <w:p w14:paraId="150FFBB0" w14:textId="77777777" w:rsidR="00830FA2" w:rsidRPr="00FD1578" w:rsidRDefault="00830FA2" w:rsidP="008349F0">
            <w:pPr>
              <w:spacing w:after="0"/>
              <w:ind w:firstLine="0"/>
              <w:jc w:val="left"/>
              <w:rPr>
                <w:rFonts w:eastAsia="Times New Roman" w:cs="Times New Roman"/>
                <w:color w:val="000000"/>
                <w:sz w:val="18"/>
                <w:szCs w:val="18"/>
              </w:rPr>
            </w:pPr>
            <w:proofErr w:type="spellStart"/>
            <w:r w:rsidRPr="00FD1578">
              <w:rPr>
                <w:rFonts w:eastAsia="Times New Roman" w:cs="Times New Roman"/>
                <w:color w:val="000000"/>
                <w:sz w:val="18"/>
                <w:szCs w:val="18"/>
              </w:rPr>
              <w:t>N.p.k</w:t>
            </w:r>
            <w:proofErr w:type="spellEnd"/>
            <w:r w:rsidRPr="00FD1578">
              <w:rPr>
                <w:rFonts w:eastAsia="Times New Roman" w:cs="Times New Roman"/>
                <w:color w:val="000000"/>
                <w:sz w:val="18"/>
                <w:szCs w:val="18"/>
              </w:rPr>
              <w:t>.</w:t>
            </w:r>
          </w:p>
        </w:tc>
        <w:tc>
          <w:tcPr>
            <w:tcW w:w="6600" w:type="dxa"/>
            <w:tcBorders>
              <w:top w:val="nil"/>
              <w:left w:val="nil"/>
              <w:bottom w:val="single" w:sz="8" w:space="0" w:color="auto"/>
              <w:right w:val="single" w:sz="8" w:space="0" w:color="auto"/>
            </w:tcBorders>
            <w:shd w:val="clear" w:color="000000" w:fill="BDD7EE"/>
            <w:noWrap/>
            <w:vAlign w:val="center"/>
            <w:hideMark/>
          </w:tcPr>
          <w:p w14:paraId="2137522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BDD7EE"/>
            <w:vAlign w:val="center"/>
            <w:hideMark/>
          </w:tcPr>
          <w:p w14:paraId="62575305"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 xml:space="preserve">Ieņēmumi, </w:t>
            </w:r>
            <w:proofErr w:type="spellStart"/>
            <w:r w:rsidRPr="00FD1578">
              <w:rPr>
                <w:rFonts w:eastAsia="Times New Roman" w:cs="Times New Roman"/>
                <w:i/>
                <w:iCs/>
                <w:color w:val="000000"/>
                <w:sz w:val="18"/>
                <w:szCs w:val="18"/>
              </w:rPr>
              <w:t>euro</w:t>
            </w:r>
            <w:proofErr w:type="spellEnd"/>
          </w:p>
        </w:tc>
        <w:tc>
          <w:tcPr>
            <w:tcW w:w="2121" w:type="dxa"/>
            <w:tcBorders>
              <w:top w:val="nil"/>
              <w:left w:val="nil"/>
              <w:bottom w:val="single" w:sz="8" w:space="0" w:color="auto"/>
              <w:right w:val="single" w:sz="8" w:space="0" w:color="auto"/>
            </w:tcBorders>
            <w:shd w:val="clear" w:color="000000" w:fill="BDD7EE"/>
            <w:vAlign w:val="center"/>
            <w:hideMark/>
          </w:tcPr>
          <w:p w14:paraId="4B18D124"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 xml:space="preserve">Izdevumi, </w:t>
            </w:r>
            <w:proofErr w:type="spellStart"/>
            <w:r w:rsidRPr="00FD1578">
              <w:rPr>
                <w:rFonts w:eastAsia="Times New Roman" w:cs="Times New Roman"/>
                <w:i/>
                <w:iCs/>
                <w:color w:val="000000"/>
                <w:sz w:val="18"/>
                <w:szCs w:val="18"/>
              </w:rPr>
              <w:t>euro</w:t>
            </w:r>
            <w:proofErr w:type="spellEnd"/>
          </w:p>
        </w:tc>
        <w:tc>
          <w:tcPr>
            <w:tcW w:w="2177" w:type="dxa"/>
            <w:tcBorders>
              <w:top w:val="nil"/>
              <w:left w:val="nil"/>
              <w:bottom w:val="single" w:sz="8" w:space="0" w:color="auto"/>
              <w:right w:val="single" w:sz="8" w:space="0" w:color="auto"/>
            </w:tcBorders>
            <w:shd w:val="clear" w:color="000000" w:fill="BDD7EE"/>
            <w:vAlign w:val="center"/>
            <w:hideMark/>
          </w:tcPr>
          <w:p w14:paraId="121C2241"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Ietekme uz B.9 neto aizdevumiem (+)/neto aizņēmumiem (-),</w:t>
            </w:r>
            <w:proofErr w:type="spellStart"/>
            <w:r w:rsidRPr="00FD1578">
              <w:rPr>
                <w:rFonts w:eastAsia="Times New Roman" w:cs="Times New Roman"/>
                <w:i/>
                <w:iCs/>
                <w:color w:val="000000"/>
                <w:sz w:val="18"/>
                <w:szCs w:val="18"/>
              </w:rPr>
              <w:t>euro</w:t>
            </w:r>
            <w:proofErr w:type="spellEnd"/>
          </w:p>
        </w:tc>
      </w:tr>
      <w:tr w:rsidR="00830FA2" w:rsidRPr="00FD1578" w14:paraId="4D67299A" w14:textId="77777777" w:rsidTr="001D67A3">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24392B7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S130130</w:t>
            </w:r>
          </w:p>
        </w:tc>
        <w:tc>
          <w:tcPr>
            <w:tcW w:w="6600" w:type="dxa"/>
            <w:tcBorders>
              <w:top w:val="nil"/>
              <w:left w:val="nil"/>
              <w:bottom w:val="single" w:sz="8" w:space="0" w:color="auto"/>
              <w:right w:val="single" w:sz="8" w:space="0" w:color="auto"/>
            </w:tcBorders>
            <w:shd w:val="clear" w:color="000000" w:fill="DDEBF7"/>
            <w:noWrap/>
            <w:vAlign w:val="center"/>
            <w:hideMark/>
          </w:tcPr>
          <w:p w14:paraId="4046450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Valsts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62D32FF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5AE37AA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63E46E4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r>
      <w:tr w:rsidR="00830FA2" w:rsidRPr="00FD1578" w14:paraId="6FF55A7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9B3DF4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1</w:t>
            </w:r>
          </w:p>
        </w:tc>
        <w:tc>
          <w:tcPr>
            <w:tcW w:w="6600" w:type="dxa"/>
            <w:tcBorders>
              <w:top w:val="nil"/>
              <w:left w:val="nil"/>
              <w:bottom w:val="single" w:sz="8" w:space="0" w:color="auto"/>
              <w:right w:val="single" w:sz="8" w:space="0" w:color="auto"/>
            </w:tcBorders>
            <w:shd w:val="clear" w:color="auto" w:fill="auto"/>
            <w:noWrap/>
            <w:hideMark/>
          </w:tcPr>
          <w:p w14:paraId="548A451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"Bērnu psihoneiroloģiskā slimnīca "Ainaži""</w:t>
            </w:r>
          </w:p>
        </w:tc>
        <w:tc>
          <w:tcPr>
            <w:tcW w:w="2121" w:type="dxa"/>
            <w:tcBorders>
              <w:top w:val="nil"/>
              <w:left w:val="nil"/>
              <w:bottom w:val="single" w:sz="8" w:space="0" w:color="auto"/>
              <w:right w:val="single" w:sz="8" w:space="0" w:color="auto"/>
            </w:tcBorders>
            <w:shd w:val="clear" w:color="auto" w:fill="auto"/>
            <w:noWrap/>
            <w:hideMark/>
          </w:tcPr>
          <w:p w14:paraId="5789856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2 172 000</w:t>
            </w:r>
          </w:p>
        </w:tc>
        <w:tc>
          <w:tcPr>
            <w:tcW w:w="2121" w:type="dxa"/>
            <w:tcBorders>
              <w:top w:val="nil"/>
              <w:left w:val="nil"/>
              <w:bottom w:val="single" w:sz="8" w:space="0" w:color="auto"/>
              <w:right w:val="single" w:sz="8" w:space="0" w:color="auto"/>
            </w:tcBorders>
            <w:shd w:val="clear" w:color="auto" w:fill="auto"/>
            <w:noWrap/>
            <w:hideMark/>
          </w:tcPr>
          <w:p w14:paraId="51D0B36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2 138 363</w:t>
            </w:r>
          </w:p>
        </w:tc>
        <w:tc>
          <w:tcPr>
            <w:tcW w:w="2177" w:type="dxa"/>
            <w:tcBorders>
              <w:top w:val="nil"/>
              <w:left w:val="nil"/>
              <w:bottom w:val="single" w:sz="8" w:space="0" w:color="auto"/>
              <w:right w:val="single" w:sz="8" w:space="0" w:color="auto"/>
            </w:tcBorders>
            <w:shd w:val="clear" w:color="auto" w:fill="auto"/>
            <w:noWrap/>
            <w:hideMark/>
          </w:tcPr>
          <w:p w14:paraId="4E7EC26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33 637</w:t>
            </w:r>
          </w:p>
        </w:tc>
      </w:tr>
      <w:tr w:rsidR="00830FA2" w:rsidRPr="00FD1578" w14:paraId="3C3C716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29C47A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eastAsia="Calibri" w:cs="Times New Roman"/>
                <w:sz w:val="18"/>
                <w:szCs w:val="18"/>
                <w:lang w:eastAsia="en-US"/>
              </w:rPr>
              <w:t>2</w:t>
            </w:r>
          </w:p>
        </w:tc>
        <w:tc>
          <w:tcPr>
            <w:tcW w:w="6600" w:type="dxa"/>
            <w:tcBorders>
              <w:top w:val="nil"/>
              <w:left w:val="nil"/>
              <w:bottom w:val="single" w:sz="8" w:space="0" w:color="auto"/>
              <w:right w:val="single" w:sz="8" w:space="0" w:color="auto"/>
            </w:tcBorders>
            <w:shd w:val="clear" w:color="auto" w:fill="auto"/>
            <w:noWrap/>
            <w:hideMark/>
          </w:tcPr>
          <w:p w14:paraId="30764D0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Nodibinājums "Akadēmiskās informācijas centrs"</w:t>
            </w:r>
          </w:p>
        </w:tc>
        <w:tc>
          <w:tcPr>
            <w:tcW w:w="2121" w:type="dxa"/>
            <w:tcBorders>
              <w:top w:val="nil"/>
              <w:left w:val="nil"/>
              <w:bottom w:val="single" w:sz="8" w:space="0" w:color="auto"/>
              <w:right w:val="single" w:sz="8" w:space="0" w:color="auto"/>
            </w:tcBorders>
            <w:shd w:val="clear" w:color="auto" w:fill="auto"/>
            <w:noWrap/>
            <w:hideMark/>
          </w:tcPr>
          <w:p w14:paraId="4576D51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241 000</w:t>
            </w:r>
          </w:p>
        </w:tc>
        <w:tc>
          <w:tcPr>
            <w:tcW w:w="2121" w:type="dxa"/>
            <w:tcBorders>
              <w:top w:val="nil"/>
              <w:left w:val="nil"/>
              <w:bottom w:val="single" w:sz="8" w:space="0" w:color="auto"/>
              <w:right w:val="single" w:sz="8" w:space="0" w:color="auto"/>
            </w:tcBorders>
            <w:shd w:val="clear" w:color="auto" w:fill="auto"/>
            <w:noWrap/>
            <w:hideMark/>
          </w:tcPr>
          <w:p w14:paraId="7AD8FC3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2 143 521</w:t>
            </w:r>
          </w:p>
        </w:tc>
        <w:tc>
          <w:tcPr>
            <w:tcW w:w="2177" w:type="dxa"/>
            <w:tcBorders>
              <w:top w:val="nil"/>
              <w:left w:val="nil"/>
              <w:bottom w:val="single" w:sz="8" w:space="0" w:color="auto"/>
              <w:right w:val="single" w:sz="8" w:space="0" w:color="auto"/>
            </w:tcBorders>
            <w:shd w:val="clear" w:color="auto" w:fill="auto"/>
            <w:noWrap/>
            <w:hideMark/>
          </w:tcPr>
          <w:p w14:paraId="71509A4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-1 902 521</w:t>
            </w:r>
          </w:p>
        </w:tc>
      </w:tr>
      <w:tr w:rsidR="00830FA2" w:rsidRPr="00FD1578" w14:paraId="255385B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5D6AEB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w:t>
            </w:r>
          </w:p>
        </w:tc>
        <w:tc>
          <w:tcPr>
            <w:tcW w:w="6600" w:type="dxa"/>
            <w:tcBorders>
              <w:top w:val="nil"/>
              <w:left w:val="nil"/>
              <w:bottom w:val="single" w:sz="8" w:space="0" w:color="auto"/>
              <w:right w:val="single" w:sz="8" w:space="0" w:color="auto"/>
            </w:tcBorders>
            <w:shd w:val="clear" w:color="auto" w:fill="auto"/>
            <w:noWrap/>
            <w:hideMark/>
          </w:tcPr>
          <w:p w14:paraId="47F994D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"Autotransporta direkcija"</w:t>
            </w:r>
          </w:p>
        </w:tc>
        <w:tc>
          <w:tcPr>
            <w:tcW w:w="2121" w:type="dxa"/>
            <w:tcBorders>
              <w:top w:val="nil"/>
              <w:left w:val="nil"/>
              <w:bottom w:val="single" w:sz="8" w:space="0" w:color="auto"/>
              <w:right w:val="single" w:sz="8" w:space="0" w:color="auto"/>
            </w:tcBorders>
            <w:shd w:val="clear" w:color="auto" w:fill="auto"/>
            <w:noWrap/>
            <w:hideMark/>
          </w:tcPr>
          <w:p w14:paraId="4CCF1D5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3 888 844</w:t>
            </w:r>
          </w:p>
        </w:tc>
        <w:tc>
          <w:tcPr>
            <w:tcW w:w="2121" w:type="dxa"/>
            <w:tcBorders>
              <w:top w:val="nil"/>
              <w:left w:val="nil"/>
              <w:bottom w:val="single" w:sz="8" w:space="0" w:color="auto"/>
              <w:right w:val="single" w:sz="8" w:space="0" w:color="auto"/>
            </w:tcBorders>
            <w:shd w:val="clear" w:color="auto" w:fill="auto"/>
            <w:noWrap/>
            <w:hideMark/>
          </w:tcPr>
          <w:p w14:paraId="40A4B53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3 950 871</w:t>
            </w:r>
          </w:p>
        </w:tc>
        <w:tc>
          <w:tcPr>
            <w:tcW w:w="2177" w:type="dxa"/>
            <w:tcBorders>
              <w:top w:val="nil"/>
              <w:left w:val="nil"/>
              <w:bottom w:val="single" w:sz="8" w:space="0" w:color="auto"/>
              <w:right w:val="single" w:sz="8" w:space="0" w:color="auto"/>
            </w:tcBorders>
            <w:shd w:val="clear" w:color="auto" w:fill="auto"/>
            <w:noWrap/>
            <w:hideMark/>
          </w:tcPr>
          <w:p w14:paraId="09C9FF4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-62 027</w:t>
            </w:r>
          </w:p>
        </w:tc>
      </w:tr>
      <w:tr w:rsidR="00830FA2" w:rsidRPr="00FD1578" w14:paraId="7BF7686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03D6A1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w:t>
            </w:r>
          </w:p>
        </w:tc>
        <w:tc>
          <w:tcPr>
            <w:tcW w:w="6600" w:type="dxa"/>
            <w:tcBorders>
              <w:top w:val="nil"/>
              <w:left w:val="nil"/>
              <w:bottom w:val="single" w:sz="8" w:space="0" w:color="auto"/>
              <w:right w:val="single" w:sz="8" w:space="0" w:color="auto"/>
            </w:tcBorders>
            <w:shd w:val="clear" w:color="auto" w:fill="auto"/>
            <w:noWrap/>
            <w:hideMark/>
          </w:tcPr>
          <w:p w14:paraId="1F1AC49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"Bērnu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60F4104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83 398 333</w:t>
            </w:r>
          </w:p>
        </w:tc>
        <w:tc>
          <w:tcPr>
            <w:tcW w:w="2121" w:type="dxa"/>
            <w:tcBorders>
              <w:top w:val="nil"/>
              <w:left w:val="nil"/>
              <w:bottom w:val="single" w:sz="8" w:space="0" w:color="auto"/>
              <w:right w:val="single" w:sz="8" w:space="0" w:color="auto"/>
            </w:tcBorders>
            <w:shd w:val="clear" w:color="auto" w:fill="auto"/>
            <w:noWrap/>
            <w:hideMark/>
          </w:tcPr>
          <w:p w14:paraId="0E2205B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80 669 998</w:t>
            </w:r>
          </w:p>
        </w:tc>
        <w:tc>
          <w:tcPr>
            <w:tcW w:w="2177" w:type="dxa"/>
            <w:tcBorders>
              <w:top w:val="nil"/>
              <w:left w:val="nil"/>
              <w:bottom w:val="single" w:sz="8" w:space="0" w:color="auto"/>
              <w:right w:val="single" w:sz="8" w:space="0" w:color="auto"/>
            </w:tcBorders>
            <w:shd w:val="clear" w:color="auto" w:fill="auto"/>
            <w:noWrap/>
            <w:hideMark/>
          </w:tcPr>
          <w:p w14:paraId="4A42B3C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2 728 335</w:t>
            </w:r>
          </w:p>
        </w:tc>
      </w:tr>
      <w:tr w:rsidR="00830FA2" w:rsidRPr="00FD1578" w14:paraId="6009A3F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D6E11F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w:t>
            </w:r>
          </w:p>
        </w:tc>
        <w:tc>
          <w:tcPr>
            <w:tcW w:w="6600" w:type="dxa"/>
            <w:tcBorders>
              <w:top w:val="nil"/>
              <w:left w:val="nil"/>
              <w:bottom w:val="single" w:sz="8" w:space="0" w:color="auto"/>
              <w:right w:val="single" w:sz="8" w:space="0" w:color="auto"/>
            </w:tcBorders>
            <w:shd w:val="clear" w:color="auto" w:fill="auto"/>
            <w:noWrap/>
            <w:hideMark/>
          </w:tcPr>
          <w:p w14:paraId="62B3E7A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"Veselības centrs "Biķernieki""</w:t>
            </w:r>
          </w:p>
        </w:tc>
        <w:tc>
          <w:tcPr>
            <w:tcW w:w="2121" w:type="dxa"/>
            <w:tcBorders>
              <w:top w:val="nil"/>
              <w:left w:val="nil"/>
              <w:bottom w:val="single" w:sz="8" w:space="0" w:color="auto"/>
              <w:right w:val="single" w:sz="8" w:space="0" w:color="auto"/>
            </w:tcBorders>
            <w:shd w:val="clear" w:color="auto" w:fill="auto"/>
            <w:noWrap/>
            <w:hideMark/>
          </w:tcPr>
          <w:p w14:paraId="2ACAD0F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3 645 900</w:t>
            </w:r>
          </w:p>
        </w:tc>
        <w:tc>
          <w:tcPr>
            <w:tcW w:w="2121" w:type="dxa"/>
            <w:tcBorders>
              <w:top w:val="nil"/>
              <w:left w:val="nil"/>
              <w:bottom w:val="single" w:sz="8" w:space="0" w:color="auto"/>
              <w:right w:val="single" w:sz="8" w:space="0" w:color="auto"/>
            </w:tcBorders>
            <w:shd w:val="clear" w:color="auto" w:fill="auto"/>
            <w:noWrap/>
            <w:hideMark/>
          </w:tcPr>
          <w:p w14:paraId="41BFE27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3 634 243</w:t>
            </w:r>
          </w:p>
        </w:tc>
        <w:tc>
          <w:tcPr>
            <w:tcW w:w="2177" w:type="dxa"/>
            <w:tcBorders>
              <w:top w:val="nil"/>
              <w:left w:val="nil"/>
              <w:bottom w:val="single" w:sz="8" w:space="0" w:color="auto"/>
              <w:right w:val="single" w:sz="8" w:space="0" w:color="auto"/>
            </w:tcBorders>
            <w:shd w:val="clear" w:color="auto" w:fill="auto"/>
            <w:noWrap/>
            <w:hideMark/>
          </w:tcPr>
          <w:p w14:paraId="795F81F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11 657</w:t>
            </w:r>
          </w:p>
        </w:tc>
      </w:tr>
      <w:tr w:rsidR="00830FA2" w:rsidRPr="00FD1578" w14:paraId="5028349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CE32BD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w:t>
            </w:r>
          </w:p>
        </w:tc>
        <w:tc>
          <w:tcPr>
            <w:tcW w:w="6600" w:type="dxa"/>
            <w:tcBorders>
              <w:top w:val="nil"/>
              <w:left w:val="nil"/>
              <w:bottom w:val="single" w:sz="8" w:space="0" w:color="auto"/>
              <w:right w:val="single" w:sz="8" w:space="0" w:color="auto"/>
            </w:tcBorders>
            <w:shd w:val="clear" w:color="auto" w:fill="auto"/>
            <w:noWrap/>
            <w:hideMark/>
          </w:tcPr>
          <w:p w14:paraId="6215C86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"Bulduru Dārzkopības vidusskola"</w:t>
            </w:r>
          </w:p>
        </w:tc>
        <w:tc>
          <w:tcPr>
            <w:tcW w:w="2121" w:type="dxa"/>
            <w:tcBorders>
              <w:top w:val="nil"/>
              <w:left w:val="nil"/>
              <w:bottom w:val="single" w:sz="8" w:space="0" w:color="auto"/>
              <w:right w:val="single" w:sz="8" w:space="0" w:color="auto"/>
            </w:tcBorders>
            <w:shd w:val="clear" w:color="auto" w:fill="auto"/>
            <w:noWrap/>
            <w:hideMark/>
          </w:tcPr>
          <w:p w14:paraId="78B5BD1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850 000</w:t>
            </w:r>
          </w:p>
        </w:tc>
        <w:tc>
          <w:tcPr>
            <w:tcW w:w="2121" w:type="dxa"/>
            <w:tcBorders>
              <w:top w:val="nil"/>
              <w:left w:val="nil"/>
              <w:bottom w:val="single" w:sz="8" w:space="0" w:color="auto"/>
              <w:right w:val="single" w:sz="8" w:space="0" w:color="auto"/>
            </w:tcBorders>
            <w:shd w:val="clear" w:color="auto" w:fill="auto"/>
            <w:noWrap/>
            <w:hideMark/>
          </w:tcPr>
          <w:p w14:paraId="6F249CA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958 500</w:t>
            </w:r>
          </w:p>
        </w:tc>
        <w:tc>
          <w:tcPr>
            <w:tcW w:w="2177" w:type="dxa"/>
            <w:tcBorders>
              <w:top w:val="nil"/>
              <w:left w:val="nil"/>
              <w:bottom w:val="single" w:sz="8" w:space="0" w:color="auto"/>
              <w:right w:val="single" w:sz="8" w:space="0" w:color="auto"/>
            </w:tcBorders>
            <w:shd w:val="clear" w:color="auto" w:fill="auto"/>
            <w:noWrap/>
            <w:hideMark/>
          </w:tcPr>
          <w:p w14:paraId="6A9ACFF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-108 500</w:t>
            </w:r>
          </w:p>
        </w:tc>
      </w:tr>
      <w:tr w:rsidR="00830FA2" w:rsidRPr="00FD1578" w14:paraId="3B2A810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175FE6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w:t>
            </w:r>
          </w:p>
        </w:tc>
        <w:tc>
          <w:tcPr>
            <w:tcW w:w="6600" w:type="dxa"/>
            <w:tcBorders>
              <w:top w:val="nil"/>
              <w:left w:val="nil"/>
              <w:bottom w:val="single" w:sz="8" w:space="0" w:color="auto"/>
              <w:right w:val="single" w:sz="8" w:space="0" w:color="auto"/>
            </w:tcBorders>
            <w:shd w:val="clear" w:color="auto" w:fill="auto"/>
            <w:noWrap/>
            <w:hideMark/>
          </w:tcPr>
          <w:p w14:paraId="16ADEA8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VAS "Ceļu satiksmes drošības direkcija"</w:t>
            </w:r>
          </w:p>
        </w:tc>
        <w:tc>
          <w:tcPr>
            <w:tcW w:w="2121" w:type="dxa"/>
            <w:tcBorders>
              <w:top w:val="nil"/>
              <w:left w:val="nil"/>
              <w:bottom w:val="single" w:sz="8" w:space="0" w:color="auto"/>
              <w:right w:val="single" w:sz="8" w:space="0" w:color="auto"/>
            </w:tcBorders>
            <w:shd w:val="clear" w:color="auto" w:fill="auto"/>
            <w:noWrap/>
            <w:hideMark/>
          </w:tcPr>
          <w:p w14:paraId="290ACB2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66 042 297</w:t>
            </w:r>
          </w:p>
        </w:tc>
        <w:tc>
          <w:tcPr>
            <w:tcW w:w="2121" w:type="dxa"/>
            <w:tcBorders>
              <w:top w:val="nil"/>
              <w:left w:val="nil"/>
              <w:bottom w:val="single" w:sz="8" w:space="0" w:color="auto"/>
              <w:right w:val="single" w:sz="8" w:space="0" w:color="auto"/>
            </w:tcBorders>
            <w:shd w:val="clear" w:color="auto" w:fill="auto"/>
            <w:noWrap/>
            <w:hideMark/>
          </w:tcPr>
          <w:p w14:paraId="1E1F908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64 571 343</w:t>
            </w:r>
          </w:p>
        </w:tc>
        <w:tc>
          <w:tcPr>
            <w:tcW w:w="2177" w:type="dxa"/>
            <w:tcBorders>
              <w:top w:val="nil"/>
              <w:left w:val="nil"/>
              <w:bottom w:val="single" w:sz="8" w:space="0" w:color="auto"/>
              <w:right w:val="single" w:sz="8" w:space="0" w:color="auto"/>
            </w:tcBorders>
            <w:shd w:val="clear" w:color="auto" w:fill="auto"/>
            <w:noWrap/>
            <w:hideMark/>
          </w:tcPr>
          <w:p w14:paraId="3BF82ED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1 470 954</w:t>
            </w:r>
          </w:p>
        </w:tc>
      </w:tr>
      <w:tr w:rsidR="00830FA2" w:rsidRPr="00FD1578" w14:paraId="284C2C6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8A4612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w:t>
            </w:r>
          </w:p>
        </w:tc>
        <w:tc>
          <w:tcPr>
            <w:tcW w:w="6600" w:type="dxa"/>
            <w:tcBorders>
              <w:top w:val="nil"/>
              <w:left w:val="nil"/>
              <w:bottom w:val="single" w:sz="8" w:space="0" w:color="auto"/>
              <w:right w:val="single" w:sz="8" w:space="0" w:color="auto"/>
            </w:tcBorders>
            <w:shd w:val="clear" w:color="auto" w:fill="auto"/>
            <w:noWrap/>
            <w:hideMark/>
          </w:tcPr>
          <w:p w14:paraId="052FE1D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"Daugavpils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18F7082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28 446 821</w:t>
            </w:r>
          </w:p>
        </w:tc>
        <w:tc>
          <w:tcPr>
            <w:tcW w:w="2121" w:type="dxa"/>
            <w:tcBorders>
              <w:top w:val="nil"/>
              <w:left w:val="nil"/>
              <w:bottom w:val="single" w:sz="8" w:space="0" w:color="auto"/>
              <w:right w:val="single" w:sz="8" w:space="0" w:color="auto"/>
            </w:tcBorders>
            <w:shd w:val="clear" w:color="auto" w:fill="auto"/>
            <w:noWrap/>
            <w:hideMark/>
          </w:tcPr>
          <w:p w14:paraId="5800E2B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28 775 317</w:t>
            </w:r>
          </w:p>
        </w:tc>
        <w:tc>
          <w:tcPr>
            <w:tcW w:w="2177" w:type="dxa"/>
            <w:tcBorders>
              <w:top w:val="nil"/>
              <w:left w:val="nil"/>
              <w:bottom w:val="single" w:sz="8" w:space="0" w:color="auto"/>
              <w:right w:val="single" w:sz="8" w:space="0" w:color="auto"/>
            </w:tcBorders>
            <w:shd w:val="clear" w:color="auto" w:fill="auto"/>
            <w:noWrap/>
            <w:hideMark/>
          </w:tcPr>
          <w:p w14:paraId="350552F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-328 496</w:t>
            </w:r>
          </w:p>
        </w:tc>
      </w:tr>
      <w:tr w:rsidR="00830FA2" w:rsidRPr="00FD1578" w14:paraId="610E079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D4FB25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w:t>
            </w:r>
          </w:p>
        </w:tc>
        <w:tc>
          <w:tcPr>
            <w:tcW w:w="6600" w:type="dxa"/>
            <w:tcBorders>
              <w:top w:val="nil"/>
              <w:left w:val="nil"/>
              <w:bottom w:val="single" w:sz="8" w:space="0" w:color="auto"/>
              <w:right w:val="single" w:sz="8" w:space="0" w:color="auto"/>
            </w:tcBorders>
            <w:shd w:val="clear" w:color="auto" w:fill="auto"/>
            <w:noWrap/>
            <w:hideMark/>
          </w:tcPr>
          <w:p w14:paraId="4578E44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"Daugavpils teātris"</w:t>
            </w:r>
          </w:p>
        </w:tc>
        <w:tc>
          <w:tcPr>
            <w:tcW w:w="2121" w:type="dxa"/>
            <w:tcBorders>
              <w:top w:val="nil"/>
              <w:left w:val="nil"/>
              <w:bottom w:val="single" w:sz="8" w:space="0" w:color="auto"/>
              <w:right w:val="single" w:sz="8" w:space="0" w:color="auto"/>
            </w:tcBorders>
            <w:shd w:val="clear" w:color="auto" w:fill="auto"/>
            <w:noWrap/>
            <w:hideMark/>
          </w:tcPr>
          <w:p w14:paraId="49D9841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3 000 984</w:t>
            </w:r>
          </w:p>
        </w:tc>
        <w:tc>
          <w:tcPr>
            <w:tcW w:w="2121" w:type="dxa"/>
            <w:tcBorders>
              <w:top w:val="nil"/>
              <w:left w:val="nil"/>
              <w:bottom w:val="single" w:sz="8" w:space="0" w:color="auto"/>
              <w:right w:val="single" w:sz="8" w:space="0" w:color="auto"/>
            </w:tcBorders>
            <w:shd w:val="clear" w:color="auto" w:fill="auto"/>
            <w:noWrap/>
            <w:hideMark/>
          </w:tcPr>
          <w:p w14:paraId="38ADC84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2 999 784</w:t>
            </w:r>
          </w:p>
        </w:tc>
        <w:tc>
          <w:tcPr>
            <w:tcW w:w="2177" w:type="dxa"/>
            <w:tcBorders>
              <w:top w:val="nil"/>
              <w:left w:val="nil"/>
              <w:bottom w:val="single" w:sz="8" w:space="0" w:color="auto"/>
              <w:right w:val="single" w:sz="8" w:space="0" w:color="auto"/>
            </w:tcBorders>
            <w:shd w:val="clear" w:color="auto" w:fill="auto"/>
            <w:noWrap/>
            <w:hideMark/>
          </w:tcPr>
          <w:p w14:paraId="7DE8A4F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1 200</w:t>
            </w:r>
          </w:p>
        </w:tc>
      </w:tr>
      <w:tr w:rsidR="00830FA2" w:rsidRPr="00FD1578" w14:paraId="2A37218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2457CD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lastRenderedPageBreak/>
              <w:t>10</w:t>
            </w:r>
          </w:p>
        </w:tc>
        <w:tc>
          <w:tcPr>
            <w:tcW w:w="6600" w:type="dxa"/>
            <w:tcBorders>
              <w:top w:val="nil"/>
              <w:left w:val="nil"/>
              <w:bottom w:val="single" w:sz="8" w:space="0" w:color="auto"/>
              <w:right w:val="single" w:sz="8" w:space="0" w:color="auto"/>
            </w:tcBorders>
            <w:shd w:val="clear" w:color="auto" w:fill="auto"/>
            <w:noWrap/>
            <w:hideMark/>
          </w:tcPr>
          <w:p w14:paraId="6ED47B7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"Eiropas Dzelzceļa līnijas"</w:t>
            </w:r>
          </w:p>
        </w:tc>
        <w:tc>
          <w:tcPr>
            <w:tcW w:w="2121" w:type="dxa"/>
            <w:tcBorders>
              <w:top w:val="nil"/>
              <w:left w:val="nil"/>
              <w:bottom w:val="single" w:sz="8" w:space="0" w:color="auto"/>
              <w:right w:val="single" w:sz="8" w:space="0" w:color="auto"/>
            </w:tcBorders>
            <w:shd w:val="clear" w:color="auto" w:fill="auto"/>
            <w:noWrap/>
            <w:hideMark/>
          </w:tcPr>
          <w:p w14:paraId="6892234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496055E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0FCC431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6B67FC6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00DECC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w:t>
            </w:r>
          </w:p>
        </w:tc>
        <w:tc>
          <w:tcPr>
            <w:tcW w:w="6600" w:type="dxa"/>
            <w:tcBorders>
              <w:top w:val="nil"/>
              <w:left w:val="nil"/>
              <w:bottom w:val="single" w:sz="8" w:space="0" w:color="auto"/>
              <w:right w:val="single" w:sz="8" w:space="0" w:color="auto"/>
            </w:tcBorders>
            <w:shd w:val="clear" w:color="auto" w:fill="auto"/>
            <w:noWrap/>
            <w:hideMark/>
          </w:tcPr>
          <w:p w14:paraId="5141FCCA"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"Enerģijas publiskais tirgotājs"</w:t>
            </w:r>
          </w:p>
        </w:tc>
        <w:tc>
          <w:tcPr>
            <w:tcW w:w="2121" w:type="dxa"/>
            <w:tcBorders>
              <w:top w:val="nil"/>
              <w:left w:val="nil"/>
              <w:bottom w:val="single" w:sz="8" w:space="0" w:color="auto"/>
              <w:right w:val="single" w:sz="8" w:space="0" w:color="auto"/>
            </w:tcBorders>
            <w:shd w:val="clear" w:color="auto" w:fill="auto"/>
            <w:noWrap/>
            <w:hideMark/>
          </w:tcPr>
          <w:p w14:paraId="6B8BB17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30 239 965</w:t>
            </w:r>
          </w:p>
        </w:tc>
        <w:tc>
          <w:tcPr>
            <w:tcW w:w="2121" w:type="dxa"/>
            <w:tcBorders>
              <w:top w:val="nil"/>
              <w:left w:val="nil"/>
              <w:bottom w:val="single" w:sz="8" w:space="0" w:color="auto"/>
              <w:right w:val="single" w:sz="8" w:space="0" w:color="auto"/>
            </w:tcBorders>
            <w:shd w:val="clear" w:color="auto" w:fill="auto"/>
            <w:noWrap/>
            <w:hideMark/>
          </w:tcPr>
          <w:p w14:paraId="692310A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71 609 610</w:t>
            </w:r>
          </w:p>
        </w:tc>
        <w:tc>
          <w:tcPr>
            <w:tcW w:w="2177" w:type="dxa"/>
            <w:tcBorders>
              <w:top w:val="nil"/>
              <w:left w:val="nil"/>
              <w:bottom w:val="single" w:sz="8" w:space="0" w:color="auto"/>
              <w:right w:val="single" w:sz="8" w:space="0" w:color="auto"/>
            </w:tcBorders>
            <w:shd w:val="clear" w:color="auto" w:fill="auto"/>
            <w:noWrap/>
            <w:hideMark/>
          </w:tcPr>
          <w:p w14:paraId="014266A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-41 369 645</w:t>
            </w:r>
          </w:p>
        </w:tc>
      </w:tr>
      <w:tr w:rsidR="00830FA2" w:rsidRPr="00FD1578" w14:paraId="04E605F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F4B44C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12</w:t>
            </w:r>
          </w:p>
        </w:tc>
        <w:tc>
          <w:tcPr>
            <w:tcW w:w="6600" w:type="dxa"/>
            <w:tcBorders>
              <w:top w:val="nil"/>
              <w:left w:val="nil"/>
              <w:bottom w:val="single" w:sz="8" w:space="0" w:color="auto"/>
              <w:right w:val="single" w:sz="8" w:space="0" w:color="auto"/>
            </w:tcBorders>
            <w:shd w:val="clear" w:color="auto" w:fill="auto"/>
            <w:noWrap/>
            <w:hideMark/>
          </w:tcPr>
          <w:p w14:paraId="559961D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FeLM</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784AC0F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66D940A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37925C2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78B2A4D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77F4DE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w:t>
            </w:r>
          </w:p>
        </w:tc>
        <w:tc>
          <w:tcPr>
            <w:tcW w:w="6600" w:type="dxa"/>
            <w:tcBorders>
              <w:top w:val="nil"/>
              <w:left w:val="nil"/>
              <w:bottom w:val="single" w:sz="8" w:space="0" w:color="auto"/>
              <w:right w:val="single" w:sz="8" w:space="0" w:color="auto"/>
            </w:tcBorders>
            <w:shd w:val="clear" w:color="auto" w:fill="auto"/>
            <w:hideMark/>
          </w:tcPr>
          <w:p w14:paraId="39DCCF8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"Slimnīca "</w:t>
            </w:r>
            <w:proofErr w:type="spellStart"/>
            <w:r w:rsidRPr="00FD1578">
              <w:rPr>
                <w:rFonts w:eastAsia="Calibri" w:cs="Times New Roman"/>
                <w:sz w:val="18"/>
                <w:szCs w:val="18"/>
                <w:lang w:eastAsia="en-US"/>
              </w:rPr>
              <w:t>Ģintermuiža</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6712D08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13 673 613</w:t>
            </w:r>
          </w:p>
        </w:tc>
        <w:tc>
          <w:tcPr>
            <w:tcW w:w="2121" w:type="dxa"/>
            <w:tcBorders>
              <w:top w:val="nil"/>
              <w:left w:val="nil"/>
              <w:bottom w:val="single" w:sz="8" w:space="0" w:color="auto"/>
              <w:right w:val="single" w:sz="8" w:space="0" w:color="auto"/>
            </w:tcBorders>
            <w:shd w:val="clear" w:color="auto" w:fill="auto"/>
            <w:noWrap/>
            <w:hideMark/>
          </w:tcPr>
          <w:p w14:paraId="57D78EE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13 728 255</w:t>
            </w:r>
          </w:p>
        </w:tc>
        <w:tc>
          <w:tcPr>
            <w:tcW w:w="2177" w:type="dxa"/>
            <w:tcBorders>
              <w:top w:val="nil"/>
              <w:left w:val="nil"/>
              <w:bottom w:val="single" w:sz="8" w:space="0" w:color="auto"/>
              <w:right w:val="single" w:sz="8" w:space="0" w:color="auto"/>
            </w:tcBorders>
            <w:shd w:val="clear" w:color="auto" w:fill="auto"/>
            <w:noWrap/>
            <w:hideMark/>
          </w:tcPr>
          <w:p w14:paraId="03914FE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-54 642</w:t>
            </w:r>
          </w:p>
        </w:tc>
      </w:tr>
      <w:tr w:rsidR="00830FA2" w:rsidRPr="00FD1578" w14:paraId="36F3687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86B6D4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w:t>
            </w:r>
          </w:p>
        </w:tc>
        <w:tc>
          <w:tcPr>
            <w:tcW w:w="6600" w:type="dxa"/>
            <w:tcBorders>
              <w:top w:val="nil"/>
              <w:left w:val="nil"/>
              <w:bottom w:val="single" w:sz="8" w:space="0" w:color="auto"/>
              <w:right w:val="single" w:sz="8" w:space="0" w:color="auto"/>
            </w:tcBorders>
            <w:shd w:val="clear" w:color="auto" w:fill="auto"/>
            <w:hideMark/>
          </w:tcPr>
          <w:p w14:paraId="4C4B2EA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w:t>
            </w:r>
            <w:proofErr w:type="spellStart"/>
            <w:r w:rsidRPr="00FD1578">
              <w:rPr>
                <w:rFonts w:eastAsia="Calibri" w:cs="Times New Roman"/>
                <w:sz w:val="18"/>
                <w:szCs w:val="18"/>
                <w:lang w:eastAsia="en-US"/>
              </w:rPr>
              <w:t>Iekšlietu</w:t>
            </w:r>
            <w:proofErr w:type="spellEnd"/>
            <w:r w:rsidRPr="00FD1578">
              <w:rPr>
                <w:rFonts w:eastAsia="Calibri" w:cs="Times New Roman"/>
                <w:sz w:val="18"/>
                <w:szCs w:val="18"/>
                <w:lang w:eastAsia="en-US"/>
              </w:rPr>
              <w:t xml:space="preserve"> ministrijas poliklīnika"</w:t>
            </w:r>
          </w:p>
        </w:tc>
        <w:tc>
          <w:tcPr>
            <w:tcW w:w="2121" w:type="dxa"/>
            <w:tcBorders>
              <w:top w:val="nil"/>
              <w:left w:val="nil"/>
              <w:bottom w:val="single" w:sz="8" w:space="0" w:color="auto"/>
              <w:right w:val="single" w:sz="8" w:space="0" w:color="auto"/>
            </w:tcBorders>
            <w:shd w:val="clear" w:color="auto" w:fill="auto"/>
            <w:noWrap/>
            <w:hideMark/>
          </w:tcPr>
          <w:p w14:paraId="7B49A6F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3 070 610</w:t>
            </w:r>
          </w:p>
        </w:tc>
        <w:tc>
          <w:tcPr>
            <w:tcW w:w="2121" w:type="dxa"/>
            <w:tcBorders>
              <w:top w:val="nil"/>
              <w:left w:val="nil"/>
              <w:bottom w:val="single" w:sz="8" w:space="0" w:color="auto"/>
              <w:right w:val="single" w:sz="8" w:space="0" w:color="auto"/>
            </w:tcBorders>
            <w:shd w:val="clear" w:color="auto" w:fill="auto"/>
            <w:noWrap/>
            <w:hideMark/>
          </w:tcPr>
          <w:p w14:paraId="53982E7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3 060 420</w:t>
            </w:r>
          </w:p>
        </w:tc>
        <w:tc>
          <w:tcPr>
            <w:tcW w:w="2177" w:type="dxa"/>
            <w:tcBorders>
              <w:top w:val="nil"/>
              <w:left w:val="nil"/>
              <w:bottom w:val="single" w:sz="8" w:space="0" w:color="auto"/>
              <w:right w:val="single" w:sz="8" w:space="0" w:color="auto"/>
            </w:tcBorders>
            <w:shd w:val="clear" w:color="auto" w:fill="auto"/>
            <w:noWrap/>
            <w:hideMark/>
          </w:tcPr>
          <w:p w14:paraId="103AB30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10 190</w:t>
            </w:r>
          </w:p>
        </w:tc>
      </w:tr>
      <w:tr w:rsidR="00830FA2" w:rsidRPr="00FD1578" w14:paraId="4483149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2FC65C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15</w:t>
            </w:r>
          </w:p>
        </w:tc>
        <w:tc>
          <w:tcPr>
            <w:tcW w:w="6600" w:type="dxa"/>
            <w:tcBorders>
              <w:top w:val="nil"/>
              <w:left w:val="nil"/>
              <w:bottom w:val="single" w:sz="8" w:space="0" w:color="auto"/>
              <w:right w:val="single" w:sz="8" w:space="0" w:color="auto"/>
            </w:tcBorders>
            <w:shd w:val="clear" w:color="auto" w:fill="auto"/>
            <w:noWrap/>
            <w:hideMark/>
          </w:tcPr>
          <w:p w14:paraId="17D9E32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w:t>
            </w:r>
            <w:proofErr w:type="spellStart"/>
            <w:r w:rsidRPr="00FD1578">
              <w:rPr>
                <w:rFonts w:eastAsia="Calibri" w:cs="Times New Roman"/>
                <w:sz w:val="18"/>
                <w:szCs w:val="18"/>
                <w:lang w:eastAsia="en-US"/>
              </w:rPr>
              <w:t>LatRailNet</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1CED2BA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1 645 630</w:t>
            </w:r>
          </w:p>
        </w:tc>
        <w:tc>
          <w:tcPr>
            <w:tcW w:w="2121" w:type="dxa"/>
            <w:tcBorders>
              <w:top w:val="nil"/>
              <w:left w:val="nil"/>
              <w:bottom w:val="single" w:sz="8" w:space="0" w:color="auto"/>
              <w:right w:val="single" w:sz="8" w:space="0" w:color="auto"/>
            </w:tcBorders>
            <w:shd w:val="clear" w:color="auto" w:fill="auto"/>
            <w:noWrap/>
            <w:hideMark/>
          </w:tcPr>
          <w:p w14:paraId="51B0C4F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1 645 630</w:t>
            </w:r>
          </w:p>
        </w:tc>
        <w:tc>
          <w:tcPr>
            <w:tcW w:w="2177" w:type="dxa"/>
            <w:tcBorders>
              <w:top w:val="nil"/>
              <w:left w:val="nil"/>
              <w:bottom w:val="single" w:sz="8" w:space="0" w:color="auto"/>
              <w:right w:val="single" w:sz="8" w:space="0" w:color="auto"/>
            </w:tcBorders>
            <w:shd w:val="clear" w:color="auto" w:fill="auto"/>
            <w:noWrap/>
            <w:hideMark/>
          </w:tcPr>
          <w:p w14:paraId="0581180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0AD523E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3B9B51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16</w:t>
            </w:r>
          </w:p>
        </w:tc>
        <w:tc>
          <w:tcPr>
            <w:tcW w:w="6600" w:type="dxa"/>
            <w:tcBorders>
              <w:top w:val="nil"/>
              <w:left w:val="nil"/>
              <w:bottom w:val="single" w:sz="8" w:space="0" w:color="auto"/>
              <w:right w:val="single" w:sz="8" w:space="0" w:color="auto"/>
            </w:tcBorders>
            <w:shd w:val="clear" w:color="auto" w:fill="auto"/>
            <w:noWrap/>
            <w:hideMark/>
          </w:tcPr>
          <w:p w14:paraId="366594E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"Valsts Akadēmiskais koris "Latvija""</w:t>
            </w:r>
          </w:p>
        </w:tc>
        <w:tc>
          <w:tcPr>
            <w:tcW w:w="2121" w:type="dxa"/>
            <w:tcBorders>
              <w:top w:val="nil"/>
              <w:left w:val="nil"/>
              <w:bottom w:val="single" w:sz="8" w:space="0" w:color="auto"/>
              <w:right w:val="single" w:sz="8" w:space="0" w:color="auto"/>
            </w:tcBorders>
            <w:shd w:val="clear" w:color="auto" w:fill="auto"/>
            <w:noWrap/>
            <w:hideMark/>
          </w:tcPr>
          <w:p w14:paraId="720DBEC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146 500</w:t>
            </w:r>
          </w:p>
        </w:tc>
        <w:tc>
          <w:tcPr>
            <w:tcW w:w="2121" w:type="dxa"/>
            <w:tcBorders>
              <w:top w:val="nil"/>
              <w:left w:val="nil"/>
              <w:bottom w:val="single" w:sz="8" w:space="0" w:color="auto"/>
              <w:right w:val="single" w:sz="8" w:space="0" w:color="auto"/>
            </w:tcBorders>
            <w:shd w:val="clear" w:color="auto" w:fill="auto"/>
            <w:noWrap/>
            <w:hideMark/>
          </w:tcPr>
          <w:p w14:paraId="145CAAD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144 500</w:t>
            </w:r>
          </w:p>
        </w:tc>
        <w:tc>
          <w:tcPr>
            <w:tcW w:w="2177" w:type="dxa"/>
            <w:tcBorders>
              <w:top w:val="nil"/>
              <w:left w:val="nil"/>
              <w:bottom w:val="single" w:sz="8" w:space="0" w:color="auto"/>
              <w:right w:val="single" w:sz="8" w:space="0" w:color="auto"/>
            </w:tcBorders>
            <w:shd w:val="clear" w:color="auto" w:fill="auto"/>
            <w:noWrap/>
            <w:hideMark/>
          </w:tcPr>
          <w:p w14:paraId="4213C0B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2 000</w:t>
            </w:r>
          </w:p>
        </w:tc>
      </w:tr>
      <w:tr w:rsidR="00830FA2" w:rsidRPr="00FD1578" w14:paraId="5961C34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DCFB66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w:t>
            </w:r>
          </w:p>
        </w:tc>
        <w:tc>
          <w:tcPr>
            <w:tcW w:w="6600" w:type="dxa"/>
            <w:tcBorders>
              <w:top w:val="nil"/>
              <w:left w:val="nil"/>
              <w:bottom w:val="single" w:sz="8" w:space="0" w:color="auto"/>
              <w:right w:val="single" w:sz="8" w:space="0" w:color="auto"/>
            </w:tcBorders>
            <w:shd w:val="clear" w:color="auto" w:fill="auto"/>
            <w:noWrap/>
            <w:hideMark/>
          </w:tcPr>
          <w:p w14:paraId="1494701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 xml:space="preserve">VAS "Latvijas Attīstības finanšu institūcija </w:t>
            </w:r>
            <w:proofErr w:type="spellStart"/>
            <w:r w:rsidRPr="00FD1578">
              <w:rPr>
                <w:rFonts w:eastAsia="Calibri" w:cs="Times New Roman"/>
                <w:sz w:val="18"/>
                <w:szCs w:val="18"/>
                <w:lang w:eastAsia="en-US"/>
              </w:rPr>
              <w:t>Altum</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1D9C2B4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28 583 765</w:t>
            </w:r>
          </w:p>
        </w:tc>
        <w:tc>
          <w:tcPr>
            <w:tcW w:w="2121" w:type="dxa"/>
            <w:tcBorders>
              <w:top w:val="nil"/>
              <w:left w:val="nil"/>
              <w:bottom w:val="single" w:sz="8" w:space="0" w:color="auto"/>
              <w:right w:val="single" w:sz="8" w:space="0" w:color="auto"/>
            </w:tcBorders>
            <w:shd w:val="clear" w:color="auto" w:fill="auto"/>
            <w:noWrap/>
            <w:hideMark/>
          </w:tcPr>
          <w:p w14:paraId="0B35C46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11 166 669</w:t>
            </w:r>
          </w:p>
        </w:tc>
        <w:tc>
          <w:tcPr>
            <w:tcW w:w="2177" w:type="dxa"/>
            <w:tcBorders>
              <w:top w:val="nil"/>
              <w:left w:val="nil"/>
              <w:bottom w:val="single" w:sz="8" w:space="0" w:color="auto"/>
              <w:right w:val="single" w:sz="8" w:space="0" w:color="auto"/>
            </w:tcBorders>
            <w:shd w:val="clear" w:color="auto" w:fill="auto"/>
            <w:noWrap/>
            <w:hideMark/>
          </w:tcPr>
          <w:p w14:paraId="28BC42F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17 417 096</w:t>
            </w:r>
          </w:p>
        </w:tc>
      </w:tr>
      <w:tr w:rsidR="00830FA2" w:rsidRPr="00FD1578" w14:paraId="716A4BA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68CD0C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18</w:t>
            </w:r>
          </w:p>
        </w:tc>
        <w:tc>
          <w:tcPr>
            <w:tcW w:w="6600" w:type="dxa"/>
            <w:tcBorders>
              <w:top w:val="nil"/>
              <w:left w:val="nil"/>
              <w:bottom w:val="single" w:sz="8" w:space="0" w:color="auto"/>
              <w:right w:val="single" w:sz="8" w:space="0" w:color="auto"/>
            </w:tcBorders>
            <w:shd w:val="clear" w:color="auto" w:fill="auto"/>
            <w:noWrap/>
            <w:hideMark/>
          </w:tcPr>
          <w:p w14:paraId="3331802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VAS "Latvijas autoceļu uzturētājs"</w:t>
            </w:r>
          </w:p>
        </w:tc>
        <w:tc>
          <w:tcPr>
            <w:tcW w:w="2121" w:type="dxa"/>
            <w:tcBorders>
              <w:top w:val="nil"/>
              <w:left w:val="nil"/>
              <w:bottom w:val="single" w:sz="8" w:space="0" w:color="auto"/>
              <w:right w:val="single" w:sz="8" w:space="0" w:color="auto"/>
            </w:tcBorders>
            <w:shd w:val="clear" w:color="auto" w:fill="auto"/>
            <w:noWrap/>
            <w:hideMark/>
          </w:tcPr>
          <w:p w14:paraId="0D0D9A8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75 285 741</w:t>
            </w:r>
          </w:p>
        </w:tc>
        <w:tc>
          <w:tcPr>
            <w:tcW w:w="2121" w:type="dxa"/>
            <w:tcBorders>
              <w:top w:val="nil"/>
              <w:left w:val="nil"/>
              <w:bottom w:val="single" w:sz="8" w:space="0" w:color="auto"/>
              <w:right w:val="single" w:sz="8" w:space="0" w:color="auto"/>
            </w:tcBorders>
            <w:shd w:val="clear" w:color="auto" w:fill="auto"/>
            <w:noWrap/>
            <w:hideMark/>
          </w:tcPr>
          <w:p w14:paraId="5DED0DE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75 205 209</w:t>
            </w:r>
          </w:p>
        </w:tc>
        <w:tc>
          <w:tcPr>
            <w:tcW w:w="2177" w:type="dxa"/>
            <w:tcBorders>
              <w:top w:val="nil"/>
              <w:left w:val="nil"/>
              <w:bottom w:val="single" w:sz="8" w:space="0" w:color="auto"/>
              <w:right w:val="single" w:sz="8" w:space="0" w:color="auto"/>
            </w:tcBorders>
            <w:shd w:val="clear" w:color="auto" w:fill="auto"/>
            <w:noWrap/>
            <w:hideMark/>
          </w:tcPr>
          <w:p w14:paraId="6A3AEB8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80 532</w:t>
            </w:r>
          </w:p>
        </w:tc>
      </w:tr>
      <w:tr w:rsidR="00830FA2" w:rsidRPr="00FD1578" w14:paraId="61E3BDB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5E4DC3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19</w:t>
            </w:r>
          </w:p>
        </w:tc>
        <w:tc>
          <w:tcPr>
            <w:tcW w:w="6600" w:type="dxa"/>
            <w:tcBorders>
              <w:top w:val="nil"/>
              <w:left w:val="nil"/>
              <w:bottom w:val="single" w:sz="8" w:space="0" w:color="auto"/>
              <w:right w:val="single" w:sz="8" w:space="0" w:color="auto"/>
            </w:tcBorders>
            <w:shd w:val="clear" w:color="auto" w:fill="auto"/>
            <w:noWrap/>
            <w:hideMark/>
          </w:tcPr>
          <w:p w14:paraId="07E1441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VAS "Latvijas dzelzceļš"</w:t>
            </w:r>
          </w:p>
        </w:tc>
        <w:tc>
          <w:tcPr>
            <w:tcW w:w="2121" w:type="dxa"/>
            <w:tcBorders>
              <w:top w:val="nil"/>
              <w:left w:val="nil"/>
              <w:bottom w:val="single" w:sz="8" w:space="0" w:color="auto"/>
              <w:right w:val="single" w:sz="8" w:space="0" w:color="auto"/>
            </w:tcBorders>
            <w:shd w:val="clear" w:color="auto" w:fill="auto"/>
            <w:noWrap/>
            <w:hideMark/>
          </w:tcPr>
          <w:p w14:paraId="67FEB1F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135 645 722</w:t>
            </w:r>
          </w:p>
        </w:tc>
        <w:tc>
          <w:tcPr>
            <w:tcW w:w="2121" w:type="dxa"/>
            <w:tcBorders>
              <w:top w:val="nil"/>
              <w:left w:val="nil"/>
              <w:bottom w:val="single" w:sz="8" w:space="0" w:color="auto"/>
              <w:right w:val="single" w:sz="8" w:space="0" w:color="auto"/>
            </w:tcBorders>
            <w:shd w:val="clear" w:color="auto" w:fill="auto"/>
            <w:noWrap/>
            <w:hideMark/>
          </w:tcPr>
          <w:p w14:paraId="30FF7CF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164 461 112</w:t>
            </w:r>
          </w:p>
        </w:tc>
        <w:tc>
          <w:tcPr>
            <w:tcW w:w="2177" w:type="dxa"/>
            <w:tcBorders>
              <w:top w:val="nil"/>
              <w:left w:val="nil"/>
              <w:bottom w:val="single" w:sz="8" w:space="0" w:color="auto"/>
              <w:right w:val="single" w:sz="8" w:space="0" w:color="auto"/>
            </w:tcBorders>
            <w:shd w:val="clear" w:color="auto" w:fill="auto"/>
            <w:noWrap/>
            <w:hideMark/>
          </w:tcPr>
          <w:p w14:paraId="54692CA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-28 815 390</w:t>
            </w:r>
          </w:p>
        </w:tc>
      </w:tr>
      <w:tr w:rsidR="00830FA2" w:rsidRPr="00FD1578" w14:paraId="76A2D17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8F2F42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20</w:t>
            </w:r>
          </w:p>
        </w:tc>
        <w:tc>
          <w:tcPr>
            <w:tcW w:w="6600" w:type="dxa"/>
            <w:tcBorders>
              <w:top w:val="nil"/>
              <w:left w:val="nil"/>
              <w:bottom w:val="single" w:sz="8" w:space="0" w:color="auto"/>
              <w:right w:val="single" w:sz="8" w:space="0" w:color="auto"/>
            </w:tcBorders>
            <w:shd w:val="clear" w:color="auto" w:fill="auto"/>
            <w:noWrap/>
            <w:hideMark/>
          </w:tcPr>
          <w:p w14:paraId="1B8D0C4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Koncerti"</w:t>
            </w:r>
          </w:p>
        </w:tc>
        <w:tc>
          <w:tcPr>
            <w:tcW w:w="2121" w:type="dxa"/>
            <w:tcBorders>
              <w:top w:val="nil"/>
              <w:left w:val="nil"/>
              <w:bottom w:val="single" w:sz="8" w:space="0" w:color="auto"/>
              <w:right w:val="single" w:sz="8" w:space="0" w:color="auto"/>
            </w:tcBorders>
            <w:shd w:val="clear" w:color="auto" w:fill="auto"/>
            <w:noWrap/>
            <w:hideMark/>
          </w:tcPr>
          <w:p w14:paraId="0D1CDBB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5 315 000</w:t>
            </w:r>
          </w:p>
        </w:tc>
        <w:tc>
          <w:tcPr>
            <w:tcW w:w="2121" w:type="dxa"/>
            <w:tcBorders>
              <w:top w:val="nil"/>
              <w:left w:val="nil"/>
              <w:bottom w:val="single" w:sz="8" w:space="0" w:color="auto"/>
              <w:right w:val="single" w:sz="8" w:space="0" w:color="auto"/>
            </w:tcBorders>
            <w:shd w:val="clear" w:color="auto" w:fill="auto"/>
            <w:noWrap/>
            <w:hideMark/>
          </w:tcPr>
          <w:p w14:paraId="272669E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5 288 392</w:t>
            </w:r>
          </w:p>
        </w:tc>
        <w:tc>
          <w:tcPr>
            <w:tcW w:w="2177" w:type="dxa"/>
            <w:tcBorders>
              <w:top w:val="nil"/>
              <w:left w:val="nil"/>
              <w:bottom w:val="single" w:sz="8" w:space="0" w:color="auto"/>
              <w:right w:val="single" w:sz="8" w:space="0" w:color="auto"/>
            </w:tcBorders>
            <w:shd w:val="clear" w:color="auto" w:fill="auto"/>
            <w:noWrap/>
            <w:hideMark/>
          </w:tcPr>
          <w:p w14:paraId="07B99C0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26 608</w:t>
            </w:r>
          </w:p>
        </w:tc>
      </w:tr>
      <w:tr w:rsidR="00830FA2" w:rsidRPr="00FD1578" w14:paraId="4E8DFD7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F49B84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21</w:t>
            </w:r>
          </w:p>
        </w:tc>
        <w:tc>
          <w:tcPr>
            <w:tcW w:w="6600" w:type="dxa"/>
            <w:tcBorders>
              <w:top w:val="nil"/>
              <w:left w:val="nil"/>
              <w:bottom w:val="single" w:sz="8" w:space="0" w:color="auto"/>
              <w:right w:val="single" w:sz="8" w:space="0" w:color="auto"/>
            </w:tcBorders>
            <w:shd w:val="clear" w:color="auto" w:fill="auto"/>
            <w:noWrap/>
            <w:hideMark/>
          </w:tcPr>
          <w:p w14:paraId="2A2FB97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Leļļu teātris"</w:t>
            </w:r>
          </w:p>
        </w:tc>
        <w:tc>
          <w:tcPr>
            <w:tcW w:w="2121" w:type="dxa"/>
            <w:tcBorders>
              <w:top w:val="nil"/>
              <w:left w:val="nil"/>
              <w:bottom w:val="single" w:sz="8" w:space="0" w:color="auto"/>
              <w:right w:val="single" w:sz="8" w:space="0" w:color="auto"/>
            </w:tcBorders>
            <w:shd w:val="clear" w:color="auto" w:fill="auto"/>
            <w:noWrap/>
            <w:hideMark/>
          </w:tcPr>
          <w:p w14:paraId="03E9CD4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701 000</w:t>
            </w:r>
          </w:p>
        </w:tc>
        <w:tc>
          <w:tcPr>
            <w:tcW w:w="2121" w:type="dxa"/>
            <w:tcBorders>
              <w:top w:val="nil"/>
              <w:left w:val="nil"/>
              <w:bottom w:val="single" w:sz="8" w:space="0" w:color="auto"/>
              <w:right w:val="single" w:sz="8" w:space="0" w:color="auto"/>
            </w:tcBorders>
            <w:shd w:val="clear" w:color="auto" w:fill="auto"/>
            <w:noWrap/>
            <w:hideMark/>
          </w:tcPr>
          <w:p w14:paraId="3B74596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700 600</w:t>
            </w:r>
          </w:p>
        </w:tc>
        <w:tc>
          <w:tcPr>
            <w:tcW w:w="2177" w:type="dxa"/>
            <w:tcBorders>
              <w:top w:val="nil"/>
              <w:left w:val="nil"/>
              <w:bottom w:val="single" w:sz="8" w:space="0" w:color="auto"/>
              <w:right w:val="single" w:sz="8" w:space="0" w:color="auto"/>
            </w:tcBorders>
            <w:shd w:val="clear" w:color="auto" w:fill="auto"/>
            <w:noWrap/>
            <w:hideMark/>
          </w:tcPr>
          <w:p w14:paraId="7997C5D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400</w:t>
            </w:r>
          </w:p>
        </w:tc>
      </w:tr>
      <w:tr w:rsidR="00830FA2" w:rsidRPr="00FD1578" w14:paraId="7E178F5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841537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22</w:t>
            </w:r>
          </w:p>
        </w:tc>
        <w:tc>
          <w:tcPr>
            <w:tcW w:w="6600" w:type="dxa"/>
            <w:tcBorders>
              <w:top w:val="nil"/>
              <w:left w:val="nil"/>
              <w:bottom w:val="single" w:sz="8" w:space="0" w:color="auto"/>
              <w:right w:val="single" w:sz="8" w:space="0" w:color="auto"/>
            </w:tcBorders>
            <w:shd w:val="clear" w:color="auto" w:fill="auto"/>
            <w:noWrap/>
            <w:hideMark/>
          </w:tcPr>
          <w:p w14:paraId="3D2AB2A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Nacionālais simfoniskais orķestris"</w:t>
            </w:r>
          </w:p>
        </w:tc>
        <w:tc>
          <w:tcPr>
            <w:tcW w:w="2121" w:type="dxa"/>
            <w:tcBorders>
              <w:top w:val="nil"/>
              <w:left w:val="nil"/>
              <w:bottom w:val="single" w:sz="8" w:space="0" w:color="auto"/>
              <w:right w:val="single" w:sz="8" w:space="0" w:color="auto"/>
            </w:tcBorders>
            <w:shd w:val="clear" w:color="auto" w:fill="auto"/>
            <w:noWrap/>
            <w:hideMark/>
          </w:tcPr>
          <w:p w14:paraId="2A15592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4 000 000</w:t>
            </w:r>
          </w:p>
        </w:tc>
        <w:tc>
          <w:tcPr>
            <w:tcW w:w="2121" w:type="dxa"/>
            <w:tcBorders>
              <w:top w:val="nil"/>
              <w:left w:val="nil"/>
              <w:bottom w:val="single" w:sz="8" w:space="0" w:color="auto"/>
              <w:right w:val="single" w:sz="8" w:space="0" w:color="auto"/>
            </w:tcBorders>
            <w:shd w:val="clear" w:color="auto" w:fill="auto"/>
            <w:noWrap/>
            <w:hideMark/>
          </w:tcPr>
          <w:p w14:paraId="100A4A3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3 990 000</w:t>
            </w:r>
          </w:p>
        </w:tc>
        <w:tc>
          <w:tcPr>
            <w:tcW w:w="2177" w:type="dxa"/>
            <w:tcBorders>
              <w:top w:val="nil"/>
              <w:left w:val="nil"/>
              <w:bottom w:val="single" w:sz="8" w:space="0" w:color="auto"/>
              <w:right w:val="single" w:sz="8" w:space="0" w:color="auto"/>
            </w:tcBorders>
            <w:shd w:val="clear" w:color="auto" w:fill="auto"/>
            <w:noWrap/>
            <w:hideMark/>
          </w:tcPr>
          <w:p w14:paraId="75CE156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10 000</w:t>
            </w:r>
          </w:p>
        </w:tc>
      </w:tr>
      <w:tr w:rsidR="00830FA2" w:rsidRPr="00FD1578" w14:paraId="1CE36A8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8E3F4A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23</w:t>
            </w:r>
          </w:p>
        </w:tc>
        <w:tc>
          <w:tcPr>
            <w:tcW w:w="6600" w:type="dxa"/>
            <w:tcBorders>
              <w:top w:val="nil"/>
              <w:left w:val="nil"/>
              <w:bottom w:val="single" w:sz="8" w:space="0" w:color="auto"/>
              <w:right w:val="single" w:sz="8" w:space="0" w:color="auto"/>
            </w:tcBorders>
            <w:shd w:val="clear" w:color="auto" w:fill="auto"/>
            <w:noWrap/>
            <w:hideMark/>
          </w:tcPr>
          <w:p w14:paraId="0C2E372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"Latvijas Nacionālais sporta centrs"</w:t>
            </w:r>
          </w:p>
        </w:tc>
        <w:tc>
          <w:tcPr>
            <w:tcW w:w="2121" w:type="dxa"/>
            <w:tcBorders>
              <w:top w:val="nil"/>
              <w:left w:val="nil"/>
              <w:bottom w:val="single" w:sz="8" w:space="0" w:color="auto"/>
              <w:right w:val="single" w:sz="8" w:space="0" w:color="auto"/>
            </w:tcBorders>
            <w:shd w:val="clear" w:color="auto" w:fill="auto"/>
            <w:noWrap/>
            <w:hideMark/>
          </w:tcPr>
          <w:p w14:paraId="64060C9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4 397 000</w:t>
            </w:r>
          </w:p>
        </w:tc>
        <w:tc>
          <w:tcPr>
            <w:tcW w:w="2121" w:type="dxa"/>
            <w:tcBorders>
              <w:top w:val="nil"/>
              <w:left w:val="nil"/>
              <w:bottom w:val="single" w:sz="8" w:space="0" w:color="auto"/>
              <w:right w:val="single" w:sz="8" w:space="0" w:color="auto"/>
            </w:tcBorders>
            <w:shd w:val="clear" w:color="auto" w:fill="auto"/>
            <w:noWrap/>
            <w:hideMark/>
          </w:tcPr>
          <w:p w14:paraId="571DAC4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4 395 000</w:t>
            </w:r>
          </w:p>
        </w:tc>
        <w:tc>
          <w:tcPr>
            <w:tcW w:w="2177" w:type="dxa"/>
            <w:tcBorders>
              <w:top w:val="nil"/>
              <w:left w:val="nil"/>
              <w:bottom w:val="single" w:sz="8" w:space="0" w:color="auto"/>
              <w:right w:val="single" w:sz="8" w:space="0" w:color="auto"/>
            </w:tcBorders>
            <w:shd w:val="clear" w:color="auto" w:fill="auto"/>
            <w:noWrap/>
            <w:hideMark/>
          </w:tcPr>
          <w:p w14:paraId="2867458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2 000</w:t>
            </w:r>
          </w:p>
        </w:tc>
      </w:tr>
      <w:tr w:rsidR="00830FA2" w:rsidRPr="00FD1578" w14:paraId="3975C8A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B7A2A4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24</w:t>
            </w:r>
          </w:p>
        </w:tc>
        <w:tc>
          <w:tcPr>
            <w:tcW w:w="6600" w:type="dxa"/>
            <w:tcBorders>
              <w:top w:val="nil"/>
              <w:left w:val="nil"/>
              <w:bottom w:val="single" w:sz="8" w:space="0" w:color="auto"/>
              <w:right w:val="single" w:sz="8" w:space="0" w:color="auto"/>
            </w:tcBorders>
            <w:shd w:val="clear" w:color="auto" w:fill="auto"/>
            <w:noWrap/>
            <w:hideMark/>
          </w:tcPr>
          <w:p w14:paraId="78B6092A"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Nacionālais teātris"</w:t>
            </w:r>
          </w:p>
        </w:tc>
        <w:tc>
          <w:tcPr>
            <w:tcW w:w="2121" w:type="dxa"/>
            <w:tcBorders>
              <w:top w:val="nil"/>
              <w:left w:val="nil"/>
              <w:bottom w:val="single" w:sz="8" w:space="0" w:color="auto"/>
              <w:right w:val="single" w:sz="8" w:space="0" w:color="auto"/>
            </w:tcBorders>
            <w:shd w:val="clear" w:color="auto" w:fill="auto"/>
            <w:noWrap/>
            <w:hideMark/>
          </w:tcPr>
          <w:p w14:paraId="7A8A82B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5 969 735</w:t>
            </w:r>
          </w:p>
        </w:tc>
        <w:tc>
          <w:tcPr>
            <w:tcW w:w="2121" w:type="dxa"/>
            <w:tcBorders>
              <w:top w:val="nil"/>
              <w:left w:val="nil"/>
              <w:bottom w:val="single" w:sz="8" w:space="0" w:color="auto"/>
              <w:right w:val="single" w:sz="8" w:space="0" w:color="auto"/>
            </w:tcBorders>
            <w:shd w:val="clear" w:color="auto" w:fill="auto"/>
            <w:noWrap/>
            <w:hideMark/>
          </w:tcPr>
          <w:p w14:paraId="2EC6C83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5 672 985</w:t>
            </w:r>
          </w:p>
        </w:tc>
        <w:tc>
          <w:tcPr>
            <w:tcW w:w="2177" w:type="dxa"/>
            <w:tcBorders>
              <w:top w:val="nil"/>
              <w:left w:val="nil"/>
              <w:bottom w:val="single" w:sz="8" w:space="0" w:color="auto"/>
              <w:right w:val="single" w:sz="8" w:space="0" w:color="auto"/>
            </w:tcBorders>
            <w:shd w:val="clear" w:color="auto" w:fill="auto"/>
            <w:noWrap/>
            <w:hideMark/>
          </w:tcPr>
          <w:p w14:paraId="1AFB659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296 750</w:t>
            </w:r>
          </w:p>
        </w:tc>
      </w:tr>
      <w:tr w:rsidR="00830FA2" w:rsidRPr="00FD1578" w14:paraId="3455DA4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6A02E6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25</w:t>
            </w:r>
          </w:p>
        </w:tc>
        <w:tc>
          <w:tcPr>
            <w:tcW w:w="6600" w:type="dxa"/>
            <w:tcBorders>
              <w:top w:val="nil"/>
              <w:left w:val="nil"/>
              <w:bottom w:val="single" w:sz="8" w:space="0" w:color="auto"/>
              <w:right w:val="single" w:sz="8" w:space="0" w:color="auto"/>
            </w:tcBorders>
            <w:shd w:val="clear" w:color="auto" w:fill="auto"/>
            <w:noWrap/>
            <w:hideMark/>
          </w:tcPr>
          <w:p w14:paraId="7A20D69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Nacionālā opera un balets"</w:t>
            </w:r>
          </w:p>
        </w:tc>
        <w:tc>
          <w:tcPr>
            <w:tcW w:w="2121" w:type="dxa"/>
            <w:tcBorders>
              <w:top w:val="nil"/>
              <w:left w:val="nil"/>
              <w:bottom w:val="single" w:sz="8" w:space="0" w:color="auto"/>
              <w:right w:val="single" w:sz="8" w:space="0" w:color="auto"/>
            </w:tcBorders>
            <w:shd w:val="clear" w:color="auto" w:fill="auto"/>
            <w:noWrap/>
            <w:hideMark/>
          </w:tcPr>
          <w:p w14:paraId="58D47ED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6 405 000</w:t>
            </w:r>
          </w:p>
        </w:tc>
        <w:tc>
          <w:tcPr>
            <w:tcW w:w="2121" w:type="dxa"/>
            <w:tcBorders>
              <w:top w:val="nil"/>
              <w:left w:val="nil"/>
              <w:bottom w:val="single" w:sz="8" w:space="0" w:color="auto"/>
              <w:right w:val="single" w:sz="8" w:space="0" w:color="auto"/>
            </w:tcBorders>
            <w:shd w:val="clear" w:color="auto" w:fill="auto"/>
            <w:noWrap/>
            <w:hideMark/>
          </w:tcPr>
          <w:p w14:paraId="6B14172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6 374 000</w:t>
            </w:r>
          </w:p>
        </w:tc>
        <w:tc>
          <w:tcPr>
            <w:tcW w:w="2177" w:type="dxa"/>
            <w:tcBorders>
              <w:top w:val="nil"/>
              <w:left w:val="nil"/>
              <w:bottom w:val="single" w:sz="8" w:space="0" w:color="auto"/>
              <w:right w:val="single" w:sz="8" w:space="0" w:color="auto"/>
            </w:tcBorders>
            <w:shd w:val="clear" w:color="auto" w:fill="auto"/>
            <w:noWrap/>
            <w:hideMark/>
          </w:tcPr>
          <w:p w14:paraId="7CC889A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31 000</w:t>
            </w:r>
          </w:p>
        </w:tc>
      </w:tr>
      <w:tr w:rsidR="00830FA2" w:rsidRPr="00FD1578" w14:paraId="22F0EB7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CA2E2E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w:t>
            </w:r>
          </w:p>
        </w:tc>
        <w:tc>
          <w:tcPr>
            <w:tcW w:w="6600" w:type="dxa"/>
            <w:tcBorders>
              <w:top w:val="nil"/>
              <w:left w:val="nil"/>
              <w:bottom w:val="single" w:sz="8" w:space="0" w:color="auto"/>
              <w:right w:val="single" w:sz="8" w:space="0" w:color="auto"/>
            </w:tcBorders>
            <w:shd w:val="clear" w:color="auto" w:fill="auto"/>
            <w:noWrap/>
            <w:hideMark/>
          </w:tcPr>
          <w:p w14:paraId="6FE88CD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Proves birojs"</w:t>
            </w:r>
          </w:p>
        </w:tc>
        <w:tc>
          <w:tcPr>
            <w:tcW w:w="2121" w:type="dxa"/>
            <w:tcBorders>
              <w:top w:val="nil"/>
              <w:left w:val="nil"/>
              <w:bottom w:val="single" w:sz="8" w:space="0" w:color="auto"/>
              <w:right w:val="single" w:sz="8" w:space="0" w:color="auto"/>
            </w:tcBorders>
            <w:shd w:val="clear" w:color="auto" w:fill="auto"/>
            <w:noWrap/>
            <w:hideMark/>
          </w:tcPr>
          <w:p w14:paraId="476FFFC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717 275</w:t>
            </w:r>
          </w:p>
        </w:tc>
        <w:tc>
          <w:tcPr>
            <w:tcW w:w="2121" w:type="dxa"/>
            <w:tcBorders>
              <w:top w:val="nil"/>
              <w:left w:val="nil"/>
              <w:bottom w:val="single" w:sz="8" w:space="0" w:color="auto"/>
              <w:right w:val="single" w:sz="8" w:space="0" w:color="auto"/>
            </w:tcBorders>
            <w:shd w:val="clear" w:color="auto" w:fill="auto"/>
            <w:noWrap/>
            <w:hideMark/>
          </w:tcPr>
          <w:p w14:paraId="2EB44FE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667 275</w:t>
            </w:r>
          </w:p>
        </w:tc>
        <w:tc>
          <w:tcPr>
            <w:tcW w:w="2177" w:type="dxa"/>
            <w:tcBorders>
              <w:top w:val="nil"/>
              <w:left w:val="nil"/>
              <w:bottom w:val="single" w:sz="8" w:space="0" w:color="auto"/>
              <w:right w:val="single" w:sz="8" w:space="0" w:color="auto"/>
            </w:tcBorders>
            <w:shd w:val="clear" w:color="auto" w:fill="auto"/>
            <w:noWrap/>
            <w:hideMark/>
          </w:tcPr>
          <w:p w14:paraId="56695BB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50 000</w:t>
            </w:r>
          </w:p>
        </w:tc>
      </w:tr>
      <w:tr w:rsidR="00830FA2" w:rsidRPr="00FD1578" w14:paraId="04A832C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F86794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27</w:t>
            </w:r>
          </w:p>
        </w:tc>
        <w:tc>
          <w:tcPr>
            <w:tcW w:w="6600" w:type="dxa"/>
            <w:tcBorders>
              <w:top w:val="nil"/>
              <w:left w:val="nil"/>
              <w:bottom w:val="single" w:sz="8" w:space="0" w:color="auto"/>
              <w:right w:val="single" w:sz="8" w:space="0" w:color="auto"/>
            </w:tcBorders>
            <w:shd w:val="clear" w:color="auto" w:fill="auto"/>
            <w:noWrap/>
            <w:hideMark/>
          </w:tcPr>
          <w:p w14:paraId="34E8012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Radio"</w:t>
            </w:r>
          </w:p>
        </w:tc>
        <w:tc>
          <w:tcPr>
            <w:tcW w:w="2121" w:type="dxa"/>
            <w:tcBorders>
              <w:top w:val="nil"/>
              <w:left w:val="nil"/>
              <w:bottom w:val="single" w:sz="8" w:space="0" w:color="auto"/>
              <w:right w:val="single" w:sz="8" w:space="0" w:color="auto"/>
            </w:tcBorders>
            <w:shd w:val="clear" w:color="auto" w:fill="auto"/>
            <w:noWrap/>
            <w:hideMark/>
          </w:tcPr>
          <w:p w14:paraId="4380CC8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17 250 000</w:t>
            </w:r>
          </w:p>
        </w:tc>
        <w:tc>
          <w:tcPr>
            <w:tcW w:w="2121" w:type="dxa"/>
            <w:tcBorders>
              <w:top w:val="nil"/>
              <w:left w:val="nil"/>
              <w:bottom w:val="single" w:sz="8" w:space="0" w:color="auto"/>
              <w:right w:val="single" w:sz="8" w:space="0" w:color="auto"/>
            </w:tcBorders>
            <w:shd w:val="clear" w:color="auto" w:fill="auto"/>
            <w:noWrap/>
            <w:hideMark/>
          </w:tcPr>
          <w:p w14:paraId="3F33E41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17 329 000</w:t>
            </w:r>
          </w:p>
        </w:tc>
        <w:tc>
          <w:tcPr>
            <w:tcW w:w="2177" w:type="dxa"/>
            <w:tcBorders>
              <w:top w:val="nil"/>
              <w:left w:val="nil"/>
              <w:bottom w:val="single" w:sz="8" w:space="0" w:color="auto"/>
              <w:right w:val="single" w:sz="8" w:space="0" w:color="auto"/>
            </w:tcBorders>
            <w:shd w:val="clear" w:color="auto" w:fill="auto"/>
            <w:noWrap/>
            <w:hideMark/>
          </w:tcPr>
          <w:p w14:paraId="44C2EA6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-79 000</w:t>
            </w:r>
          </w:p>
        </w:tc>
      </w:tr>
      <w:tr w:rsidR="00830FA2" w:rsidRPr="00FD1578" w14:paraId="3B9D32E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3B1250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w:t>
            </w:r>
          </w:p>
        </w:tc>
        <w:tc>
          <w:tcPr>
            <w:tcW w:w="6600" w:type="dxa"/>
            <w:tcBorders>
              <w:top w:val="nil"/>
              <w:left w:val="nil"/>
              <w:bottom w:val="single" w:sz="8" w:space="0" w:color="auto"/>
              <w:right w:val="single" w:sz="8" w:space="0" w:color="auto"/>
            </w:tcBorders>
            <w:shd w:val="clear" w:color="auto" w:fill="auto"/>
            <w:noWrap/>
            <w:hideMark/>
          </w:tcPr>
          <w:p w14:paraId="7DE67FD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"Latvijas standarts"</w:t>
            </w:r>
          </w:p>
        </w:tc>
        <w:tc>
          <w:tcPr>
            <w:tcW w:w="2121" w:type="dxa"/>
            <w:tcBorders>
              <w:top w:val="nil"/>
              <w:left w:val="nil"/>
              <w:bottom w:val="single" w:sz="8" w:space="0" w:color="auto"/>
              <w:right w:val="single" w:sz="8" w:space="0" w:color="auto"/>
            </w:tcBorders>
            <w:shd w:val="clear" w:color="auto" w:fill="auto"/>
            <w:noWrap/>
            <w:hideMark/>
          </w:tcPr>
          <w:p w14:paraId="0EC3567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935 000</w:t>
            </w:r>
          </w:p>
        </w:tc>
        <w:tc>
          <w:tcPr>
            <w:tcW w:w="2121" w:type="dxa"/>
            <w:tcBorders>
              <w:top w:val="nil"/>
              <w:left w:val="nil"/>
              <w:bottom w:val="single" w:sz="8" w:space="0" w:color="auto"/>
              <w:right w:val="single" w:sz="8" w:space="0" w:color="auto"/>
            </w:tcBorders>
            <w:shd w:val="clear" w:color="auto" w:fill="auto"/>
            <w:noWrap/>
            <w:hideMark/>
          </w:tcPr>
          <w:p w14:paraId="76D7DFE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901 700</w:t>
            </w:r>
          </w:p>
        </w:tc>
        <w:tc>
          <w:tcPr>
            <w:tcW w:w="2177" w:type="dxa"/>
            <w:tcBorders>
              <w:top w:val="nil"/>
              <w:left w:val="nil"/>
              <w:bottom w:val="single" w:sz="8" w:space="0" w:color="auto"/>
              <w:right w:val="single" w:sz="8" w:space="0" w:color="auto"/>
            </w:tcBorders>
            <w:shd w:val="clear" w:color="auto" w:fill="auto"/>
            <w:noWrap/>
            <w:hideMark/>
          </w:tcPr>
          <w:p w14:paraId="52B66DC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33 300</w:t>
            </w:r>
          </w:p>
        </w:tc>
      </w:tr>
      <w:tr w:rsidR="00830FA2" w:rsidRPr="00FD1578" w14:paraId="6C72334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8B6545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29</w:t>
            </w:r>
          </w:p>
        </w:tc>
        <w:tc>
          <w:tcPr>
            <w:tcW w:w="6600" w:type="dxa"/>
            <w:tcBorders>
              <w:top w:val="nil"/>
              <w:left w:val="nil"/>
              <w:bottom w:val="single" w:sz="8" w:space="0" w:color="auto"/>
              <w:right w:val="single" w:sz="8" w:space="0" w:color="auto"/>
            </w:tcBorders>
            <w:shd w:val="clear" w:color="auto" w:fill="auto"/>
            <w:noWrap/>
            <w:hideMark/>
          </w:tcPr>
          <w:p w14:paraId="25CF06B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Televīzija"</w:t>
            </w:r>
          </w:p>
        </w:tc>
        <w:tc>
          <w:tcPr>
            <w:tcW w:w="2121" w:type="dxa"/>
            <w:tcBorders>
              <w:top w:val="nil"/>
              <w:left w:val="nil"/>
              <w:bottom w:val="single" w:sz="8" w:space="0" w:color="auto"/>
              <w:right w:val="single" w:sz="8" w:space="0" w:color="auto"/>
            </w:tcBorders>
            <w:shd w:val="clear" w:color="auto" w:fill="auto"/>
            <w:noWrap/>
            <w:hideMark/>
          </w:tcPr>
          <w:p w14:paraId="12427F2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37 888 400</w:t>
            </w:r>
          </w:p>
        </w:tc>
        <w:tc>
          <w:tcPr>
            <w:tcW w:w="2121" w:type="dxa"/>
            <w:tcBorders>
              <w:top w:val="nil"/>
              <w:left w:val="nil"/>
              <w:bottom w:val="single" w:sz="8" w:space="0" w:color="auto"/>
              <w:right w:val="single" w:sz="8" w:space="0" w:color="auto"/>
            </w:tcBorders>
            <w:shd w:val="clear" w:color="auto" w:fill="auto"/>
            <w:noWrap/>
            <w:hideMark/>
          </w:tcPr>
          <w:p w14:paraId="1C1452E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37 815 500</w:t>
            </w:r>
          </w:p>
        </w:tc>
        <w:tc>
          <w:tcPr>
            <w:tcW w:w="2177" w:type="dxa"/>
            <w:tcBorders>
              <w:top w:val="nil"/>
              <w:left w:val="nil"/>
              <w:bottom w:val="single" w:sz="8" w:space="0" w:color="auto"/>
              <w:right w:val="single" w:sz="8" w:space="0" w:color="auto"/>
            </w:tcBorders>
            <w:shd w:val="clear" w:color="auto" w:fill="auto"/>
            <w:noWrap/>
            <w:hideMark/>
          </w:tcPr>
          <w:p w14:paraId="52BE5FE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72 900</w:t>
            </w:r>
          </w:p>
        </w:tc>
      </w:tr>
      <w:tr w:rsidR="00830FA2" w:rsidRPr="00FD1578" w14:paraId="43EC29A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42514A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w:t>
            </w:r>
          </w:p>
        </w:tc>
        <w:tc>
          <w:tcPr>
            <w:tcW w:w="6600" w:type="dxa"/>
            <w:tcBorders>
              <w:top w:val="nil"/>
              <w:left w:val="nil"/>
              <w:bottom w:val="single" w:sz="8" w:space="0" w:color="auto"/>
              <w:right w:val="single" w:sz="8" w:space="0" w:color="auto"/>
            </w:tcBorders>
            <w:shd w:val="clear" w:color="auto" w:fill="auto"/>
            <w:noWrap/>
            <w:hideMark/>
          </w:tcPr>
          <w:p w14:paraId="4D958AC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"Latvijas Universitātes nekustamā īpašuma aģentūra"</w:t>
            </w:r>
          </w:p>
        </w:tc>
        <w:tc>
          <w:tcPr>
            <w:tcW w:w="2121" w:type="dxa"/>
            <w:tcBorders>
              <w:top w:val="nil"/>
              <w:left w:val="nil"/>
              <w:bottom w:val="single" w:sz="8" w:space="0" w:color="auto"/>
              <w:right w:val="single" w:sz="8" w:space="0" w:color="auto"/>
            </w:tcBorders>
            <w:shd w:val="clear" w:color="auto" w:fill="auto"/>
            <w:noWrap/>
            <w:hideMark/>
          </w:tcPr>
          <w:p w14:paraId="7CF8EA5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7443492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545B0C1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4C8A2B9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607785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31</w:t>
            </w:r>
          </w:p>
        </w:tc>
        <w:tc>
          <w:tcPr>
            <w:tcW w:w="6600" w:type="dxa"/>
            <w:tcBorders>
              <w:top w:val="nil"/>
              <w:left w:val="nil"/>
              <w:bottom w:val="single" w:sz="8" w:space="0" w:color="auto"/>
              <w:right w:val="single" w:sz="8" w:space="0" w:color="auto"/>
            </w:tcBorders>
            <w:shd w:val="clear" w:color="auto" w:fill="auto"/>
            <w:noWrap/>
            <w:hideMark/>
          </w:tcPr>
          <w:p w14:paraId="77A1493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Valsts ceļi"</w:t>
            </w:r>
          </w:p>
        </w:tc>
        <w:tc>
          <w:tcPr>
            <w:tcW w:w="2121" w:type="dxa"/>
            <w:tcBorders>
              <w:top w:val="nil"/>
              <w:left w:val="nil"/>
              <w:bottom w:val="single" w:sz="8" w:space="0" w:color="auto"/>
              <w:right w:val="single" w:sz="8" w:space="0" w:color="auto"/>
            </w:tcBorders>
            <w:shd w:val="clear" w:color="auto" w:fill="auto"/>
            <w:noWrap/>
            <w:hideMark/>
          </w:tcPr>
          <w:p w14:paraId="0181F2F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20 100 000</w:t>
            </w:r>
          </w:p>
        </w:tc>
        <w:tc>
          <w:tcPr>
            <w:tcW w:w="2121" w:type="dxa"/>
            <w:tcBorders>
              <w:top w:val="nil"/>
              <w:left w:val="nil"/>
              <w:bottom w:val="single" w:sz="8" w:space="0" w:color="auto"/>
              <w:right w:val="single" w:sz="8" w:space="0" w:color="auto"/>
            </w:tcBorders>
            <w:shd w:val="clear" w:color="auto" w:fill="auto"/>
            <w:noWrap/>
            <w:hideMark/>
          </w:tcPr>
          <w:p w14:paraId="71527B2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20 000 000</w:t>
            </w:r>
          </w:p>
        </w:tc>
        <w:tc>
          <w:tcPr>
            <w:tcW w:w="2177" w:type="dxa"/>
            <w:tcBorders>
              <w:top w:val="nil"/>
              <w:left w:val="nil"/>
              <w:bottom w:val="single" w:sz="8" w:space="0" w:color="auto"/>
              <w:right w:val="single" w:sz="8" w:space="0" w:color="auto"/>
            </w:tcBorders>
            <w:shd w:val="clear" w:color="auto" w:fill="auto"/>
            <w:noWrap/>
            <w:hideMark/>
          </w:tcPr>
          <w:p w14:paraId="044B01A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100 000</w:t>
            </w:r>
          </w:p>
        </w:tc>
      </w:tr>
      <w:tr w:rsidR="00830FA2" w:rsidRPr="00FD1578" w14:paraId="16E3C57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BB64EB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32</w:t>
            </w:r>
          </w:p>
        </w:tc>
        <w:tc>
          <w:tcPr>
            <w:tcW w:w="6600" w:type="dxa"/>
            <w:tcBorders>
              <w:top w:val="nil"/>
              <w:left w:val="nil"/>
              <w:bottom w:val="single" w:sz="8" w:space="0" w:color="auto"/>
              <w:right w:val="single" w:sz="8" w:space="0" w:color="auto"/>
            </w:tcBorders>
            <w:shd w:val="clear" w:color="auto" w:fill="auto"/>
            <w:noWrap/>
            <w:hideMark/>
          </w:tcPr>
          <w:p w14:paraId="4BF691A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Vēstnesis"</w:t>
            </w:r>
          </w:p>
        </w:tc>
        <w:tc>
          <w:tcPr>
            <w:tcW w:w="2121" w:type="dxa"/>
            <w:tcBorders>
              <w:top w:val="nil"/>
              <w:left w:val="nil"/>
              <w:bottom w:val="single" w:sz="8" w:space="0" w:color="auto"/>
              <w:right w:val="single" w:sz="8" w:space="0" w:color="auto"/>
            </w:tcBorders>
            <w:shd w:val="clear" w:color="auto" w:fill="auto"/>
            <w:noWrap/>
            <w:hideMark/>
          </w:tcPr>
          <w:p w14:paraId="4D3F99E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2 399 932</w:t>
            </w:r>
          </w:p>
        </w:tc>
        <w:tc>
          <w:tcPr>
            <w:tcW w:w="2121" w:type="dxa"/>
            <w:tcBorders>
              <w:top w:val="nil"/>
              <w:left w:val="nil"/>
              <w:bottom w:val="single" w:sz="8" w:space="0" w:color="auto"/>
              <w:right w:val="single" w:sz="8" w:space="0" w:color="auto"/>
            </w:tcBorders>
            <w:shd w:val="clear" w:color="auto" w:fill="auto"/>
            <w:noWrap/>
            <w:hideMark/>
          </w:tcPr>
          <w:p w14:paraId="1BFFF6A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2 452 930</w:t>
            </w:r>
          </w:p>
        </w:tc>
        <w:tc>
          <w:tcPr>
            <w:tcW w:w="2177" w:type="dxa"/>
            <w:tcBorders>
              <w:top w:val="nil"/>
              <w:left w:val="nil"/>
              <w:bottom w:val="single" w:sz="8" w:space="0" w:color="auto"/>
              <w:right w:val="single" w:sz="8" w:space="0" w:color="auto"/>
            </w:tcBorders>
            <w:shd w:val="clear" w:color="auto" w:fill="auto"/>
            <w:noWrap/>
            <w:hideMark/>
          </w:tcPr>
          <w:p w14:paraId="45A6464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-52 998</w:t>
            </w:r>
          </w:p>
        </w:tc>
      </w:tr>
      <w:tr w:rsidR="00830FA2" w:rsidRPr="00FD1578" w14:paraId="6F3BAC1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B1A9F9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lastRenderedPageBreak/>
              <w:t>33</w:t>
            </w:r>
          </w:p>
        </w:tc>
        <w:tc>
          <w:tcPr>
            <w:tcW w:w="6600" w:type="dxa"/>
            <w:tcBorders>
              <w:top w:val="nil"/>
              <w:left w:val="nil"/>
              <w:bottom w:val="single" w:sz="8" w:space="0" w:color="auto"/>
              <w:right w:val="single" w:sz="8" w:space="0" w:color="auto"/>
            </w:tcBorders>
            <w:shd w:val="clear" w:color="auto" w:fill="auto"/>
            <w:noWrap/>
            <w:hideMark/>
          </w:tcPr>
          <w:p w14:paraId="0768993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"Latvijas Vides, ģeoloģijas un meteoroloģijas centrs"</w:t>
            </w:r>
          </w:p>
        </w:tc>
        <w:tc>
          <w:tcPr>
            <w:tcW w:w="2121" w:type="dxa"/>
            <w:tcBorders>
              <w:top w:val="nil"/>
              <w:left w:val="nil"/>
              <w:bottom w:val="single" w:sz="8" w:space="0" w:color="auto"/>
              <w:right w:val="single" w:sz="8" w:space="0" w:color="auto"/>
            </w:tcBorders>
            <w:shd w:val="clear" w:color="auto" w:fill="auto"/>
            <w:noWrap/>
            <w:hideMark/>
          </w:tcPr>
          <w:p w14:paraId="52CB233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3 304 518</w:t>
            </w:r>
          </w:p>
        </w:tc>
        <w:tc>
          <w:tcPr>
            <w:tcW w:w="2121" w:type="dxa"/>
            <w:tcBorders>
              <w:top w:val="nil"/>
              <w:left w:val="nil"/>
              <w:bottom w:val="single" w:sz="8" w:space="0" w:color="auto"/>
              <w:right w:val="single" w:sz="8" w:space="0" w:color="auto"/>
            </w:tcBorders>
            <w:shd w:val="clear" w:color="auto" w:fill="auto"/>
            <w:noWrap/>
            <w:hideMark/>
          </w:tcPr>
          <w:p w14:paraId="561279A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2 961 747</w:t>
            </w:r>
          </w:p>
        </w:tc>
        <w:tc>
          <w:tcPr>
            <w:tcW w:w="2177" w:type="dxa"/>
            <w:tcBorders>
              <w:top w:val="nil"/>
              <w:left w:val="nil"/>
              <w:bottom w:val="single" w:sz="8" w:space="0" w:color="auto"/>
              <w:right w:val="single" w:sz="8" w:space="0" w:color="auto"/>
            </w:tcBorders>
            <w:shd w:val="clear" w:color="auto" w:fill="auto"/>
            <w:noWrap/>
            <w:hideMark/>
          </w:tcPr>
          <w:p w14:paraId="1DD0D30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342 771</w:t>
            </w:r>
          </w:p>
        </w:tc>
      </w:tr>
      <w:tr w:rsidR="00830FA2" w:rsidRPr="00FD1578" w14:paraId="71F711A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F451F2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34</w:t>
            </w:r>
          </w:p>
        </w:tc>
        <w:tc>
          <w:tcPr>
            <w:tcW w:w="6600" w:type="dxa"/>
            <w:tcBorders>
              <w:top w:val="nil"/>
              <w:left w:val="nil"/>
              <w:bottom w:val="single" w:sz="8" w:space="0" w:color="auto"/>
              <w:right w:val="single" w:sz="8" w:space="0" w:color="auto"/>
            </w:tcBorders>
            <w:shd w:val="clear" w:color="auto" w:fill="auto"/>
            <w:noWrap/>
            <w:hideMark/>
          </w:tcPr>
          <w:p w14:paraId="79C91BA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"LDZ apsardze"</w:t>
            </w:r>
          </w:p>
        </w:tc>
        <w:tc>
          <w:tcPr>
            <w:tcW w:w="2121" w:type="dxa"/>
            <w:tcBorders>
              <w:top w:val="nil"/>
              <w:left w:val="nil"/>
              <w:bottom w:val="single" w:sz="8" w:space="0" w:color="auto"/>
              <w:right w:val="single" w:sz="8" w:space="0" w:color="auto"/>
            </w:tcBorders>
            <w:shd w:val="clear" w:color="auto" w:fill="auto"/>
            <w:noWrap/>
            <w:hideMark/>
          </w:tcPr>
          <w:p w14:paraId="33375CA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10 341 446</w:t>
            </w:r>
          </w:p>
        </w:tc>
        <w:tc>
          <w:tcPr>
            <w:tcW w:w="2121" w:type="dxa"/>
            <w:tcBorders>
              <w:top w:val="nil"/>
              <w:left w:val="nil"/>
              <w:bottom w:val="single" w:sz="8" w:space="0" w:color="auto"/>
              <w:right w:val="single" w:sz="8" w:space="0" w:color="auto"/>
            </w:tcBorders>
            <w:shd w:val="clear" w:color="auto" w:fill="auto"/>
            <w:noWrap/>
            <w:hideMark/>
          </w:tcPr>
          <w:p w14:paraId="6DEAD52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10 053 459</w:t>
            </w:r>
          </w:p>
        </w:tc>
        <w:tc>
          <w:tcPr>
            <w:tcW w:w="2177" w:type="dxa"/>
            <w:tcBorders>
              <w:top w:val="nil"/>
              <w:left w:val="nil"/>
              <w:bottom w:val="single" w:sz="8" w:space="0" w:color="auto"/>
              <w:right w:val="single" w:sz="8" w:space="0" w:color="auto"/>
            </w:tcBorders>
            <w:shd w:val="clear" w:color="auto" w:fill="auto"/>
            <w:noWrap/>
            <w:hideMark/>
          </w:tcPr>
          <w:p w14:paraId="6500FD0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287 987</w:t>
            </w:r>
          </w:p>
        </w:tc>
      </w:tr>
      <w:tr w:rsidR="00830FA2" w:rsidRPr="00FD1578" w14:paraId="2F75107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E6D7BB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35</w:t>
            </w:r>
          </w:p>
        </w:tc>
        <w:tc>
          <w:tcPr>
            <w:tcW w:w="6600" w:type="dxa"/>
            <w:tcBorders>
              <w:top w:val="nil"/>
              <w:left w:val="nil"/>
              <w:bottom w:val="single" w:sz="8" w:space="0" w:color="auto"/>
              <w:right w:val="single" w:sz="8" w:space="0" w:color="auto"/>
            </w:tcBorders>
            <w:shd w:val="clear" w:color="auto" w:fill="auto"/>
            <w:noWrap/>
            <w:hideMark/>
          </w:tcPr>
          <w:p w14:paraId="393067D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"LDZ Loģistika"</w:t>
            </w:r>
          </w:p>
        </w:tc>
        <w:tc>
          <w:tcPr>
            <w:tcW w:w="2121" w:type="dxa"/>
            <w:tcBorders>
              <w:top w:val="nil"/>
              <w:left w:val="nil"/>
              <w:bottom w:val="single" w:sz="8" w:space="0" w:color="auto"/>
              <w:right w:val="single" w:sz="8" w:space="0" w:color="auto"/>
            </w:tcBorders>
            <w:shd w:val="clear" w:color="auto" w:fill="auto"/>
            <w:noWrap/>
            <w:hideMark/>
          </w:tcPr>
          <w:p w14:paraId="110B56D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11 509 000</w:t>
            </w:r>
          </w:p>
        </w:tc>
        <w:tc>
          <w:tcPr>
            <w:tcW w:w="2121" w:type="dxa"/>
            <w:tcBorders>
              <w:top w:val="nil"/>
              <w:left w:val="nil"/>
              <w:bottom w:val="single" w:sz="8" w:space="0" w:color="auto"/>
              <w:right w:val="single" w:sz="8" w:space="0" w:color="auto"/>
            </w:tcBorders>
            <w:shd w:val="clear" w:color="auto" w:fill="auto"/>
            <w:noWrap/>
            <w:hideMark/>
          </w:tcPr>
          <w:p w14:paraId="7B0FBD3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11 371 031</w:t>
            </w:r>
          </w:p>
        </w:tc>
        <w:tc>
          <w:tcPr>
            <w:tcW w:w="2177" w:type="dxa"/>
            <w:tcBorders>
              <w:top w:val="nil"/>
              <w:left w:val="nil"/>
              <w:bottom w:val="single" w:sz="8" w:space="0" w:color="auto"/>
              <w:right w:val="single" w:sz="8" w:space="0" w:color="auto"/>
            </w:tcBorders>
            <w:shd w:val="clear" w:color="auto" w:fill="auto"/>
            <w:noWrap/>
            <w:hideMark/>
          </w:tcPr>
          <w:p w14:paraId="25D9CC0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137 969</w:t>
            </w:r>
          </w:p>
        </w:tc>
      </w:tr>
      <w:tr w:rsidR="00830FA2" w:rsidRPr="00FD1578" w14:paraId="1857010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905A2F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36</w:t>
            </w:r>
          </w:p>
        </w:tc>
        <w:tc>
          <w:tcPr>
            <w:tcW w:w="6600" w:type="dxa"/>
            <w:tcBorders>
              <w:top w:val="nil"/>
              <w:left w:val="nil"/>
              <w:bottom w:val="single" w:sz="8" w:space="0" w:color="auto"/>
              <w:right w:val="single" w:sz="8" w:space="0" w:color="auto"/>
            </w:tcBorders>
            <w:shd w:val="clear" w:color="auto" w:fill="auto"/>
            <w:noWrap/>
            <w:hideMark/>
          </w:tcPr>
          <w:p w14:paraId="2849894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"Lielstraupes pils"</w:t>
            </w:r>
          </w:p>
        </w:tc>
        <w:tc>
          <w:tcPr>
            <w:tcW w:w="2121" w:type="dxa"/>
            <w:tcBorders>
              <w:top w:val="nil"/>
              <w:left w:val="nil"/>
              <w:bottom w:val="single" w:sz="8" w:space="0" w:color="auto"/>
              <w:right w:val="single" w:sz="8" w:space="0" w:color="auto"/>
            </w:tcBorders>
            <w:shd w:val="clear" w:color="auto" w:fill="auto"/>
            <w:noWrap/>
            <w:hideMark/>
          </w:tcPr>
          <w:p w14:paraId="2823BDA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7E2ED81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6624442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0D03CE3C"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CCE5AB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w:t>
            </w:r>
          </w:p>
        </w:tc>
        <w:tc>
          <w:tcPr>
            <w:tcW w:w="6600" w:type="dxa"/>
            <w:tcBorders>
              <w:top w:val="nil"/>
              <w:left w:val="nil"/>
              <w:bottom w:val="single" w:sz="8" w:space="0" w:color="auto"/>
              <w:right w:val="single" w:sz="8" w:space="0" w:color="auto"/>
            </w:tcBorders>
            <w:shd w:val="clear" w:color="auto" w:fill="auto"/>
            <w:noWrap/>
            <w:hideMark/>
          </w:tcPr>
          <w:p w14:paraId="737B89D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"Liepājas simfoniskais orķestris"</w:t>
            </w:r>
          </w:p>
        </w:tc>
        <w:tc>
          <w:tcPr>
            <w:tcW w:w="2121" w:type="dxa"/>
            <w:tcBorders>
              <w:top w:val="nil"/>
              <w:left w:val="nil"/>
              <w:bottom w:val="single" w:sz="8" w:space="0" w:color="auto"/>
              <w:right w:val="single" w:sz="8" w:space="0" w:color="auto"/>
            </w:tcBorders>
            <w:shd w:val="clear" w:color="auto" w:fill="auto"/>
            <w:noWrap/>
            <w:hideMark/>
          </w:tcPr>
          <w:p w14:paraId="6563784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415 000</w:t>
            </w:r>
          </w:p>
        </w:tc>
        <w:tc>
          <w:tcPr>
            <w:tcW w:w="2121" w:type="dxa"/>
            <w:tcBorders>
              <w:top w:val="nil"/>
              <w:left w:val="nil"/>
              <w:bottom w:val="single" w:sz="8" w:space="0" w:color="auto"/>
              <w:right w:val="single" w:sz="8" w:space="0" w:color="auto"/>
            </w:tcBorders>
            <w:shd w:val="clear" w:color="auto" w:fill="auto"/>
            <w:noWrap/>
            <w:hideMark/>
          </w:tcPr>
          <w:p w14:paraId="340B56E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418 350</w:t>
            </w:r>
          </w:p>
        </w:tc>
        <w:tc>
          <w:tcPr>
            <w:tcW w:w="2177" w:type="dxa"/>
            <w:tcBorders>
              <w:top w:val="nil"/>
              <w:left w:val="nil"/>
              <w:bottom w:val="single" w:sz="8" w:space="0" w:color="auto"/>
              <w:right w:val="single" w:sz="8" w:space="0" w:color="auto"/>
            </w:tcBorders>
            <w:shd w:val="clear" w:color="auto" w:fill="auto"/>
            <w:noWrap/>
            <w:hideMark/>
          </w:tcPr>
          <w:p w14:paraId="32128EF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-3 350</w:t>
            </w:r>
          </w:p>
        </w:tc>
      </w:tr>
      <w:tr w:rsidR="00830FA2" w:rsidRPr="00FD1578" w14:paraId="62010C4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60B9D3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38</w:t>
            </w:r>
          </w:p>
        </w:tc>
        <w:tc>
          <w:tcPr>
            <w:tcW w:w="6600" w:type="dxa"/>
            <w:tcBorders>
              <w:top w:val="nil"/>
              <w:left w:val="nil"/>
              <w:bottom w:val="single" w:sz="8" w:space="0" w:color="auto"/>
              <w:right w:val="single" w:sz="8" w:space="0" w:color="auto"/>
            </w:tcBorders>
            <w:shd w:val="clear" w:color="auto" w:fill="auto"/>
            <w:noWrap/>
            <w:hideMark/>
          </w:tcPr>
          <w:p w14:paraId="669B943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"Ludzas medicīnas centrs"</w:t>
            </w:r>
          </w:p>
        </w:tc>
        <w:tc>
          <w:tcPr>
            <w:tcW w:w="2121" w:type="dxa"/>
            <w:tcBorders>
              <w:top w:val="nil"/>
              <w:left w:val="nil"/>
              <w:bottom w:val="single" w:sz="8" w:space="0" w:color="auto"/>
              <w:right w:val="single" w:sz="8" w:space="0" w:color="auto"/>
            </w:tcBorders>
            <w:shd w:val="clear" w:color="auto" w:fill="auto"/>
            <w:noWrap/>
            <w:hideMark/>
          </w:tcPr>
          <w:p w14:paraId="7991A2C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4 700 000</w:t>
            </w:r>
          </w:p>
        </w:tc>
        <w:tc>
          <w:tcPr>
            <w:tcW w:w="2121" w:type="dxa"/>
            <w:tcBorders>
              <w:top w:val="nil"/>
              <w:left w:val="nil"/>
              <w:bottom w:val="single" w:sz="8" w:space="0" w:color="auto"/>
              <w:right w:val="single" w:sz="8" w:space="0" w:color="auto"/>
            </w:tcBorders>
            <w:shd w:val="clear" w:color="auto" w:fill="auto"/>
            <w:noWrap/>
            <w:hideMark/>
          </w:tcPr>
          <w:p w14:paraId="631F5B6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4 630 000</w:t>
            </w:r>
          </w:p>
        </w:tc>
        <w:tc>
          <w:tcPr>
            <w:tcW w:w="2177" w:type="dxa"/>
            <w:tcBorders>
              <w:top w:val="nil"/>
              <w:left w:val="nil"/>
              <w:bottom w:val="single" w:sz="8" w:space="0" w:color="auto"/>
              <w:right w:val="single" w:sz="8" w:space="0" w:color="auto"/>
            </w:tcBorders>
            <w:shd w:val="clear" w:color="auto" w:fill="auto"/>
            <w:noWrap/>
            <w:hideMark/>
          </w:tcPr>
          <w:p w14:paraId="4501680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70 000</w:t>
            </w:r>
          </w:p>
        </w:tc>
      </w:tr>
      <w:tr w:rsidR="00830FA2" w:rsidRPr="00FD1578" w14:paraId="690E315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D40753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39</w:t>
            </w:r>
          </w:p>
        </w:tc>
        <w:tc>
          <w:tcPr>
            <w:tcW w:w="6600" w:type="dxa"/>
            <w:tcBorders>
              <w:top w:val="nil"/>
              <w:left w:val="nil"/>
              <w:bottom w:val="single" w:sz="8" w:space="0" w:color="auto"/>
              <w:right w:val="single" w:sz="8" w:space="0" w:color="auto"/>
            </w:tcBorders>
            <w:shd w:val="clear" w:color="auto" w:fill="auto"/>
            <w:noWrap/>
            <w:hideMark/>
          </w:tcPr>
          <w:p w14:paraId="0CDE1AD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"Mihaila Čehova Rīgas Krievu teātris"</w:t>
            </w:r>
          </w:p>
        </w:tc>
        <w:tc>
          <w:tcPr>
            <w:tcW w:w="2121" w:type="dxa"/>
            <w:tcBorders>
              <w:top w:val="nil"/>
              <w:left w:val="nil"/>
              <w:bottom w:val="single" w:sz="8" w:space="0" w:color="auto"/>
              <w:right w:val="single" w:sz="8" w:space="0" w:color="auto"/>
            </w:tcBorders>
            <w:shd w:val="clear" w:color="auto" w:fill="auto"/>
            <w:noWrap/>
            <w:hideMark/>
          </w:tcPr>
          <w:p w14:paraId="3FB7C19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2 621 442</w:t>
            </w:r>
          </w:p>
        </w:tc>
        <w:tc>
          <w:tcPr>
            <w:tcW w:w="2121" w:type="dxa"/>
            <w:tcBorders>
              <w:top w:val="nil"/>
              <w:left w:val="nil"/>
              <w:bottom w:val="single" w:sz="8" w:space="0" w:color="auto"/>
              <w:right w:val="single" w:sz="8" w:space="0" w:color="auto"/>
            </w:tcBorders>
            <w:shd w:val="clear" w:color="auto" w:fill="auto"/>
            <w:noWrap/>
            <w:hideMark/>
          </w:tcPr>
          <w:p w14:paraId="078A3C1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2 601 978</w:t>
            </w:r>
          </w:p>
        </w:tc>
        <w:tc>
          <w:tcPr>
            <w:tcW w:w="2177" w:type="dxa"/>
            <w:tcBorders>
              <w:top w:val="nil"/>
              <w:left w:val="nil"/>
              <w:bottom w:val="single" w:sz="8" w:space="0" w:color="auto"/>
              <w:right w:val="single" w:sz="8" w:space="0" w:color="auto"/>
            </w:tcBorders>
            <w:shd w:val="clear" w:color="auto" w:fill="auto"/>
            <w:noWrap/>
            <w:hideMark/>
          </w:tcPr>
          <w:p w14:paraId="5D2ED78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19 464</w:t>
            </w:r>
          </w:p>
        </w:tc>
      </w:tr>
      <w:tr w:rsidR="00830FA2" w:rsidRPr="00FD1578" w14:paraId="034688A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0881A1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40</w:t>
            </w:r>
          </w:p>
        </w:tc>
        <w:tc>
          <w:tcPr>
            <w:tcW w:w="6600" w:type="dxa"/>
            <w:tcBorders>
              <w:top w:val="nil"/>
              <w:left w:val="nil"/>
              <w:bottom w:val="single" w:sz="8" w:space="0" w:color="auto"/>
              <w:right w:val="single" w:sz="8" w:space="0" w:color="auto"/>
            </w:tcBorders>
            <w:shd w:val="clear" w:color="auto" w:fill="auto"/>
            <w:noWrap/>
            <w:hideMark/>
          </w:tcPr>
          <w:p w14:paraId="605DE0B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"Pasažieru vilciens"</w:t>
            </w:r>
          </w:p>
        </w:tc>
        <w:tc>
          <w:tcPr>
            <w:tcW w:w="2121" w:type="dxa"/>
            <w:tcBorders>
              <w:top w:val="nil"/>
              <w:left w:val="nil"/>
              <w:bottom w:val="single" w:sz="8" w:space="0" w:color="auto"/>
              <w:right w:val="single" w:sz="8" w:space="0" w:color="auto"/>
            </w:tcBorders>
            <w:shd w:val="clear" w:color="auto" w:fill="auto"/>
            <w:noWrap/>
            <w:hideMark/>
          </w:tcPr>
          <w:p w14:paraId="0C837A3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87 000 021</w:t>
            </w:r>
          </w:p>
        </w:tc>
        <w:tc>
          <w:tcPr>
            <w:tcW w:w="2121" w:type="dxa"/>
            <w:tcBorders>
              <w:top w:val="nil"/>
              <w:left w:val="nil"/>
              <w:bottom w:val="single" w:sz="8" w:space="0" w:color="auto"/>
              <w:right w:val="single" w:sz="8" w:space="0" w:color="auto"/>
            </w:tcBorders>
            <w:shd w:val="clear" w:color="auto" w:fill="auto"/>
            <w:noWrap/>
            <w:hideMark/>
          </w:tcPr>
          <w:p w14:paraId="2AF47BB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87 700 471</w:t>
            </w:r>
          </w:p>
        </w:tc>
        <w:tc>
          <w:tcPr>
            <w:tcW w:w="2177" w:type="dxa"/>
            <w:tcBorders>
              <w:top w:val="nil"/>
              <w:left w:val="nil"/>
              <w:bottom w:val="single" w:sz="8" w:space="0" w:color="auto"/>
              <w:right w:val="single" w:sz="8" w:space="0" w:color="auto"/>
            </w:tcBorders>
            <w:shd w:val="clear" w:color="auto" w:fill="auto"/>
            <w:noWrap/>
            <w:hideMark/>
          </w:tcPr>
          <w:p w14:paraId="003B700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-700 450</w:t>
            </w:r>
          </w:p>
        </w:tc>
      </w:tr>
      <w:tr w:rsidR="00830FA2" w:rsidRPr="00FD1578" w14:paraId="53D68AA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3F43D2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41</w:t>
            </w:r>
          </w:p>
        </w:tc>
        <w:tc>
          <w:tcPr>
            <w:tcW w:w="6600" w:type="dxa"/>
            <w:tcBorders>
              <w:top w:val="nil"/>
              <w:left w:val="nil"/>
              <w:bottom w:val="single" w:sz="8" w:space="0" w:color="auto"/>
              <w:right w:val="single" w:sz="8" w:space="0" w:color="auto"/>
            </w:tcBorders>
            <w:shd w:val="clear" w:color="auto" w:fill="auto"/>
            <w:noWrap/>
            <w:hideMark/>
          </w:tcPr>
          <w:p w14:paraId="0BDB50B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"Paula Stradiņa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77B40F3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217 246 854</w:t>
            </w:r>
          </w:p>
        </w:tc>
        <w:tc>
          <w:tcPr>
            <w:tcW w:w="2121" w:type="dxa"/>
            <w:tcBorders>
              <w:top w:val="nil"/>
              <w:left w:val="nil"/>
              <w:bottom w:val="single" w:sz="8" w:space="0" w:color="auto"/>
              <w:right w:val="single" w:sz="8" w:space="0" w:color="auto"/>
            </w:tcBorders>
            <w:shd w:val="clear" w:color="auto" w:fill="auto"/>
            <w:noWrap/>
            <w:hideMark/>
          </w:tcPr>
          <w:p w14:paraId="51B8743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213 433 990</w:t>
            </w:r>
          </w:p>
        </w:tc>
        <w:tc>
          <w:tcPr>
            <w:tcW w:w="2177" w:type="dxa"/>
            <w:tcBorders>
              <w:top w:val="nil"/>
              <w:left w:val="nil"/>
              <w:bottom w:val="single" w:sz="8" w:space="0" w:color="auto"/>
              <w:right w:val="single" w:sz="8" w:space="0" w:color="auto"/>
            </w:tcBorders>
            <w:shd w:val="clear" w:color="auto" w:fill="auto"/>
            <w:noWrap/>
            <w:hideMark/>
          </w:tcPr>
          <w:p w14:paraId="2C4E531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3 812 864</w:t>
            </w:r>
          </w:p>
        </w:tc>
      </w:tr>
      <w:tr w:rsidR="00830FA2" w:rsidRPr="00FD1578" w14:paraId="46B5D87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891CE5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42</w:t>
            </w:r>
          </w:p>
        </w:tc>
        <w:tc>
          <w:tcPr>
            <w:tcW w:w="6600" w:type="dxa"/>
            <w:tcBorders>
              <w:top w:val="nil"/>
              <w:left w:val="nil"/>
              <w:bottom w:val="single" w:sz="8" w:space="0" w:color="auto"/>
              <w:right w:val="single" w:sz="8" w:space="0" w:color="auto"/>
            </w:tcBorders>
            <w:shd w:val="clear" w:color="auto" w:fill="auto"/>
            <w:noWrap/>
            <w:hideMark/>
          </w:tcPr>
          <w:p w14:paraId="3CA660E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"Piejūras slimnīca"</w:t>
            </w:r>
          </w:p>
        </w:tc>
        <w:tc>
          <w:tcPr>
            <w:tcW w:w="2121" w:type="dxa"/>
            <w:tcBorders>
              <w:top w:val="nil"/>
              <w:left w:val="nil"/>
              <w:bottom w:val="single" w:sz="8" w:space="0" w:color="auto"/>
              <w:right w:val="single" w:sz="8" w:space="0" w:color="auto"/>
            </w:tcBorders>
            <w:shd w:val="clear" w:color="auto" w:fill="auto"/>
            <w:noWrap/>
            <w:hideMark/>
          </w:tcPr>
          <w:p w14:paraId="55E09B0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6 055 650</w:t>
            </w:r>
          </w:p>
        </w:tc>
        <w:tc>
          <w:tcPr>
            <w:tcW w:w="2121" w:type="dxa"/>
            <w:tcBorders>
              <w:top w:val="nil"/>
              <w:left w:val="nil"/>
              <w:bottom w:val="single" w:sz="8" w:space="0" w:color="auto"/>
              <w:right w:val="single" w:sz="8" w:space="0" w:color="auto"/>
            </w:tcBorders>
            <w:shd w:val="clear" w:color="auto" w:fill="auto"/>
            <w:noWrap/>
            <w:hideMark/>
          </w:tcPr>
          <w:p w14:paraId="24A8CB0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6 052 582</w:t>
            </w:r>
          </w:p>
        </w:tc>
        <w:tc>
          <w:tcPr>
            <w:tcW w:w="2177" w:type="dxa"/>
            <w:tcBorders>
              <w:top w:val="nil"/>
              <w:left w:val="nil"/>
              <w:bottom w:val="single" w:sz="8" w:space="0" w:color="auto"/>
              <w:right w:val="single" w:sz="8" w:space="0" w:color="auto"/>
            </w:tcBorders>
            <w:shd w:val="clear" w:color="auto" w:fill="auto"/>
            <w:noWrap/>
            <w:hideMark/>
          </w:tcPr>
          <w:p w14:paraId="7A81200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3 068</w:t>
            </w:r>
          </w:p>
        </w:tc>
      </w:tr>
      <w:tr w:rsidR="00830FA2" w:rsidRPr="00FD1578" w14:paraId="61B0910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93E7B9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43</w:t>
            </w:r>
          </w:p>
        </w:tc>
        <w:tc>
          <w:tcPr>
            <w:tcW w:w="6600" w:type="dxa"/>
            <w:tcBorders>
              <w:top w:val="nil"/>
              <w:left w:val="nil"/>
              <w:bottom w:val="single" w:sz="8" w:space="0" w:color="auto"/>
              <w:right w:val="single" w:sz="8" w:space="0" w:color="auto"/>
            </w:tcBorders>
            <w:shd w:val="clear" w:color="auto" w:fill="auto"/>
            <w:noWrap/>
            <w:hideMark/>
          </w:tcPr>
          <w:p w14:paraId="7D181D5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 xml:space="preserve">SIA "Publisko aktīvu pārvaldītājs </w:t>
            </w:r>
            <w:proofErr w:type="spellStart"/>
            <w:r w:rsidRPr="00FD1578">
              <w:rPr>
                <w:rFonts w:eastAsia="Calibri" w:cs="Times New Roman"/>
                <w:sz w:val="18"/>
                <w:szCs w:val="18"/>
                <w:lang w:eastAsia="en-US"/>
              </w:rPr>
              <w:t>Possessor</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212A18A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3 747 460</w:t>
            </w:r>
          </w:p>
        </w:tc>
        <w:tc>
          <w:tcPr>
            <w:tcW w:w="2121" w:type="dxa"/>
            <w:tcBorders>
              <w:top w:val="nil"/>
              <w:left w:val="nil"/>
              <w:bottom w:val="single" w:sz="8" w:space="0" w:color="auto"/>
              <w:right w:val="single" w:sz="8" w:space="0" w:color="auto"/>
            </w:tcBorders>
            <w:shd w:val="clear" w:color="auto" w:fill="auto"/>
            <w:noWrap/>
            <w:hideMark/>
          </w:tcPr>
          <w:p w14:paraId="670173B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3 657 433</w:t>
            </w:r>
          </w:p>
        </w:tc>
        <w:tc>
          <w:tcPr>
            <w:tcW w:w="2177" w:type="dxa"/>
            <w:tcBorders>
              <w:top w:val="nil"/>
              <w:left w:val="nil"/>
              <w:bottom w:val="single" w:sz="8" w:space="0" w:color="auto"/>
              <w:right w:val="single" w:sz="8" w:space="0" w:color="auto"/>
            </w:tcBorders>
            <w:shd w:val="clear" w:color="auto" w:fill="auto"/>
            <w:noWrap/>
            <w:hideMark/>
          </w:tcPr>
          <w:p w14:paraId="3DC24A7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90 027</w:t>
            </w:r>
          </w:p>
        </w:tc>
      </w:tr>
      <w:tr w:rsidR="00830FA2" w:rsidRPr="00FD1578" w14:paraId="6F14E2A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DB8776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44</w:t>
            </w:r>
          </w:p>
        </w:tc>
        <w:tc>
          <w:tcPr>
            <w:tcW w:w="6600" w:type="dxa"/>
            <w:tcBorders>
              <w:top w:val="nil"/>
              <w:left w:val="nil"/>
              <w:bottom w:val="single" w:sz="8" w:space="0" w:color="auto"/>
              <w:right w:val="single" w:sz="8" w:space="0" w:color="auto"/>
            </w:tcBorders>
            <w:shd w:val="clear" w:color="auto" w:fill="auto"/>
            <w:noWrap/>
            <w:hideMark/>
          </w:tcPr>
          <w:p w14:paraId="38CAB88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"REAP"</w:t>
            </w:r>
          </w:p>
        </w:tc>
        <w:tc>
          <w:tcPr>
            <w:tcW w:w="2121" w:type="dxa"/>
            <w:tcBorders>
              <w:top w:val="nil"/>
              <w:left w:val="nil"/>
              <w:bottom w:val="single" w:sz="8" w:space="0" w:color="auto"/>
              <w:right w:val="single" w:sz="8" w:space="0" w:color="auto"/>
            </w:tcBorders>
            <w:shd w:val="clear" w:color="auto" w:fill="auto"/>
            <w:noWrap/>
            <w:hideMark/>
          </w:tcPr>
          <w:p w14:paraId="5415559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191 000</w:t>
            </w:r>
          </w:p>
        </w:tc>
        <w:tc>
          <w:tcPr>
            <w:tcW w:w="2121" w:type="dxa"/>
            <w:tcBorders>
              <w:top w:val="nil"/>
              <w:left w:val="nil"/>
              <w:bottom w:val="single" w:sz="8" w:space="0" w:color="auto"/>
              <w:right w:val="single" w:sz="8" w:space="0" w:color="auto"/>
            </w:tcBorders>
            <w:shd w:val="clear" w:color="auto" w:fill="auto"/>
            <w:noWrap/>
            <w:hideMark/>
          </w:tcPr>
          <w:p w14:paraId="5181D0E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191 000</w:t>
            </w:r>
          </w:p>
        </w:tc>
        <w:tc>
          <w:tcPr>
            <w:tcW w:w="2177" w:type="dxa"/>
            <w:tcBorders>
              <w:top w:val="nil"/>
              <w:left w:val="nil"/>
              <w:bottom w:val="single" w:sz="8" w:space="0" w:color="auto"/>
              <w:right w:val="single" w:sz="8" w:space="0" w:color="auto"/>
            </w:tcBorders>
            <w:shd w:val="clear" w:color="auto" w:fill="auto"/>
            <w:noWrap/>
            <w:hideMark/>
          </w:tcPr>
          <w:p w14:paraId="7C37431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6B38A57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F47134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45</w:t>
            </w:r>
          </w:p>
        </w:tc>
        <w:tc>
          <w:tcPr>
            <w:tcW w:w="6600" w:type="dxa"/>
            <w:tcBorders>
              <w:top w:val="nil"/>
              <w:left w:val="nil"/>
              <w:bottom w:val="single" w:sz="8" w:space="0" w:color="auto"/>
              <w:right w:val="single" w:sz="8" w:space="0" w:color="auto"/>
            </w:tcBorders>
            <w:shd w:val="clear" w:color="auto" w:fill="auto"/>
            <w:noWrap/>
            <w:hideMark/>
          </w:tcPr>
          <w:p w14:paraId="34BB6E1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w:t>
            </w:r>
            <w:proofErr w:type="spellStart"/>
            <w:r w:rsidRPr="00FD1578">
              <w:rPr>
                <w:rFonts w:eastAsia="Calibri" w:cs="Times New Roman"/>
                <w:sz w:val="18"/>
                <w:szCs w:val="18"/>
                <w:lang w:eastAsia="en-US"/>
              </w:rPr>
              <w:t>Reverta</w:t>
            </w:r>
            <w:proofErr w:type="spellEnd"/>
            <w:r w:rsidRPr="00FD1578">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shd w:val="clear" w:color="auto" w:fill="auto"/>
            <w:noWrap/>
            <w:hideMark/>
          </w:tcPr>
          <w:p w14:paraId="157A9C3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hideMark/>
          </w:tcPr>
          <w:p w14:paraId="1BC8484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hideMark/>
          </w:tcPr>
          <w:p w14:paraId="6D8A3C4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09CE908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730054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46</w:t>
            </w:r>
          </w:p>
        </w:tc>
        <w:tc>
          <w:tcPr>
            <w:tcW w:w="6600" w:type="dxa"/>
            <w:tcBorders>
              <w:top w:val="nil"/>
              <w:left w:val="nil"/>
              <w:bottom w:val="single" w:sz="8" w:space="0" w:color="auto"/>
              <w:right w:val="single" w:sz="8" w:space="0" w:color="auto"/>
            </w:tcBorders>
            <w:shd w:val="clear" w:color="auto" w:fill="auto"/>
            <w:noWrap/>
            <w:hideMark/>
          </w:tcPr>
          <w:p w14:paraId="0846EF7A"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Austrumu klīniskā universitātes slimnīca"</w:t>
            </w:r>
          </w:p>
        </w:tc>
        <w:tc>
          <w:tcPr>
            <w:tcW w:w="2121" w:type="dxa"/>
            <w:tcBorders>
              <w:top w:val="nil"/>
              <w:left w:val="nil"/>
              <w:bottom w:val="single" w:sz="8" w:space="0" w:color="auto"/>
              <w:right w:val="single" w:sz="8" w:space="0" w:color="auto"/>
            </w:tcBorders>
            <w:shd w:val="clear" w:color="auto" w:fill="auto"/>
            <w:noWrap/>
            <w:hideMark/>
          </w:tcPr>
          <w:p w14:paraId="245DD2D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264 014 263</w:t>
            </w:r>
          </w:p>
        </w:tc>
        <w:tc>
          <w:tcPr>
            <w:tcW w:w="2121" w:type="dxa"/>
            <w:tcBorders>
              <w:top w:val="nil"/>
              <w:left w:val="nil"/>
              <w:bottom w:val="single" w:sz="8" w:space="0" w:color="auto"/>
              <w:right w:val="single" w:sz="8" w:space="0" w:color="auto"/>
            </w:tcBorders>
            <w:shd w:val="clear" w:color="auto" w:fill="auto"/>
            <w:noWrap/>
            <w:hideMark/>
          </w:tcPr>
          <w:p w14:paraId="3E6E72C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259 395 505</w:t>
            </w:r>
          </w:p>
        </w:tc>
        <w:tc>
          <w:tcPr>
            <w:tcW w:w="2177" w:type="dxa"/>
            <w:tcBorders>
              <w:top w:val="nil"/>
              <w:left w:val="nil"/>
              <w:bottom w:val="single" w:sz="8" w:space="0" w:color="auto"/>
              <w:right w:val="single" w:sz="8" w:space="0" w:color="auto"/>
            </w:tcBorders>
            <w:shd w:val="clear" w:color="auto" w:fill="auto"/>
            <w:noWrap/>
            <w:hideMark/>
          </w:tcPr>
          <w:p w14:paraId="2E36DD2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4 618 758</w:t>
            </w:r>
          </w:p>
        </w:tc>
      </w:tr>
      <w:tr w:rsidR="00830FA2" w:rsidRPr="00FD1578" w14:paraId="1AD68FF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48BA52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47</w:t>
            </w:r>
          </w:p>
        </w:tc>
        <w:tc>
          <w:tcPr>
            <w:tcW w:w="6600" w:type="dxa"/>
            <w:tcBorders>
              <w:top w:val="nil"/>
              <w:left w:val="nil"/>
              <w:bottom w:val="single" w:sz="8" w:space="0" w:color="auto"/>
              <w:right w:val="single" w:sz="8" w:space="0" w:color="auto"/>
            </w:tcBorders>
            <w:shd w:val="clear" w:color="auto" w:fill="auto"/>
            <w:noWrap/>
            <w:hideMark/>
          </w:tcPr>
          <w:p w14:paraId="0C4C54D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"Rīgas Cirks"</w:t>
            </w:r>
          </w:p>
        </w:tc>
        <w:tc>
          <w:tcPr>
            <w:tcW w:w="2121" w:type="dxa"/>
            <w:tcBorders>
              <w:top w:val="nil"/>
              <w:left w:val="nil"/>
              <w:bottom w:val="single" w:sz="8" w:space="0" w:color="auto"/>
              <w:right w:val="single" w:sz="8" w:space="0" w:color="auto"/>
            </w:tcBorders>
            <w:shd w:val="clear" w:color="auto" w:fill="auto"/>
            <w:noWrap/>
            <w:hideMark/>
          </w:tcPr>
          <w:p w14:paraId="675E828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1 043 390</w:t>
            </w:r>
          </w:p>
        </w:tc>
        <w:tc>
          <w:tcPr>
            <w:tcW w:w="2121" w:type="dxa"/>
            <w:tcBorders>
              <w:top w:val="nil"/>
              <w:left w:val="nil"/>
              <w:bottom w:val="single" w:sz="8" w:space="0" w:color="auto"/>
              <w:right w:val="single" w:sz="8" w:space="0" w:color="auto"/>
            </w:tcBorders>
            <w:shd w:val="clear" w:color="auto" w:fill="auto"/>
            <w:noWrap/>
            <w:hideMark/>
          </w:tcPr>
          <w:p w14:paraId="2FC191F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1 036 180</w:t>
            </w:r>
          </w:p>
        </w:tc>
        <w:tc>
          <w:tcPr>
            <w:tcW w:w="2177" w:type="dxa"/>
            <w:tcBorders>
              <w:top w:val="nil"/>
              <w:left w:val="nil"/>
              <w:bottom w:val="single" w:sz="8" w:space="0" w:color="auto"/>
              <w:right w:val="single" w:sz="8" w:space="0" w:color="auto"/>
            </w:tcBorders>
            <w:shd w:val="clear" w:color="auto" w:fill="auto"/>
            <w:noWrap/>
            <w:hideMark/>
          </w:tcPr>
          <w:p w14:paraId="300A6BC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7 210</w:t>
            </w:r>
          </w:p>
        </w:tc>
      </w:tr>
      <w:tr w:rsidR="00830FA2" w:rsidRPr="00FD1578" w14:paraId="4CFE908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45D86D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48</w:t>
            </w:r>
          </w:p>
        </w:tc>
        <w:tc>
          <w:tcPr>
            <w:tcW w:w="6600" w:type="dxa"/>
            <w:tcBorders>
              <w:top w:val="nil"/>
              <w:left w:val="nil"/>
              <w:bottom w:val="single" w:sz="8" w:space="0" w:color="auto"/>
              <w:right w:val="single" w:sz="8" w:space="0" w:color="auto"/>
            </w:tcBorders>
            <w:shd w:val="clear" w:color="auto" w:fill="auto"/>
            <w:noWrap/>
            <w:hideMark/>
          </w:tcPr>
          <w:p w14:paraId="030AC1F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"Rīgas psihiatrijas un narkoloģijas centrs"</w:t>
            </w:r>
          </w:p>
        </w:tc>
        <w:tc>
          <w:tcPr>
            <w:tcW w:w="2121" w:type="dxa"/>
            <w:tcBorders>
              <w:top w:val="nil"/>
              <w:left w:val="nil"/>
              <w:bottom w:val="single" w:sz="8" w:space="0" w:color="auto"/>
              <w:right w:val="single" w:sz="8" w:space="0" w:color="auto"/>
            </w:tcBorders>
            <w:shd w:val="clear" w:color="auto" w:fill="auto"/>
            <w:noWrap/>
            <w:hideMark/>
          </w:tcPr>
          <w:p w14:paraId="4EC0151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37 846 031</w:t>
            </w:r>
          </w:p>
        </w:tc>
        <w:tc>
          <w:tcPr>
            <w:tcW w:w="2121" w:type="dxa"/>
            <w:tcBorders>
              <w:top w:val="nil"/>
              <w:left w:val="nil"/>
              <w:bottom w:val="single" w:sz="8" w:space="0" w:color="auto"/>
              <w:right w:val="single" w:sz="8" w:space="0" w:color="auto"/>
            </w:tcBorders>
            <w:shd w:val="clear" w:color="auto" w:fill="auto"/>
            <w:noWrap/>
            <w:hideMark/>
          </w:tcPr>
          <w:p w14:paraId="39F616E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37 846 031</w:t>
            </w:r>
          </w:p>
        </w:tc>
        <w:tc>
          <w:tcPr>
            <w:tcW w:w="2177" w:type="dxa"/>
            <w:tcBorders>
              <w:top w:val="nil"/>
              <w:left w:val="nil"/>
              <w:bottom w:val="single" w:sz="8" w:space="0" w:color="auto"/>
              <w:right w:val="single" w:sz="8" w:space="0" w:color="auto"/>
            </w:tcBorders>
            <w:shd w:val="clear" w:color="auto" w:fill="auto"/>
            <w:noWrap/>
            <w:hideMark/>
          </w:tcPr>
          <w:p w14:paraId="30DA97C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6C257DA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CFB6AF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49</w:t>
            </w:r>
          </w:p>
        </w:tc>
        <w:tc>
          <w:tcPr>
            <w:tcW w:w="6600" w:type="dxa"/>
            <w:tcBorders>
              <w:top w:val="nil"/>
              <w:left w:val="nil"/>
              <w:bottom w:val="single" w:sz="8" w:space="0" w:color="auto"/>
              <w:right w:val="single" w:sz="8" w:space="0" w:color="auto"/>
            </w:tcBorders>
            <w:shd w:val="clear" w:color="auto" w:fill="auto"/>
            <w:noWrap/>
            <w:hideMark/>
          </w:tcPr>
          <w:p w14:paraId="3442D94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"Rīgas Tūrisma un radošās industrijas tehnikums"</w:t>
            </w:r>
          </w:p>
        </w:tc>
        <w:tc>
          <w:tcPr>
            <w:tcW w:w="2121" w:type="dxa"/>
            <w:tcBorders>
              <w:top w:val="nil"/>
              <w:left w:val="nil"/>
              <w:bottom w:val="single" w:sz="8" w:space="0" w:color="auto"/>
              <w:right w:val="single" w:sz="8" w:space="0" w:color="auto"/>
            </w:tcBorders>
            <w:shd w:val="clear" w:color="auto" w:fill="auto"/>
            <w:noWrap/>
            <w:hideMark/>
          </w:tcPr>
          <w:p w14:paraId="03971D7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9 400 343</w:t>
            </w:r>
          </w:p>
        </w:tc>
        <w:tc>
          <w:tcPr>
            <w:tcW w:w="2121" w:type="dxa"/>
            <w:tcBorders>
              <w:top w:val="nil"/>
              <w:left w:val="nil"/>
              <w:bottom w:val="single" w:sz="8" w:space="0" w:color="auto"/>
              <w:right w:val="single" w:sz="8" w:space="0" w:color="auto"/>
            </w:tcBorders>
            <w:shd w:val="clear" w:color="auto" w:fill="auto"/>
            <w:noWrap/>
            <w:hideMark/>
          </w:tcPr>
          <w:p w14:paraId="5752247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9 244 858</w:t>
            </w:r>
          </w:p>
        </w:tc>
        <w:tc>
          <w:tcPr>
            <w:tcW w:w="2177" w:type="dxa"/>
            <w:tcBorders>
              <w:top w:val="nil"/>
              <w:left w:val="nil"/>
              <w:bottom w:val="single" w:sz="8" w:space="0" w:color="auto"/>
              <w:right w:val="single" w:sz="8" w:space="0" w:color="auto"/>
            </w:tcBorders>
            <w:shd w:val="clear" w:color="auto" w:fill="auto"/>
            <w:noWrap/>
            <w:hideMark/>
          </w:tcPr>
          <w:p w14:paraId="054CBE1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155 485</w:t>
            </w:r>
          </w:p>
        </w:tc>
      </w:tr>
      <w:tr w:rsidR="00830FA2" w:rsidRPr="00FD1578" w14:paraId="7412718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75524ED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50</w:t>
            </w:r>
          </w:p>
        </w:tc>
        <w:tc>
          <w:tcPr>
            <w:tcW w:w="6600" w:type="dxa"/>
            <w:tcBorders>
              <w:top w:val="nil"/>
              <w:left w:val="nil"/>
              <w:bottom w:val="single" w:sz="8" w:space="0" w:color="auto"/>
              <w:right w:val="single" w:sz="8" w:space="0" w:color="auto"/>
            </w:tcBorders>
            <w:shd w:val="clear" w:color="auto" w:fill="auto"/>
            <w:noWrap/>
            <w:hideMark/>
          </w:tcPr>
          <w:p w14:paraId="71A6E8D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"RTU Starptautiskā zinātņu un tehnoloģiju skola"</w:t>
            </w:r>
          </w:p>
        </w:tc>
        <w:tc>
          <w:tcPr>
            <w:tcW w:w="2121" w:type="dxa"/>
            <w:tcBorders>
              <w:top w:val="nil"/>
              <w:left w:val="nil"/>
              <w:bottom w:val="single" w:sz="8" w:space="0" w:color="auto"/>
              <w:right w:val="single" w:sz="8" w:space="0" w:color="auto"/>
            </w:tcBorders>
            <w:shd w:val="clear" w:color="auto" w:fill="auto"/>
            <w:noWrap/>
            <w:hideMark/>
          </w:tcPr>
          <w:p w14:paraId="2B405C0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1 162 799</w:t>
            </w:r>
          </w:p>
        </w:tc>
        <w:tc>
          <w:tcPr>
            <w:tcW w:w="2121" w:type="dxa"/>
            <w:tcBorders>
              <w:top w:val="nil"/>
              <w:left w:val="nil"/>
              <w:bottom w:val="single" w:sz="8" w:space="0" w:color="auto"/>
              <w:right w:val="single" w:sz="8" w:space="0" w:color="auto"/>
            </w:tcBorders>
            <w:shd w:val="clear" w:color="auto" w:fill="auto"/>
            <w:noWrap/>
            <w:hideMark/>
          </w:tcPr>
          <w:p w14:paraId="5F162D4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990 440</w:t>
            </w:r>
          </w:p>
        </w:tc>
        <w:tc>
          <w:tcPr>
            <w:tcW w:w="2177" w:type="dxa"/>
            <w:tcBorders>
              <w:top w:val="nil"/>
              <w:left w:val="nil"/>
              <w:bottom w:val="single" w:sz="8" w:space="0" w:color="auto"/>
              <w:right w:val="single" w:sz="8" w:space="0" w:color="auto"/>
            </w:tcBorders>
            <w:shd w:val="clear" w:color="auto" w:fill="auto"/>
            <w:noWrap/>
            <w:hideMark/>
          </w:tcPr>
          <w:p w14:paraId="70D3453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172 359</w:t>
            </w:r>
          </w:p>
        </w:tc>
      </w:tr>
      <w:tr w:rsidR="00830FA2" w:rsidRPr="00FD1578" w14:paraId="1F66A03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29ACE5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51</w:t>
            </w:r>
          </w:p>
        </w:tc>
        <w:tc>
          <w:tcPr>
            <w:tcW w:w="6600" w:type="dxa"/>
            <w:tcBorders>
              <w:top w:val="nil"/>
              <w:left w:val="nil"/>
              <w:bottom w:val="single" w:sz="8" w:space="0" w:color="auto"/>
              <w:right w:val="single" w:sz="8" w:space="0" w:color="auto"/>
            </w:tcBorders>
            <w:shd w:val="clear" w:color="auto" w:fill="auto"/>
            <w:noWrap/>
            <w:hideMark/>
          </w:tcPr>
          <w:p w14:paraId="07EBC32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Starptautiskā Rakstnieku un tulkotāju māja"</w:t>
            </w:r>
          </w:p>
        </w:tc>
        <w:tc>
          <w:tcPr>
            <w:tcW w:w="2121" w:type="dxa"/>
            <w:tcBorders>
              <w:top w:val="nil"/>
              <w:left w:val="nil"/>
              <w:bottom w:val="single" w:sz="8" w:space="0" w:color="auto"/>
              <w:right w:val="single" w:sz="8" w:space="0" w:color="auto"/>
            </w:tcBorders>
            <w:shd w:val="clear" w:color="auto" w:fill="auto"/>
            <w:noWrap/>
            <w:hideMark/>
          </w:tcPr>
          <w:p w14:paraId="7AAA117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745 795</w:t>
            </w:r>
          </w:p>
        </w:tc>
        <w:tc>
          <w:tcPr>
            <w:tcW w:w="2121" w:type="dxa"/>
            <w:tcBorders>
              <w:top w:val="nil"/>
              <w:left w:val="nil"/>
              <w:bottom w:val="single" w:sz="8" w:space="0" w:color="auto"/>
              <w:right w:val="single" w:sz="8" w:space="0" w:color="auto"/>
            </w:tcBorders>
            <w:shd w:val="clear" w:color="auto" w:fill="auto"/>
            <w:noWrap/>
            <w:hideMark/>
          </w:tcPr>
          <w:p w14:paraId="696E28A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745 737</w:t>
            </w:r>
          </w:p>
        </w:tc>
        <w:tc>
          <w:tcPr>
            <w:tcW w:w="2177" w:type="dxa"/>
            <w:tcBorders>
              <w:top w:val="nil"/>
              <w:left w:val="nil"/>
              <w:bottom w:val="single" w:sz="8" w:space="0" w:color="auto"/>
              <w:right w:val="single" w:sz="8" w:space="0" w:color="auto"/>
            </w:tcBorders>
            <w:shd w:val="clear" w:color="auto" w:fill="auto"/>
            <w:noWrap/>
            <w:hideMark/>
          </w:tcPr>
          <w:p w14:paraId="421AF64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58</w:t>
            </w:r>
          </w:p>
        </w:tc>
      </w:tr>
      <w:tr w:rsidR="00830FA2" w:rsidRPr="00FD1578" w14:paraId="3F34E09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F1D2E1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52</w:t>
            </w:r>
          </w:p>
        </w:tc>
        <w:tc>
          <w:tcPr>
            <w:tcW w:w="6600" w:type="dxa"/>
            <w:tcBorders>
              <w:top w:val="nil"/>
              <w:left w:val="nil"/>
              <w:bottom w:val="single" w:sz="8" w:space="0" w:color="auto"/>
              <w:right w:val="single" w:sz="8" w:space="0" w:color="auto"/>
            </w:tcBorders>
            <w:shd w:val="clear" w:color="auto" w:fill="auto"/>
            <w:noWrap/>
            <w:hideMark/>
          </w:tcPr>
          <w:p w14:paraId="5D7D95C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"Strenču psihoneiroloģiskā slimnīca"</w:t>
            </w:r>
          </w:p>
        </w:tc>
        <w:tc>
          <w:tcPr>
            <w:tcW w:w="2121" w:type="dxa"/>
            <w:tcBorders>
              <w:top w:val="nil"/>
              <w:left w:val="nil"/>
              <w:bottom w:val="single" w:sz="8" w:space="0" w:color="auto"/>
              <w:right w:val="single" w:sz="8" w:space="0" w:color="auto"/>
            </w:tcBorders>
            <w:shd w:val="clear" w:color="auto" w:fill="auto"/>
            <w:noWrap/>
            <w:hideMark/>
          </w:tcPr>
          <w:p w14:paraId="35E7A4F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11 011 600</w:t>
            </w:r>
          </w:p>
        </w:tc>
        <w:tc>
          <w:tcPr>
            <w:tcW w:w="2121" w:type="dxa"/>
            <w:tcBorders>
              <w:top w:val="nil"/>
              <w:left w:val="nil"/>
              <w:bottom w:val="single" w:sz="8" w:space="0" w:color="auto"/>
              <w:right w:val="single" w:sz="8" w:space="0" w:color="auto"/>
            </w:tcBorders>
            <w:shd w:val="clear" w:color="auto" w:fill="auto"/>
            <w:noWrap/>
            <w:hideMark/>
          </w:tcPr>
          <w:p w14:paraId="12B0A85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11 350 510</w:t>
            </w:r>
          </w:p>
        </w:tc>
        <w:tc>
          <w:tcPr>
            <w:tcW w:w="2177" w:type="dxa"/>
            <w:tcBorders>
              <w:top w:val="nil"/>
              <w:left w:val="nil"/>
              <w:bottom w:val="single" w:sz="8" w:space="0" w:color="auto"/>
              <w:right w:val="single" w:sz="8" w:space="0" w:color="auto"/>
            </w:tcBorders>
            <w:shd w:val="clear" w:color="auto" w:fill="auto"/>
            <w:noWrap/>
            <w:hideMark/>
          </w:tcPr>
          <w:p w14:paraId="1E37012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-338 910</w:t>
            </w:r>
          </w:p>
        </w:tc>
      </w:tr>
      <w:tr w:rsidR="00830FA2" w:rsidRPr="00FD1578" w14:paraId="3821F95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6A9887A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53</w:t>
            </w:r>
          </w:p>
        </w:tc>
        <w:tc>
          <w:tcPr>
            <w:tcW w:w="6600" w:type="dxa"/>
            <w:tcBorders>
              <w:top w:val="nil"/>
              <w:left w:val="nil"/>
              <w:bottom w:val="single" w:sz="8" w:space="0" w:color="auto"/>
              <w:right w:val="single" w:sz="8" w:space="0" w:color="auto"/>
            </w:tcBorders>
            <w:shd w:val="clear" w:color="auto" w:fill="auto"/>
            <w:noWrap/>
          </w:tcPr>
          <w:p w14:paraId="7899BFA0"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VSIA "Šampētera nams"</w:t>
            </w:r>
          </w:p>
        </w:tc>
        <w:tc>
          <w:tcPr>
            <w:tcW w:w="2121" w:type="dxa"/>
            <w:tcBorders>
              <w:top w:val="nil"/>
              <w:left w:val="nil"/>
              <w:bottom w:val="single" w:sz="8" w:space="0" w:color="auto"/>
              <w:right w:val="single" w:sz="8" w:space="0" w:color="auto"/>
            </w:tcBorders>
            <w:shd w:val="clear" w:color="auto" w:fill="auto"/>
            <w:noWrap/>
          </w:tcPr>
          <w:p w14:paraId="3D595DC7"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2 796 550</w:t>
            </w:r>
          </w:p>
        </w:tc>
        <w:tc>
          <w:tcPr>
            <w:tcW w:w="2121" w:type="dxa"/>
            <w:tcBorders>
              <w:top w:val="nil"/>
              <w:left w:val="nil"/>
              <w:bottom w:val="single" w:sz="8" w:space="0" w:color="auto"/>
              <w:right w:val="single" w:sz="8" w:space="0" w:color="auto"/>
            </w:tcBorders>
            <w:shd w:val="clear" w:color="auto" w:fill="auto"/>
            <w:noWrap/>
          </w:tcPr>
          <w:p w14:paraId="286F707D"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2 771 215</w:t>
            </w:r>
          </w:p>
        </w:tc>
        <w:tc>
          <w:tcPr>
            <w:tcW w:w="2177" w:type="dxa"/>
            <w:tcBorders>
              <w:top w:val="nil"/>
              <w:left w:val="nil"/>
              <w:bottom w:val="single" w:sz="8" w:space="0" w:color="auto"/>
              <w:right w:val="single" w:sz="8" w:space="0" w:color="auto"/>
            </w:tcBorders>
            <w:shd w:val="clear" w:color="auto" w:fill="auto"/>
            <w:noWrap/>
          </w:tcPr>
          <w:p w14:paraId="563B330A"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25 335</w:t>
            </w:r>
          </w:p>
        </w:tc>
      </w:tr>
      <w:tr w:rsidR="00830FA2" w:rsidRPr="00FD1578" w14:paraId="574A775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0A67A8B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54</w:t>
            </w:r>
          </w:p>
        </w:tc>
        <w:tc>
          <w:tcPr>
            <w:tcW w:w="6600" w:type="dxa"/>
            <w:tcBorders>
              <w:top w:val="nil"/>
              <w:left w:val="nil"/>
              <w:bottom w:val="single" w:sz="8" w:space="0" w:color="auto"/>
              <w:right w:val="single" w:sz="8" w:space="0" w:color="auto"/>
            </w:tcBorders>
            <w:shd w:val="clear" w:color="auto" w:fill="auto"/>
            <w:noWrap/>
          </w:tcPr>
          <w:p w14:paraId="45BF7494"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"Tiesu namu aģentūra"</w:t>
            </w:r>
          </w:p>
        </w:tc>
        <w:tc>
          <w:tcPr>
            <w:tcW w:w="2121" w:type="dxa"/>
            <w:tcBorders>
              <w:top w:val="nil"/>
              <w:left w:val="nil"/>
              <w:bottom w:val="single" w:sz="8" w:space="0" w:color="auto"/>
              <w:right w:val="single" w:sz="8" w:space="0" w:color="auto"/>
            </w:tcBorders>
            <w:shd w:val="clear" w:color="auto" w:fill="auto"/>
            <w:noWrap/>
          </w:tcPr>
          <w:p w14:paraId="5CE8294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9 350 000</w:t>
            </w:r>
          </w:p>
        </w:tc>
        <w:tc>
          <w:tcPr>
            <w:tcW w:w="2121" w:type="dxa"/>
            <w:tcBorders>
              <w:top w:val="nil"/>
              <w:left w:val="nil"/>
              <w:bottom w:val="single" w:sz="8" w:space="0" w:color="auto"/>
              <w:right w:val="single" w:sz="8" w:space="0" w:color="auto"/>
            </w:tcBorders>
            <w:shd w:val="clear" w:color="auto" w:fill="auto"/>
            <w:noWrap/>
          </w:tcPr>
          <w:p w14:paraId="51848EFD"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7 638 000</w:t>
            </w:r>
          </w:p>
        </w:tc>
        <w:tc>
          <w:tcPr>
            <w:tcW w:w="2177" w:type="dxa"/>
            <w:tcBorders>
              <w:top w:val="nil"/>
              <w:left w:val="nil"/>
              <w:bottom w:val="single" w:sz="8" w:space="0" w:color="auto"/>
              <w:right w:val="single" w:sz="8" w:space="0" w:color="auto"/>
            </w:tcBorders>
            <w:shd w:val="clear" w:color="auto" w:fill="auto"/>
            <w:noWrap/>
          </w:tcPr>
          <w:p w14:paraId="656E65F6"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1 712 000</w:t>
            </w:r>
          </w:p>
        </w:tc>
      </w:tr>
      <w:tr w:rsidR="00830FA2" w:rsidRPr="00FD1578" w14:paraId="24AAE4A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ED130C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55</w:t>
            </w:r>
          </w:p>
        </w:tc>
        <w:tc>
          <w:tcPr>
            <w:tcW w:w="6600" w:type="dxa"/>
            <w:tcBorders>
              <w:top w:val="nil"/>
              <w:left w:val="nil"/>
              <w:bottom w:val="single" w:sz="8" w:space="0" w:color="auto"/>
              <w:right w:val="single" w:sz="8" w:space="0" w:color="auto"/>
            </w:tcBorders>
            <w:shd w:val="clear" w:color="auto" w:fill="auto"/>
            <w:noWrap/>
          </w:tcPr>
          <w:p w14:paraId="1A4A0D67"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VSIA "Traumatoloģijas un ortopēdijas slimnīca"</w:t>
            </w:r>
          </w:p>
        </w:tc>
        <w:tc>
          <w:tcPr>
            <w:tcW w:w="2121" w:type="dxa"/>
            <w:tcBorders>
              <w:top w:val="nil"/>
              <w:left w:val="nil"/>
              <w:bottom w:val="single" w:sz="8" w:space="0" w:color="auto"/>
              <w:right w:val="single" w:sz="8" w:space="0" w:color="auto"/>
            </w:tcBorders>
            <w:shd w:val="clear" w:color="auto" w:fill="auto"/>
            <w:noWrap/>
          </w:tcPr>
          <w:p w14:paraId="25F0F599"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38 324 640</w:t>
            </w:r>
          </w:p>
        </w:tc>
        <w:tc>
          <w:tcPr>
            <w:tcW w:w="2121" w:type="dxa"/>
            <w:tcBorders>
              <w:top w:val="nil"/>
              <w:left w:val="nil"/>
              <w:bottom w:val="single" w:sz="8" w:space="0" w:color="auto"/>
              <w:right w:val="single" w:sz="8" w:space="0" w:color="auto"/>
            </w:tcBorders>
            <w:shd w:val="clear" w:color="auto" w:fill="auto"/>
            <w:noWrap/>
          </w:tcPr>
          <w:p w14:paraId="280AA582"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37 799 699</w:t>
            </w:r>
          </w:p>
        </w:tc>
        <w:tc>
          <w:tcPr>
            <w:tcW w:w="2177" w:type="dxa"/>
            <w:tcBorders>
              <w:top w:val="nil"/>
              <w:left w:val="nil"/>
              <w:bottom w:val="single" w:sz="8" w:space="0" w:color="auto"/>
              <w:right w:val="single" w:sz="8" w:space="0" w:color="auto"/>
            </w:tcBorders>
            <w:shd w:val="clear" w:color="auto" w:fill="auto"/>
            <w:noWrap/>
          </w:tcPr>
          <w:p w14:paraId="3B7C252C"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524 941</w:t>
            </w:r>
          </w:p>
        </w:tc>
      </w:tr>
      <w:tr w:rsidR="00830FA2" w:rsidRPr="00FD1578" w14:paraId="1E5FA2B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4B11873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lastRenderedPageBreak/>
              <w:t>56</w:t>
            </w:r>
          </w:p>
        </w:tc>
        <w:tc>
          <w:tcPr>
            <w:tcW w:w="6600" w:type="dxa"/>
            <w:tcBorders>
              <w:top w:val="nil"/>
              <w:left w:val="nil"/>
              <w:bottom w:val="single" w:sz="8" w:space="0" w:color="auto"/>
              <w:right w:val="single" w:sz="8" w:space="0" w:color="auto"/>
            </w:tcBorders>
            <w:shd w:val="clear" w:color="auto" w:fill="auto"/>
            <w:noWrap/>
          </w:tcPr>
          <w:p w14:paraId="7A7D58EA"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VSIA "Nacionālais rehabilitācijas centrs "Vaivari""</w:t>
            </w:r>
          </w:p>
        </w:tc>
        <w:tc>
          <w:tcPr>
            <w:tcW w:w="2121" w:type="dxa"/>
            <w:tcBorders>
              <w:top w:val="nil"/>
              <w:left w:val="nil"/>
              <w:bottom w:val="single" w:sz="8" w:space="0" w:color="auto"/>
              <w:right w:val="single" w:sz="8" w:space="0" w:color="auto"/>
            </w:tcBorders>
            <w:shd w:val="clear" w:color="auto" w:fill="auto"/>
            <w:noWrap/>
          </w:tcPr>
          <w:p w14:paraId="35C90697"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30 909 770</w:t>
            </w:r>
          </w:p>
        </w:tc>
        <w:tc>
          <w:tcPr>
            <w:tcW w:w="2121" w:type="dxa"/>
            <w:tcBorders>
              <w:top w:val="nil"/>
              <w:left w:val="nil"/>
              <w:bottom w:val="single" w:sz="8" w:space="0" w:color="auto"/>
              <w:right w:val="single" w:sz="8" w:space="0" w:color="auto"/>
            </w:tcBorders>
            <w:shd w:val="clear" w:color="auto" w:fill="auto"/>
            <w:noWrap/>
          </w:tcPr>
          <w:p w14:paraId="7C0E92D0"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30 034 394</w:t>
            </w:r>
          </w:p>
        </w:tc>
        <w:tc>
          <w:tcPr>
            <w:tcW w:w="2177" w:type="dxa"/>
            <w:tcBorders>
              <w:top w:val="nil"/>
              <w:left w:val="nil"/>
              <w:bottom w:val="single" w:sz="8" w:space="0" w:color="auto"/>
              <w:right w:val="single" w:sz="8" w:space="0" w:color="auto"/>
            </w:tcBorders>
            <w:shd w:val="clear" w:color="auto" w:fill="auto"/>
            <w:noWrap/>
          </w:tcPr>
          <w:p w14:paraId="56232C19"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875 376</w:t>
            </w:r>
          </w:p>
        </w:tc>
      </w:tr>
      <w:tr w:rsidR="00830FA2" w:rsidRPr="00FD1578" w14:paraId="31AE6FB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55F1DB9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57</w:t>
            </w:r>
          </w:p>
        </w:tc>
        <w:tc>
          <w:tcPr>
            <w:tcW w:w="6600" w:type="dxa"/>
            <w:tcBorders>
              <w:top w:val="nil"/>
              <w:left w:val="nil"/>
              <w:bottom w:val="single" w:sz="8" w:space="0" w:color="auto"/>
              <w:right w:val="single" w:sz="8" w:space="0" w:color="auto"/>
            </w:tcBorders>
            <w:shd w:val="clear" w:color="auto" w:fill="auto"/>
            <w:noWrap/>
          </w:tcPr>
          <w:p w14:paraId="3A82D20E"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VSIA "Valmieras drāmas teātris"</w:t>
            </w:r>
          </w:p>
        </w:tc>
        <w:tc>
          <w:tcPr>
            <w:tcW w:w="2121" w:type="dxa"/>
            <w:tcBorders>
              <w:top w:val="nil"/>
              <w:left w:val="nil"/>
              <w:bottom w:val="single" w:sz="8" w:space="0" w:color="auto"/>
              <w:right w:val="single" w:sz="8" w:space="0" w:color="auto"/>
            </w:tcBorders>
            <w:shd w:val="clear" w:color="auto" w:fill="auto"/>
            <w:noWrap/>
          </w:tcPr>
          <w:p w14:paraId="47C12985"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995 152</w:t>
            </w:r>
          </w:p>
        </w:tc>
        <w:tc>
          <w:tcPr>
            <w:tcW w:w="2121" w:type="dxa"/>
            <w:tcBorders>
              <w:top w:val="nil"/>
              <w:left w:val="nil"/>
              <w:bottom w:val="single" w:sz="8" w:space="0" w:color="auto"/>
              <w:right w:val="single" w:sz="8" w:space="0" w:color="auto"/>
            </w:tcBorders>
            <w:shd w:val="clear" w:color="auto" w:fill="auto"/>
            <w:noWrap/>
          </w:tcPr>
          <w:p w14:paraId="5862A344"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989 344</w:t>
            </w:r>
          </w:p>
        </w:tc>
        <w:tc>
          <w:tcPr>
            <w:tcW w:w="2177" w:type="dxa"/>
            <w:tcBorders>
              <w:top w:val="nil"/>
              <w:left w:val="nil"/>
              <w:bottom w:val="single" w:sz="8" w:space="0" w:color="auto"/>
              <w:right w:val="single" w:sz="8" w:space="0" w:color="auto"/>
            </w:tcBorders>
            <w:shd w:val="clear" w:color="auto" w:fill="auto"/>
            <w:noWrap/>
          </w:tcPr>
          <w:p w14:paraId="5B1E3A46"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5 808</w:t>
            </w:r>
          </w:p>
        </w:tc>
      </w:tr>
      <w:tr w:rsidR="00830FA2" w:rsidRPr="00FD1578" w14:paraId="4134ED4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tcPr>
          <w:p w14:paraId="0C00829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58</w:t>
            </w:r>
          </w:p>
        </w:tc>
        <w:tc>
          <w:tcPr>
            <w:tcW w:w="6600" w:type="dxa"/>
            <w:tcBorders>
              <w:top w:val="nil"/>
              <w:left w:val="nil"/>
              <w:bottom w:val="single" w:sz="8" w:space="0" w:color="auto"/>
              <w:right w:val="single" w:sz="8" w:space="0" w:color="auto"/>
            </w:tcBorders>
            <w:shd w:val="clear" w:color="auto" w:fill="auto"/>
            <w:noWrap/>
          </w:tcPr>
          <w:p w14:paraId="0A9FB7A6"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"Valsts aizsardzības korporācijas"</w:t>
            </w:r>
          </w:p>
        </w:tc>
        <w:tc>
          <w:tcPr>
            <w:tcW w:w="2121" w:type="dxa"/>
            <w:tcBorders>
              <w:top w:val="nil"/>
              <w:left w:val="nil"/>
              <w:bottom w:val="single" w:sz="8" w:space="0" w:color="auto"/>
              <w:right w:val="single" w:sz="8" w:space="0" w:color="auto"/>
            </w:tcBorders>
            <w:shd w:val="clear" w:color="auto" w:fill="auto"/>
            <w:noWrap/>
          </w:tcPr>
          <w:p w14:paraId="2C552363"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shd w:val="clear" w:color="auto" w:fill="auto"/>
            <w:noWrap/>
          </w:tcPr>
          <w:p w14:paraId="593B5CC3"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shd w:val="clear" w:color="auto" w:fill="auto"/>
            <w:noWrap/>
          </w:tcPr>
          <w:p w14:paraId="55628FD6"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0</w:t>
            </w:r>
          </w:p>
        </w:tc>
      </w:tr>
      <w:tr w:rsidR="00830FA2" w:rsidRPr="00FD1578" w14:paraId="1A21F31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67F327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59</w:t>
            </w:r>
          </w:p>
        </w:tc>
        <w:tc>
          <w:tcPr>
            <w:tcW w:w="6600" w:type="dxa"/>
            <w:tcBorders>
              <w:top w:val="nil"/>
              <w:left w:val="nil"/>
              <w:bottom w:val="single" w:sz="8" w:space="0" w:color="auto"/>
              <w:right w:val="single" w:sz="8" w:space="0" w:color="auto"/>
            </w:tcBorders>
            <w:shd w:val="clear" w:color="auto" w:fill="auto"/>
            <w:noWrap/>
            <w:hideMark/>
          </w:tcPr>
          <w:p w14:paraId="78BF636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"Valsts nekustamie īpašumi"</w:t>
            </w:r>
          </w:p>
        </w:tc>
        <w:tc>
          <w:tcPr>
            <w:tcW w:w="2121" w:type="dxa"/>
            <w:tcBorders>
              <w:top w:val="nil"/>
              <w:left w:val="nil"/>
              <w:bottom w:val="single" w:sz="8" w:space="0" w:color="auto"/>
              <w:right w:val="single" w:sz="8" w:space="0" w:color="auto"/>
            </w:tcBorders>
            <w:shd w:val="clear" w:color="auto" w:fill="auto"/>
            <w:noWrap/>
            <w:hideMark/>
          </w:tcPr>
          <w:p w14:paraId="6156644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47 089 365</w:t>
            </w:r>
          </w:p>
        </w:tc>
        <w:tc>
          <w:tcPr>
            <w:tcW w:w="2121" w:type="dxa"/>
            <w:tcBorders>
              <w:top w:val="nil"/>
              <w:left w:val="nil"/>
              <w:bottom w:val="single" w:sz="8" w:space="0" w:color="auto"/>
              <w:right w:val="single" w:sz="8" w:space="0" w:color="auto"/>
            </w:tcBorders>
            <w:shd w:val="clear" w:color="auto" w:fill="auto"/>
            <w:noWrap/>
            <w:hideMark/>
          </w:tcPr>
          <w:p w14:paraId="4A50DDA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51 952 838</w:t>
            </w:r>
          </w:p>
        </w:tc>
        <w:tc>
          <w:tcPr>
            <w:tcW w:w="2177" w:type="dxa"/>
            <w:tcBorders>
              <w:top w:val="nil"/>
              <w:left w:val="nil"/>
              <w:bottom w:val="single" w:sz="8" w:space="0" w:color="auto"/>
              <w:right w:val="single" w:sz="8" w:space="0" w:color="auto"/>
            </w:tcBorders>
            <w:shd w:val="clear" w:color="auto" w:fill="auto"/>
            <w:noWrap/>
            <w:hideMark/>
          </w:tcPr>
          <w:p w14:paraId="1B54AA9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-4 863 473</w:t>
            </w:r>
          </w:p>
        </w:tc>
      </w:tr>
      <w:tr w:rsidR="00830FA2" w:rsidRPr="00FD1578" w14:paraId="56278D9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376CF8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60</w:t>
            </w:r>
          </w:p>
        </w:tc>
        <w:tc>
          <w:tcPr>
            <w:tcW w:w="6600" w:type="dxa"/>
            <w:tcBorders>
              <w:top w:val="nil"/>
              <w:left w:val="nil"/>
              <w:bottom w:val="single" w:sz="8" w:space="0" w:color="auto"/>
              <w:right w:val="single" w:sz="8" w:space="0" w:color="auto"/>
            </w:tcBorders>
            <w:shd w:val="clear" w:color="auto" w:fill="auto"/>
            <w:noWrap/>
            <w:hideMark/>
          </w:tcPr>
          <w:p w14:paraId="2005688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"Vides investīciju fonds"</w:t>
            </w:r>
          </w:p>
        </w:tc>
        <w:tc>
          <w:tcPr>
            <w:tcW w:w="2121" w:type="dxa"/>
            <w:tcBorders>
              <w:top w:val="nil"/>
              <w:left w:val="nil"/>
              <w:bottom w:val="single" w:sz="8" w:space="0" w:color="auto"/>
              <w:right w:val="single" w:sz="8" w:space="0" w:color="auto"/>
            </w:tcBorders>
            <w:shd w:val="clear" w:color="auto" w:fill="auto"/>
            <w:noWrap/>
            <w:hideMark/>
          </w:tcPr>
          <w:p w14:paraId="0A87089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1 232 459</w:t>
            </w:r>
          </w:p>
        </w:tc>
        <w:tc>
          <w:tcPr>
            <w:tcW w:w="2121" w:type="dxa"/>
            <w:tcBorders>
              <w:top w:val="nil"/>
              <w:left w:val="nil"/>
              <w:bottom w:val="single" w:sz="8" w:space="0" w:color="auto"/>
              <w:right w:val="single" w:sz="8" w:space="0" w:color="auto"/>
            </w:tcBorders>
            <w:shd w:val="clear" w:color="auto" w:fill="auto"/>
            <w:noWrap/>
            <w:hideMark/>
          </w:tcPr>
          <w:p w14:paraId="79622A2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1 218 267</w:t>
            </w:r>
          </w:p>
        </w:tc>
        <w:tc>
          <w:tcPr>
            <w:tcW w:w="2177" w:type="dxa"/>
            <w:tcBorders>
              <w:top w:val="nil"/>
              <w:left w:val="nil"/>
              <w:bottom w:val="single" w:sz="8" w:space="0" w:color="auto"/>
              <w:right w:val="single" w:sz="8" w:space="0" w:color="auto"/>
            </w:tcBorders>
            <w:shd w:val="clear" w:color="auto" w:fill="auto"/>
            <w:noWrap/>
            <w:hideMark/>
          </w:tcPr>
          <w:p w14:paraId="45F8001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14 192</w:t>
            </w:r>
          </w:p>
        </w:tc>
      </w:tr>
      <w:tr w:rsidR="00830FA2" w:rsidRPr="00FD1578" w14:paraId="236F9031"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66F34D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61</w:t>
            </w:r>
          </w:p>
        </w:tc>
        <w:tc>
          <w:tcPr>
            <w:tcW w:w="6600" w:type="dxa"/>
            <w:tcBorders>
              <w:top w:val="nil"/>
              <w:left w:val="nil"/>
              <w:bottom w:val="single" w:sz="8" w:space="0" w:color="auto"/>
              <w:right w:val="single" w:sz="8" w:space="0" w:color="auto"/>
            </w:tcBorders>
            <w:shd w:val="clear" w:color="auto" w:fill="auto"/>
            <w:noWrap/>
            <w:hideMark/>
          </w:tcPr>
          <w:p w14:paraId="334B004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VSIA "Zemkopības ministrijas nekustamie īpašumi"</w:t>
            </w:r>
          </w:p>
        </w:tc>
        <w:tc>
          <w:tcPr>
            <w:tcW w:w="2121" w:type="dxa"/>
            <w:tcBorders>
              <w:top w:val="nil"/>
              <w:left w:val="nil"/>
              <w:bottom w:val="single" w:sz="8" w:space="0" w:color="auto"/>
              <w:right w:val="single" w:sz="8" w:space="0" w:color="auto"/>
            </w:tcBorders>
            <w:shd w:val="clear" w:color="auto" w:fill="auto"/>
            <w:noWrap/>
            <w:hideMark/>
          </w:tcPr>
          <w:p w14:paraId="5F56C4B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3 892 466</w:t>
            </w:r>
          </w:p>
        </w:tc>
        <w:tc>
          <w:tcPr>
            <w:tcW w:w="2121" w:type="dxa"/>
            <w:tcBorders>
              <w:top w:val="nil"/>
              <w:left w:val="nil"/>
              <w:bottom w:val="single" w:sz="8" w:space="0" w:color="auto"/>
              <w:right w:val="single" w:sz="8" w:space="0" w:color="auto"/>
            </w:tcBorders>
            <w:shd w:val="clear" w:color="auto" w:fill="auto"/>
            <w:noWrap/>
            <w:hideMark/>
          </w:tcPr>
          <w:p w14:paraId="1EC666C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3 969 880</w:t>
            </w:r>
          </w:p>
        </w:tc>
        <w:tc>
          <w:tcPr>
            <w:tcW w:w="2177" w:type="dxa"/>
            <w:tcBorders>
              <w:top w:val="nil"/>
              <w:left w:val="nil"/>
              <w:bottom w:val="single" w:sz="8" w:space="0" w:color="auto"/>
              <w:right w:val="single" w:sz="8" w:space="0" w:color="auto"/>
            </w:tcBorders>
            <w:shd w:val="clear" w:color="auto" w:fill="auto"/>
            <w:noWrap/>
            <w:hideMark/>
          </w:tcPr>
          <w:p w14:paraId="3C62554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-77 414</w:t>
            </w:r>
          </w:p>
        </w:tc>
      </w:tr>
      <w:tr w:rsidR="00830FA2" w:rsidRPr="00FD1578" w14:paraId="3534DBF1" w14:textId="77777777" w:rsidTr="001D67A3">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09FB6F23"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S130330</w:t>
            </w:r>
          </w:p>
        </w:tc>
        <w:tc>
          <w:tcPr>
            <w:tcW w:w="6600" w:type="dxa"/>
            <w:tcBorders>
              <w:top w:val="nil"/>
              <w:left w:val="nil"/>
              <w:bottom w:val="single" w:sz="8" w:space="0" w:color="auto"/>
              <w:right w:val="single" w:sz="8" w:space="0" w:color="auto"/>
            </w:tcBorders>
            <w:shd w:val="clear" w:color="000000" w:fill="DDEBF7"/>
            <w:noWrap/>
            <w:vAlign w:val="center"/>
            <w:hideMark/>
          </w:tcPr>
          <w:p w14:paraId="0DE3423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Pašvaldības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626F3FA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60E981B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7922557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r>
      <w:tr w:rsidR="00830FA2" w:rsidRPr="00FD1578" w14:paraId="7C46F37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7E68B2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62</w:t>
            </w:r>
          </w:p>
        </w:tc>
        <w:tc>
          <w:tcPr>
            <w:tcW w:w="6600" w:type="dxa"/>
            <w:tcBorders>
              <w:top w:val="nil"/>
              <w:left w:val="nil"/>
              <w:bottom w:val="single" w:sz="8" w:space="0" w:color="auto"/>
              <w:right w:val="single" w:sz="8" w:space="0" w:color="auto"/>
            </w:tcBorders>
            <w:shd w:val="clear" w:color="auto" w:fill="auto"/>
            <w:noWrap/>
            <w:hideMark/>
          </w:tcPr>
          <w:p w14:paraId="727673B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Aviasabiedrība</w:t>
            </w:r>
            <w:proofErr w:type="spellEnd"/>
            <w:r w:rsidRPr="00FD1578">
              <w:rPr>
                <w:rFonts w:eastAsia="Calibri" w:cs="Times New Roman"/>
                <w:sz w:val="18"/>
                <w:szCs w:val="18"/>
                <w:lang w:eastAsia="en-US"/>
              </w:rPr>
              <w:t xml:space="preserve"> "Liepāja""</w:t>
            </w:r>
          </w:p>
        </w:tc>
        <w:tc>
          <w:tcPr>
            <w:tcW w:w="2121" w:type="dxa"/>
            <w:tcBorders>
              <w:top w:val="nil"/>
              <w:left w:val="nil"/>
              <w:bottom w:val="single" w:sz="8" w:space="0" w:color="auto"/>
              <w:right w:val="single" w:sz="8" w:space="0" w:color="auto"/>
            </w:tcBorders>
            <w:shd w:val="clear" w:color="auto" w:fill="auto"/>
            <w:noWrap/>
            <w:hideMark/>
          </w:tcPr>
          <w:p w14:paraId="45425E6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1 855 652</w:t>
            </w:r>
          </w:p>
        </w:tc>
        <w:tc>
          <w:tcPr>
            <w:tcW w:w="2121" w:type="dxa"/>
            <w:tcBorders>
              <w:top w:val="nil"/>
              <w:left w:val="nil"/>
              <w:bottom w:val="single" w:sz="8" w:space="0" w:color="auto"/>
              <w:right w:val="single" w:sz="8" w:space="0" w:color="auto"/>
            </w:tcBorders>
            <w:shd w:val="clear" w:color="auto" w:fill="auto"/>
            <w:noWrap/>
            <w:hideMark/>
          </w:tcPr>
          <w:p w14:paraId="1E2C089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1 513 696</w:t>
            </w:r>
          </w:p>
        </w:tc>
        <w:tc>
          <w:tcPr>
            <w:tcW w:w="2177" w:type="dxa"/>
            <w:tcBorders>
              <w:top w:val="nil"/>
              <w:left w:val="nil"/>
              <w:bottom w:val="single" w:sz="8" w:space="0" w:color="auto"/>
              <w:right w:val="single" w:sz="8" w:space="0" w:color="auto"/>
            </w:tcBorders>
            <w:shd w:val="clear" w:color="auto" w:fill="auto"/>
            <w:noWrap/>
            <w:hideMark/>
          </w:tcPr>
          <w:p w14:paraId="1A52F9D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341 956</w:t>
            </w:r>
          </w:p>
        </w:tc>
      </w:tr>
      <w:tr w:rsidR="00830FA2" w:rsidRPr="00FD1578" w14:paraId="3DEA54A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8F7C21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63</w:t>
            </w:r>
          </w:p>
        </w:tc>
        <w:tc>
          <w:tcPr>
            <w:tcW w:w="6600" w:type="dxa"/>
            <w:tcBorders>
              <w:top w:val="nil"/>
              <w:left w:val="nil"/>
              <w:bottom w:val="single" w:sz="8" w:space="0" w:color="auto"/>
              <w:right w:val="single" w:sz="8" w:space="0" w:color="auto"/>
            </w:tcBorders>
            <w:shd w:val="clear" w:color="auto" w:fill="auto"/>
            <w:noWrap/>
            <w:hideMark/>
          </w:tcPr>
          <w:p w14:paraId="63DE223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Cēsu</w:t>
            </w:r>
            <w:proofErr w:type="spellEnd"/>
            <w:r w:rsidRPr="00FD1578">
              <w:rPr>
                <w:rFonts w:eastAsia="Calibri" w:cs="Times New Roman"/>
                <w:sz w:val="18"/>
                <w:szCs w:val="18"/>
                <w:lang w:eastAsia="en-US"/>
              </w:rPr>
              <w:t xml:space="preserve"> klīnika"</w:t>
            </w:r>
          </w:p>
        </w:tc>
        <w:tc>
          <w:tcPr>
            <w:tcW w:w="2121" w:type="dxa"/>
            <w:tcBorders>
              <w:top w:val="nil"/>
              <w:left w:val="nil"/>
              <w:bottom w:val="single" w:sz="8" w:space="0" w:color="auto"/>
              <w:right w:val="single" w:sz="8" w:space="0" w:color="auto"/>
            </w:tcBorders>
            <w:shd w:val="clear" w:color="auto" w:fill="auto"/>
            <w:noWrap/>
            <w:hideMark/>
          </w:tcPr>
          <w:p w14:paraId="5BD31F0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11 200 000</w:t>
            </w:r>
          </w:p>
        </w:tc>
        <w:tc>
          <w:tcPr>
            <w:tcW w:w="2121" w:type="dxa"/>
            <w:tcBorders>
              <w:top w:val="nil"/>
              <w:left w:val="nil"/>
              <w:bottom w:val="single" w:sz="8" w:space="0" w:color="auto"/>
              <w:right w:val="single" w:sz="8" w:space="0" w:color="auto"/>
            </w:tcBorders>
            <w:shd w:val="clear" w:color="auto" w:fill="auto"/>
            <w:noWrap/>
            <w:hideMark/>
          </w:tcPr>
          <w:p w14:paraId="4D5A05D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11 200 000</w:t>
            </w:r>
          </w:p>
        </w:tc>
        <w:tc>
          <w:tcPr>
            <w:tcW w:w="2177" w:type="dxa"/>
            <w:tcBorders>
              <w:top w:val="nil"/>
              <w:left w:val="nil"/>
              <w:bottom w:val="single" w:sz="8" w:space="0" w:color="auto"/>
              <w:right w:val="single" w:sz="8" w:space="0" w:color="auto"/>
            </w:tcBorders>
            <w:shd w:val="clear" w:color="auto" w:fill="auto"/>
            <w:noWrap/>
            <w:hideMark/>
          </w:tcPr>
          <w:p w14:paraId="119FE39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0</w:t>
            </w:r>
          </w:p>
        </w:tc>
      </w:tr>
      <w:tr w:rsidR="00830FA2" w:rsidRPr="00FD1578" w14:paraId="4BB9FEE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1BE1A6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64</w:t>
            </w:r>
          </w:p>
        </w:tc>
        <w:tc>
          <w:tcPr>
            <w:tcW w:w="6600" w:type="dxa"/>
            <w:tcBorders>
              <w:top w:val="nil"/>
              <w:left w:val="nil"/>
              <w:bottom w:val="single" w:sz="8" w:space="0" w:color="auto"/>
              <w:right w:val="single" w:sz="8" w:space="0" w:color="auto"/>
            </w:tcBorders>
            <w:shd w:val="clear" w:color="auto" w:fill="auto"/>
            <w:noWrap/>
            <w:hideMark/>
          </w:tcPr>
          <w:p w14:paraId="5507C0CD"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"Daugavpils bērnu veselības centrs"</w:t>
            </w:r>
          </w:p>
        </w:tc>
        <w:tc>
          <w:tcPr>
            <w:tcW w:w="2121" w:type="dxa"/>
            <w:tcBorders>
              <w:top w:val="nil"/>
              <w:left w:val="nil"/>
              <w:bottom w:val="single" w:sz="8" w:space="0" w:color="auto"/>
              <w:right w:val="single" w:sz="8" w:space="0" w:color="auto"/>
            </w:tcBorders>
            <w:shd w:val="clear" w:color="auto" w:fill="auto"/>
            <w:noWrap/>
            <w:hideMark/>
          </w:tcPr>
          <w:p w14:paraId="257C5B1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3 015 800</w:t>
            </w:r>
          </w:p>
        </w:tc>
        <w:tc>
          <w:tcPr>
            <w:tcW w:w="2121" w:type="dxa"/>
            <w:tcBorders>
              <w:top w:val="nil"/>
              <w:left w:val="nil"/>
              <w:bottom w:val="single" w:sz="8" w:space="0" w:color="auto"/>
              <w:right w:val="single" w:sz="8" w:space="0" w:color="auto"/>
            </w:tcBorders>
            <w:shd w:val="clear" w:color="auto" w:fill="auto"/>
            <w:noWrap/>
            <w:hideMark/>
          </w:tcPr>
          <w:p w14:paraId="2EBEE99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2 993 850</w:t>
            </w:r>
          </w:p>
        </w:tc>
        <w:tc>
          <w:tcPr>
            <w:tcW w:w="2177" w:type="dxa"/>
            <w:tcBorders>
              <w:top w:val="nil"/>
              <w:left w:val="nil"/>
              <w:bottom w:val="single" w:sz="8" w:space="0" w:color="auto"/>
              <w:right w:val="single" w:sz="8" w:space="0" w:color="auto"/>
            </w:tcBorders>
            <w:shd w:val="clear" w:color="auto" w:fill="auto"/>
            <w:noWrap/>
            <w:hideMark/>
          </w:tcPr>
          <w:p w14:paraId="6D14A2E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21 950</w:t>
            </w:r>
          </w:p>
        </w:tc>
      </w:tr>
      <w:tr w:rsidR="00830FA2" w:rsidRPr="00FD1578" w14:paraId="0DFCBC4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974204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65</w:t>
            </w:r>
          </w:p>
        </w:tc>
        <w:tc>
          <w:tcPr>
            <w:tcW w:w="6600" w:type="dxa"/>
            <w:tcBorders>
              <w:top w:val="nil"/>
              <w:left w:val="nil"/>
              <w:bottom w:val="single" w:sz="8" w:space="0" w:color="auto"/>
              <w:right w:val="single" w:sz="8" w:space="0" w:color="auto"/>
            </w:tcBorders>
            <w:shd w:val="clear" w:color="auto" w:fill="auto"/>
            <w:noWrap/>
            <w:hideMark/>
          </w:tcPr>
          <w:p w14:paraId="37065CF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"Daugavpils reģionālā slimnīca"</w:t>
            </w:r>
          </w:p>
        </w:tc>
        <w:tc>
          <w:tcPr>
            <w:tcW w:w="2121" w:type="dxa"/>
            <w:tcBorders>
              <w:top w:val="nil"/>
              <w:left w:val="nil"/>
              <w:bottom w:val="single" w:sz="8" w:space="0" w:color="auto"/>
              <w:right w:val="single" w:sz="8" w:space="0" w:color="auto"/>
            </w:tcBorders>
            <w:shd w:val="clear" w:color="auto" w:fill="auto"/>
            <w:noWrap/>
            <w:hideMark/>
          </w:tcPr>
          <w:p w14:paraId="0A2A4E0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65 065 220</w:t>
            </w:r>
          </w:p>
        </w:tc>
        <w:tc>
          <w:tcPr>
            <w:tcW w:w="2121" w:type="dxa"/>
            <w:tcBorders>
              <w:top w:val="nil"/>
              <w:left w:val="nil"/>
              <w:bottom w:val="single" w:sz="8" w:space="0" w:color="auto"/>
              <w:right w:val="single" w:sz="8" w:space="0" w:color="auto"/>
            </w:tcBorders>
            <w:shd w:val="clear" w:color="auto" w:fill="auto"/>
            <w:noWrap/>
            <w:hideMark/>
          </w:tcPr>
          <w:p w14:paraId="13FFF62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63 538 715</w:t>
            </w:r>
          </w:p>
        </w:tc>
        <w:tc>
          <w:tcPr>
            <w:tcW w:w="2177" w:type="dxa"/>
            <w:tcBorders>
              <w:top w:val="nil"/>
              <w:left w:val="nil"/>
              <w:bottom w:val="single" w:sz="8" w:space="0" w:color="auto"/>
              <w:right w:val="single" w:sz="8" w:space="0" w:color="auto"/>
            </w:tcBorders>
            <w:shd w:val="clear" w:color="auto" w:fill="auto"/>
            <w:noWrap/>
            <w:hideMark/>
          </w:tcPr>
          <w:p w14:paraId="5D93E67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1 526 505</w:t>
            </w:r>
          </w:p>
        </w:tc>
      </w:tr>
      <w:tr w:rsidR="00830FA2" w:rsidRPr="00FD1578" w14:paraId="6530557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3CF6B8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66</w:t>
            </w:r>
          </w:p>
        </w:tc>
        <w:tc>
          <w:tcPr>
            <w:tcW w:w="6600" w:type="dxa"/>
            <w:tcBorders>
              <w:top w:val="nil"/>
              <w:left w:val="nil"/>
              <w:bottom w:val="single" w:sz="8" w:space="0" w:color="auto"/>
              <w:right w:val="single" w:sz="8" w:space="0" w:color="auto"/>
            </w:tcBorders>
            <w:shd w:val="clear" w:color="auto" w:fill="auto"/>
            <w:noWrap/>
            <w:hideMark/>
          </w:tcPr>
          <w:p w14:paraId="375CBFF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AS "Daugavpils satiksme"</w:t>
            </w:r>
          </w:p>
        </w:tc>
        <w:tc>
          <w:tcPr>
            <w:tcW w:w="2121" w:type="dxa"/>
            <w:tcBorders>
              <w:top w:val="nil"/>
              <w:left w:val="nil"/>
              <w:bottom w:val="single" w:sz="8" w:space="0" w:color="auto"/>
              <w:right w:val="single" w:sz="8" w:space="0" w:color="auto"/>
            </w:tcBorders>
            <w:shd w:val="clear" w:color="auto" w:fill="auto"/>
            <w:noWrap/>
            <w:hideMark/>
          </w:tcPr>
          <w:p w14:paraId="7C3CF06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15 399 026</w:t>
            </w:r>
          </w:p>
        </w:tc>
        <w:tc>
          <w:tcPr>
            <w:tcW w:w="2121" w:type="dxa"/>
            <w:tcBorders>
              <w:top w:val="nil"/>
              <w:left w:val="nil"/>
              <w:bottom w:val="single" w:sz="8" w:space="0" w:color="auto"/>
              <w:right w:val="single" w:sz="8" w:space="0" w:color="auto"/>
            </w:tcBorders>
            <w:shd w:val="clear" w:color="auto" w:fill="auto"/>
            <w:noWrap/>
            <w:hideMark/>
          </w:tcPr>
          <w:p w14:paraId="48DF3D1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14 674 414</w:t>
            </w:r>
          </w:p>
        </w:tc>
        <w:tc>
          <w:tcPr>
            <w:tcW w:w="2177" w:type="dxa"/>
            <w:tcBorders>
              <w:top w:val="nil"/>
              <w:left w:val="nil"/>
              <w:bottom w:val="single" w:sz="8" w:space="0" w:color="auto"/>
              <w:right w:val="single" w:sz="8" w:space="0" w:color="auto"/>
            </w:tcBorders>
            <w:shd w:val="clear" w:color="auto" w:fill="auto"/>
            <w:noWrap/>
            <w:hideMark/>
          </w:tcPr>
          <w:p w14:paraId="3737727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724 612</w:t>
            </w:r>
          </w:p>
        </w:tc>
      </w:tr>
      <w:tr w:rsidR="00830FA2" w:rsidRPr="00FD1578" w14:paraId="0B72E74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A4C971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67</w:t>
            </w:r>
          </w:p>
        </w:tc>
        <w:tc>
          <w:tcPr>
            <w:tcW w:w="6600" w:type="dxa"/>
            <w:tcBorders>
              <w:top w:val="nil"/>
              <w:left w:val="nil"/>
              <w:bottom w:val="single" w:sz="8" w:space="0" w:color="auto"/>
              <w:right w:val="single" w:sz="8" w:space="0" w:color="auto"/>
            </w:tcBorders>
            <w:shd w:val="clear" w:color="auto" w:fill="auto"/>
            <w:noWrap/>
            <w:hideMark/>
          </w:tcPr>
          <w:p w14:paraId="374C4E4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"Dobeles un apkārtnes slimnīca"</w:t>
            </w:r>
          </w:p>
        </w:tc>
        <w:tc>
          <w:tcPr>
            <w:tcW w:w="2121" w:type="dxa"/>
            <w:tcBorders>
              <w:top w:val="nil"/>
              <w:left w:val="nil"/>
              <w:bottom w:val="single" w:sz="8" w:space="0" w:color="auto"/>
              <w:right w:val="single" w:sz="8" w:space="0" w:color="auto"/>
            </w:tcBorders>
            <w:shd w:val="clear" w:color="auto" w:fill="auto"/>
            <w:noWrap/>
            <w:hideMark/>
          </w:tcPr>
          <w:p w14:paraId="0563D13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7 911 089</w:t>
            </w:r>
          </w:p>
        </w:tc>
        <w:tc>
          <w:tcPr>
            <w:tcW w:w="2121" w:type="dxa"/>
            <w:tcBorders>
              <w:top w:val="nil"/>
              <w:left w:val="nil"/>
              <w:bottom w:val="single" w:sz="8" w:space="0" w:color="auto"/>
              <w:right w:val="single" w:sz="8" w:space="0" w:color="auto"/>
            </w:tcBorders>
            <w:shd w:val="clear" w:color="auto" w:fill="auto"/>
            <w:noWrap/>
            <w:hideMark/>
          </w:tcPr>
          <w:p w14:paraId="615EC3A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7 783 848</w:t>
            </w:r>
          </w:p>
        </w:tc>
        <w:tc>
          <w:tcPr>
            <w:tcW w:w="2177" w:type="dxa"/>
            <w:tcBorders>
              <w:top w:val="nil"/>
              <w:left w:val="nil"/>
              <w:bottom w:val="single" w:sz="8" w:space="0" w:color="auto"/>
              <w:right w:val="single" w:sz="8" w:space="0" w:color="auto"/>
            </w:tcBorders>
            <w:shd w:val="clear" w:color="auto" w:fill="auto"/>
            <w:noWrap/>
            <w:hideMark/>
          </w:tcPr>
          <w:p w14:paraId="0B85149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127 241</w:t>
            </w:r>
          </w:p>
        </w:tc>
      </w:tr>
      <w:tr w:rsidR="00830FA2" w:rsidRPr="00FD1578" w14:paraId="7D814BA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21F582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68</w:t>
            </w:r>
          </w:p>
        </w:tc>
        <w:tc>
          <w:tcPr>
            <w:tcW w:w="6600" w:type="dxa"/>
            <w:tcBorders>
              <w:top w:val="nil"/>
              <w:left w:val="nil"/>
              <w:bottom w:val="single" w:sz="8" w:space="0" w:color="auto"/>
              <w:right w:val="single" w:sz="8" w:space="0" w:color="auto"/>
            </w:tcBorders>
            <w:shd w:val="clear" w:color="auto" w:fill="auto"/>
            <w:noWrap/>
            <w:hideMark/>
          </w:tcPr>
          <w:p w14:paraId="17857CFA"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"Jelgavas pilsētas slimnīca"</w:t>
            </w:r>
          </w:p>
        </w:tc>
        <w:tc>
          <w:tcPr>
            <w:tcW w:w="2121" w:type="dxa"/>
            <w:tcBorders>
              <w:top w:val="nil"/>
              <w:left w:val="nil"/>
              <w:bottom w:val="single" w:sz="8" w:space="0" w:color="auto"/>
              <w:right w:val="single" w:sz="8" w:space="0" w:color="auto"/>
            </w:tcBorders>
            <w:shd w:val="clear" w:color="auto" w:fill="auto"/>
            <w:noWrap/>
            <w:hideMark/>
          </w:tcPr>
          <w:p w14:paraId="77184E1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18 439 007</w:t>
            </w:r>
          </w:p>
        </w:tc>
        <w:tc>
          <w:tcPr>
            <w:tcW w:w="2121" w:type="dxa"/>
            <w:tcBorders>
              <w:top w:val="nil"/>
              <w:left w:val="nil"/>
              <w:bottom w:val="single" w:sz="8" w:space="0" w:color="auto"/>
              <w:right w:val="single" w:sz="8" w:space="0" w:color="auto"/>
            </w:tcBorders>
            <w:shd w:val="clear" w:color="auto" w:fill="auto"/>
            <w:noWrap/>
            <w:hideMark/>
          </w:tcPr>
          <w:p w14:paraId="7A79EA2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17 695 835</w:t>
            </w:r>
          </w:p>
        </w:tc>
        <w:tc>
          <w:tcPr>
            <w:tcW w:w="2177" w:type="dxa"/>
            <w:tcBorders>
              <w:top w:val="nil"/>
              <w:left w:val="nil"/>
              <w:bottom w:val="single" w:sz="8" w:space="0" w:color="auto"/>
              <w:right w:val="single" w:sz="8" w:space="0" w:color="auto"/>
            </w:tcBorders>
            <w:shd w:val="clear" w:color="auto" w:fill="auto"/>
            <w:noWrap/>
            <w:hideMark/>
          </w:tcPr>
          <w:p w14:paraId="3218D3C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743 172</w:t>
            </w:r>
          </w:p>
        </w:tc>
      </w:tr>
      <w:tr w:rsidR="00830FA2" w:rsidRPr="00FD1578" w14:paraId="1F5D39A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43F9DF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69</w:t>
            </w:r>
          </w:p>
        </w:tc>
        <w:tc>
          <w:tcPr>
            <w:tcW w:w="6600" w:type="dxa"/>
            <w:tcBorders>
              <w:top w:val="nil"/>
              <w:left w:val="nil"/>
              <w:bottom w:val="single" w:sz="8" w:space="0" w:color="auto"/>
              <w:right w:val="single" w:sz="8" w:space="0" w:color="auto"/>
            </w:tcBorders>
            <w:shd w:val="clear" w:color="auto" w:fill="auto"/>
            <w:noWrap/>
            <w:hideMark/>
          </w:tcPr>
          <w:p w14:paraId="779B8FA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"Jēkabpils reģionālā slimnīca"</w:t>
            </w:r>
          </w:p>
        </w:tc>
        <w:tc>
          <w:tcPr>
            <w:tcW w:w="2121" w:type="dxa"/>
            <w:tcBorders>
              <w:top w:val="nil"/>
              <w:left w:val="nil"/>
              <w:bottom w:val="single" w:sz="8" w:space="0" w:color="auto"/>
              <w:right w:val="single" w:sz="8" w:space="0" w:color="auto"/>
            </w:tcBorders>
            <w:shd w:val="clear" w:color="auto" w:fill="auto"/>
            <w:noWrap/>
            <w:hideMark/>
          </w:tcPr>
          <w:p w14:paraId="25E2D6B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22 058 194</w:t>
            </w:r>
          </w:p>
        </w:tc>
        <w:tc>
          <w:tcPr>
            <w:tcW w:w="2121" w:type="dxa"/>
            <w:tcBorders>
              <w:top w:val="nil"/>
              <w:left w:val="nil"/>
              <w:bottom w:val="single" w:sz="8" w:space="0" w:color="auto"/>
              <w:right w:val="single" w:sz="8" w:space="0" w:color="auto"/>
            </w:tcBorders>
            <w:shd w:val="clear" w:color="auto" w:fill="auto"/>
            <w:noWrap/>
            <w:hideMark/>
          </w:tcPr>
          <w:p w14:paraId="0A548E7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21 787 696</w:t>
            </w:r>
          </w:p>
        </w:tc>
        <w:tc>
          <w:tcPr>
            <w:tcW w:w="2177" w:type="dxa"/>
            <w:tcBorders>
              <w:top w:val="nil"/>
              <w:left w:val="nil"/>
              <w:bottom w:val="single" w:sz="8" w:space="0" w:color="auto"/>
              <w:right w:val="single" w:sz="8" w:space="0" w:color="auto"/>
            </w:tcBorders>
            <w:shd w:val="clear" w:color="auto" w:fill="auto"/>
            <w:noWrap/>
            <w:hideMark/>
          </w:tcPr>
          <w:p w14:paraId="68EB20F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270 498</w:t>
            </w:r>
          </w:p>
        </w:tc>
      </w:tr>
      <w:tr w:rsidR="00830FA2" w:rsidRPr="00FD1578" w14:paraId="18BCC2FA"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679171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70</w:t>
            </w:r>
          </w:p>
        </w:tc>
        <w:tc>
          <w:tcPr>
            <w:tcW w:w="6600" w:type="dxa"/>
            <w:tcBorders>
              <w:top w:val="nil"/>
              <w:left w:val="nil"/>
              <w:bottom w:val="single" w:sz="8" w:space="0" w:color="auto"/>
              <w:right w:val="single" w:sz="8" w:space="0" w:color="auto"/>
            </w:tcBorders>
            <w:shd w:val="clear" w:color="auto" w:fill="auto"/>
            <w:noWrap/>
            <w:hideMark/>
          </w:tcPr>
          <w:p w14:paraId="7E78281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"Jūrmalas slimnīca"</w:t>
            </w:r>
          </w:p>
        </w:tc>
        <w:tc>
          <w:tcPr>
            <w:tcW w:w="2121" w:type="dxa"/>
            <w:tcBorders>
              <w:top w:val="nil"/>
              <w:left w:val="nil"/>
              <w:bottom w:val="single" w:sz="8" w:space="0" w:color="auto"/>
              <w:right w:val="single" w:sz="8" w:space="0" w:color="auto"/>
            </w:tcBorders>
            <w:shd w:val="clear" w:color="auto" w:fill="auto"/>
            <w:noWrap/>
            <w:hideMark/>
          </w:tcPr>
          <w:p w14:paraId="62A61C6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12 763 093</w:t>
            </w:r>
          </w:p>
        </w:tc>
        <w:tc>
          <w:tcPr>
            <w:tcW w:w="2121" w:type="dxa"/>
            <w:tcBorders>
              <w:top w:val="nil"/>
              <w:left w:val="nil"/>
              <w:bottom w:val="single" w:sz="8" w:space="0" w:color="auto"/>
              <w:right w:val="single" w:sz="8" w:space="0" w:color="auto"/>
            </w:tcBorders>
            <w:shd w:val="clear" w:color="auto" w:fill="auto"/>
            <w:noWrap/>
            <w:hideMark/>
          </w:tcPr>
          <w:p w14:paraId="199C313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12 102 751</w:t>
            </w:r>
          </w:p>
        </w:tc>
        <w:tc>
          <w:tcPr>
            <w:tcW w:w="2177" w:type="dxa"/>
            <w:tcBorders>
              <w:top w:val="nil"/>
              <w:left w:val="nil"/>
              <w:bottom w:val="single" w:sz="8" w:space="0" w:color="auto"/>
              <w:right w:val="single" w:sz="8" w:space="0" w:color="auto"/>
            </w:tcBorders>
            <w:shd w:val="clear" w:color="auto" w:fill="auto"/>
            <w:noWrap/>
            <w:hideMark/>
          </w:tcPr>
          <w:p w14:paraId="18192C1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660 342</w:t>
            </w:r>
          </w:p>
        </w:tc>
      </w:tr>
      <w:tr w:rsidR="00830FA2" w:rsidRPr="00FD1578" w14:paraId="415FF649"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C909DC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71</w:t>
            </w:r>
          </w:p>
        </w:tc>
        <w:tc>
          <w:tcPr>
            <w:tcW w:w="6600" w:type="dxa"/>
            <w:tcBorders>
              <w:top w:val="nil"/>
              <w:left w:val="nil"/>
              <w:bottom w:val="single" w:sz="8" w:space="0" w:color="auto"/>
              <w:right w:val="single" w:sz="8" w:space="0" w:color="auto"/>
            </w:tcBorders>
            <w:shd w:val="clear" w:color="auto" w:fill="auto"/>
            <w:noWrap/>
            <w:hideMark/>
          </w:tcPr>
          <w:p w14:paraId="7301B48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"Kuldīgas slimnīca"</w:t>
            </w:r>
          </w:p>
        </w:tc>
        <w:tc>
          <w:tcPr>
            <w:tcW w:w="2121" w:type="dxa"/>
            <w:tcBorders>
              <w:top w:val="nil"/>
              <w:left w:val="nil"/>
              <w:bottom w:val="single" w:sz="8" w:space="0" w:color="auto"/>
              <w:right w:val="single" w:sz="8" w:space="0" w:color="auto"/>
            </w:tcBorders>
            <w:shd w:val="clear" w:color="auto" w:fill="auto"/>
            <w:noWrap/>
            <w:hideMark/>
          </w:tcPr>
          <w:p w14:paraId="2377AC0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13 879 300</w:t>
            </w:r>
          </w:p>
        </w:tc>
        <w:tc>
          <w:tcPr>
            <w:tcW w:w="2121" w:type="dxa"/>
            <w:tcBorders>
              <w:top w:val="nil"/>
              <w:left w:val="nil"/>
              <w:bottom w:val="single" w:sz="8" w:space="0" w:color="auto"/>
              <w:right w:val="single" w:sz="8" w:space="0" w:color="auto"/>
            </w:tcBorders>
            <w:shd w:val="clear" w:color="auto" w:fill="auto"/>
            <w:noWrap/>
            <w:hideMark/>
          </w:tcPr>
          <w:p w14:paraId="41108F9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13 344 750</w:t>
            </w:r>
          </w:p>
        </w:tc>
        <w:tc>
          <w:tcPr>
            <w:tcW w:w="2177" w:type="dxa"/>
            <w:tcBorders>
              <w:top w:val="nil"/>
              <w:left w:val="nil"/>
              <w:bottom w:val="single" w:sz="8" w:space="0" w:color="auto"/>
              <w:right w:val="single" w:sz="8" w:space="0" w:color="auto"/>
            </w:tcBorders>
            <w:shd w:val="clear" w:color="auto" w:fill="auto"/>
            <w:noWrap/>
            <w:hideMark/>
          </w:tcPr>
          <w:p w14:paraId="3361936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534 550</w:t>
            </w:r>
          </w:p>
        </w:tc>
      </w:tr>
      <w:tr w:rsidR="00830FA2" w:rsidRPr="00FD1578" w14:paraId="7894DF5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97826A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72</w:t>
            </w:r>
          </w:p>
        </w:tc>
        <w:tc>
          <w:tcPr>
            <w:tcW w:w="6600" w:type="dxa"/>
            <w:tcBorders>
              <w:top w:val="nil"/>
              <w:left w:val="nil"/>
              <w:bottom w:val="single" w:sz="8" w:space="0" w:color="auto"/>
              <w:right w:val="single" w:sz="8" w:space="0" w:color="auto"/>
            </w:tcBorders>
            <w:shd w:val="clear" w:color="auto" w:fill="auto"/>
            <w:noWrap/>
            <w:hideMark/>
          </w:tcPr>
          <w:p w14:paraId="316F061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"Liepājas Olimpiskais Centrs"</w:t>
            </w:r>
          </w:p>
        </w:tc>
        <w:tc>
          <w:tcPr>
            <w:tcW w:w="2121" w:type="dxa"/>
            <w:tcBorders>
              <w:top w:val="nil"/>
              <w:left w:val="nil"/>
              <w:bottom w:val="single" w:sz="8" w:space="0" w:color="auto"/>
              <w:right w:val="single" w:sz="8" w:space="0" w:color="auto"/>
            </w:tcBorders>
            <w:shd w:val="clear" w:color="auto" w:fill="auto"/>
            <w:noWrap/>
            <w:hideMark/>
          </w:tcPr>
          <w:p w14:paraId="0B48A5A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3 398 801</w:t>
            </w:r>
          </w:p>
        </w:tc>
        <w:tc>
          <w:tcPr>
            <w:tcW w:w="2121" w:type="dxa"/>
            <w:tcBorders>
              <w:top w:val="nil"/>
              <w:left w:val="nil"/>
              <w:bottom w:val="single" w:sz="8" w:space="0" w:color="auto"/>
              <w:right w:val="single" w:sz="8" w:space="0" w:color="auto"/>
            </w:tcBorders>
            <w:shd w:val="clear" w:color="auto" w:fill="auto"/>
            <w:noWrap/>
            <w:hideMark/>
          </w:tcPr>
          <w:p w14:paraId="7D06B0B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2 150 348</w:t>
            </w:r>
          </w:p>
        </w:tc>
        <w:tc>
          <w:tcPr>
            <w:tcW w:w="2177" w:type="dxa"/>
            <w:tcBorders>
              <w:top w:val="nil"/>
              <w:left w:val="nil"/>
              <w:bottom w:val="single" w:sz="8" w:space="0" w:color="auto"/>
              <w:right w:val="single" w:sz="8" w:space="0" w:color="auto"/>
            </w:tcBorders>
            <w:shd w:val="clear" w:color="auto" w:fill="auto"/>
            <w:noWrap/>
            <w:hideMark/>
          </w:tcPr>
          <w:p w14:paraId="04B6EC5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1 248 453</w:t>
            </w:r>
          </w:p>
        </w:tc>
      </w:tr>
      <w:tr w:rsidR="00830FA2" w:rsidRPr="00FD1578" w14:paraId="4214598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24875A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73</w:t>
            </w:r>
          </w:p>
        </w:tc>
        <w:tc>
          <w:tcPr>
            <w:tcW w:w="6600" w:type="dxa"/>
            <w:tcBorders>
              <w:top w:val="nil"/>
              <w:left w:val="nil"/>
              <w:bottom w:val="single" w:sz="8" w:space="0" w:color="auto"/>
              <w:right w:val="single" w:sz="8" w:space="0" w:color="auto"/>
            </w:tcBorders>
            <w:shd w:val="clear" w:color="auto" w:fill="auto"/>
            <w:noWrap/>
            <w:hideMark/>
          </w:tcPr>
          <w:p w14:paraId="30D757D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"Liepājas reģionālā slimnīca"</w:t>
            </w:r>
          </w:p>
        </w:tc>
        <w:tc>
          <w:tcPr>
            <w:tcW w:w="2121" w:type="dxa"/>
            <w:tcBorders>
              <w:top w:val="nil"/>
              <w:left w:val="nil"/>
              <w:bottom w:val="single" w:sz="8" w:space="0" w:color="auto"/>
              <w:right w:val="single" w:sz="8" w:space="0" w:color="auto"/>
            </w:tcBorders>
            <w:shd w:val="clear" w:color="auto" w:fill="auto"/>
            <w:noWrap/>
            <w:hideMark/>
          </w:tcPr>
          <w:p w14:paraId="5052E0A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45 376 850</w:t>
            </w:r>
          </w:p>
        </w:tc>
        <w:tc>
          <w:tcPr>
            <w:tcW w:w="2121" w:type="dxa"/>
            <w:tcBorders>
              <w:top w:val="nil"/>
              <w:left w:val="nil"/>
              <w:bottom w:val="single" w:sz="8" w:space="0" w:color="auto"/>
              <w:right w:val="single" w:sz="8" w:space="0" w:color="auto"/>
            </w:tcBorders>
            <w:shd w:val="clear" w:color="auto" w:fill="auto"/>
            <w:noWrap/>
            <w:hideMark/>
          </w:tcPr>
          <w:p w14:paraId="1682357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45 014 943</w:t>
            </w:r>
          </w:p>
        </w:tc>
        <w:tc>
          <w:tcPr>
            <w:tcW w:w="2177" w:type="dxa"/>
            <w:tcBorders>
              <w:top w:val="nil"/>
              <w:left w:val="nil"/>
              <w:bottom w:val="single" w:sz="8" w:space="0" w:color="auto"/>
              <w:right w:val="single" w:sz="8" w:space="0" w:color="auto"/>
            </w:tcBorders>
            <w:shd w:val="clear" w:color="auto" w:fill="auto"/>
            <w:noWrap/>
            <w:hideMark/>
          </w:tcPr>
          <w:p w14:paraId="1C49462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361 907</w:t>
            </w:r>
          </w:p>
        </w:tc>
      </w:tr>
      <w:tr w:rsidR="00830FA2" w:rsidRPr="00FD1578" w14:paraId="693C2F06"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1BB34F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74</w:t>
            </w:r>
          </w:p>
        </w:tc>
        <w:tc>
          <w:tcPr>
            <w:tcW w:w="6600" w:type="dxa"/>
            <w:tcBorders>
              <w:top w:val="nil"/>
              <w:left w:val="nil"/>
              <w:bottom w:val="single" w:sz="8" w:space="0" w:color="auto"/>
              <w:right w:val="single" w:sz="8" w:space="0" w:color="auto"/>
            </w:tcBorders>
            <w:shd w:val="clear" w:color="auto" w:fill="auto"/>
            <w:noWrap/>
            <w:hideMark/>
          </w:tcPr>
          <w:p w14:paraId="25EC701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"Liepājas tramvajs"</w:t>
            </w:r>
          </w:p>
        </w:tc>
        <w:tc>
          <w:tcPr>
            <w:tcW w:w="2121" w:type="dxa"/>
            <w:tcBorders>
              <w:top w:val="nil"/>
              <w:left w:val="nil"/>
              <w:bottom w:val="single" w:sz="8" w:space="0" w:color="auto"/>
              <w:right w:val="single" w:sz="8" w:space="0" w:color="auto"/>
            </w:tcBorders>
            <w:shd w:val="clear" w:color="auto" w:fill="auto"/>
            <w:noWrap/>
            <w:hideMark/>
          </w:tcPr>
          <w:p w14:paraId="7A94828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2 700 000</w:t>
            </w:r>
          </w:p>
        </w:tc>
        <w:tc>
          <w:tcPr>
            <w:tcW w:w="2121" w:type="dxa"/>
            <w:tcBorders>
              <w:top w:val="nil"/>
              <w:left w:val="nil"/>
              <w:bottom w:val="single" w:sz="8" w:space="0" w:color="auto"/>
              <w:right w:val="single" w:sz="8" w:space="0" w:color="auto"/>
            </w:tcBorders>
            <w:shd w:val="clear" w:color="auto" w:fill="auto"/>
            <w:noWrap/>
            <w:hideMark/>
          </w:tcPr>
          <w:p w14:paraId="2E5FADD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2 699 000</w:t>
            </w:r>
          </w:p>
        </w:tc>
        <w:tc>
          <w:tcPr>
            <w:tcW w:w="2177" w:type="dxa"/>
            <w:tcBorders>
              <w:top w:val="nil"/>
              <w:left w:val="nil"/>
              <w:bottom w:val="single" w:sz="8" w:space="0" w:color="auto"/>
              <w:right w:val="single" w:sz="8" w:space="0" w:color="auto"/>
            </w:tcBorders>
            <w:shd w:val="clear" w:color="auto" w:fill="auto"/>
            <w:noWrap/>
            <w:hideMark/>
          </w:tcPr>
          <w:p w14:paraId="279DBBD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1 000</w:t>
            </w:r>
          </w:p>
        </w:tc>
      </w:tr>
      <w:tr w:rsidR="00830FA2" w:rsidRPr="00FD1578" w14:paraId="38075ED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4E4E60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75</w:t>
            </w:r>
          </w:p>
        </w:tc>
        <w:tc>
          <w:tcPr>
            <w:tcW w:w="6600" w:type="dxa"/>
            <w:tcBorders>
              <w:top w:val="nil"/>
              <w:left w:val="nil"/>
              <w:bottom w:val="single" w:sz="8" w:space="0" w:color="auto"/>
              <w:right w:val="single" w:sz="8" w:space="0" w:color="auto"/>
            </w:tcBorders>
            <w:shd w:val="clear" w:color="auto" w:fill="auto"/>
            <w:noWrap/>
            <w:hideMark/>
          </w:tcPr>
          <w:p w14:paraId="1C5A57A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"Madonas slimnīca"</w:t>
            </w:r>
          </w:p>
        </w:tc>
        <w:tc>
          <w:tcPr>
            <w:tcW w:w="2121" w:type="dxa"/>
            <w:tcBorders>
              <w:top w:val="nil"/>
              <w:left w:val="nil"/>
              <w:bottom w:val="single" w:sz="8" w:space="0" w:color="auto"/>
              <w:right w:val="single" w:sz="8" w:space="0" w:color="auto"/>
            </w:tcBorders>
            <w:shd w:val="clear" w:color="auto" w:fill="auto"/>
            <w:noWrap/>
            <w:hideMark/>
          </w:tcPr>
          <w:p w14:paraId="50E0FD0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15 000 000</w:t>
            </w:r>
          </w:p>
        </w:tc>
        <w:tc>
          <w:tcPr>
            <w:tcW w:w="2121" w:type="dxa"/>
            <w:tcBorders>
              <w:top w:val="nil"/>
              <w:left w:val="nil"/>
              <w:bottom w:val="single" w:sz="8" w:space="0" w:color="auto"/>
              <w:right w:val="single" w:sz="8" w:space="0" w:color="auto"/>
            </w:tcBorders>
            <w:shd w:val="clear" w:color="auto" w:fill="auto"/>
            <w:noWrap/>
            <w:hideMark/>
          </w:tcPr>
          <w:p w14:paraId="6257D63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14 904 730</w:t>
            </w:r>
          </w:p>
        </w:tc>
        <w:tc>
          <w:tcPr>
            <w:tcW w:w="2177" w:type="dxa"/>
            <w:tcBorders>
              <w:top w:val="nil"/>
              <w:left w:val="nil"/>
              <w:bottom w:val="single" w:sz="8" w:space="0" w:color="auto"/>
              <w:right w:val="single" w:sz="8" w:space="0" w:color="auto"/>
            </w:tcBorders>
            <w:shd w:val="clear" w:color="auto" w:fill="auto"/>
            <w:noWrap/>
            <w:hideMark/>
          </w:tcPr>
          <w:p w14:paraId="5EC1488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95 270</w:t>
            </w:r>
          </w:p>
        </w:tc>
      </w:tr>
      <w:tr w:rsidR="00830FA2" w:rsidRPr="00FD1578" w14:paraId="7E5690A8"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0DCF5AF8"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76</w:t>
            </w:r>
          </w:p>
        </w:tc>
        <w:tc>
          <w:tcPr>
            <w:tcW w:w="6600" w:type="dxa"/>
            <w:tcBorders>
              <w:top w:val="nil"/>
              <w:left w:val="nil"/>
              <w:bottom w:val="single" w:sz="8" w:space="0" w:color="auto"/>
              <w:right w:val="single" w:sz="8" w:space="0" w:color="auto"/>
            </w:tcBorders>
            <w:shd w:val="clear" w:color="auto" w:fill="auto"/>
            <w:noWrap/>
            <w:hideMark/>
          </w:tcPr>
          <w:p w14:paraId="66E19A48"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"Ogres rajona slimnīca"</w:t>
            </w:r>
          </w:p>
        </w:tc>
        <w:tc>
          <w:tcPr>
            <w:tcW w:w="2121" w:type="dxa"/>
            <w:tcBorders>
              <w:top w:val="nil"/>
              <w:left w:val="nil"/>
              <w:bottom w:val="single" w:sz="8" w:space="0" w:color="auto"/>
              <w:right w:val="single" w:sz="8" w:space="0" w:color="auto"/>
            </w:tcBorders>
            <w:shd w:val="clear" w:color="auto" w:fill="auto"/>
            <w:noWrap/>
            <w:hideMark/>
          </w:tcPr>
          <w:p w14:paraId="77E8B33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18 161 746</w:t>
            </w:r>
          </w:p>
        </w:tc>
        <w:tc>
          <w:tcPr>
            <w:tcW w:w="2121" w:type="dxa"/>
            <w:tcBorders>
              <w:top w:val="nil"/>
              <w:left w:val="nil"/>
              <w:bottom w:val="single" w:sz="8" w:space="0" w:color="auto"/>
              <w:right w:val="single" w:sz="8" w:space="0" w:color="auto"/>
            </w:tcBorders>
            <w:shd w:val="clear" w:color="auto" w:fill="auto"/>
            <w:noWrap/>
            <w:hideMark/>
          </w:tcPr>
          <w:p w14:paraId="353036D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17 636 573</w:t>
            </w:r>
          </w:p>
        </w:tc>
        <w:tc>
          <w:tcPr>
            <w:tcW w:w="2177" w:type="dxa"/>
            <w:tcBorders>
              <w:top w:val="nil"/>
              <w:left w:val="nil"/>
              <w:bottom w:val="single" w:sz="8" w:space="0" w:color="auto"/>
              <w:right w:val="single" w:sz="8" w:space="0" w:color="auto"/>
            </w:tcBorders>
            <w:shd w:val="clear" w:color="auto" w:fill="auto"/>
            <w:noWrap/>
            <w:hideMark/>
          </w:tcPr>
          <w:p w14:paraId="15B5E67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525 173</w:t>
            </w:r>
          </w:p>
        </w:tc>
      </w:tr>
      <w:tr w:rsidR="00830FA2" w:rsidRPr="00FD1578" w14:paraId="337132D7"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59F876C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77</w:t>
            </w:r>
          </w:p>
        </w:tc>
        <w:tc>
          <w:tcPr>
            <w:tcW w:w="6600" w:type="dxa"/>
            <w:tcBorders>
              <w:top w:val="nil"/>
              <w:left w:val="nil"/>
              <w:bottom w:val="single" w:sz="8" w:space="0" w:color="auto"/>
              <w:right w:val="single" w:sz="8" w:space="0" w:color="auto"/>
            </w:tcBorders>
            <w:shd w:val="clear" w:color="auto" w:fill="auto"/>
            <w:noWrap/>
            <w:hideMark/>
          </w:tcPr>
          <w:p w14:paraId="2BF203AB"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"Rēzeknes Satiksme"</w:t>
            </w:r>
          </w:p>
        </w:tc>
        <w:tc>
          <w:tcPr>
            <w:tcW w:w="2121" w:type="dxa"/>
            <w:tcBorders>
              <w:top w:val="nil"/>
              <w:left w:val="nil"/>
              <w:bottom w:val="single" w:sz="8" w:space="0" w:color="auto"/>
              <w:right w:val="single" w:sz="8" w:space="0" w:color="auto"/>
            </w:tcBorders>
            <w:shd w:val="clear" w:color="auto" w:fill="auto"/>
            <w:noWrap/>
            <w:hideMark/>
          </w:tcPr>
          <w:p w14:paraId="7E837A4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2 846 911</w:t>
            </w:r>
          </w:p>
        </w:tc>
        <w:tc>
          <w:tcPr>
            <w:tcW w:w="2121" w:type="dxa"/>
            <w:tcBorders>
              <w:top w:val="nil"/>
              <w:left w:val="nil"/>
              <w:bottom w:val="single" w:sz="8" w:space="0" w:color="auto"/>
              <w:right w:val="single" w:sz="8" w:space="0" w:color="auto"/>
            </w:tcBorders>
            <w:shd w:val="clear" w:color="auto" w:fill="auto"/>
            <w:noWrap/>
            <w:hideMark/>
          </w:tcPr>
          <w:p w14:paraId="14F6063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2 420 336</w:t>
            </w:r>
          </w:p>
        </w:tc>
        <w:tc>
          <w:tcPr>
            <w:tcW w:w="2177" w:type="dxa"/>
            <w:tcBorders>
              <w:top w:val="nil"/>
              <w:left w:val="nil"/>
              <w:bottom w:val="single" w:sz="8" w:space="0" w:color="auto"/>
              <w:right w:val="single" w:sz="8" w:space="0" w:color="auto"/>
            </w:tcBorders>
            <w:shd w:val="clear" w:color="auto" w:fill="auto"/>
            <w:noWrap/>
            <w:hideMark/>
          </w:tcPr>
          <w:p w14:paraId="3D59A73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426 575</w:t>
            </w:r>
          </w:p>
        </w:tc>
      </w:tr>
      <w:tr w:rsidR="00830FA2" w:rsidRPr="00FD1578" w14:paraId="13AF3F8F"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8B8229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lastRenderedPageBreak/>
              <w:t>78</w:t>
            </w:r>
          </w:p>
        </w:tc>
        <w:tc>
          <w:tcPr>
            <w:tcW w:w="6600" w:type="dxa"/>
            <w:tcBorders>
              <w:top w:val="nil"/>
              <w:left w:val="nil"/>
              <w:bottom w:val="single" w:sz="8" w:space="0" w:color="auto"/>
              <w:right w:val="single" w:sz="8" w:space="0" w:color="auto"/>
            </w:tcBorders>
            <w:shd w:val="clear" w:color="auto" w:fill="auto"/>
            <w:noWrap/>
            <w:hideMark/>
          </w:tcPr>
          <w:p w14:paraId="6B14F04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"Rēzeknes slimnīca"</w:t>
            </w:r>
          </w:p>
        </w:tc>
        <w:tc>
          <w:tcPr>
            <w:tcW w:w="2121" w:type="dxa"/>
            <w:tcBorders>
              <w:top w:val="nil"/>
              <w:left w:val="nil"/>
              <w:bottom w:val="single" w:sz="8" w:space="0" w:color="auto"/>
              <w:right w:val="single" w:sz="8" w:space="0" w:color="auto"/>
            </w:tcBorders>
            <w:shd w:val="clear" w:color="auto" w:fill="auto"/>
            <w:noWrap/>
            <w:hideMark/>
          </w:tcPr>
          <w:p w14:paraId="1D5378D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30 459 148</w:t>
            </w:r>
          </w:p>
        </w:tc>
        <w:tc>
          <w:tcPr>
            <w:tcW w:w="2121" w:type="dxa"/>
            <w:tcBorders>
              <w:top w:val="nil"/>
              <w:left w:val="nil"/>
              <w:bottom w:val="single" w:sz="8" w:space="0" w:color="auto"/>
              <w:right w:val="single" w:sz="8" w:space="0" w:color="auto"/>
            </w:tcBorders>
            <w:shd w:val="clear" w:color="auto" w:fill="auto"/>
            <w:noWrap/>
            <w:hideMark/>
          </w:tcPr>
          <w:p w14:paraId="264F92D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30 304 348</w:t>
            </w:r>
          </w:p>
        </w:tc>
        <w:tc>
          <w:tcPr>
            <w:tcW w:w="2177" w:type="dxa"/>
            <w:tcBorders>
              <w:top w:val="nil"/>
              <w:left w:val="nil"/>
              <w:bottom w:val="single" w:sz="8" w:space="0" w:color="auto"/>
              <w:right w:val="single" w:sz="8" w:space="0" w:color="auto"/>
            </w:tcBorders>
            <w:shd w:val="clear" w:color="auto" w:fill="auto"/>
            <w:noWrap/>
            <w:hideMark/>
          </w:tcPr>
          <w:p w14:paraId="55C2226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154 800</w:t>
            </w:r>
          </w:p>
        </w:tc>
      </w:tr>
      <w:tr w:rsidR="00830FA2" w:rsidRPr="00FD1578" w14:paraId="50E65BE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45261EE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79</w:t>
            </w:r>
          </w:p>
        </w:tc>
        <w:tc>
          <w:tcPr>
            <w:tcW w:w="6600" w:type="dxa"/>
            <w:tcBorders>
              <w:top w:val="nil"/>
              <w:left w:val="nil"/>
              <w:bottom w:val="single" w:sz="8" w:space="0" w:color="auto"/>
              <w:right w:val="single" w:sz="8" w:space="0" w:color="auto"/>
            </w:tcBorders>
            <w:shd w:val="clear" w:color="auto" w:fill="auto"/>
            <w:noWrap/>
            <w:hideMark/>
          </w:tcPr>
          <w:p w14:paraId="627B4D9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1.slimnīca"</w:t>
            </w:r>
          </w:p>
        </w:tc>
        <w:tc>
          <w:tcPr>
            <w:tcW w:w="2121" w:type="dxa"/>
            <w:tcBorders>
              <w:top w:val="nil"/>
              <w:left w:val="nil"/>
              <w:bottom w:val="single" w:sz="8" w:space="0" w:color="auto"/>
              <w:right w:val="single" w:sz="8" w:space="0" w:color="auto"/>
            </w:tcBorders>
            <w:shd w:val="clear" w:color="auto" w:fill="auto"/>
            <w:noWrap/>
            <w:hideMark/>
          </w:tcPr>
          <w:p w14:paraId="2F5D82D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32 166 941</w:t>
            </w:r>
          </w:p>
        </w:tc>
        <w:tc>
          <w:tcPr>
            <w:tcW w:w="2121" w:type="dxa"/>
            <w:tcBorders>
              <w:top w:val="nil"/>
              <w:left w:val="nil"/>
              <w:bottom w:val="single" w:sz="8" w:space="0" w:color="auto"/>
              <w:right w:val="single" w:sz="8" w:space="0" w:color="auto"/>
            </w:tcBorders>
            <w:shd w:val="clear" w:color="auto" w:fill="auto"/>
            <w:noWrap/>
            <w:hideMark/>
          </w:tcPr>
          <w:p w14:paraId="3172114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32 458 906</w:t>
            </w:r>
          </w:p>
        </w:tc>
        <w:tc>
          <w:tcPr>
            <w:tcW w:w="2177" w:type="dxa"/>
            <w:tcBorders>
              <w:top w:val="nil"/>
              <w:left w:val="nil"/>
              <w:bottom w:val="single" w:sz="8" w:space="0" w:color="auto"/>
              <w:right w:val="single" w:sz="8" w:space="0" w:color="auto"/>
            </w:tcBorders>
            <w:shd w:val="clear" w:color="auto" w:fill="auto"/>
            <w:noWrap/>
            <w:hideMark/>
          </w:tcPr>
          <w:p w14:paraId="000EBFF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-291 965</w:t>
            </w:r>
          </w:p>
        </w:tc>
      </w:tr>
      <w:tr w:rsidR="00830FA2" w:rsidRPr="00FD1578" w14:paraId="123C100B"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05FFD6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80</w:t>
            </w:r>
          </w:p>
        </w:tc>
        <w:tc>
          <w:tcPr>
            <w:tcW w:w="6600" w:type="dxa"/>
            <w:tcBorders>
              <w:top w:val="nil"/>
              <w:left w:val="nil"/>
              <w:bottom w:val="single" w:sz="8" w:space="0" w:color="auto"/>
              <w:right w:val="single" w:sz="8" w:space="0" w:color="auto"/>
            </w:tcBorders>
            <w:shd w:val="clear" w:color="auto" w:fill="auto"/>
            <w:noWrap/>
            <w:hideMark/>
          </w:tcPr>
          <w:p w14:paraId="6D89ACD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2.slimnīca"</w:t>
            </w:r>
          </w:p>
        </w:tc>
        <w:tc>
          <w:tcPr>
            <w:tcW w:w="2121" w:type="dxa"/>
            <w:tcBorders>
              <w:top w:val="nil"/>
              <w:left w:val="nil"/>
              <w:bottom w:val="single" w:sz="8" w:space="0" w:color="auto"/>
              <w:right w:val="single" w:sz="8" w:space="0" w:color="auto"/>
            </w:tcBorders>
            <w:shd w:val="clear" w:color="auto" w:fill="auto"/>
            <w:noWrap/>
            <w:hideMark/>
          </w:tcPr>
          <w:p w14:paraId="55B88C1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14 712 129</w:t>
            </w:r>
          </w:p>
        </w:tc>
        <w:tc>
          <w:tcPr>
            <w:tcW w:w="2121" w:type="dxa"/>
            <w:tcBorders>
              <w:top w:val="nil"/>
              <w:left w:val="nil"/>
              <w:bottom w:val="single" w:sz="8" w:space="0" w:color="auto"/>
              <w:right w:val="single" w:sz="8" w:space="0" w:color="auto"/>
            </w:tcBorders>
            <w:shd w:val="clear" w:color="auto" w:fill="auto"/>
            <w:noWrap/>
            <w:hideMark/>
          </w:tcPr>
          <w:p w14:paraId="23E271F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14 710 757</w:t>
            </w:r>
          </w:p>
        </w:tc>
        <w:tc>
          <w:tcPr>
            <w:tcW w:w="2177" w:type="dxa"/>
            <w:tcBorders>
              <w:top w:val="nil"/>
              <w:left w:val="nil"/>
              <w:bottom w:val="single" w:sz="8" w:space="0" w:color="auto"/>
              <w:right w:val="single" w:sz="8" w:space="0" w:color="auto"/>
            </w:tcBorders>
            <w:shd w:val="clear" w:color="auto" w:fill="auto"/>
            <w:noWrap/>
            <w:hideMark/>
          </w:tcPr>
          <w:p w14:paraId="413B125B"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1 372</w:t>
            </w:r>
          </w:p>
        </w:tc>
      </w:tr>
      <w:tr w:rsidR="00830FA2" w:rsidRPr="00FD1578" w14:paraId="3EAC278D"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2540277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81</w:t>
            </w:r>
          </w:p>
        </w:tc>
        <w:tc>
          <w:tcPr>
            <w:tcW w:w="6600" w:type="dxa"/>
            <w:tcBorders>
              <w:top w:val="nil"/>
              <w:left w:val="nil"/>
              <w:bottom w:val="single" w:sz="8" w:space="0" w:color="auto"/>
              <w:right w:val="single" w:sz="8" w:space="0" w:color="auto"/>
            </w:tcBorders>
            <w:shd w:val="clear" w:color="auto" w:fill="auto"/>
            <w:noWrap/>
            <w:hideMark/>
          </w:tcPr>
          <w:p w14:paraId="29363C1F"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Dzemdību nams"</w:t>
            </w:r>
          </w:p>
        </w:tc>
        <w:tc>
          <w:tcPr>
            <w:tcW w:w="2121" w:type="dxa"/>
            <w:tcBorders>
              <w:top w:val="nil"/>
              <w:left w:val="nil"/>
              <w:bottom w:val="single" w:sz="8" w:space="0" w:color="auto"/>
              <w:right w:val="single" w:sz="8" w:space="0" w:color="auto"/>
            </w:tcBorders>
            <w:shd w:val="clear" w:color="auto" w:fill="auto"/>
            <w:noWrap/>
            <w:hideMark/>
          </w:tcPr>
          <w:p w14:paraId="20AD46D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13 960 049</w:t>
            </w:r>
          </w:p>
        </w:tc>
        <w:tc>
          <w:tcPr>
            <w:tcW w:w="2121" w:type="dxa"/>
            <w:tcBorders>
              <w:top w:val="nil"/>
              <w:left w:val="nil"/>
              <w:bottom w:val="single" w:sz="8" w:space="0" w:color="auto"/>
              <w:right w:val="single" w:sz="8" w:space="0" w:color="auto"/>
            </w:tcBorders>
            <w:shd w:val="clear" w:color="auto" w:fill="auto"/>
            <w:noWrap/>
            <w:hideMark/>
          </w:tcPr>
          <w:p w14:paraId="32831D7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13 884 099</w:t>
            </w:r>
          </w:p>
        </w:tc>
        <w:tc>
          <w:tcPr>
            <w:tcW w:w="2177" w:type="dxa"/>
            <w:tcBorders>
              <w:top w:val="nil"/>
              <w:left w:val="nil"/>
              <w:bottom w:val="single" w:sz="8" w:space="0" w:color="auto"/>
              <w:right w:val="single" w:sz="8" w:space="0" w:color="auto"/>
            </w:tcBorders>
            <w:shd w:val="clear" w:color="auto" w:fill="auto"/>
            <w:noWrap/>
            <w:hideMark/>
          </w:tcPr>
          <w:p w14:paraId="6B0F228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75 950</w:t>
            </w:r>
          </w:p>
        </w:tc>
      </w:tr>
      <w:tr w:rsidR="00830FA2" w:rsidRPr="00FD1578" w14:paraId="32058C54"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D7620F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82</w:t>
            </w:r>
          </w:p>
        </w:tc>
        <w:tc>
          <w:tcPr>
            <w:tcW w:w="6600" w:type="dxa"/>
            <w:tcBorders>
              <w:top w:val="nil"/>
              <w:left w:val="nil"/>
              <w:bottom w:val="single" w:sz="8" w:space="0" w:color="auto"/>
              <w:right w:val="single" w:sz="8" w:space="0" w:color="auto"/>
            </w:tcBorders>
            <w:shd w:val="clear" w:color="auto" w:fill="auto"/>
            <w:noWrap/>
            <w:hideMark/>
          </w:tcPr>
          <w:p w14:paraId="67DB8E47"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satiksme"</w:t>
            </w:r>
          </w:p>
        </w:tc>
        <w:tc>
          <w:tcPr>
            <w:tcW w:w="2121" w:type="dxa"/>
            <w:tcBorders>
              <w:top w:val="nil"/>
              <w:left w:val="nil"/>
              <w:bottom w:val="single" w:sz="8" w:space="0" w:color="auto"/>
              <w:right w:val="single" w:sz="8" w:space="0" w:color="auto"/>
            </w:tcBorders>
            <w:shd w:val="clear" w:color="auto" w:fill="auto"/>
            <w:noWrap/>
            <w:hideMark/>
          </w:tcPr>
          <w:p w14:paraId="6CEE1F0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229 503 411</w:t>
            </w:r>
          </w:p>
        </w:tc>
        <w:tc>
          <w:tcPr>
            <w:tcW w:w="2121" w:type="dxa"/>
            <w:tcBorders>
              <w:top w:val="nil"/>
              <w:left w:val="nil"/>
              <w:bottom w:val="single" w:sz="8" w:space="0" w:color="auto"/>
              <w:right w:val="single" w:sz="8" w:space="0" w:color="auto"/>
            </w:tcBorders>
            <w:shd w:val="clear" w:color="auto" w:fill="auto"/>
            <w:noWrap/>
            <w:hideMark/>
          </w:tcPr>
          <w:p w14:paraId="0628EBD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229 301 009</w:t>
            </w:r>
          </w:p>
        </w:tc>
        <w:tc>
          <w:tcPr>
            <w:tcW w:w="2177" w:type="dxa"/>
            <w:tcBorders>
              <w:top w:val="nil"/>
              <w:left w:val="nil"/>
              <w:bottom w:val="single" w:sz="8" w:space="0" w:color="auto"/>
              <w:right w:val="single" w:sz="8" w:space="0" w:color="auto"/>
            </w:tcBorders>
            <w:shd w:val="clear" w:color="auto" w:fill="auto"/>
            <w:noWrap/>
            <w:hideMark/>
          </w:tcPr>
          <w:p w14:paraId="6AED709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202 402</w:t>
            </w:r>
          </w:p>
        </w:tc>
      </w:tr>
      <w:tr w:rsidR="00830FA2" w:rsidRPr="00FD1578" w14:paraId="4EE962B3"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19E537F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83</w:t>
            </w:r>
          </w:p>
        </w:tc>
        <w:tc>
          <w:tcPr>
            <w:tcW w:w="6600" w:type="dxa"/>
            <w:tcBorders>
              <w:top w:val="nil"/>
              <w:left w:val="nil"/>
              <w:bottom w:val="single" w:sz="8" w:space="0" w:color="auto"/>
              <w:right w:val="single" w:sz="8" w:space="0" w:color="auto"/>
            </w:tcBorders>
            <w:shd w:val="clear" w:color="auto" w:fill="auto"/>
            <w:noWrap/>
            <w:hideMark/>
          </w:tcPr>
          <w:p w14:paraId="09A133E9"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"Rīgas veselības centrs"</w:t>
            </w:r>
          </w:p>
        </w:tc>
        <w:tc>
          <w:tcPr>
            <w:tcW w:w="2121" w:type="dxa"/>
            <w:tcBorders>
              <w:top w:val="nil"/>
              <w:left w:val="nil"/>
              <w:bottom w:val="single" w:sz="8" w:space="0" w:color="auto"/>
              <w:right w:val="single" w:sz="8" w:space="0" w:color="auto"/>
            </w:tcBorders>
            <w:shd w:val="clear" w:color="auto" w:fill="auto"/>
            <w:noWrap/>
            <w:hideMark/>
          </w:tcPr>
          <w:p w14:paraId="08512D1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13 239 195</w:t>
            </w:r>
          </w:p>
        </w:tc>
        <w:tc>
          <w:tcPr>
            <w:tcW w:w="2121" w:type="dxa"/>
            <w:tcBorders>
              <w:top w:val="nil"/>
              <w:left w:val="nil"/>
              <w:bottom w:val="single" w:sz="8" w:space="0" w:color="auto"/>
              <w:right w:val="single" w:sz="8" w:space="0" w:color="auto"/>
            </w:tcBorders>
            <w:shd w:val="clear" w:color="auto" w:fill="auto"/>
            <w:noWrap/>
            <w:hideMark/>
          </w:tcPr>
          <w:p w14:paraId="2D3A9A3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13 203 301</w:t>
            </w:r>
          </w:p>
        </w:tc>
        <w:tc>
          <w:tcPr>
            <w:tcW w:w="2177" w:type="dxa"/>
            <w:tcBorders>
              <w:top w:val="nil"/>
              <w:left w:val="nil"/>
              <w:bottom w:val="single" w:sz="8" w:space="0" w:color="auto"/>
              <w:right w:val="single" w:sz="8" w:space="0" w:color="auto"/>
            </w:tcBorders>
            <w:shd w:val="clear" w:color="auto" w:fill="auto"/>
            <w:noWrap/>
            <w:hideMark/>
          </w:tcPr>
          <w:p w14:paraId="3C3B6DA0"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35 894</w:t>
            </w:r>
          </w:p>
        </w:tc>
      </w:tr>
      <w:tr w:rsidR="00830FA2" w:rsidRPr="00FD1578" w14:paraId="1B5F8735"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6A7C431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84</w:t>
            </w:r>
          </w:p>
        </w:tc>
        <w:tc>
          <w:tcPr>
            <w:tcW w:w="6600" w:type="dxa"/>
            <w:tcBorders>
              <w:top w:val="nil"/>
              <w:left w:val="nil"/>
              <w:bottom w:val="single" w:sz="8" w:space="0" w:color="auto"/>
              <w:right w:val="single" w:sz="8" w:space="0" w:color="auto"/>
            </w:tcBorders>
            <w:shd w:val="clear" w:color="auto" w:fill="auto"/>
            <w:noWrap/>
            <w:hideMark/>
          </w:tcPr>
          <w:p w14:paraId="3C27CACA"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"Salaspils Veselības Centrs"</w:t>
            </w:r>
          </w:p>
        </w:tc>
        <w:tc>
          <w:tcPr>
            <w:tcW w:w="2121" w:type="dxa"/>
            <w:tcBorders>
              <w:top w:val="nil"/>
              <w:left w:val="nil"/>
              <w:bottom w:val="single" w:sz="8" w:space="0" w:color="auto"/>
              <w:right w:val="single" w:sz="8" w:space="0" w:color="auto"/>
            </w:tcBorders>
            <w:shd w:val="clear" w:color="auto" w:fill="auto"/>
            <w:noWrap/>
            <w:hideMark/>
          </w:tcPr>
          <w:p w14:paraId="5D9B68A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30 084 563</w:t>
            </w:r>
          </w:p>
        </w:tc>
        <w:tc>
          <w:tcPr>
            <w:tcW w:w="2121" w:type="dxa"/>
            <w:tcBorders>
              <w:top w:val="nil"/>
              <w:left w:val="nil"/>
              <w:bottom w:val="single" w:sz="8" w:space="0" w:color="auto"/>
              <w:right w:val="single" w:sz="8" w:space="0" w:color="auto"/>
            </w:tcBorders>
            <w:shd w:val="clear" w:color="auto" w:fill="auto"/>
            <w:noWrap/>
            <w:hideMark/>
          </w:tcPr>
          <w:p w14:paraId="2E0A63C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30 053 953</w:t>
            </w:r>
          </w:p>
        </w:tc>
        <w:tc>
          <w:tcPr>
            <w:tcW w:w="2177" w:type="dxa"/>
            <w:tcBorders>
              <w:top w:val="nil"/>
              <w:left w:val="nil"/>
              <w:bottom w:val="single" w:sz="8" w:space="0" w:color="auto"/>
              <w:right w:val="single" w:sz="8" w:space="0" w:color="auto"/>
            </w:tcBorders>
            <w:shd w:val="clear" w:color="auto" w:fill="auto"/>
            <w:noWrap/>
            <w:hideMark/>
          </w:tcPr>
          <w:p w14:paraId="5FA36B7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30 610</w:t>
            </w:r>
          </w:p>
        </w:tc>
      </w:tr>
      <w:tr w:rsidR="00830FA2" w:rsidRPr="00FD1578" w14:paraId="6F5B4992"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hideMark/>
          </w:tcPr>
          <w:p w14:paraId="3AD2CC34"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85</w:t>
            </w:r>
          </w:p>
        </w:tc>
        <w:tc>
          <w:tcPr>
            <w:tcW w:w="6600" w:type="dxa"/>
            <w:tcBorders>
              <w:top w:val="nil"/>
              <w:left w:val="nil"/>
              <w:bottom w:val="single" w:sz="8" w:space="0" w:color="auto"/>
              <w:right w:val="single" w:sz="8" w:space="0" w:color="auto"/>
            </w:tcBorders>
            <w:shd w:val="clear" w:color="auto" w:fill="auto"/>
            <w:noWrap/>
            <w:hideMark/>
          </w:tcPr>
          <w:p w14:paraId="43F0B97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Calibri" w:cs="Times New Roman"/>
                <w:sz w:val="18"/>
                <w:szCs w:val="18"/>
                <w:lang w:eastAsia="en-US"/>
              </w:rPr>
              <w:t>SIA "Olimpiskais centrs "Ventspils""</w:t>
            </w:r>
          </w:p>
        </w:tc>
        <w:tc>
          <w:tcPr>
            <w:tcW w:w="2121" w:type="dxa"/>
            <w:tcBorders>
              <w:top w:val="nil"/>
              <w:left w:val="nil"/>
              <w:bottom w:val="single" w:sz="8" w:space="0" w:color="auto"/>
              <w:right w:val="single" w:sz="8" w:space="0" w:color="auto"/>
            </w:tcBorders>
            <w:shd w:val="clear" w:color="auto" w:fill="auto"/>
            <w:noWrap/>
            <w:hideMark/>
          </w:tcPr>
          <w:p w14:paraId="0507C42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4 601 292</w:t>
            </w:r>
          </w:p>
        </w:tc>
        <w:tc>
          <w:tcPr>
            <w:tcW w:w="2121" w:type="dxa"/>
            <w:tcBorders>
              <w:top w:val="nil"/>
              <w:left w:val="nil"/>
              <w:bottom w:val="single" w:sz="8" w:space="0" w:color="auto"/>
              <w:right w:val="single" w:sz="8" w:space="0" w:color="auto"/>
            </w:tcBorders>
            <w:shd w:val="clear" w:color="auto" w:fill="auto"/>
            <w:noWrap/>
            <w:hideMark/>
          </w:tcPr>
          <w:p w14:paraId="15FCCF4E"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4 567 644</w:t>
            </w:r>
          </w:p>
        </w:tc>
        <w:tc>
          <w:tcPr>
            <w:tcW w:w="2177" w:type="dxa"/>
            <w:tcBorders>
              <w:top w:val="nil"/>
              <w:left w:val="nil"/>
              <w:bottom w:val="single" w:sz="8" w:space="0" w:color="auto"/>
              <w:right w:val="single" w:sz="8" w:space="0" w:color="auto"/>
            </w:tcBorders>
            <w:shd w:val="clear" w:color="auto" w:fill="auto"/>
            <w:noWrap/>
            <w:hideMark/>
          </w:tcPr>
          <w:p w14:paraId="1EA9B396"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eastAsia="Calibri" w:cs="Times New Roman"/>
                <w:sz w:val="18"/>
                <w:szCs w:val="18"/>
                <w:lang w:eastAsia="en-US"/>
              </w:rPr>
              <w:t>33 648</w:t>
            </w:r>
          </w:p>
        </w:tc>
      </w:tr>
      <w:tr w:rsidR="00830FA2" w:rsidRPr="00FD1578" w14:paraId="0987F650"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tcPr>
          <w:p w14:paraId="1C225C34"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Times New Roman" w:cs="Times New Roman"/>
                <w:color w:val="000000"/>
                <w:sz w:val="18"/>
                <w:szCs w:val="18"/>
              </w:rPr>
              <w:t>86</w:t>
            </w:r>
          </w:p>
        </w:tc>
        <w:tc>
          <w:tcPr>
            <w:tcW w:w="6600" w:type="dxa"/>
            <w:tcBorders>
              <w:top w:val="nil"/>
              <w:left w:val="nil"/>
              <w:bottom w:val="single" w:sz="8" w:space="0" w:color="auto"/>
              <w:right w:val="single" w:sz="8" w:space="0" w:color="auto"/>
            </w:tcBorders>
            <w:shd w:val="clear" w:color="auto" w:fill="auto"/>
            <w:noWrap/>
          </w:tcPr>
          <w:p w14:paraId="6D37FB99"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"Vidzemes slimnīca"</w:t>
            </w:r>
          </w:p>
        </w:tc>
        <w:tc>
          <w:tcPr>
            <w:tcW w:w="2121" w:type="dxa"/>
            <w:tcBorders>
              <w:top w:val="nil"/>
              <w:left w:val="nil"/>
              <w:bottom w:val="single" w:sz="8" w:space="0" w:color="auto"/>
              <w:right w:val="single" w:sz="8" w:space="0" w:color="auto"/>
            </w:tcBorders>
            <w:shd w:val="clear" w:color="auto" w:fill="auto"/>
            <w:noWrap/>
          </w:tcPr>
          <w:p w14:paraId="17BC0C14"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30 090 611</w:t>
            </w:r>
          </w:p>
        </w:tc>
        <w:tc>
          <w:tcPr>
            <w:tcW w:w="2121" w:type="dxa"/>
            <w:tcBorders>
              <w:top w:val="nil"/>
              <w:left w:val="nil"/>
              <w:bottom w:val="single" w:sz="8" w:space="0" w:color="auto"/>
              <w:right w:val="single" w:sz="8" w:space="0" w:color="auto"/>
            </w:tcBorders>
            <w:shd w:val="clear" w:color="auto" w:fill="auto"/>
            <w:noWrap/>
          </w:tcPr>
          <w:p w14:paraId="24281988"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30 615 343</w:t>
            </w:r>
          </w:p>
        </w:tc>
        <w:tc>
          <w:tcPr>
            <w:tcW w:w="2177" w:type="dxa"/>
            <w:tcBorders>
              <w:top w:val="nil"/>
              <w:left w:val="nil"/>
              <w:bottom w:val="single" w:sz="8" w:space="0" w:color="auto"/>
              <w:right w:val="single" w:sz="8" w:space="0" w:color="auto"/>
            </w:tcBorders>
            <w:shd w:val="clear" w:color="auto" w:fill="auto"/>
            <w:noWrap/>
          </w:tcPr>
          <w:p w14:paraId="31684E13"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-524 732</w:t>
            </w:r>
          </w:p>
        </w:tc>
      </w:tr>
      <w:tr w:rsidR="00830FA2" w:rsidRPr="00FD1578" w14:paraId="4DFB9CCE" w14:textId="77777777" w:rsidTr="001D67A3">
        <w:trPr>
          <w:trHeight w:val="324"/>
        </w:trPr>
        <w:tc>
          <w:tcPr>
            <w:tcW w:w="1187" w:type="dxa"/>
            <w:tcBorders>
              <w:top w:val="nil"/>
              <w:left w:val="single" w:sz="8" w:space="0" w:color="auto"/>
              <w:bottom w:val="single" w:sz="8" w:space="0" w:color="auto"/>
              <w:right w:val="single" w:sz="8" w:space="0" w:color="auto"/>
            </w:tcBorders>
            <w:shd w:val="clear" w:color="auto" w:fill="auto"/>
            <w:noWrap/>
            <w:vAlign w:val="center"/>
          </w:tcPr>
          <w:p w14:paraId="40011282"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Times New Roman" w:cs="Times New Roman"/>
                <w:color w:val="000000"/>
                <w:sz w:val="18"/>
                <w:szCs w:val="18"/>
              </w:rPr>
              <w:t>87</w:t>
            </w:r>
          </w:p>
        </w:tc>
        <w:tc>
          <w:tcPr>
            <w:tcW w:w="6600" w:type="dxa"/>
            <w:tcBorders>
              <w:top w:val="nil"/>
              <w:left w:val="nil"/>
              <w:bottom w:val="single" w:sz="8" w:space="0" w:color="auto"/>
              <w:right w:val="single" w:sz="8" w:space="0" w:color="auto"/>
            </w:tcBorders>
            <w:shd w:val="clear" w:color="auto" w:fill="auto"/>
            <w:noWrap/>
          </w:tcPr>
          <w:p w14:paraId="042FEEF4" w14:textId="77777777" w:rsidR="00830FA2" w:rsidRPr="00FD1578" w:rsidRDefault="00830FA2" w:rsidP="008349F0">
            <w:pPr>
              <w:spacing w:after="0"/>
              <w:ind w:firstLine="0"/>
              <w:jc w:val="left"/>
              <w:rPr>
                <w:rFonts w:eastAsia="Calibri" w:cs="Times New Roman"/>
                <w:sz w:val="18"/>
                <w:szCs w:val="18"/>
                <w:lang w:eastAsia="en-US"/>
              </w:rPr>
            </w:pPr>
            <w:r w:rsidRPr="00FD1578">
              <w:rPr>
                <w:rFonts w:eastAsia="Calibri" w:cs="Times New Roman"/>
                <w:sz w:val="18"/>
                <w:szCs w:val="18"/>
                <w:lang w:eastAsia="en-US"/>
              </w:rPr>
              <w:t>SIA "</w:t>
            </w:r>
            <w:proofErr w:type="spellStart"/>
            <w:r w:rsidRPr="00FD1578">
              <w:rPr>
                <w:rFonts w:eastAsia="Calibri" w:cs="Times New Roman"/>
                <w:sz w:val="18"/>
                <w:szCs w:val="18"/>
                <w:lang w:eastAsia="en-US"/>
              </w:rPr>
              <w:t>Ziemeļkurzemes</w:t>
            </w:r>
            <w:proofErr w:type="spellEnd"/>
            <w:r w:rsidRPr="00FD1578">
              <w:rPr>
                <w:rFonts w:eastAsia="Calibri" w:cs="Times New Roman"/>
                <w:sz w:val="18"/>
                <w:szCs w:val="18"/>
                <w:lang w:eastAsia="en-US"/>
              </w:rPr>
              <w:t xml:space="preserve"> reģionālā slimnīca"</w:t>
            </w:r>
          </w:p>
        </w:tc>
        <w:tc>
          <w:tcPr>
            <w:tcW w:w="2121" w:type="dxa"/>
            <w:tcBorders>
              <w:top w:val="nil"/>
              <w:left w:val="nil"/>
              <w:bottom w:val="single" w:sz="8" w:space="0" w:color="auto"/>
              <w:right w:val="single" w:sz="8" w:space="0" w:color="auto"/>
            </w:tcBorders>
            <w:shd w:val="clear" w:color="auto" w:fill="auto"/>
            <w:noWrap/>
          </w:tcPr>
          <w:p w14:paraId="3DEEC56E"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30 084 563</w:t>
            </w:r>
          </w:p>
        </w:tc>
        <w:tc>
          <w:tcPr>
            <w:tcW w:w="2121" w:type="dxa"/>
            <w:tcBorders>
              <w:top w:val="nil"/>
              <w:left w:val="nil"/>
              <w:bottom w:val="single" w:sz="8" w:space="0" w:color="auto"/>
              <w:right w:val="single" w:sz="8" w:space="0" w:color="auto"/>
            </w:tcBorders>
            <w:shd w:val="clear" w:color="auto" w:fill="auto"/>
            <w:noWrap/>
          </w:tcPr>
          <w:p w14:paraId="0C18EF0C"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30 053 953</w:t>
            </w:r>
          </w:p>
        </w:tc>
        <w:tc>
          <w:tcPr>
            <w:tcW w:w="2177" w:type="dxa"/>
            <w:tcBorders>
              <w:top w:val="nil"/>
              <w:left w:val="nil"/>
              <w:bottom w:val="single" w:sz="8" w:space="0" w:color="auto"/>
              <w:right w:val="single" w:sz="8" w:space="0" w:color="auto"/>
            </w:tcBorders>
            <w:shd w:val="clear" w:color="auto" w:fill="auto"/>
            <w:noWrap/>
          </w:tcPr>
          <w:p w14:paraId="339749EB" w14:textId="77777777" w:rsidR="00830FA2" w:rsidRPr="00FD1578" w:rsidRDefault="00830FA2" w:rsidP="008349F0">
            <w:pPr>
              <w:spacing w:after="0"/>
              <w:ind w:firstLine="0"/>
              <w:jc w:val="right"/>
              <w:rPr>
                <w:rFonts w:eastAsia="Calibri" w:cs="Times New Roman"/>
                <w:sz w:val="18"/>
                <w:szCs w:val="18"/>
                <w:lang w:eastAsia="en-US"/>
              </w:rPr>
            </w:pPr>
            <w:r w:rsidRPr="00FD1578">
              <w:rPr>
                <w:rFonts w:eastAsia="Calibri" w:cs="Times New Roman"/>
                <w:sz w:val="18"/>
                <w:szCs w:val="18"/>
                <w:lang w:eastAsia="en-US"/>
              </w:rPr>
              <w:t>30 610</w:t>
            </w:r>
          </w:p>
        </w:tc>
      </w:tr>
      <w:tr w:rsidR="00830FA2" w:rsidRPr="00FD1578" w14:paraId="56C1C1A6" w14:textId="77777777" w:rsidTr="001D67A3">
        <w:trPr>
          <w:trHeight w:val="468"/>
        </w:trPr>
        <w:tc>
          <w:tcPr>
            <w:tcW w:w="14206" w:type="dxa"/>
            <w:gridSpan w:val="5"/>
            <w:tcBorders>
              <w:top w:val="single" w:sz="8" w:space="0" w:color="auto"/>
              <w:left w:val="single" w:sz="8" w:space="0" w:color="auto"/>
              <w:bottom w:val="nil"/>
              <w:right w:val="single" w:sz="8" w:space="0" w:color="000000"/>
            </w:tcBorders>
            <w:shd w:val="clear" w:color="auto" w:fill="auto"/>
            <w:noWrap/>
            <w:hideMark/>
          </w:tcPr>
          <w:p w14:paraId="48BB5BE8" w14:textId="587150F8" w:rsidR="00830FA2" w:rsidRPr="00FD1578" w:rsidRDefault="00B6146E" w:rsidP="008349F0">
            <w:pPr>
              <w:spacing w:after="0"/>
              <w:ind w:firstLine="0"/>
              <w:rPr>
                <w:rFonts w:eastAsia="Times New Roman" w:cs="Times New Roman"/>
                <w:color w:val="000000"/>
                <w:sz w:val="18"/>
                <w:szCs w:val="18"/>
                <w:highlight w:val="yellow"/>
              </w:rPr>
            </w:pPr>
            <w:r w:rsidRPr="00B6146E">
              <w:rPr>
                <w:rFonts w:eastAsia="Calibri" w:cs="Times New Roman"/>
                <w:sz w:val="18"/>
                <w:szCs w:val="18"/>
                <w:lang w:eastAsia="en-US"/>
              </w:rPr>
              <w:t>Prognozes izstrādātas atbilstoši 2024. gada jūnijā-jūlijā FM iesniegtajai informācijai par visu centrālās valdības komersantu (61) un izlasi fiskāli nozīmīgu vietējās valdības (pašvaldību) komersantu (26) prognozēto saimniecisko un finanšu darbību, kā arī ņemot vērā tieši saistītos MK lēmumus 2024. gada septembrī.</w:t>
            </w:r>
          </w:p>
        </w:tc>
      </w:tr>
      <w:tr w:rsidR="00830FA2" w:rsidRPr="00FD1578" w14:paraId="3D33B342" w14:textId="77777777" w:rsidTr="001D67A3">
        <w:trPr>
          <w:trHeight w:val="492"/>
        </w:trPr>
        <w:tc>
          <w:tcPr>
            <w:tcW w:w="14206" w:type="dxa"/>
            <w:gridSpan w:val="5"/>
            <w:tcBorders>
              <w:top w:val="nil"/>
              <w:left w:val="single" w:sz="8" w:space="0" w:color="auto"/>
              <w:bottom w:val="single" w:sz="8" w:space="0" w:color="auto"/>
              <w:right w:val="single" w:sz="8" w:space="0" w:color="000000"/>
            </w:tcBorders>
            <w:shd w:val="clear" w:color="auto" w:fill="auto"/>
            <w:noWrap/>
            <w:hideMark/>
          </w:tcPr>
          <w:p w14:paraId="622EEC7F" w14:textId="77777777" w:rsidR="00830FA2" w:rsidRPr="00FD1578" w:rsidRDefault="00830FA2" w:rsidP="008349F0">
            <w:pPr>
              <w:spacing w:after="0"/>
              <w:ind w:firstLine="0"/>
              <w:rPr>
                <w:rFonts w:eastAsia="Times New Roman" w:cs="Times New Roman"/>
                <w:color w:val="000000"/>
                <w:sz w:val="18"/>
                <w:szCs w:val="18"/>
              </w:rPr>
            </w:pPr>
            <w:r w:rsidRPr="00FD1578">
              <w:rPr>
                <w:rFonts w:eastAsia="Calibri" w:cs="Times New Roman"/>
                <w:sz w:val="18"/>
                <w:szCs w:val="18"/>
                <w:lang w:eastAsia="en-US"/>
              </w:rPr>
              <w:t xml:space="preserve">Vispārējās valdības budžeta pieklasificēto kapitālsabiedrību ietekme uz B.9 neto aizdevumiem (+)/neto aizņēmumiem (-), kas iekļauta vispārējās valdības budžeta prognozēs 2027. gadā ir -36 144 792 </w:t>
            </w:r>
            <w:proofErr w:type="spellStart"/>
            <w:r w:rsidRPr="00FD1578">
              <w:rPr>
                <w:rFonts w:eastAsia="Calibri" w:cs="Times New Roman"/>
                <w:i/>
                <w:iCs/>
                <w:sz w:val="18"/>
                <w:szCs w:val="18"/>
                <w:lang w:eastAsia="en-US"/>
              </w:rPr>
              <w:t>euro</w:t>
            </w:r>
            <w:proofErr w:type="spellEnd"/>
            <w:r w:rsidRPr="00FD1578">
              <w:rPr>
                <w:rFonts w:eastAsia="Calibri" w:cs="Times New Roman"/>
                <w:sz w:val="18"/>
                <w:szCs w:val="18"/>
                <w:lang w:eastAsia="en-US"/>
              </w:rPr>
              <w:t>.</w:t>
            </w:r>
          </w:p>
        </w:tc>
      </w:tr>
    </w:tbl>
    <w:p w14:paraId="067C2940" w14:textId="631A2290" w:rsidR="00407269" w:rsidRPr="00FD1578" w:rsidRDefault="00830FA2" w:rsidP="008349F0">
      <w:pPr>
        <w:spacing w:after="0"/>
        <w:ind w:firstLine="0"/>
        <w:jc w:val="left"/>
        <w:rPr>
          <w:i/>
          <w:sz w:val="20"/>
          <w:szCs w:val="24"/>
          <w:highlight w:val="lightGray"/>
        </w:rPr>
      </w:pPr>
      <w:r w:rsidRPr="00FD1578">
        <w:rPr>
          <w:i/>
          <w:sz w:val="20"/>
          <w:szCs w:val="24"/>
        </w:rPr>
        <w:t>Datu avots: FM</w:t>
      </w:r>
      <w:r w:rsidR="000C5890" w:rsidRPr="00FD1578">
        <w:rPr>
          <w:i/>
          <w:sz w:val="20"/>
          <w:szCs w:val="24"/>
          <w:highlight w:val="lightGray"/>
        </w:rPr>
        <w:br w:type="page"/>
      </w:r>
    </w:p>
    <w:p w14:paraId="0A7B5233" w14:textId="77777777" w:rsidR="002C253E" w:rsidRDefault="002C253E" w:rsidP="008349F0">
      <w:pPr>
        <w:widowControl w:val="0"/>
        <w:spacing w:after="0"/>
        <w:jc w:val="right"/>
        <w:rPr>
          <w:rFonts w:eastAsia="Times New Roman" w:cs="Times New Roman"/>
          <w:color w:val="000000"/>
        </w:rPr>
      </w:pPr>
    </w:p>
    <w:p w14:paraId="10306246" w14:textId="4E68185C" w:rsidR="00830FA2" w:rsidRPr="00FD1578" w:rsidRDefault="00830FA2" w:rsidP="008349F0">
      <w:pPr>
        <w:widowControl w:val="0"/>
        <w:spacing w:after="240"/>
        <w:jc w:val="right"/>
        <w:rPr>
          <w:rFonts w:eastAsia="Times New Roman" w:cs="Times New Roman"/>
          <w:color w:val="000000"/>
        </w:rPr>
      </w:pPr>
      <w:r w:rsidRPr="00FD1578">
        <w:rPr>
          <w:rFonts w:eastAsia="Times New Roman" w:cs="Times New Roman"/>
          <w:color w:val="000000"/>
        </w:rPr>
        <w:t>3. pielikums</w:t>
      </w:r>
    </w:p>
    <w:p w14:paraId="2B36C0CB" w14:textId="77777777" w:rsidR="00830FA2" w:rsidRPr="00FD1578" w:rsidRDefault="00830FA2" w:rsidP="008349F0">
      <w:pPr>
        <w:widowControl w:val="0"/>
        <w:ind w:left="675"/>
        <w:contextualSpacing/>
        <w:jc w:val="right"/>
        <w:rPr>
          <w:b/>
          <w:szCs w:val="24"/>
        </w:rPr>
      </w:pPr>
      <w:r w:rsidRPr="00FD1578">
        <w:rPr>
          <w:b/>
          <w:szCs w:val="24"/>
        </w:rPr>
        <w:t>Vispārējās valdības sektorā iekļauto kapitālsabiedrību prognozētā ietekme uz vispārējās valdības parādu 2025., 2026. un 2027. gadā*</w:t>
      </w:r>
    </w:p>
    <w:tbl>
      <w:tblPr>
        <w:tblW w:w="14121" w:type="dxa"/>
        <w:tblLook w:val="04A0" w:firstRow="1" w:lastRow="0" w:firstColumn="1" w:lastColumn="0" w:noHBand="0" w:noVBand="1"/>
      </w:tblPr>
      <w:tblGrid>
        <w:gridCol w:w="1283"/>
        <w:gridCol w:w="8212"/>
        <w:gridCol w:w="1792"/>
        <w:gridCol w:w="1417"/>
        <w:gridCol w:w="1417"/>
      </w:tblGrid>
      <w:tr w:rsidR="00830FA2" w:rsidRPr="00FD1578" w14:paraId="407F0E59" w14:textId="77777777" w:rsidTr="001D67A3">
        <w:trPr>
          <w:trHeight w:val="373"/>
        </w:trPr>
        <w:tc>
          <w:tcPr>
            <w:tcW w:w="1283" w:type="dxa"/>
            <w:tcBorders>
              <w:top w:val="nil"/>
              <w:left w:val="nil"/>
              <w:bottom w:val="nil"/>
              <w:right w:val="nil"/>
            </w:tcBorders>
            <w:shd w:val="clear" w:color="auto" w:fill="auto"/>
            <w:noWrap/>
            <w:vAlign w:val="bottom"/>
            <w:hideMark/>
          </w:tcPr>
          <w:p w14:paraId="6E8EE969" w14:textId="77777777" w:rsidR="00830FA2" w:rsidRPr="00FD1578" w:rsidRDefault="00830FA2" w:rsidP="008349F0">
            <w:pPr>
              <w:spacing w:after="0"/>
              <w:ind w:firstLine="0"/>
              <w:jc w:val="left"/>
              <w:rPr>
                <w:rFonts w:eastAsia="Times New Roman" w:cs="Times New Roman"/>
                <w:sz w:val="20"/>
                <w:szCs w:val="24"/>
              </w:rPr>
            </w:pPr>
          </w:p>
        </w:tc>
        <w:tc>
          <w:tcPr>
            <w:tcW w:w="8212" w:type="dxa"/>
            <w:tcBorders>
              <w:top w:val="nil"/>
              <w:left w:val="nil"/>
              <w:bottom w:val="nil"/>
              <w:right w:val="nil"/>
            </w:tcBorders>
            <w:shd w:val="clear" w:color="auto" w:fill="auto"/>
            <w:noWrap/>
            <w:vAlign w:val="bottom"/>
            <w:hideMark/>
          </w:tcPr>
          <w:p w14:paraId="7B9D4DCA" w14:textId="77777777" w:rsidR="00830FA2" w:rsidRPr="00FD1578" w:rsidRDefault="00830FA2" w:rsidP="008349F0">
            <w:pPr>
              <w:spacing w:after="0"/>
              <w:ind w:firstLine="0"/>
              <w:jc w:val="center"/>
              <w:rPr>
                <w:rFonts w:eastAsia="Times New Roman" w:cs="Times New Roman"/>
                <w:sz w:val="20"/>
                <w:szCs w:val="20"/>
              </w:rPr>
            </w:pPr>
          </w:p>
        </w:tc>
        <w:tc>
          <w:tcPr>
            <w:tcW w:w="1792" w:type="dxa"/>
            <w:tcBorders>
              <w:top w:val="nil"/>
              <w:left w:val="nil"/>
              <w:bottom w:val="nil"/>
              <w:right w:val="nil"/>
            </w:tcBorders>
            <w:shd w:val="clear" w:color="auto" w:fill="auto"/>
            <w:noWrap/>
            <w:vAlign w:val="bottom"/>
            <w:hideMark/>
          </w:tcPr>
          <w:p w14:paraId="5CBE26E8" w14:textId="77777777" w:rsidR="00830FA2" w:rsidRPr="00FD1578" w:rsidRDefault="00830FA2" w:rsidP="008349F0">
            <w:pPr>
              <w:spacing w:after="0"/>
              <w:ind w:firstLine="0"/>
              <w:jc w:val="right"/>
              <w:rPr>
                <w:rFonts w:eastAsia="Times New Roman" w:cs="Times New Roman"/>
                <w:sz w:val="20"/>
                <w:szCs w:val="20"/>
              </w:rPr>
            </w:pPr>
          </w:p>
        </w:tc>
        <w:tc>
          <w:tcPr>
            <w:tcW w:w="1417" w:type="dxa"/>
            <w:tcBorders>
              <w:top w:val="nil"/>
              <w:left w:val="nil"/>
              <w:bottom w:val="nil"/>
              <w:right w:val="nil"/>
            </w:tcBorders>
            <w:shd w:val="clear" w:color="auto" w:fill="auto"/>
            <w:noWrap/>
            <w:vAlign w:val="bottom"/>
            <w:hideMark/>
          </w:tcPr>
          <w:p w14:paraId="05E77B1C" w14:textId="77777777" w:rsidR="00830FA2" w:rsidRPr="00FD1578" w:rsidRDefault="00830FA2" w:rsidP="008349F0">
            <w:pPr>
              <w:spacing w:after="0"/>
              <w:ind w:firstLine="0"/>
              <w:jc w:val="left"/>
              <w:rPr>
                <w:rFonts w:eastAsia="Times New Roman" w:cs="Times New Roman"/>
                <w:sz w:val="20"/>
                <w:szCs w:val="20"/>
              </w:rPr>
            </w:pPr>
          </w:p>
        </w:tc>
        <w:tc>
          <w:tcPr>
            <w:tcW w:w="1417" w:type="dxa"/>
            <w:tcBorders>
              <w:top w:val="nil"/>
              <w:left w:val="nil"/>
              <w:bottom w:val="nil"/>
              <w:right w:val="nil"/>
            </w:tcBorders>
            <w:shd w:val="clear" w:color="auto" w:fill="auto"/>
            <w:noWrap/>
            <w:vAlign w:val="bottom"/>
            <w:hideMark/>
          </w:tcPr>
          <w:p w14:paraId="1C6A9912" w14:textId="77777777" w:rsidR="00830FA2" w:rsidRPr="00FD1578" w:rsidRDefault="00830FA2" w:rsidP="008349F0">
            <w:pPr>
              <w:spacing w:after="0"/>
              <w:ind w:firstLine="0"/>
              <w:jc w:val="right"/>
              <w:rPr>
                <w:rFonts w:eastAsia="Times New Roman" w:cs="Times New Roman"/>
                <w:i/>
                <w:iCs/>
                <w:color w:val="000000"/>
                <w:sz w:val="18"/>
                <w:szCs w:val="18"/>
              </w:rPr>
            </w:pPr>
            <w:r w:rsidRPr="00FD1578">
              <w:rPr>
                <w:rFonts w:eastAsia="Times New Roman" w:cs="Times New Roman"/>
                <w:i/>
                <w:iCs/>
                <w:color w:val="000000"/>
                <w:sz w:val="18"/>
                <w:szCs w:val="18"/>
              </w:rPr>
              <w:t xml:space="preserve">milj. </w:t>
            </w:r>
            <w:proofErr w:type="spellStart"/>
            <w:r w:rsidRPr="00FD1578">
              <w:rPr>
                <w:rFonts w:eastAsia="Times New Roman" w:cs="Times New Roman"/>
                <w:i/>
                <w:iCs/>
                <w:color w:val="000000"/>
                <w:sz w:val="18"/>
                <w:szCs w:val="18"/>
              </w:rPr>
              <w:t>euro</w:t>
            </w:r>
            <w:proofErr w:type="spellEnd"/>
          </w:p>
        </w:tc>
      </w:tr>
      <w:tr w:rsidR="00830FA2" w:rsidRPr="00FD1578" w14:paraId="482A737C" w14:textId="77777777" w:rsidTr="001D67A3">
        <w:trPr>
          <w:trHeight w:val="107"/>
        </w:trPr>
        <w:tc>
          <w:tcPr>
            <w:tcW w:w="1283"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bottom"/>
            <w:hideMark/>
          </w:tcPr>
          <w:p w14:paraId="655638C2"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 </w:t>
            </w:r>
          </w:p>
        </w:tc>
        <w:tc>
          <w:tcPr>
            <w:tcW w:w="8212"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37CC4EC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792"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33F816FE" w14:textId="77777777" w:rsidR="00830FA2" w:rsidRPr="00FD1578" w:rsidRDefault="00830FA2" w:rsidP="008349F0">
            <w:pPr>
              <w:spacing w:after="0"/>
              <w:ind w:firstLine="0"/>
              <w:jc w:val="right"/>
              <w:rPr>
                <w:rFonts w:eastAsia="Times New Roman" w:cs="Times New Roman"/>
                <w:b/>
                <w:bCs/>
                <w:color w:val="000000"/>
                <w:sz w:val="18"/>
                <w:szCs w:val="18"/>
              </w:rPr>
            </w:pPr>
            <w:r w:rsidRPr="00FD1578">
              <w:rPr>
                <w:rFonts w:eastAsia="Times New Roman" w:cs="Times New Roman"/>
                <w:b/>
                <w:bCs/>
                <w:color w:val="000000"/>
                <w:sz w:val="18"/>
                <w:szCs w:val="18"/>
              </w:rPr>
              <w:t>2025</w:t>
            </w:r>
          </w:p>
        </w:tc>
        <w:tc>
          <w:tcPr>
            <w:tcW w:w="1417"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4F96E62A" w14:textId="77777777" w:rsidR="00830FA2" w:rsidRPr="00FD1578" w:rsidRDefault="00830FA2" w:rsidP="008349F0">
            <w:pPr>
              <w:spacing w:after="0"/>
              <w:ind w:firstLine="0"/>
              <w:jc w:val="right"/>
              <w:rPr>
                <w:rFonts w:eastAsia="Times New Roman" w:cs="Times New Roman"/>
                <w:b/>
                <w:color w:val="000000"/>
                <w:sz w:val="18"/>
                <w:szCs w:val="18"/>
              </w:rPr>
            </w:pPr>
            <w:r w:rsidRPr="00FD1578">
              <w:rPr>
                <w:rFonts w:eastAsia="Times New Roman" w:cs="Times New Roman"/>
                <w:b/>
                <w:color w:val="000000"/>
                <w:sz w:val="18"/>
                <w:szCs w:val="18"/>
              </w:rPr>
              <w:t>2026</w:t>
            </w:r>
          </w:p>
        </w:tc>
        <w:tc>
          <w:tcPr>
            <w:tcW w:w="1417"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6B08B591" w14:textId="77777777" w:rsidR="00830FA2" w:rsidRPr="00FD1578" w:rsidRDefault="00830FA2" w:rsidP="008349F0">
            <w:pPr>
              <w:spacing w:after="0"/>
              <w:ind w:firstLine="0"/>
              <w:jc w:val="right"/>
              <w:rPr>
                <w:rFonts w:eastAsia="Times New Roman" w:cs="Times New Roman"/>
                <w:b/>
                <w:color w:val="000000"/>
                <w:sz w:val="18"/>
                <w:szCs w:val="18"/>
              </w:rPr>
            </w:pPr>
            <w:r w:rsidRPr="00FD1578">
              <w:rPr>
                <w:rFonts w:eastAsia="Times New Roman" w:cs="Times New Roman"/>
                <w:b/>
                <w:color w:val="000000"/>
                <w:sz w:val="18"/>
                <w:szCs w:val="18"/>
              </w:rPr>
              <w:t>2027</w:t>
            </w:r>
          </w:p>
        </w:tc>
      </w:tr>
      <w:tr w:rsidR="00830FA2" w:rsidRPr="00FD1578" w14:paraId="421D8CB7" w14:textId="77777777" w:rsidTr="001D67A3">
        <w:trPr>
          <w:trHeight w:val="231"/>
        </w:trPr>
        <w:tc>
          <w:tcPr>
            <w:tcW w:w="1283" w:type="dxa"/>
            <w:tcBorders>
              <w:top w:val="nil"/>
              <w:left w:val="single" w:sz="4" w:space="0" w:color="auto"/>
              <w:bottom w:val="single" w:sz="4" w:space="0" w:color="auto"/>
              <w:right w:val="single" w:sz="4" w:space="0" w:color="auto"/>
            </w:tcBorders>
            <w:shd w:val="clear" w:color="auto" w:fill="DEEAF6" w:themeFill="accent1" w:themeFillTint="33"/>
            <w:noWrap/>
            <w:vAlign w:val="bottom"/>
            <w:hideMark/>
          </w:tcPr>
          <w:p w14:paraId="1F9D46F9"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Klasifikācijas kods</w:t>
            </w:r>
          </w:p>
        </w:tc>
        <w:tc>
          <w:tcPr>
            <w:tcW w:w="8212" w:type="dxa"/>
            <w:tcBorders>
              <w:top w:val="nil"/>
              <w:left w:val="nil"/>
              <w:bottom w:val="single" w:sz="4" w:space="0" w:color="auto"/>
              <w:right w:val="single" w:sz="4" w:space="0" w:color="auto"/>
            </w:tcBorders>
            <w:shd w:val="clear" w:color="auto" w:fill="DEEAF6" w:themeFill="accent1" w:themeFillTint="33"/>
            <w:vAlign w:val="center"/>
            <w:hideMark/>
          </w:tcPr>
          <w:p w14:paraId="6FB879A6" w14:textId="77777777" w:rsidR="00830FA2" w:rsidRPr="00FD1578" w:rsidRDefault="00830FA2" w:rsidP="008349F0">
            <w:pPr>
              <w:spacing w:after="0"/>
              <w:ind w:firstLine="0"/>
              <w:jc w:val="left"/>
              <w:rPr>
                <w:rFonts w:eastAsia="Times New Roman" w:cs="Times New Roman"/>
                <w:b/>
                <w:bCs/>
                <w:color w:val="000000"/>
                <w:sz w:val="18"/>
                <w:szCs w:val="18"/>
              </w:rPr>
            </w:pPr>
            <w:r w:rsidRPr="00FD1578">
              <w:rPr>
                <w:rFonts w:eastAsia="Times New Roman" w:cs="Times New Roman"/>
                <w:b/>
                <w:bCs/>
                <w:color w:val="000000"/>
                <w:sz w:val="18"/>
                <w:szCs w:val="18"/>
              </w:rPr>
              <w:t>Ietekme uz vispārējās valdības parādu, kopā:</w:t>
            </w:r>
          </w:p>
        </w:tc>
        <w:tc>
          <w:tcPr>
            <w:tcW w:w="1792" w:type="dxa"/>
            <w:tcBorders>
              <w:top w:val="nil"/>
              <w:left w:val="nil"/>
              <w:bottom w:val="single" w:sz="4" w:space="0" w:color="auto"/>
              <w:right w:val="single" w:sz="4" w:space="0" w:color="auto"/>
            </w:tcBorders>
            <w:shd w:val="clear" w:color="auto" w:fill="DEEAF6" w:themeFill="accent1" w:themeFillTint="33"/>
            <w:hideMark/>
          </w:tcPr>
          <w:p w14:paraId="131FC22E" w14:textId="77777777" w:rsidR="00830FA2" w:rsidRPr="00FD1578" w:rsidRDefault="00830FA2" w:rsidP="008349F0">
            <w:pPr>
              <w:spacing w:before="60" w:after="60"/>
              <w:ind w:firstLine="0"/>
              <w:jc w:val="right"/>
              <w:rPr>
                <w:rFonts w:eastAsia="Times New Roman" w:cs="Times New Roman"/>
                <w:b/>
                <w:bCs/>
                <w:color w:val="000000"/>
                <w:sz w:val="18"/>
                <w:szCs w:val="18"/>
                <w:highlight w:val="yellow"/>
              </w:rPr>
            </w:pPr>
            <w:r w:rsidRPr="00FD1578">
              <w:rPr>
                <w:sz w:val="18"/>
                <w:szCs w:val="18"/>
              </w:rPr>
              <w:t>699,5</w:t>
            </w:r>
          </w:p>
        </w:tc>
        <w:tc>
          <w:tcPr>
            <w:tcW w:w="1417" w:type="dxa"/>
            <w:tcBorders>
              <w:top w:val="nil"/>
              <w:left w:val="nil"/>
              <w:bottom w:val="single" w:sz="4" w:space="0" w:color="auto"/>
              <w:right w:val="single" w:sz="4" w:space="0" w:color="auto"/>
            </w:tcBorders>
            <w:shd w:val="clear" w:color="auto" w:fill="DEEAF6" w:themeFill="accent1" w:themeFillTint="33"/>
          </w:tcPr>
          <w:p w14:paraId="44690F57" w14:textId="77777777" w:rsidR="00830FA2" w:rsidRPr="00FD1578" w:rsidRDefault="00830FA2" w:rsidP="008349F0">
            <w:pPr>
              <w:spacing w:before="60" w:after="60"/>
              <w:ind w:firstLine="0"/>
              <w:jc w:val="right"/>
              <w:rPr>
                <w:rFonts w:eastAsia="Times New Roman" w:cs="Times New Roman"/>
                <w:b/>
                <w:bCs/>
                <w:color w:val="000000"/>
                <w:sz w:val="18"/>
                <w:szCs w:val="18"/>
                <w:highlight w:val="yellow"/>
              </w:rPr>
            </w:pPr>
            <w:r w:rsidRPr="00FD1578">
              <w:rPr>
                <w:sz w:val="18"/>
                <w:szCs w:val="18"/>
              </w:rPr>
              <w:t>711,3</w:t>
            </w:r>
          </w:p>
        </w:tc>
        <w:tc>
          <w:tcPr>
            <w:tcW w:w="1417" w:type="dxa"/>
            <w:tcBorders>
              <w:top w:val="nil"/>
              <w:left w:val="nil"/>
              <w:bottom w:val="single" w:sz="4" w:space="0" w:color="auto"/>
              <w:right w:val="single" w:sz="4" w:space="0" w:color="auto"/>
            </w:tcBorders>
            <w:shd w:val="clear" w:color="auto" w:fill="DEEAF6" w:themeFill="accent1" w:themeFillTint="33"/>
          </w:tcPr>
          <w:p w14:paraId="0D7E5207" w14:textId="77777777" w:rsidR="00830FA2" w:rsidRPr="00FD1578" w:rsidRDefault="00830FA2" w:rsidP="008349F0">
            <w:pPr>
              <w:spacing w:before="60" w:after="60"/>
              <w:ind w:firstLine="0"/>
              <w:jc w:val="right"/>
              <w:rPr>
                <w:rFonts w:eastAsia="Times New Roman" w:cs="Times New Roman"/>
                <w:b/>
                <w:bCs/>
                <w:color w:val="000000"/>
                <w:sz w:val="18"/>
                <w:szCs w:val="18"/>
                <w:highlight w:val="yellow"/>
              </w:rPr>
            </w:pPr>
            <w:r w:rsidRPr="00FD1578">
              <w:rPr>
                <w:sz w:val="18"/>
                <w:szCs w:val="18"/>
              </w:rPr>
              <w:t>721,3</w:t>
            </w:r>
          </w:p>
        </w:tc>
      </w:tr>
      <w:tr w:rsidR="00830FA2" w:rsidRPr="00FD1578" w14:paraId="5ECE94BA" w14:textId="77777777" w:rsidTr="001D67A3">
        <w:trPr>
          <w:trHeight w:val="97"/>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02AC2ED6"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S130100</w:t>
            </w:r>
          </w:p>
        </w:tc>
        <w:tc>
          <w:tcPr>
            <w:tcW w:w="8212" w:type="dxa"/>
            <w:tcBorders>
              <w:top w:val="nil"/>
              <w:left w:val="nil"/>
              <w:bottom w:val="single" w:sz="4" w:space="0" w:color="auto"/>
              <w:right w:val="single" w:sz="4" w:space="0" w:color="auto"/>
            </w:tcBorders>
            <w:shd w:val="clear" w:color="auto" w:fill="auto"/>
            <w:noWrap/>
            <w:vAlign w:val="bottom"/>
            <w:hideMark/>
          </w:tcPr>
          <w:p w14:paraId="228D7FD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792" w:type="dxa"/>
            <w:tcBorders>
              <w:top w:val="nil"/>
              <w:left w:val="nil"/>
              <w:bottom w:val="single" w:sz="4" w:space="0" w:color="auto"/>
              <w:right w:val="single" w:sz="4" w:space="0" w:color="auto"/>
            </w:tcBorders>
            <w:shd w:val="clear" w:color="auto" w:fill="auto"/>
            <w:noWrap/>
            <w:vAlign w:val="bottom"/>
            <w:hideMark/>
          </w:tcPr>
          <w:p w14:paraId="296F1D00"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417" w:type="dxa"/>
            <w:tcBorders>
              <w:top w:val="nil"/>
              <w:left w:val="nil"/>
              <w:bottom w:val="single" w:sz="4" w:space="0" w:color="auto"/>
              <w:right w:val="single" w:sz="4" w:space="0" w:color="auto"/>
            </w:tcBorders>
            <w:shd w:val="clear" w:color="auto" w:fill="auto"/>
            <w:noWrap/>
            <w:vAlign w:val="bottom"/>
            <w:hideMark/>
          </w:tcPr>
          <w:p w14:paraId="26B8601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417" w:type="dxa"/>
            <w:tcBorders>
              <w:top w:val="nil"/>
              <w:left w:val="nil"/>
              <w:bottom w:val="single" w:sz="4" w:space="0" w:color="auto"/>
              <w:right w:val="single" w:sz="4" w:space="0" w:color="auto"/>
            </w:tcBorders>
            <w:shd w:val="clear" w:color="auto" w:fill="auto"/>
            <w:noWrap/>
            <w:vAlign w:val="bottom"/>
            <w:hideMark/>
          </w:tcPr>
          <w:p w14:paraId="0A4A489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r>
      <w:tr w:rsidR="00830FA2" w:rsidRPr="00FD1578" w14:paraId="3BB81F1F" w14:textId="77777777" w:rsidTr="001D67A3">
        <w:trPr>
          <w:trHeight w:val="170"/>
        </w:trPr>
        <w:tc>
          <w:tcPr>
            <w:tcW w:w="1283" w:type="dxa"/>
            <w:tcBorders>
              <w:top w:val="nil"/>
              <w:left w:val="single" w:sz="4" w:space="0" w:color="auto"/>
              <w:bottom w:val="single" w:sz="4" w:space="0" w:color="auto"/>
              <w:right w:val="single" w:sz="4" w:space="0" w:color="auto"/>
            </w:tcBorders>
            <w:shd w:val="clear" w:color="auto" w:fill="auto"/>
            <w:noWrap/>
          </w:tcPr>
          <w:p w14:paraId="362C8A4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1</w:t>
            </w:r>
          </w:p>
        </w:tc>
        <w:tc>
          <w:tcPr>
            <w:tcW w:w="8212" w:type="dxa"/>
            <w:tcBorders>
              <w:top w:val="nil"/>
              <w:left w:val="nil"/>
              <w:bottom w:val="single" w:sz="4" w:space="0" w:color="auto"/>
              <w:right w:val="single" w:sz="4" w:space="0" w:color="auto"/>
            </w:tcBorders>
            <w:shd w:val="clear" w:color="auto" w:fill="auto"/>
            <w:noWrap/>
          </w:tcPr>
          <w:p w14:paraId="65C2609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cs="Times New Roman"/>
                <w:sz w:val="18"/>
                <w:szCs w:val="18"/>
              </w:rPr>
              <w:t xml:space="preserve">AS "Attīstības finanšu institūcija </w:t>
            </w:r>
            <w:proofErr w:type="spellStart"/>
            <w:r w:rsidRPr="00FD1578">
              <w:rPr>
                <w:rFonts w:cs="Times New Roman"/>
                <w:sz w:val="18"/>
                <w:szCs w:val="18"/>
              </w:rPr>
              <w:t>Altum</w:t>
            </w:r>
            <w:proofErr w:type="spellEnd"/>
            <w:r w:rsidRPr="00FD1578">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6CFFAE82"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190,8</w:t>
            </w:r>
          </w:p>
        </w:tc>
        <w:tc>
          <w:tcPr>
            <w:tcW w:w="1417" w:type="dxa"/>
            <w:tcBorders>
              <w:top w:val="nil"/>
              <w:left w:val="nil"/>
              <w:bottom w:val="single" w:sz="4" w:space="0" w:color="auto"/>
              <w:right w:val="single" w:sz="4" w:space="0" w:color="auto"/>
            </w:tcBorders>
            <w:shd w:val="clear" w:color="auto" w:fill="auto"/>
            <w:noWrap/>
          </w:tcPr>
          <w:p w14:paraId="27D69987"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195,7</w:t>
            </w:r>
          </w:p>
        </w:tc>
        <w:tc>
          <w:tcPr>
            <w:tcW w:w="1417" w:type="dxa"/>
            <w:tcBorders>
              <w:top w:val="nil"/>
              <w:left w:val="nil"/>
              <w:bottom w:val="single" w:sz="4" w:space="0" w:color="auto"/>
              <w:right w:val="single" w:sz="4" w:space="0" w:color="auto"/>
            </w:tcBorders>
            <w:shd w:val="clear" w:color="auto" w:fill="auto"/>
            <w:noWrap/>
          </w:tcPr>
          <w:p w14:paraId="6ECCA3E3"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195,7</w:t>
            </w:r>
          </w:p>
        </w:tc>
      </w:tr>
      <w:tr w:rsidR="00830FA2" w:rsidRPr="00FD1578" w14:paraId="4653C0CD" w14:textId="77777777" w:rsidTr="001D67A3">
        <w:trPr>
          <w:trHeight w:val="170"/>
        </w:trPr>
        <w:tc>
          <w:tcPr>
            <w:tcW w:w="1283" w:type="dxa"/>
            <w:tcBorders>
              <w:top w:val="nil"/>
              <w:left w:val="single" w:sz="4" w:space="0" w:color="auto"/>
              <w:bottom w:val="single" w:sz="4" w:space="0" w:color="auto"/>
              <w:right w:val="single" w:sz="4" w:space="0" w:color="auto"/>
            </w:tcBorders>
            <w:shd w:val="clear" w:color="auto" w:fill="auto"/>
            <w:noWrap/>
          </w:tcPr>
          <w:p w14:paraId="218EB238"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2</w:t>
            </w:r>
          </w:p>
        </w:tc>
        <w:tc>
          <w:tcPr>
            <w:tcW w:w="8212" w:type="dxa"/>
            <w:tcBorders>
              <w:top w:val="nil"/>
              <w:left w:val="nil"/>
              <w:bottom w:val="single" w:sz="4" w:space="0" w:color="auto"/>
              <w:right w:val="single" w:sz="4" w:space="0" w:color="auto"/>
            </w:tcBorders>
            <w:shd w:val="clear" w:color="auto" w:fill="auto"/>
            <w:noWrap/>
          </w:tcPr>
          <w:p w14:paraId="7A57CC88" w14:textId="77777777" w:rsidR="00830FA2" w:rsidRPr="00FD1578" w:rsidRDefault="00830FA2" w:rsidP="008349F0">
            <w:pPr>
              <w:spacing w:after="0"/>
              <w:ind w:firstLine="0"/>
              <w:jc w:val="left"/>
              <w:rPr>
                <w:rFonts w:cs="Times New Roman"/>
                <w:sz w:val="18"/>
                <w:szCs w:val="18"/>
              </w:rPr>
            </w:pPr>
            <w:r w:rsidRPr="00FD1578">
              <w:rPr>
                <w:rFonts w:cs="Times New Roman"/>
                <w:sz w:val="18"/>
                <w:szCs w:val="18"/>
              </w:rPr>
              <w:t>VAS "Latvijas Dzelzceļš"</w:t>
            </w:r>
          </w:p>
        </w:tc>
        <w:tc>
          <w:tcPr>
            <w:tcW w:w="1792" w:type="dxa"/>
            <w:tcBorders>
              <w:top w:val="nil"/>
              <w:left w:val="nil"/>
              <w:bottom w:val="single" w:sz="4" w:space="0" w:color="auto"/>
              <w:right w:val="single" w:sz="4" w:space="0" w:color="auto"/>
            </w:tcBorders>
            <w:shd w:val="clear" w:color="auto" w:fill="auto"/>
            <w:noWrap/>
          </w:tcPr>
          <w:p w14:paraId="154E7478" w14:textId="77777777" w:rsidR="00830FA2" w:rsidRPr="00FD1578" w:rsidRDefault="00830FA2" w:rsidP="008349F0">
            <w:pPr>
              <w:spacing w:after="0"/>
              <w:ind w:firstLine="0"/>
              <w:jc w:val="right"/>
              <w:rPr>
                <w:rFonts w:cs="Times New Roman"/>
                <w:sz w:val="18"/>
                <w:szCs w:val="16"/>
                <w:highlight w:val="yellow"/>
              </w:rPr>
            </w:pPr>
            <w:r w:rsidRPr="00FD1578">
              <w:rPr>
                <w:sz w:val="18"/>
                <w:szCs w:val="16"/>
              </w:rPr>
              <w:t>105,4</w:t>
            </w:r>
          </w:p>
        </w:tc>
        <w:tc>
          <w:tcPr>
            <w:tcW w:w="1417" w:type="dxa"/>
            <w:tcBorders>
              <w:top w:val="nil"/>
              <w:left w:val="nil"/>
              <w:bottom w:val="single" w:sz="4" w:space="0" w:color="auto"/>
              <w:right w:val="single" w:sz="4" w:space="0" w:color="auto"/>
            </w:tcBorders>
            <w:shd w:val="clear" w:color="auto" w:fill="auto"/>
            <w:noWrap/>
          </w:tcPr>
          <w:p w14:paraId="7DD6EB31" w14:textId="77777777" w:rsidR="00830FA2" w:rsidRPr="00FD1578" w:rsidRDefault="00830FA2" w:rsidP="008349F0">
            <w:pPr>
              <w:spacing w:after="0"/>
              <w:ind w:firstLine="0"/>
              <w:jc w:val="right"/>
              <w:rPr>
                <w:rFonts w:cs="Times New Roman"/>
                <w:sz w:val="18"/>
                <w:szCs w:val="16"/>
                <w:highlight w:val="yellow"/>
              </w:rPr>
            </w:pPr>
            <w:r w:rsidRPr="00FD1578">
              <w:rPr>
                <w:sz w:val="18"/>
                <w:szCs w:val="16"/>
              </w:rPr>
              <w:t>103,5</w:t>
            </w:r>
          </w:p>
        </w:tc>
        <w:tc>
          <w:tcPr>
            <w:tcW w:w="1417" w:type="dxa"/>
            <w:tcBorders>
              <w:top w:val="nil"/>
              <w:left w:val="nil"/>
              <w:bottom w:val="single" w:sz="4" w:space="0" w:color="auto"/>
              <w:right w:val="single" w:sz="4" w:space="0" w:color="auto"/>
            </w:tcBorders>
            <w:shd w:val="clear" w:color="auto" w:fill="auto"/>
            <w:noWrap/>
          </w:tcPr>
          <w:p w14:paraId="3909C192" w14:textId="77777777" w:rsidR="00830FA2" w:rsidRPr="00FD1578" w:rsidRDefault="00830FA2" w:rsidP="008349F0">
            <w:pPr>
              <w:spacing w:after="0"/>
              <w:ind w:firstLine="0"/>
              <w:jc w:val="right"/>
              <w:rPr>
                <w:rFonts w:cs="Times New Roman"/>
                <w:sz w:val="18"/>
                <w:szCs w:val="16"/>
                <w:highlight w:val="yellow"/>
              </w:rPr>
            </w:pPr>
            <w:r w:rsidRPr="00FD1578">
              <w:rPr>
                <w:sz w:val="18"/>
                <w:szCs w:val="16"/>
              </w:rPr>
              <w:t>104,7</w:t>
            </w:r>
          </w:p>
        </w:tc>
      </w:tr>
      <w:tr w:rsidR="00830FA2" w:rsidRPr="00FD1578" w14:paraId="0857BDA6" w14:textId="77777777" w:rsidTr="001D67A3">
        <w:trPr>
          <w:trHeight w:val="170"/>
        </w:trPr>
        <w:tc>
          <w:tcPr>
            <w:tcW w:w="1283" w:type="dxa"/>
            <w:tcBorders>
              <w:top w:val="nil"/>
              <w:left w:val="single" w:sz="4" w:space="0" w:color="auto"/>
              <w:bottom w:val="single" w:sz="4" w:space="0" w:color="auto"/>
              <w:right w:val="single" w:sz="4" w:space="0" w:color="auto"/>
            </w:tcBorders>
            <w:shd w:val="clear" w:color="auto" w:fill="auto"/>
            <w:noWrap/>
          </w:tcPr>
          <w:p w14:paraId="16184C3F"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3</w:t>
            </w:r>
          </w:p>
        </w:tc>
        <w:tc>
          <w:tcPr>
            <w:tcW w:w="8212" w:type="dxa"/>
            <w:tcBorders>
              <w:top w:val="nil"/>
              <w:left w:val="nil"/>
              <w:bottom w:val="single" w:sz="4" w:space="0" w:color="auto"/>
              <w:right w:val="single" w:sz="4" w:space="0" w:color="auto"/>
            </w:tcBorders>
            <w:shd w:val="clear" w:color="auto" w:fill="auto"/>
            <w:noWrap/>
          </w:tcPr>
          <w:p w14:paraId="3D31C336"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cs="Times New Roman"/>
                <w:sz w:val="18"/>
                <w:szCs w:val="18"/>
              </w:rPr>
              <w:t>VAS "Valsts nekustamie īpašumi"</w:t>
            </w:r>
          </w:p>
        </w:tc>
        <w:tc>
          <w:tcPr>
            <w:tcW w:w="1792" w:type="dxa"/>
            <w:tcBorders>
              <w:top w:val="nil"/>
              <w:left w:val="nil"/>
              <w:bottom w:val="single" w:sz="4" w:space="0" w:color="auto"/>
              <w:right w:val="single" w:sz="4" w:space="0" w:color="auto"/>
            </w:tcBorders>
            <w:shd w:val="clear" w:color="auto" w:fill="auto"/>
            <w:noWrap/>
          </w:tcPr>
          <w:p w14:paraId="391ABC8B"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57,1</w:t>
            </w:r>
          </w:p>
        </w:tc>
        <w:tc>
          <w:tcPr>
            <w:tcW w:w="1417" w:type="dxa"/>
            <w:tcBorders>
              <w:top w:val="nil"/>
              <w:left w:val="nil"/>
              <w:bottom w:val="single" w:sz="4" w:space="0" w:color="auto"/>
              <w:right w:val="single" w:sz="4" w:space="0" w:color="auto"/>
            </w:tcBorders>
            <w:shd w:val="clear" w:color="auto" w:fill="auto"/>
            <w:noWrap/>
          </w:tcPr>
          <w:p w14:paraId="51BFF6BD"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53,1</w:t>
            </w:r>
          </w:p>
        </w:tc>
        <w:tc>
          <w:tcPr>
            <w:tcW w:w="1417" w:type="dxa"/>
            <w:tcBorders>
              <w:top w:val="nil"/>
              <w:left w:val="nil"/>
              <w:bottom w:val="single" w:sz="4" w:space="0" w:color="auto"/>
              <w:right w:val="single" w:sz="4" w:space="0" w:color="auto"/>
            </w:tcBorders>
            <w:shd w:val="clear" w:color="auto" w:fill="auto"/>
            <w:noWrap/>
          </w:tcPr>
          <w:p w14:paraId="4C698D1F"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63,983</w:t>
            </w:r>
          </w:p>
        </w:tc>
      </w:tr>
      <w:tr w:rsidR="00830FA2" w:rsidRPr="00FD1578" w14:paraId="337D8E16" w14:textId="77777777" w:rsidTr="001D67A3">
        <w:trPr>
          <w:trHeight w:val="170"/>
        </w:trPr>
        <w:tc>
          <w:tcPr>
            <w:tcW w:w="1283" w:type="dxa"/>
            <w:tcBorders>
              <w:top w:val="nil"/>
              <w:left w:val="single" w:sz="4" w:space="0" w:color="auto"/>
              <w:bottom w:val="single" w:sz="4" w:space="0" w:color="auto"/>
              <w:right w:val="single" w:sz="4" w:space="0" w:color="auto"/>
            </w:tcBorders>
            <w:shd w:val="clear" w:color="auto" w:fill="auto"/>
            <w:noWrap/>
            <w:hideMark/>
          </w:tcPr>
          <w:p w14:paraId="2913458C"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4</w:t>
            </w:r>
          </w:p>
        </w:tc>
        <w:tc>
          <w:tcPr>
            <w:tcW w:w="8212" w:type="dxa"/>
            <w:tcBorders>
              <w:top w:val="nil"/>
              <w:left w:val="nil"/>
              <w:bottom w:val="single" w:sz="4" w:space="0" w:color="auto"/>
              <w:right w:val="single" w:sz="4" w:space="0" w:color="auto"/>
            </w:tcBorders>
            <w:shd w:val="clear" w:color="auto" w:fill="auto"/>
            <w:noWrap/>
            <w:hideMark/>
          </w:tcPr>
          <w:p w14:paraId="635FE732"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cs="Times New Roman"/>
                <w:sz w:val="18"/>
                <w:szCs w:val="18"/>
              </w:rPr>
              <w:t>VAS "Tiesu namu aģentūra"</w:t>
            </w:r>
          </w:p>
        </w:tc>
        <w:tc>
          <w:tcPr>
            <w:tcW w:w="1792" w:type="dxa"/>
            <w:tcBorders>
              <w:top w:val="nil"/>
              <w:left w:val="nil"/>
              <w:bottom w:val="single" w:sz="4" w:space="0" w:color="auto"/>
              <w:right w:val="single" w:sz="4" w:space="0" w:color="auto"/>
            </w:tcBorders>
            <w:shd w:val="clear" w:color="auto" w:fill="auto"/>
            <w:noWrap/>
            <w:hideMark/>
          </w:tcPr>
          <w:p w14:paraId="7135531C"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24,6</w:t>
            </w:r>
          </w:p>
        </w:tc>
        <w:tc>
          <w:tcPr>
            <w:tcW w:w="1417" w:type="dxa"/>
            <w:tcBorders>
              <w:top w:val="nil"/>
              <w:left w:val="nil"/>
              <w:bottom w:val="single" w:sz="4" w:space="0" w:color="auto"/>
              <w:right w:val="single" w:sz="4" w:space="0" w:color="auto"/>
            </w:tcBorders>
            <w:shd w:val="clear" w:color="auto" w:fill="auto"/>
            <w:noWrap/>
          </w:tcPr>
          <w:p w14:paraId="25C2533B"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23,0</w:t>
            </w:r>
          </w:p>
        </w:tc>
        <w:tc>
          <w:tcPr>
            <w:tcW w:w="1417" w:type="dxa"/>
            <w:tcBorders>
              <w:top w:val="nil"/>
              <w:left w:val="nil"/>
              <w:bottom w:val="single" w:sz="4" w:space="0" w:color="auto"/>
              <w:right w:val="single" w:sz="4" w:space="0" w:color="auto"/>
            </w:tcBorders>
            <w:shd w:val="clear" w:color="auto" w:fill="auto"/>
            <w:noWrap/>
          </w:tcPr>
          <w:p w14:paraId="2AFFD43A"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21,4</w:t>
            </w:r>
          </w:p>
        </w:tc>
      </w:tr>
      <w:tr w:rsidR="00830FA2" w:rsidRPr="00FD1578" w14:paraId="5EF4B735" w14:textId="77777777" w:rsidTr="001D67A3">
        <w:trPr>
          <w:trHeight w:val="170"/>
        </w:trPr>
        <w:tc>
          <w:tcPr>
            <w:tcW w:w="1283" w:type="dxa"/>
            <w:tcBorders>
              <w:top w:val="nil"/>
              <w:left w:val="single" w:sz="4" w:space="0" w:color="auto"/>
              <w:bottom w:val="single" w:sz="4" w:space="0" w:color="auto"/>
              <w:right w:val="single" w:sz="4" w:space="0" w:color="auto"/>
            </w:tcBorders>
            <w:shd w:val="clear" w:color="auto" w:fill="auto"/>
            <w:noWrap/>
          </w:tcPr>
          <w:p w14:paraId="72C0B3BC"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5</w:t>
            </w:r>
          </w:p>
        </w:tc>
        <w:tc>
          <w:tcPr>
            <w:tcW w:w="8212" w:type="dxa"/>
            <w:tcBorders>
              <w:top w:val="nil"/>
              <w:left w:val="nil"/>
              <w:bottom w:val="single" w:sz="4" w:space="0" w:color="auto"/>
              <w:right w:val="single" w:sz="4" w:space="0" w:color="auto"/>
            </w:tcBorders>
            <w:shd w:val="clear" w:color="auto" w:fill="auto"/>
            <w:noWrap/>
          </w:tcPr>
          <w:p w14:paraId="65BC3A04" w14:textId="77777777" w:rsidR="00830FA2" w:rsidRPr="00FD1578" w:rsidRDefault="00830FA2" w:rsidP="008349F0">
            <w:pPr>
              <w:spacing w:after="0"/>
              <w:ind w:firstLine="0"/>
              <w:jc w:val="left"/>
              <w:rPr>
                <w:rFonts w:cs="Times New Roman"/>
                <w:sz w:val="18"/>
                <w:szCs w:val="18"/>
              </w:rPr>
            </w:pPr>
            <w:r w:rsidRPr="00FD1578">
              <w:rPr>
                <w:rFonts w:cs="Times New Roman"/>
                <w:sz w:val="18"/>
                <w:szCs w:val="18"/>
              </w:rPr>
              <w:t>SIA "Latvijas Nacionālais sporta centrs"</w:t>
            </w:r>
          </w:p>
        </w:tc>
        <w:tc>
          <w:tcPr>
            <w:tcW w:w="1792" w:type="dxa"/>
            <w:tcBorders>
              <w:top w:val="nil"/>
              <w:left w:val="nil"/>
              <w:bottom w:val="single" w:sz="4" w:space="0" w:color="auto"/>
              <w:right w:val="single" w:sz="4" w:space="0" w:color="auto"/>
            </w:tcBorders>
            <w:shd w:val="clear" w:color="auto" w:fill="auto"/>
            <w:noWrap/>
          </w:tcPr>
          <w:p w14:paraId="010A9C13"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9,6</w:t>
            </w:r>
          </w:p>
        </w:tc>
        <w:tc>
          <w:tcPr>
            <w:tcW w:w="1417" w:type="dxa"/>
            <w:tcBorders>
              <w:top w:val="nil"/>
              <w:left w:val="nil"/>
              <w:bottom w:val="single" w:sz="4" w:space="0" w:color="auto"/>
              <w:right w:val="single" w:sz="4" w:space="0" w:color="auto"/>
            </w:tcBorders>
            <w:shd w:val="clear" w:color="auto" w:fill="auto"/>
            <w:noWrap/>
          </w:tcPr>
          <w:p w14:paraId="0F12389B"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9,6</w:t>
            </w:r>
          </w:p>
        </w:tc>
        <w:tc>
          <w:tcPr>
            <w:tcW w:w="1417" w:type="dxa"/>
            <w:tcBorders>
              <w:top w:val="nil"/>
              <w:left w:val="nil"/>
              <w:bottom w:val="single" w:sz="4" w:space="0" w:color="auto"/>
              <w:right w:val="single" w:sz="4" w:space="0" w:color="auto"/>
            </w:tcBorders>
            <w:shd w:val="clear" w:color="auto" w:fill="auto"/>
            <w:noWrap/>
          </w:tcPr>
          <w:p w14:paraId="49125286"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9,6</w:t>
            </w:r>
          </w:p>
        </w:tc>
      </w:tr>
      <w:tr w:rsidR="00830FA2" w:rsidRPr="00FD1578" w14:paraId="15EC4049" w14:textId="77777777" w:rsidTr="001D67A3">
        <w:trPr>
          <w:trHeight w:val="170"/>
        </w:trPr>
        <w:tc>
          <w:tcPr>
            <w:tcW w:w="1283" w:type="dxa"/>
            <w:tcBorders>
              <w:top w:val="nil"/>
              <w:left w:val="single" w:sz="4" w:space="0" w:color="auto"/>
              <w:bottom w:val="single" w:sz="4" w:space="0" w:color="auto"/>
              <w:right w:val="single" w:sz="4" w:space="0" w:color="auto"/>
            </w:tcBorders>
            <w:shd w:val="clear" w:color="auto" w:fill="auto"/>
            <w:noWrap/>
          </w:tcPr>
          <w:p w14:paraId="6D254A36"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6</w:t>
            </w:r>
          </w:p>
        </w:tc>
        <w:tc>
          <w:tcPr>
            <w:tcW w:w="8212" w:type="dxa"/>
            <w:tcBorders>
              <w:top w:val="nil"/>
              <w:left w:val="nil"/>
              <w:bottom w:val="single" w:sz="4" w:space="0" w:color="auto"/>
              <w:right w:val="single" w:sz="4" w:space="0" w:color="auto"/>
            </w:tcBorders>
            <w:shd w:val="clear" w:color="auto" w:fill="auto"/>
            <w:noWrap/>
          </w:tcPr>
          <w:p w14:paraId="4A9CF147" w14:textId="77777777" w:rsidR="00830FA2" w:rsidRPr="00FD1578" w:rsidRDefault="00830FA2" w:rsidP="008349F0">
            <w:pPr>
              <w:spacing w:after="0"/>
              <w:ind w:firstLine="0"/>
              <w:jc w:val="left"/>
              <w:rPr>
                <w:rFonts w:cs="Times New Roman"/>
                <w:sz w:val="18"/>
                <w:szCs w:val="18"/>
              </w:rPr>
            </w:pPr>
            <w:r w:rsidRPr="00FD1578">
              <w:rPr>
                <w:rFonts w:cs="Times New Roman"/>
                <w:sz w:val="18"/>
                <w:szCs w:val="18"/>
              </w:rPr>
              <w:t>VSIA Nacionālais rehabilitācijas centrs "Vaivari"</w:t>
            </w:r>
          </w:p>
        </w:tc>
        <w:tc>
          <w:tcPr>
            <w:tcW w:w="1792" w:type="dxa"/>
            <w:tcBorders>
              <w:top w:val="nil"/>
              <w:left w:val="nil"/>
              <w:bottom w:val="single" w:sz="4" w:space="0" w:color="auto"/>
              <w:right w:val="single" w:sz="4" w:space="0" w:color="auto"/>
            </w:tcBorders>
            <w:shd w:val="clear" w:color="auto" w:fill="auto"/>
            <w:noWrap/>
          </w:tcPr>
          <w:p w14:paraId="01E10DC8"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6,9</w:t>
            </w:r>
          </w:p>
        </w:tc>
        <w:tc>
          <w:tcPr>
            <w:tcW w:w="1417" w:type="dxa"/>
            <w:tcBorders>
              <w:top w:val="nil"/>
              <w:left w:val="nil"/>
              <w:bottom w:val="single" w:sz="4" w:space="0" w:color="auto"/>
              <w:right w:val="single" w:sz="4" w:space="0" w:color="auto"/>
            </w:tcBorders>
            <w:shd w:val="clear" w:color="auto" w:fill="auto"/>
            <w:noWrap/>
          </w:tcPr>
          <w:p w14:paraId="31DA7518"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7,0</w:t>
            </w:r>
          </w:p>
        </w:tc>
        <w:tc>
          <w:tcPr>
            <w:tcW w:w="1417" w:type="dxa"/>
            <w:tcBorders>
              <w:top w:val="nil"/>
              <w:left w:val="nil"/>
              <w:bottom w:val="single" w:sz="4" w:space="0" w:color="auto"/>
              <w:right w:val="single" w:sz="4" w:space="0" w:color="auto"/>
            </w:tcBorders>
            <w:shd w:val="clear" w:color="auto" w:fill="auto"/>
            <w:noWrap/>
          </w:tcPr>
          <w:p w14:paraId="24CADF7B"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7,0</w:t>
            </w:r>
          </w:p>
        </w:tc>
      </w:tr>
      <w:tr w:rsidR="00830FA2" w:rsidRPr="00FD1578" w14:paraId="33BB911C" w14:textId="77777777" w:rsidTr="001D67A3">
        <w:trPr>
          <w:trHeight w:val="87"/>
        </w:trPr>
        <w:tc>
          <w:tcPr>
            <w:tcW w:w="1283" w:type="dxa"/>
            <w:tcBorders>
              <w:top w:val="nil"/>
              <w:left w:val="single" w:sz="4" w:space="0" w:color="auto"/>
              <w:bottom w:val="single" w:sz="4" w:space="0" w:color="auto"/>
              <w:right w:val="single" w:sz="4" w:space="0" w:color="auto"/>
            </w:tcBorders>
            <w:shd w:val="clear" w:color="auto" w:fill="auto"/>
            <w:noWrap/>
            <w:hideMark/>
          </w:tcPr>
          <w:p w14:paraId="236AF8C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7</w:t>
            </w:r>
          </w:p>
        </w:tc>
        <w:tc>
          <w:tcPr>
            <w:tcW w:w="8212" w:type="dxa"/>
            <w:tcBorders>
              <w:top w:val="nil"/>
              <w:left w:val="nil"/>
              <w:bottom w:val="single" w:sz="4" w:space="0" w:color="auto"/>
              <w:right w:val="single" w:sz="4" w:space="0" w:color="auto"/>
            </w:tcBorders>
            <w:shd w:val="clear" w:color="auto" w:fill="auto"/>
            <w:noWrap/>
            <w:hideMark/>
          </w:tcPr>
          <w:p w14:paraId="59D5BB7C"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cs="Times New Roman"/>
                <w:sz w:val="18"/>
                <w:szCs w:val="18"/>
              </w:rPr>
              <w:t>SIA "Enerģijas publiskais tirgotājs"</w:t>
            </w:r>
          </w:p>
        </w:tc>
        <w:tc>
          <w:tcPr>
            <w:tcW w:w="1792" w:type="dxa"/>
            <w:tcBorders>
              <w:top w:val="nil"/>
              <w:left w:val="nil"/>
              <w:bottom w:val="single" w:sz="4" w:space="0" w:color="auto"/>
              <w:right w:val="single" w:sz="4" w:space="0" w:color="auto"/>
            </w:tcBorders>
            <w:shd w:val="clear" w:color="auto" w:fill="auto"/>
            <w:noWrap/>
          </w:tcPr>
          <w:p w14:paraId="778666C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4,8</w:t>
            </w:r>
          </w:p>
        </w:tc>
        <w:tc>
          <w:tcPr>
            <w:tcW w:w="1417" w:type="dxa"/>
            <w:tcBorders>
              <w:top w:val="nil"/>
              <w:left w:val="nil"/>
              <w:bottom w:val="single" w:sz="4" w:space="0" w:color="auto"/>
              <w:right w:val="single" w:sz="4" w:space="0" w:color="auto"/>
            </w:tcBorders>
            <w:shd w:val="clear" w:color="auto" w:fill="auto"/>
            <w:noWrap/>
          </w:tcPr>
          <w:p w14:paraId="7A22AFBE"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4,7</w:t>
            </w:r>
          </w:p>
        </w:tc>
        <w:tc>
          <w:tcPr>
            <w:tcW w:w="1417" w:type="dxa"/>
            <w:tcBorders>
              <w:top w:val="nil"/>
              <w:left w:val="nil"/>
              <w:bottom w:val="single" w:sz="4" w:space="0" w:color="auto"/>
              <w:right w:val="single" w:sz="4" w:space="0" w:color="auto"/>
            </w:tcBorders>
            <w:shd w:val="clear" w:color="auto" w:fill="auto"/>
            <w:noWrap/>
          </w:tcPr>
          <w:p w14:paraId="1FBD142C"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4,7</w:t>
            </w:r>
          </w:p>
        </w:tc>
      </w:tr>
      <w:tr w:rsidR="00830FA2" w:rsidRPr="00FD1578" w14:paraId="41CD4E0A"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3DBAB0B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8</w:t>
            </w:r>
          </w:p>
        </w:tc>
        <w:tc>
          <w:tcPr>
            <w:tcW w:w="8212" w:type="dxa"/>
            <w:tcBorders>
              <w:top w:val="nil"/>
              <w:left w:val="nil"/>
              <w:bottom w:val="single" w:sz="4" w:space="0" w:color="auto"/>
              <w:right w:val="single" w:sz="4" w:space="0" w:color="auto"/>
            </w:tcBorders>
            <w:shd w:val="clear" w:color="auto" w:fill="auto"/>
            <w:noWrap/>
          </w:tcPr>
          <w:p w14:paraId="3E19681E"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cs="Times New Roman"/>
                <w:sz w:val="18"/>
                <w:szCs w:val="18"/>
              </w:rPr>
              <w:t>AS "Pasažieru vilciens"</w:t>
            </w:r>
          </w:p>
        </w:tc>
        <w:tc>
          <w:tcPr>
            <w:tcW w:w="1792" w:type="dxa"/>
            <w:tcBorders>
              <w:top w:val="nil"/>
              <w:left w:val="nil"/>
              <w:bottom w:val="single" w:sz="4" w:space="0" w:color="auto"/>
              <w:right w:val="single" w:sz="4" w:space="0" w:color="auto"/>
            </w:tcBorders>
            <w:shd w:val="clear" w:color="auto" w:fill="auto"/>
            <w:noWrap/>
          </w:tcPr>
          <w:p w14:paraId="6FBC1D5D"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4,7</w:t>
            </w:r>
          </w:p>
        </w:tc>
        <w:tc>
          <w:tcPr>
            <w:tcW w:w="1417" w:type="dxa"/>
            <w:tcBorders>
              <w:top w:val="nil"/>
              <w:left w:val="nil"/>
              <w:bottom w:val="single" w:sz="4" w:space="0" w:color="auto"/>
              <w:right w:val="single" w:sz="4" w:space="0" w:color="auto"/>
            </w:tcBorders>
            <w:shd w:val="clear" w:color="auto" w:fill="auto"/>
            <w:noWrap/>
          </w:tcPr>
          <w:p w14:paraId="1EBF6A2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4,0</w:t>
            </w:r>
          </w:p>
        </w:tc>
        <w:tc>
          <w:tcPr>
            <w:tcW w:w="1417" w:type="dxa"/>
            <w:tcBorders>
              <w:top w:val="nil"/>
              <w:left w:val="nil"/>
              <w:bottom w:val="single" w:sz="4" w:space="0" w:color="auto"/>
              <w:right w:val="single" w:sz="4" w:space="0" w:color="auto"/>
            </w:tcBorders>
            <w:shd w:val="clear" w:color="auto" w:fill="auto"/>
            <w:noWrap/>
          </w:tcPr>
          <w:p w14:paraId="30582D44"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3,3</w:t>
            </w:r>
          </w:p>
        </w:tc>
      </w:tr>
      <w:tr w:rsidR="00830FA2" w:rsidRPr="00FD1578" w14:paraId="6D982EA8"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7C37A248"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9</w:t>
            </w:r>
          </w:p>
        </w:tc>
        <w:tc>
          <w:tcPr>
            <w:tcW w:w="8212" w:type="dxa"/>
            <w:tcBorders>
              <w:top w:val="nil"/>
              <w:left w:val="nil"/>
              <w:bottom w:val="single" w:sz="4" w:space="0" w:color="auto"/>
              <w:right w:val="single" w:sz="4" w:space="0" w:color="auto"/>
            </w:tcBorders>
            <w:shd w:val="clear" w:color="auto" w:fill="auto"/>
            <w:noWrap/>
            <w:hideMark/>
          </w:tcPr>
          <w:p w14:paraId="7D599D63"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cs="Times New Roman"/>
                <w:sz w:val="18"/>
                <w:szCs w:val="18"/>
              </w:rPr>
              <w:t>VSIA "Latvijas Vides, ģeoloģijas un meteoroloģijas centrs"</w:t>
            </w:r>
          </w:p>
        </w:tc>
        <w:tc>
          <w:tcPr>
            <w:tcW w:w="1792" w:type="dxa"/>
            <w:tcBorders>
              <w:top w:val="nil"/>
              <w:left w:val="nil"/>
              <w:bottom w:val="single" w:sz="4" w:space="0" w:color="auto"/>
              <w:right w:val="single" w:sz="4" w:space="0" w:color="auto"/>
            </w:tcBorders>
            <w:shd w:val="clear" w:color="auto" w:fill="auto"/>
            <w:noWrap/>
          </w:tcPr>
          <w:p w14:paraId="71F7DB45"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2,2</w:t>
            </w:r>
          </w:p>
        </w:tc>
        <w:tc>
          <w:tcPr>
            <w:tcW w:w="1417" w:type="dxa"/>
            <w:tcBorders>
              <w:top w:val="nil"/>
              <w:left w:val="nil"/>
              <w:bottom w:val="single" w:sz="4" w:space="0" w:color="auto"/>
              <w:right w:val="single" w:sz="4" w:space="0" w:color="auto"/>
            </w:tcBorders>
            <w:shd w:val="clear" w:color="auto" w:fill="auto"/>
            <w:noWrap/>
          </w:tcPr>
          <w:p w14:paraId="4CA3CD18"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2,0</w:t>
            </w:r>
          </w:p>
        </w:tc>
        <w:tc>
          <w:tcPr>
            <w:tcW w:w="1417" w:type="dxa"/>
            <w:tcBorders>
              <w:top w:val="nil"/>
              <w:left w:val="nil"/>
              <w:bottom w:val="single" w:sz="4" w:space="0" w:color="auto"/>
              <w:right w:val="single" w:sz="4" w:space="0" w:color="auto"/>
            </w:tcBorders>
            <w:shd w:val="clear" w:color="auto" w:fill="auto"/>
            <w:noWrap/>
          </w:tcPr>
          <w:p w14:paraId="42FFE244"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1,9</w:t>
            </w:r>
          </w:p>
        </w:tc>
      </w:tr>
      <w:tr w:rsidR="00830FA2" w:rsidRPr="00FD1578" w14:paraId="6A99B279"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0242C8B7"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10</w:t>
            </w:r>
          </w:p>
        </w:tc>
        <w:tc>
          <w:tcPr>
            <w:tcW w:w="8212" w:type="dxa"/>
            <w:tcBorders>
              <w:top w:val="nil"/>
              <w:left w:val="nil"/>
              <w:bottom w:val="single" w:sz="4" w:space="0" w:color="auto"/>
              <w:right w:val="single" w:sz="4" w:space="0" w:color="auto"/>
            </w:tcBorders>
            <w:shd w:val="clear" w:color="auto" w:fill="auto"/>
            <w:noWrap/>
            <w:hideMark/>
          </w:tcPr>
          <w:p w14:paraId="571AB453"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SIA "LDZ apsardze"</w:t>
            </w:r>
          </w:p>
        </w:tc>
        <w:tc>
          <w:tcPr>
            <w:tcW w:w="1792" w:type="dxa"/>
            <w:tcBorders>
              <w:top w:val="nil"/>
              <w:left w:val="nil"/>
              <w:bottom w:val="single" w:sz="4" w:space="0" w:color="auto"/>
              <w:right w:val="single" w:sz="4" w:space="0" w:color="auto"/>
            </w:tcBorders>
            <w:shd w:val="clear" w:color="auto" w:fill="auto"/>
            <w:noWrap/>
          </w:tcPr>
          <w:p w14:paraId="3684B590"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1,4</w:t>
            </w:r>
          </w:p>
        </w:tc>
        <w:tc>
          <w:tcPr>
            <w:tcW w:w="1417" w:type="dxa"/>
            <w:tcBorders>
              <w:top w:val="nil"/>
              <w:left w:val="nil"/>
              <w:bottom w:val="single" w:sz="4" w:space="0" w:color="auto"/>
              <w:right w:val="single" w:sz="4" w:space="0" w:color="auto"/>
            </w:tcBorders>
            <w:shd w:val="clear" w:color="auto" w:fill="auto"/>
            <w:noWrap/>
          </w:tcPr>
          <w:p w14:paraId="1C3624E4"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1,4</w:t>
            </w:r>
          </w:p>
        </w:tc>
        <w:tc>
          <w:tcPr>
            <w:tcW w:w="1417" w:type="dxa"/>
            <w:tcBorders>
              <w:top w:val="nil"/>
              <w:left w:val="nil"/>
              <w:bottom w:val="single" w:sz="4" w:space="0" w:color="auto"/>
              <w:right w:val="single" w:sz="4" w:space="0" w:color="auto"/>
            </w:tcBorders>
            <w:shd w:val="clear" w:color="auto" w:fill="auto"/>
            <w:noWrap/>
          </w:tcPr>
          <w:p w14:paraId="6431EE8E"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1,4</w:t>
            </w:r>
          </w:p>
        </w:tc>
      </w:tr>
      <w:tr w:rsidR="00830FA2" w:rsidRPr="00FD1578" w14:paraId="77BF59A5"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2560B396" w14:textId="77777777" w:rsidR="00830FA2" w:rsidRPr="00FD1578" w:rsidRDefault="00830FA2" w:rsidP="008349F0">
            <w:pPr>
              <w:spacing w:after="0"/>
              <w:ind w:firstLine="0"/>
              <w:jc w:val="right"/>
              <w:rPr>
                <w:rFonts w:eastAsia="Times New Roman" w:cs="Times New Roman"/>
                <w:color w:val="000000"/>
                <w:sz w:val="18"/>
                <w:szCs w:val="18"/>
                <w:highlight w:val="yellow"/>
              </w:rPr>
            </w:pPr>
            <w:r w:rsidRPr="00FD1578">
              <w:rPr>
                <w:rFonts w:cs="Times New Roman"/>
                <w:sz w:val="18"/>
                <w:szCs w:val="18"/>
              </w:rPr>
              <w:t>11</w:t>
            </w:r>
          </w:p>
        </w:tc>
        <w:tc>
          <w:tcPr>
            <w:tcW w:w="8212" w:type="dxa"/>
            <w:tcBorders>
              <w:top w:val="nil"/>
              <w:left w:val="nil"/>
              <w:bottom w:val="single" w:sz="4" w:space="0" w:color="auto"/>
              <w:right w:val="single" w:sz="4" w:space="0" w:color="auto"/>
            </w:tcBorders>
            <w:shd w:val="clear" w:color="auto" w:fill="auto"/>
            <w:noWrap/>
            <w:hideMark/>
          </w:tcPr>
          <w:p w14:paraId="09D63CFD"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eastAsia="Times New Roman" w:cs="Times New Roman"/>
                <w:color w:val="000000"/>
                <w:sz w:val="18"/>
                <w:szCs w:val="18"/>
              </w:rPr>
              <w:t>SIA "Bulduru Tehnikums"</w:t>
            </w:r>
          </w:p>
        </w:tc>
        <w:tc>
          <w:tcPr>
            <w:tcW w:w="1792" w:type="dxa"/>
            <w:tcBorders>
              <w:top w:val="nil"/>
              <w:left w:val="nil"/>
              <w:bottom w:val="single" w:sz="4" w:space="0" w:color="auto"/>
              <w:right w:val="single" w:sz="4" w:space="0" w:color="auto"/>
            </w:tcBorders>
            <w:shd w:val="clear" w:color="auto" w:fill="auto"/>
            <w:noWrap/>
          </w:tcPr>
          <w:p w14:paraId="7AEE71ED"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0,1</w:t>
            </w:r>
          </w:p>
        </w:tc>
        <w:tc>
          <w:tcPr>
            <w:tcW w:w="1417" w:type="dxa"/>
            <w:tcBorders>
              <w:top w:val="nil"/>
              <w:left w:val="nil"/>
              <w:bottom w:val="single" w:sz="4" w:space="0" w:color="auto"/>
              <w:right w:val="single" w:sz="4" w:space="0" w:color="auto"/>
            </w:tcBorders>
            <w:shd w:val="clear" w:color="auto" w:fill="auto"/>
            <w:noWrap/>
          </w:tcPr>
          <w:p w14:paraId="28957DE5"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0,1</w:t>
            </w:r>
          </w:p>
        </w:tc>
        <w:tc>
          <w:tcPr>
            <w:tcW w:w="1417" w:type="dxa"/>
            <w:tcBorders>
              <w:top w:val="nil"/>
              <w:left w:val="nil"/>
              <w:bottom w:val="single" w:sz="4" w:space="0" w:color="auto"/>
              <w:right w:val="single" w:sz="4" w:space="0" w:color="auto"/>
            </w:tcBorders>
            <w:shd w:val="clear" w:color="auto" w:fill="auto"/>
            <w:noWrap/>
          </w:tcPr>
          <w:p w14:paraId="0A0B8A25"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0,1</w:t>
            </w:r>
          </w:p>
        </w:tc>
      </w:tr>
      <w:tr w:rsidR="00830FA2" w:rsidRPr="00FD1578" w14:paraId="1C8E7404"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02DF1597"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12</w:t>
            </w:r>
          </w:p>
        </w:tc>
        <w:tc>
          <w:tcPr>
            <w:tcW w:w="8212" w:type="dxa"/>
            <w:tcBorders>
              <w:top w:val="nil"/>
              <w:left w:val="nil"/>
              <w:bottom w:val="single" w:sz="4" w:space="0" w:color="auto"/>
              <w:right w:val="single" w:sz="4" w:space="0" w:color="auto"/>
            </w:tcBorders>
            <w:shd w:val="clear" w:color="auto" w:fill="auto"/>
            <w:noWrap/>
            <w:hideMark/>
          </w:tcPr>
          <w:p w14:paraId="434C0511"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cs="Times New Roman"/>
                <w:sz w:val="18"/>
                <w:szCs w:val="18"/>
              </w:rPr>
              <w:t>VSIA "Slimnīca "</w:t>
            </w:r>
            <w:proofErr w:type="spellStart"/>
            <w:r w:rsidRPr="00FD1578">
              <w:rPr>
                <w:rFonts w:cs="Times New Roman"/>
                <w:sz w:val="18"/>
                <w:szCs w:val="18"/>
              </w:rPr>
              <w:t>Ģintermuiža</w:t>
            </w:r>
            <w:proofErr w:type="spellEnd"/>
            <w:r w:rsidRPr="00FD1578">
              <w:rPr>
                <w:rFonts w:cs="Times New Roman"/>
                <w:sz w:val="18"/>
                <w:szCs w:val="18"/>
              </w:rPr>
              <w:t>""</w:t>
            </w:r>
          </w:p>
        </w:tc>
        <w:tc>
          <w:tcPr>
            <w:tcW w:w="1792" w:type="dxa"/>
            <w:tcBorders>
              <w:top w:val="nil"/>
              <w:left w:val="nil"/>
              <w:bottom w:val="single" w:sz="4" w:space="0" w:color="auto"/>
              <w:right w:val="single" w:sz="4" w:space="0" w:color="auto"/>
            </w:tcBorders>
            <w:shd w:val="clear" w:color="auto" w:fill="auto"/>
            <w:noWrap/>
          </w:tcPr>
          <w:p w14:paraId="566B3465"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0,1</w:t>
            </w:r>
          </w:p>
        </w:tc>
        <w:tc>
          <w:tcPr>
            <w:tcW w:w="1417" w:type="dxa"/>
            <w:tcBorders>
              <w:top w:val="nil"/>
              <w:left w:val="nil"/>
              <w:bottom w:val="single" w:sz="4" w:space="0" w:color="auto"/>
              <w:right w:val="single" w:sz="4" w:space="0" w:color="auto"/>
            </w:tcBorders>
            <w:shd w:val="clear" w:color="auto" w:fill="auto"/>
            <w:noWrap/>
          </w:tcPr>
          <w:p w14:paraId="69C5E1A7"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0,1</w:t>
            </w:r>
          </w:p>
        </w:tc>
        <w:tc>
          <w:tcPr>
            <w:tcW w:w="1417" w:type="dxa"/>
            <w:tcBorders>
              <w:top w:val="nil"/>
              <w:left w:val="nil"/>
              <w:bottom w:val="single" w:sz="4" w:space="0" w:color="auto"/>
              <w:right w:val="single" w:sz="4" w:space="0" w:color="auto"/>
            </w:tcBorders>
            <w:shd w:val="clear" w:color="auto" w:fill="auto"/>
            <w:noWrap/>
          </w:tcPr>
          <w:p w14:paraId="676EB123"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0,1</w:t>
            </w:r>
          </w:p>
        </w:tc>
      </w:tr>
      <w:tr w:rsidR="00830FA2" w:rsidRPr="00FD1578" w14:paraId="5DA930EC"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2005914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13</w:t>
            </w:r>
          </w:p>
        </w:tc>
        <w:tc>
          <w:tcPr>
            <w:tcW w:w="8212" w:type="dxa"/>
            <w:tcBorders>
              <w:top w:val="nil"/>
              <w:left w:val="nil"/>
              <w:bottom w:val="single" w:sz="4" w:space="0" w:color="auto"/>
              <w:right w:val="single" w:sz="4" w:space="0" w:color="auto"/>
            </w:tcBorders>
            <w:shd w:val="clear" w:color="auto" w:fill="auto"/>
            <w:noWrap/>
          </w:tcPr>
          <w:p w14:paraId="10A3F444"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cs="Times New Roman"/>
                <w:sz w:val="18"/>
                <w:szCs w:val="18"/>
              </w:rPr>
              <w:t>VSIA "Latvijas koncerti"</w:t>
            </w:r>
          </w:p>
        </w:tc>
        <w:tc>
          <w:tcPr>
            <w:tcW w:w="1792" w:type="dxa"/>
            <w:tcBorders>
              <w:top w:val="nil"/>
              <w:left w:val="nil"/>
              <w:bottom w:val="single" w:sz="4" w:space="0" w:color="auto"/>
              <w:right w:val="single" w:sz="4" w:space="0" w:color="auto"/>
            </w:tcBorders>
            <w:shd w:val="clear" w:color="auto" w:fill="auto"/>
            <w:noWrap/>
          </w:tcPr>
          <w:p w14:paraId="7CDE9E81"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0,0</w:t>
            </w:r>
          </w:p>
        </w:tc>
        <w:tc>
          <w:tcPr>
            <w:tcW w:w="1417" w:type="dxa"/>
            <w:tcBorders>
              <w:top w:val="nil"/>
              <w:left w:val="nil"/>
              <w:bottom w:val="single" w:sz="4" w:space="0" w:color="auto"/>
              <w:right w:val="single" w:sz="4" w:space="0" w:color="auto"/>
            </w:tcBorders>
            <w:shd w:val="clear" w:color="auto" w:fill="auto"/>
            <w:noWrap/>
          </w:tcPr>
          <w:p w14:paraId="0373B7D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0,0</w:t>
            </w:r>
          </w:p>
        </w:tc>
        <w:tc>
          <w:tcPr>
            <w:tcW w:w="1417" w:type="dxa"/>
            <w:tcBorders>
              <w:top w:val="nil"/>
              <w:left w:val="nil"/>
              <w:bottom w:val="single" w:sz="4" w:space="0" w:color="auto"/>
              <w:right w:val="single" w:sz="4" w:space="0" w:color="auto"/>
            </w:tcBorders>
            <w:shd w:val="clear" w:color="auto" w:fill="auto"/>
            <w:noWrap/>
          </w:tcPr>
          <w:p w14:paraId="0960B26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0,0</w:t>
            </w:r>
          </w:p>
        </w:tc>
      </w:tr>
      <w:tr w:rsidR="00830FA2" w:rsidRPr="00FD1578" w14:paraId="3FF828CF"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3EC6B237" w14:textId="77777777" w:rsidR="00830FA2" w:rsidRPr="00FD1578" w:rsidRDefault="00830FA2" w:rsidP="008349F0">
            <w:pPr>
              <w:spacing w:after="0"/>
              <w:ind w:firstLine="0"/>
              <w:jc w:val="center"/>
              <w:rPr>
                <w:rFonts w:eastAsia="Times New Roman" w:cs="Times New Roman"/>
                <w:color w:val="000000"/>
                <w:sz w:val="18"/>
                <w:szCs w:val="18"/>
              </w:rPr>
            </w:pPr>
            <w:r w:rsidRPr="00FD1578">
              <w:rPr>
                <w:rFonts w:eastAsia="Times New Roman" w:cs="Times New Roman"/>
                <w:color w:val="000000"/>
                <w:sz w:val="18"/>
                <w:szCs w:val="18"/>
              </w:rPr>
              <w:t>S130300</w:t>
            </w:r>
          </w:p>
        </w:tc>
        <w:tc>
          <w:tcPr>
            <w:tcW w:w="8212" w:type="dxa"/>
            <w:tcBorders>
              <w:top w:val="nil"/>
              <w:left w:val="nil"/>
              <w:bottom w:val="single" w:sz="4" w:space="0" w:color="auto"/>
              <w:right w:val="single" w:sz="4" w:space="0" w:color="auto"/>
            </w:tcBorders>
            <w:shd w:val="clear" w:color="auto" w:fill="auto"/>
            <w:noWrap/>
            <w:vAlign w:val="bottom"/>
            <w:hideMark/>
          </w:tcPr>
          <w:p w14:paraId="67AFB1B5" w14:textId="77777777" w:rsidR="00830FA2" w:rsidRPr="00FD1578" w:rsidRDefault="00830FA2" w:rsidP="008349F0">
            <w:pPr>
              <w:spacing w:after="0"/>
              <w:ind w:firstLine="0"/>
              <w:jc w:val="left"/>
              <w:rPr>
                <w:rFonts w:eastAsia="Times New Roman" w:cs="Times New Roman"/>
                <w:color w:val="000000"/>
                <w:sz w:val="18"/>
                <w:szCs w:val="18"/>
              </w:rPr>
            </w:pPr>
            <w:r w:rsidRPr="00FD1578">
              <w:rPr>
                <w:rFonts w:eastAsia="Times New Roman" w:cs="Times New Roman"/>
                <w:color w:val="000000"/>
                <w:sz w:val="18"/>
                <w:szCs w:val="18"/>
              </w:rPr>
              <w:t> </w:t>
            </w:r>
          </w:p>
        </w:tc>
        <w:tc>
          <w:tcPr>
            <w:tcW w:w="1792" w:type="dxa"/>
            <w:tcBorders>
              <w:top w:val="nil"/>
              <w:left w:val="nil"/>
              <w:bottom w:val="single" w:sz="4" w:space="0" w:color="auto"/>
              <w:right w:val="single" w:sz="4" w:space="0" w:color="auto"/>
            </w:tcBorders>
            <w:shd w:val="clear" w:color="auto" w:fill="auto"/>
            <w:noWrap/>
            <w:vAlign w:val="bottom"/>
          </w:tcPr>
          <w:p w14:paraId="5A4162C4" w14:textId="77777777" w:rsidR="00830FA2" w:rsidRPr="00FD1578" w:rsidRDefault="00830FA2" w:rsidP="008349F0">
            <w:pPr>
              <w:spacing w:after="0"/>
              <w:ind w:firstLine="0"/>
              <w:jc w:val="left"/>
              <w:rPr>
                <w:rFonts w:eastAsia="Times New Roman" w:cs="Times New Roman"/>
                <w:color w:val="000000"/>
                <w:sz w:val="18"/>
                <w:szCs w:val="18"/>
                <w:highlight w:val="yellow"/>
              </w:rPr>
            </w:pPr>
          </w:p>
        </w:tc>
        <w:tc>
          <w:tcPr>
            <w:tcW w:w="1417" w:type="dxa"/>
            <w:tcBorders>
              <w:top w:val="nil"/>
              <w:left w:val="nil"/>
              <w:bottom w:val="single" w:sz="4" w:space="0" w:color="auto"/>
              <w:right w:val="single" w:sz="4" w:space="0" w:color="auto"/>
            </w:tcBorders>
            <w:shd w:val="clear" w:color="auto" w:fill="auto"/>
            <w:noWrap/>
            <w:vAlign w:val="bottom"/>
          </w:tcPr>
          <w:p w14:paraId="1976D644" w14:textId="77777777" w:rsidR="00830FA2" w:rsidRPr="00FD1578" w:rsidRDefault="00830FA2" w:rsidP="008349F0">
            <w:pPr>
              <w:spacing w:after="0"/>
              <w:ind w:firstLine="0"/>
              <w:jc w:val="left"/>
              <w:rPr>
                <w:rFonts w:eastAsia="Times New Roman" w:cs="Times New Roman"/>
                <w:color w:val="000000"/>
                <w:sz w:val="18"/>
                <w:szCs w:val="18"/>
                <w:highlight w:val="yellow"/>
              </w:rPr>
            </w:pPr>
          </w:p>
        </w:tc>
        <w:tc>
          <w:tcPr>
            <w:tcW w:w="1417" w:type="dxa"/>
            <w:tcBorders>
              <w:top w:val="nil"/>
              <w:left w:val="nil"/>
              <w:bottom w:val="single" w:sz="4" w:space="0" w:color="auto"/>
              <w:right w:val="single" w:sz="4" w:space="0" w:color="auto"/>
            </w:tcBorders>
            <w:shd w:val="clear" w:color="auto" w:fill="auto"/>
            <w:noWrap/>
            <w:vAlign w:val="bottom"/>
          </w:tcPr>
          <w:p w14:paraId="7F06B91A" w14:textId="77777777" w:rsidR="00830FA2" w:rsidRPr="00FD1578" w:rsidRDefault="00830FA2" w:rsidP="008349F0">
            <w:pPr>
              <w:spacing w:after="0"/>
              <w:ind w:firstLine="0"/>
              <w:jc w:val="left"/>
              <w:rPr>
                <w:rFonts w:eastAsia="Times New Roman" w:cs="Times New Roman"/>
                <w:color w:val="000000"/>
                <w:sz w:val="18"/>
                <w:szCs w:val="18"/>
                <w:highlight w:val="yellow"/>
              </w:rPr>
            </w:pPr>
          </w:p>
        </w:tc>
      </w:tr>
      <w:tr w:rsidR="00830FA2" w:rsidRPr="00FD1578" w14:paraId="7F445FA5"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2E426B89"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1</w:t>
            </w:r>
          </w:p>
        </w:tc>
        <w:tc>
          <w:tcPr>
            <w:tcW w:w="8212" w:type="dxa"/>
            <w:tcBorders>
              <w:top w:val="nil"/>
              <w:left w:val="nil"/>
              <w:bottom w:val="single" w:sz="4" w:space="0" w:color="auto"/>
              <w:right w:val="single" w:sz="4" w:space="0" w:color="auto"/>
            </w:tcBorders>
            <w:shd w:val="clear" w:color="auto" w:fill="auto"/>
            <w:noWrap/>
            <w:hideMark/>
          </w:tcPr>
          <w:p w14:paraId="4524348C"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RP SIA "Rīgas Satiksme"</w:t>
            </w:r>
          </w:p>
        </w:tc>
        <w:tc>
          <w:tcPr>
            <w:tcW w:w="1792" w:type="dxa"/>
            <w:tcBorders>
              <w:top w:val="nil"/>
              <w:left w:val="nil"/>
              <w:bottom w:val="single" w:sz="4" w:space="0" w:color="auto"/>
              <w:right w:val="single" w:sz="4" w:space="0" w:color="auto"/>
            </w:tcBorders>
            <w:shd w:val="clear" w:color="auto" w:fill="auto"/>
            <w:noWrap/>
          </w:tcPr>
          <w:p w14:paraId="1900A72B"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284,5</w:t>
            </w:r>
          </w:p>
        </w:tc>
        <w:tc>
          <w:tcPr>
            <w:tcW w:w="1417" w:type="dxa"/>
            <w:tcBorders>
              <w:top w:val="nil"/>
              <w:left w:val="nil"/>
              <w:bottom w:val="single" w:sz="4" w:space="0" w:color="auto"/>
              <w:right w:val="single" w:sz="4" w:space="0" w:color="auto"/>
            </w:tcBorders>
            <w:shd w:val="clear" w:color="auto" w:fill="auto"/>
            <w:noWrap/>
          </w:tcPr>
          <w:p w14:paraId="4919DAF6"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297,8</w:t>
            </w:r>
          </w:p>
        </w:tc>
        <w:tc>
          <w:tcPr>
            <w:tcW w:w="1417" w:type="dxa"/>
            <w:tcBorders>
              <w:top w:val="nil"/>
              <w:left w:val="nil"/>
              <w:bottom w:val="single" w:sz="4" w:space="0" w:color="auto"/>
              <w:right w:val="single" w:sz="4" w:space="0" w:color="auto"/>
            </w:tcBorders>
            <w:shd w:val="clear" w:color="auto" w:fill="auto"/>
            <w:noWrap/>
          </w:tcPr>
          <w:p w14:paraId="7FF1EDFF"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299,1</w:t>
            </w:r>
          </w:p>
        </w:tc>
      </w:tr>
      <w:tr w:rsidR="00830FA2" w:rsidRPr="00FD1578" w14:paraId="75E4924A"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7D1641A3"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2</w:t>
            </w:r>
          </w:p>
        </w:tc>
        <w:tc>
          <w:tcPr>
            <w:tcW w:w="8212" w:type="dxa"/>
            <w:tcBorders>
              <w:top w:val="nil"/>
              <w:left w:val="nil"/>
              <w:bottom w:val="single" w:sz="4" w:space="0" w:color="auto"/>
              <w:right w:val="single" w:sz="4" w:space="0" w:color="auto"/>
            </w:tcBorders>
            <w:shd w:val="clear" w:color="auto" w:fill="auto"/>
            <w:noWrap/>
            <w:hideMark/>
          </w:tcPr>
          <w:p w14:paraId="59E0FE6D"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SIA "Salaspils veselības centrs"</w:t>
            </w:r>
          </w:p>
        </w:tc>
        <w:tc>
          <w:tcPr>
            <w:tcW w:w="1792" w:type="dxa"/>
            <w:tcBorders>
              <w:top w:val="nil"/>
              <w:left w:val="nil"/>
              <w:bottom w:val="single" w:sz="4" w:space="0" w:color="auto"/>
              <w:right w:val="single" w:sz="4" w:space="0" w:color="auto"/>
            </w:tcBorders>
            <w:shd w:val="clear" w:color="auto" w:fill="auto"/>
            <w:noWrap/>
          </w:tcPr>
          <w:p w14:paraId="278D9150"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3,2</w:t>
            </w:r>
          </w:p>
        </w:tc>
        <w:tc>
          <w:tcPr>
            <w:tcW w:w="1417" w:type="dxa"/>
            <w:tcBorders>
              <w:top w:val="nil"/>
              <w:left w:val="nil"/>
              <w:bottom w:val="single" w:sz="4" w:space="0" w:color="auto"/>
              <w:right w:val="single" w:sz="4" w:space="0" w:color="auto"/>
            </w:tcBorders>
            <w:shd w:val="clear" w:color="auto" w:fill="auto"/>
            <w:noWrap/>
          </w:tcPr>
          <w:p w14:paraId="7D0C6B3F"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3,1</w:t>
            </w:r>
          </w:p>
        </w:tc>
        <w:tc>
          <w:tcPr>
            <w:tcW w:w="1417" w:type="dxa"/>
            <w:tcBorders>
              <w:top w:val="nil"/>
              <w:left w:val="nil"/>
              <w:bottom w:val="single" w:sz="4" w:space="0" w:color="auto"/>
              <w:right w:val="single" w:sz="4" w:space="0" w:color="auto"/>
            </w:tcBorders>
            <w:shd w:val="clear" w:color="auto" w:fill="auto"/>
            <w:noWrap/>
          </w:tcPr>
          <w:p w14:paraId="607B5123"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2,9</w:t>
            </w:r>
          </w:p>
        </w:tc>
      </w:tr>
      <w:tr w:rsidR="00830FA2" w:rsidRPr="00FD1578" w14:paraId="22350D60"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5CCD144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3</w:t>
            </w:r>
          </w:p>
        </w:tc>
        <w:tc>
          <w:tcPr>
            <w:tcW w:w="8212" w:type="dxa"/>
            <w:tcBorders>
              <w:top w:val="nil"/>
              <w:left w:val="nil"/>
              <w:bottom w:val="single" w:sz="4" w:space="0" w:color="auto"/>
              <w:right w:val="single" w:sz="4" w:space="0" w:color="auto"/>
            </w:tcBorders>
            <w:shd w:val="clear" w:color="auto" w:fill="auto"/>
            <w:noWrap/>
            <w:hideMark/>
          </w:tcPr>
          <w:p w14:paraId="428F90C7"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SIA "Daugavpils reģionālā slimnīca""</w:t>
            </w:r>
          </w:p>
        </w:tc>
        <w:tc>
          <w:tcPr>
            <w:tcW w:w="1792" w:type="dxa"/>
            <w:tcBorders>
              <w:top w:val="nil"/>
              <w:left w:val="nil"/>
              <w:bottom w:val="single" w:sz="4" w:space="0" w:color="auto"/>
              <w:right w:val="single" w:sz="4" w:space="0" w:color="auto"/>
            </w:tcBorders>
            <w:shd w:val="clear" w:color="auto" w:fill="auto"/>
            <w:noWrap/>
          </w:tcPr>
          <w:p w14:paraId="18B209D9"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1,6</w:t>
            </w:r>
          </w:p>
        </w:tc>
        <w:tc>
          <w:tcPr>
            <w:tcW w:w="1417" w:type="dxa"/>
            <w:tcBorders>
              <w:top w:val="nil"/>
              <w:left w:val="nil"/>
              <w:bottom w:val="single" w:sz="4" w:space="0" w:color="auto"/>
              <w:right w:val="single" w:sz="4" w:space="0" w:color="auto"/>
            </w:tcBorders>
            <w:shd w:val="clear" w:color="auto" w:fill="auto"/>
            <w:noWrap/>
          </w:tcPr>
          <w:p w14:paraId="01307E5C"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0,0</w:t>
            </w:r>
          </w:p>
        </w:tc>
        <w:tc>
          <w:tcPr>
            <w:tcW w:w="1417" w:type="dxa"/>
            <w:tcBorders>
              <w:top w:val="nil"/>
              <w:left w:val="nil"/>
              <w:bottom w:val="single" w:sz="4" w:space="0" w:color="auto"/>
              <w:right w:val="single" w:sz="4" w:space="0" w:color="auto"/>
            </w:tcBorders>
            <w:shd w:val="clear" w:color="auto" w:fill="auto"/>
            <w:noWrap/>
          </w:tcPr>
          <w:p w14:paraId="3C6C4F90"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0,0</w:t>
            </w:r>
          </w:p>
        </w:tc>
      </w:tr>
      <w:tr w:rsidR="00830FA2" w:rsidRPr="00FD1578" w14:paraId="52EDC909"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684ED47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4</w:t>
            </w:r>
          </w:p>
        </w:tc>
        <w:tc>
          <w:tcPr>
            <w:tcW w:w="8212" w:type="dxa"/>
            <w:tcBorders>
              <w:top w:val="nil"/>
              <w:left w:val="nil"/>
              <w:bottom w:val="single" w:sz="4" w:space="0" w:color="auto"/>
              <w:right w:val="single" w:sz="4" w:space="0" w:color="auto"/>
            </w:tcBorders>
            <w:shd w:val="clear" w:color="auto" w:fill="auto"/>
            <w:noWrap/>
            <w:hideMark/>
          </w:tcPr>
          <w:p w14:paraId="3338F893"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SIA "Liepājas Olimpiskais centrs"</w:t>
            </w:r>
          </w:p>
        </w:tc>
        <w:tc>
          <w:tcPr>
            <w:tcW w:w="1792" w:type="dxa"/>
            <w:tcBorders>
              <w:top w:val="nil"/>
              <w:left w:val="nil"/>
              <w:bottom w:val="single" w:sz="4" w:space="0" w:color="auto"/>
              <w:right w:val="single" w:sz="4" w:space="0" w:color="auto"/>
            </w:tcBorders>
            <w:shd w:val="clear" w:color="auto" w:fill="auto"/>
            <w:noWrap/>
          </w:tcPr>
          <w:p w14:paraId="2BA4ED1B"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0,8</w:t>
            </w:r>
          </w:p>
        </w:tc>
        <w:tc>
          <w:tcPr>
            <w:tcW w:w="1417" w:type="dxa"/>
            <w:tcBorders>
              <w:top w:val="nil"/>
              <w:left w:val="nil"/>
              <w:bottom w:val="single" w:sz="4" w:space="0" w:color="auto"/>
              <w:right w:val="single" w:sz="4" w:space="0" w:color="auto"/>
            </w:tcBorders>
            <w:shd w:val="clear" w:color="auto" w:fill="auto"/>
            <w:noWrap/>
          </w:tcPr>
          <w:p w14:paraId="7128E625"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0,8</w:t>
            </w:r>
          </w:p>
        </w:tc>
        <w:tc>
          <w:tcPr>
            <w:tcW w:w="1417" w:type="dxa"/>
            <w:tcBorders>
              <w:top w:val="nil"/>
              <w:left w:val="nil"/>
              <w:bottom w:val="single" w:sz="4" w:space="0" w:color="auto"/>
              <w:right w:val="single" w:sz="4" w:space="0" w:color="auto"/>
            </w:tcBorders>
            <w:shd w:val="clear" w:color="auto" w:fill="auto"/>
            <w:noWrap/>
          </w:tcPr>
          <w:p w14:paraId="49120244"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0,7</w:t>
            </w:r>
          </w:p>
        </w:tc>
      </w:tr>
      <w:tr w:rsidR="00830FA2" w:rsidRPr="00FD1578" w14:paraId="2DD31309"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0746526A"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5</w:t>
            </w:r>
          </w:p>
        </w:tc>
        <w:tc>
          <w:tcPr>
            <w:tcW w:w="8212" w:type="dxa"/>
            <w:tcBorders>
              <w:top w:val="nil"/>
              <w:left w:val="nil"/>
              <w:bottom w:val="single" w:sz="4" w:space="0" w:color="auto"/>
              <w:right w:val="single" w:sz="4" w:space="0" w:color="auto"/>
            </w:tcBorders>
            <w:shd w:val="clear" w:color="auto" w:fill="auto"/>
            <w:noWrap/>
            <w:hideMark/>
          </w:tcPr>
          <w:p w14:paraId="2FD44E74"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AS "Daugavpils satiksme"</w:t>
            </w:r>
          </w:p>
        </w:tc>
        <w:tc>
          <w:tcPr>
            <w:tcW w:w="1792" w:type="dxa"/>
            <w:tcBorders>
              <w:top w:val="nil"/>
              <w:left w:val="nil"/>
              <w:bottom w:val="single" w:sz="4" w:space="0" w:color="auto"/>
              <w:right w:val="single" w:sz="4" w:space="0" w:color="auto"/>
            </w:tcBorders>
            <w:shd w:val="clear" w:color="auto" w:fill="auto"/>
            <w:noWrap/>
          </w:tcPr>
          <w:p w14:paraId="7ED2767A"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0,5</w:t>
            </w:r>
          </w:p>
        </w:tc>
        <w:tc>
          <w:tcPr>
            <w:tcW w:w="1417" w:type="dxa"/>
            <w:tcBorders>
              <w:top w:val="nil"/>
              <w:left w:val="nil"/>
              <w:bottom w:val="single" w:sz="4" w:space="0" w:color="auto"/>
              <w:right w:val="single" w:sz="4" w:space="0" w:color="auto"/>
            </w:tcBorders>
            <w:shd w:val="clear" w:color="auto" w:fill="auto"/>
            <w:noWrap/>
          </w:tcPr>
          <w:p w14:paraId="6B182B51"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0,4</w:t>
            </w:r>
          </w:p>
        </w:tc>
        <w:tc>
          <w:tcPr>
            <w:tcW w:w="1417" w:type="dxa"/>
            <w:tcBorders>
              <w:top w:val="nil"/>
              <w:left w:val="nil"/>
              <w:bottom w:val="single" w:sz="4" w:space="0" w:color="auto"/>
              <w:right w:val="single" w:sz="4" w:space="0" w:color="auto"/>
            </w:tcBorders>
            <w:shd w:val="clear" w:color="auto" w:fill="auto"/>
            <w:noWrap/>
          </w:tcPr>
          <w:p w14:paraId="1942AC27"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0,3</w:t>
            </w:r>
          </w:p>
        </w:tc>
      </w:tr>
      <w:tr w:rsidR="00830FA2" w:rsidRPr="00FD1578" w14:paraId="24AFEED7"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158E02F5"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6</w:t>
            </w:r>
          </w:p>
        </w:tc>
        <w:tc>
          <w:tcPr>
            <w:tcW w:w="8212" w:type="dxa"/>
            <w:tcBorders>
              <w:top w:val="nil"/>
              <w:left w:val="nil"/>
              <w:bottom w:val="single" w:sz="4" w:space="0" w:color="auto"/>
              <w:right w:val="single" w:sz="4" w:space="0" w:color="auto"/>
            </w:tcBorders>
            <w:shd w:val="clear" w:color="auto" w:fill="auto"/>
            <w:noWrap/>
            <w:hideMark/>
          </w:tcPr>
          <w:p w14:paraId="04143DCF"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SIA "Rēzeknes satiksme"</w:t>
            </w:r>
          </w:p>
        </w:tc>
        <w:tc>
          <w:tcPr>
            <w:tcW w:w="1792" w:type="dxa"/>
            <w:tcBorders>
              <w:top w:val="nil"/>
              <w:left w:val="nil"/>
              <w:bottom w:val="single" w:sz="4" w:space="0" w:color="auto"/>
              <w:right w:val="single" w:sz="4" w:space="0" w:color="auto"/>
            </w:tcBorders>
            <w:shd w:val="clear" w:color="auto" w:fill="auto"/>
            <w:noWrap/>
          </w:tcPr>
          <w:p w14:paraId="1793E8A5"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0,3</w:t>
            </w:r>
          </w:p>
        </w:tc>
        <w:tc>
          <w:tcPr>
            <w:tcW w:w="1417" w:type="dxa"/>
            <w:tcBorders>
              <w:top w:val="nil"/>
              <w:left w:val="nil"/>
              <w:bottom w:val="single" w:sz="4" w:space="0" w:color="auto"/>
              <w:right w:val="single" w:sz="4" w:space="0" w:color="auto"/>
            </w:tcBorders>
            <w:shd w:val="clear" w:color="auto" w:fill="auto"/>
            <w:noWrap/>
          </w:tcPr>
          <w:p w14:paraId="2050CF7F"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3,1</w:t>
            </w:r>
          </w:p>
        </w:tc>
        <w:tc>
          <w:tcPr>
            <w:tcW w:w="1417" w:type="dxa"/>
            <w:tcBorders>
              <w:top w:val="nil"/>
              <w:left w:val="nil"/>
              <w:bottom w:val="single" w:sz="4" w:space="0" w:color="auto"/>
              <w:right w:val="single" w:sz="4" w:space="0" w:color="auto"/>
            </w:tcBorders>
            <w:shd w:val="clear" w:color="auto" w:fill="auto"/>
            <w:noWrap/>
          </w:tcPr>
          <w:p w14:paraId="5734EE89"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2,8</w:t>
            </w:r>
          </w:p>
        </w:tc>
      </w:tr>
      <w:tr w:rsidR="00830FA2" w:rsidRPr="00FD1578" w14:paraId="7F5D663B"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0C6A654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7</w:t>
            </w:r>
          </w:p>
        </w:tc>
        <w:tc>
          <w:tcPr>
            <w:tcW w:w="8212" w:type="dxa"/>
            <w:tcBorders>
              <w:top w:val="nil"/>
              <w:left w:val="nil"/>
              <w:bottom w:val="single" w:sz="4" w:space="0" w:color="auto"/>
              <w:right w:val="single" w:sz="4" w:space="0" w:color="auto"/>
            </w:tcBorders>
            <w:shd w:val="clear" w:color="auto" w:fill="auto"/>
            <w:noWrap/>
            <w:hideMark/>
          </w:tcPr>
          <w:p w14:paraId="68BB3C76"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SIA "Jūrmalas slimnīca"</w:t>
            </w:r>
          </w:p>
        </w:tc>
        <w:tc>
          <w:tcPr>
            <w:tcW w:w="1792" w:type="dxa"/>
            <w:tcBorders>
              <w:top w:val="nil"/>
              <w:left w:val="nil"/>
              <w:bottom w:val="single" w:sz="4" w:space="0" w:color="auto"/>
              <w:right w:val="single" w:sz="4" w:space="0" w:color="auto"/>
            </w:tcBorders>
            <w:shd w:val="clear" w:color="auto" w:fill="auto"/>
            <w:noWrap/>
          </w:tcPr>
          <w:p w14:paraId="720B7080"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0,4</w:t>
            </w:r>
          </w:p>
        </w:tc>
        <w:tc>
          <w:tcPr>
            <w:tcW w:w="1417" w:type="dxa"/>
            <w:tcBorders>
              <w:top w:val="nil"/>
              <w:left w:val="nil"/>
              <w:bottom w:val="single" w:sz="4" w:space="0" w:color="auto"/>
              <w:right w:val="single" w:sz="4" w:space="0" w:color="auto"/>
            </w:tcBorders>
            <w:shd w:val="clear" w:color="auto" w:fill="auto"/>
            <w:noWrap/>
          </w:tcPr>
          <w:p w14:paraId="3BE7E572"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1,6</w:t>
            </w:r>
          </w:p>
        </w:tc>
        <w:tc>
          <w:tcPr>
            <w:tcW w:w="1417" w:type="dxa"/>
            <w:tcBorders>
              <w:top w:val="nil"/>
              <w:left w:val="nil"/>
              <w:bottom w:val="single" w:sz="4" w:space="0" w:color="auto"/>
              <w:right w:val="single" w:sz="4" w:space="0" w:color="auto"/>
            </w:tcBorders>
            <w:shd w:val="clear" w:color="auto" w:fill="auto"/>
            <w:noWrap/>
          </w:tcPr>
          <w:p w14:paraId="4A5A257F"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1,5</w:t>
            </w:r>
          </w:p>
        </w:tc>
      </w:tr>
      <w:tr w:rsidR="00830FA2" w:rsidRPr="00FD1578" w14:paraId="59B301B9"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3D27D142"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8</w:t>
            </w:r>
          </w:p>
        </w:tc>
        <w:tc>
          <w:tcPr>
            <w:tcW w:w="8212" w:type="dxa"/>
            <w:tcBorders>
              <w:top w:val="nil"/>
              <w:left w:val="nil"/>
              <w:bottom w:val="single" w:sz="4" w:space="0" w:color="auto"/>
              <w:right w:val="single" w:sz="4" w:space="0" w:color="auto"/>
            </w:tcBorders>
            <w:shd w:val="clear" w:color="auto" w:fill="auto"/>
            <w:noWrap/>
            <w:hideMark/>
          </w:tcPr>
          <w:p w14:paraId="3B939324"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SIA "Kuldīgas slimnīca"</w:t>
            </w:r>
          </w:p>
        </w:tc>
        <w:tc>
          <w:tcPr>
            <w:tcW w:w="1792" w:type="dxa"/>
            <w:tcBorders>
              <w:top w:val="nil"/>
              <w:left w:val="nil"/>
              <w:bottom w:val="single" w:sz="4" w:space="0" w:color="auto"/>
              <w:right w:val="single" w:sz="4" w:space="0" w:color="auto"/>
            </w:tcBorders>
            <w:shd w:val="clear" w:color="auto" w:fill="auto"/>
            <w:noWrap/>
          </w:tcPr>
          <w:p w14:paraId="27808E77"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0,2</w:t>
            </w:r>
          </w:p>
        </w:tc>
        <w:tc>
          <w:tcPr>
            <w:tcW w:w="1417" w:type="dxa"/>
            <w:tcBorders>
              <w:top w:val="nil"/>
              <w:left w:val="nil"/>
              <w:bottom w:val="single" w:sz="4" w:space="0" w:color="auto"/>
              <w:right w:val="single" w:sz="4" w:space="0" w:color="auto"/>
            </w:tcBorders>
            <w:shd w:val="clear" w:color="auto" w:fill="auto"/>
            <w:noWrap/>
          </w:tcPr>
          <w:p w14:paraId="09E64287"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0,2</w:t>
            </w:r>
          </w:p>
        </w:tc>
        <w:tc>
          <w:tcPr>
            <w:tcW w:w="1417" w:type="dxa"/>
            <w:tcBorders>
              <w:top w:val="nil"/>
              <w:left w:val="nil"/>
              <w:bottom w:val="single" w:sz="4" w:space="0" w:color="auto"/>
              <w:right w:val="single" w:sz="4" w:space="0" w:color="auto"/>
            </w:tcBorders>
            <w:shd w:val="clear" w:color="auto" w:fill="auto"/>
            <w:noWrap/>
          </w:tcPr>
          <w:p w14:paraId="6192D99B"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0,0</w:t>
            </w:r>
          </w:p>
        </w:tc>
      </w:tr>
      <w:tr w:rsidR="00830FA2" w:rsidRPr="00FD1578" w14:paraId="670EDF9E"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tcPr>
          <w:p w14:paraId="4355FE0F" w14:textId="77777777" w:rsidR="00830FA2" w:rsidRPr="00FD1578" w:rsidRDefault="00830FA2" w:rsidP="008349F0">
            <w:pPr>
              <w:spacing w:after="0"/>
              <w:ind w:firstLine="0"/>
              <w:jc w:val="right"/>
              <w:rPr>
                <w:rFonts w:cs="Times New Roman"/>
                <w:sz w:val="18"/>
                <w:szCs w:val="18"/>
              </w:rPr>
            </w:pPr>
            <w:r w:rsidRPr="00FD1578">
              <w:rPr>
                <w:rFonts w:cs="Times New Roman"/>
                <w:sz w:val="18"/>
                <w:szCs w:val="18"/>
              </w:rPr>
              <w:t>9</w:t>
            </w:r>
          </w:p>
        </w:tc>
        <w:tc>
          <w:tcPr>
            <w:tcW w:w="8212" w:type="dxa"/>
            <w:tcBorders>
              <w:top w:val="nil"/>
              <w:left w:val="nil"/>
              <w:bottom w:val="single" w:sz="4" w:space="0" w:color="auto"/>
              <w:right w:val="single" w:sz="4" w:space="0" w:color="auto"/>
            </w:tcBorders>
            <w:shd w:val="clear" w:color="auto" w:fill="auto"/>
            <w:noWrap/>
          </w:tcPr>
          <w:p w14:paraId="550055D9" w14:textId="77777777" w:rsidR="00830FA2" w:rsidRPr="00FD1578" w:rsidRDefault="00830FA2" w:rsidP="008349F0">
            <w:pPr>
              <w:spacing w:after="0"/>
              <w:ind w:firstLine="0"/>
              <w:jc w:val="left"/>
              <w:rPr>
                <w:rFonts w:cs="Times New Roman"/>
                <w:sz w:val="18"/>
                <w:szCs w:val="18"/>
                <w:highlight w:val="yellow"/>
              </w:rPr>
            </w:pPr>
            <w:r w:rsidRPr="00FD1578">
              <w:rPr>
                <w:rFonts w:cs="Times New Roman"/>
                <w:sz w:val="18"/>
                <w:szCs w:val="18"/>
              </w:rPr>
              <w:t>SIA "Jēkabpils reģionālā slimnīca"</w:t>
            </w:r>
          </w:p>
        </w:tc>
        <w:tc>
          <w:tcPr>
            <w:tcW w:w="1792" w:type="dxa"/>
            <w:tcBorders>
              <w:top w:val="nil"/>
              <w:left w:val="nil"/>
              <w:bottom w:val="single" w:sz="4" w:space="0" w:color="auto"/>
              <w:right w:val="single" w:sz="4" w:space="0" w:color="auto"/>
            </w:tcBorders>
            <w:shd w:val="clear" w:color="auto" w:fill="auto"/>
            <w:noWrap/>
          </w:tcPr>
          <w:p w14:paraId="08EA3BDA" w14:textId="77777777" w:rsidR="00830FA2" w:rsidRPr="00FD1578" w:rsidRDefault="00830FA2" w:rsidP="008349F0">
            <w:pPr>
              <w:spacing w:after="0"/>
              <w:ind w:firstLine="0"/>
              <w:jc w:val="right"/>
              <w:rPr>
                <w:rFonts w:cs="Times New Roman"/>
                <w:sz w:val="18"/>
                <w:szCs w:val="16"/>
                <w:highlight w:val="yellow"/>
              </w:rPr>
            </w:pPr>
            <w:r w:rsidRPr="00FD1578">
              <w:rPr>
                <w:sz w:val="18"/>
                <w:szCs w:val="16"/>
              </w:rPr>
              <w:t>0,1</w:t>
            </w:r>
          </w:p>
        </w:tc>
        <w:tc>
          <w:tcPr>
            <w:tcW w:w="1417" w:type="dxa"/>
            <w:tcBorders>
              <w:top w:val="nil"/>
              <w:left w:val="nil"/>
              <w:bottom w:val="single" w:sz="4" w:space="0" w:color="auto"/>
              <w:right w:val="single" w:sz="4" w:space="0" w:color="auto"/>
            </w:tcBorders>
            <w:shd w:val="clear" w:color="auto" w:fill="auto"/>
            <w:noWrap/>
          </w:tcPr>
          <w:p w14:paraId="1D06E1C1" w14:textId="77777777" w:rsidR="00830FA2" w:rsidRPr="00FD1578" w:rsidRDefault="00830FA2" w:rsidP="008349F0">
            <w:pPr>
              <w:spacing w:after="0"/>
              <w:ind w:firstLine="0"/>
              <w:jc w:val="right"/>
              <w:rPr>
                <w:rFonts w:cs="Times New Roman"/>
                <w:sz w:val="18"/>
                <w:szCs w:val="16"/>
                <w:highlight w:val="yellow"/>
              </w:rPr>
            </w:pPr>
            <w:r w:rsidRPr="00FD1578">
              <w:rPr>
                <w:sz w:val="18"/>
                <w:szCs w:val="16"/>
              </w:rPr>
              <w:t>0,1</w:t>
            </w:r>
          </w:p>
        </w:tc>
        <w:tc>
          <w:tcPr>
            <w:tcW w:w="1417" w:type="dxa"/>
            <w:tcBorders>
              <w:top w:val="nil"/>
              <w:left w:val="nil"/>
              <w:bottom w:val="single" w:sz="4" w:space="0" w:color="auto"/>
              <w:right w:val="single" w:sz="4" w:space="0" w:color="auto"/>
            </w:tcBorders>
            <w:shd w:val="clear" w:color="auto" w:fill="auto"/>
            <w:noWrap/>
          </w:tcPr>
          <w:p w14:paraId="2C0F6E80" w14:textId="77777777" w:rsidR="00830FA2" w:rsidRPr="00FD1578" w:rsidRDefault="00830FA2" w:rsidP="008349F0">
            <w:pPr>
              <w:spacing w:after="0"/>
              <w:ind w:firstLine="0"/>
              <w:jc w:val="right"/>
              <w:rPr>
                <w:rFonts w:cs="Times New Roman"/>
                <w:sz w:val="18"/>
                <w:szCs w:val="16"/>
                <w:highlight w:val="yellow"/>
              </w:rPr>
            </w:pPr>
            <w:r w:rsidRPr="00FD1578">
              <w:rPr>
                <w:sz w:val="18"/>
                <w:szCs w:val="16"/>
              </w:rPr>
              <w:t>0,0</w:t>
            </w:r>
          </w:p>
        </w:tc>
      </w:tr>
      <w:tr w:rsidR="00830FA2" w:rsidRPr="00FD1578" w14:paraId="42EAAF49" w14:textId="77777777" w:rsidTr="001D67A3">
        <w:trPr>
          <w:trHeight w:val="69"/>
        </w:trPr>
        <w:tc>
          <w:tcPr>
            <w:tcW w:w="1283" w:type="dxa"/>
            <w:tcBorders>
              <w:top w:val="nil"/>
              <w:left w:val="single" w:sz="4" w:space="0" w:color="auto"/>
              <w:bottom w:val="single" w:sz="4" w:space="0" w:color="auto"/>
              <w:right w:val="single" w:sz="4" w:space="0" w:color="auto"/>
            </w:tcBorders>
            <w:shd w:val="clear" w:color="auto" w:fill="auto"/>
            <w:noWrap/>
            <w:hideMark/>
          </w:tcPr>
          <w:p w14:paraId="40A5964D" w14:textId="77777777" w:rsidR="00830FA2" w:rsidRPr="00FD1578" w:rsidRDefault="00830FA2" w:rsidP="008349F0">
            <w:pPr>
              <w:spacing w:after="0"/>
              <w:ind w:firstLine="0"/>
              <w:jc w:val="right"/>
              <w:rPr>
                <w:rFonts w:eastAsia="Times New Roman" w:cs="Times New Roman"/>
                <w:color w:val="000000"/>
                <w:sz w:val="18"/>
                <w:szCs w:val="18"/>
              </w:rPr>
            </w:pPr>
            <w:r w:rsidRPr="00FD1578">
              <w:rPr>
                <w:rFonts w:cs="Times New Roman"/>
                <w:sz w:val="18"/>
                <w:szCs w:val="18"/>
              </w:rPr>
              <w:t>10</w:t>
            </w:r>
          </w:p>
        </w:tc>
        <w:tc>
          <w:tcPr>
            <w:tcW w:w="8212" w:type="dxa"/>
            <w:tcBorders>
              <w:top w:val="nil"/>
              <w:left w:val="nil"/>
              <w:bottom w:val="single" w:sz="4" w:space="0" w:color="auto"/>
              <w:right w:val="single" w:sz="4" w:space="0" w:color="auto"/>
            </w:tcBorders>
            <w:shd w:val="clear" w:color="auto" w:fill="auto"/>
            <w:noWrap/>
            <w:hideMark/>
          </w:tcPr>
          <w:p w14:paraId="2B83E303" w14:textId="77777777" w:rsidR="00830FA2" w:rsidRPr="00FD1578" w:rsidRDefault="00830FA2" w:rsidP="008349F0">
            <w:pPr>
              <w:spacing w:after="0"/>
              <w:ind w:firstLine="0"/>
              <w:jc w:val="left"/>
              <w:rPr>
                <w:rFonts w:eastAsia="Times New Roman" w:cs="Times New Roman"/>
                <w:color w:val="000000"/>
                <w:sz w:val="18"/>
                <w:szCs w:val="18"/>
                <w:highlight w:val="yellow"/>
              </w:rPr>
            </w:pPr>
            <w:r w:rsidRPr="00FD1578">
              <w:rPr>
                <w:rFonts w:cs="Times New Roman"/>
                <w:sz w:val="18"/>
                <w:szCs w:val="18"/>
              </w:rPr>
              <w:t>SIA "Olimpiskais centrs Ventspils"</w:t>
            </w:r>
          </w:p>
        </w:tc>
        <w:tc>
          <w:tcPr>
            <w:tcW w:w="1792" w:type="dxa"/>
            <w:tcBorders>
              <w:top w:val="nil"/>
              <w:left w:val="nil"/>
              <w:bottom w:val="single" w:sz="4" w:space="0" w:color="auto"/>
              <w:right w:val="single" w:sz="4" w:space="0" w:color="auto"/>
            </w:tcBorders>
            <w:shd w:val="clear" w:color="auto" w:fill="auto"/>
            <w:noWrap/>
          </w:tcPr>
          <w:p w14:paraId="7DA8B829"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0,0</w:t>
            </w:r>
          </w:p>
        </w:tc>
        <w:tc>
          <w:tcPr>
            <w:tcW w:w="1417" w:type="dxa"/>
            <w:tcBorders>
              <w:top w:val="nil"/>
              <w:left w:val="nil"/>
              <w:bottom w:val="single" w:sz="4" w:space="0" w:color="auto"/>
              <w:right w:val="single" w:sz="4" w:space="0" w:color="auto"/>
            </w:tcBorders>
            <w:shd w:val="clear" w:color="auto" w:fill="auto"/>
            <w:noWrap/>
          </w:tcPr>
          <w:p w14:paraId="4CAE0770"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0,0</w:t>
            </w:r>
          </w:p>
        </w:tc>
        <w:tc>
          <w:tcPr>
            <w:tcW w:w="1417" w:type="dxa"/>
            <w:tcBorders>
              <w:top w:val="nil"/>
              <w:left w:val="nil"/>
              <w:bottom w:val="single" w:sz="4" w:space="0" w:color="auto"/>
              <w:right w:val="single" w:sz="4" w:space="0" w:color="auto"/>
            </w:tcBorders>
            <w:shd w:val="clear" w:color="auto" w:fill="auto"/>
            <w:noWrap/>
          </w:tcPr>
          <w:p w14:paraId="4B6027FB" w14:textId="77777777" w:rsidR="00830FA2" w:rsidRPr="00FD1578" w:rsidRDefault="00830FA2" w:rsidP="008349F0">
            <w:pPr>
              <w:spacing w:after="0"/>
              <w:ind w:firstLine="0"/>
              <w:jc w:val="right"/>
              <w:rPr>
                <w:rFonts w:eastAsia="Times New Roman" w:cs="Times New Roman"/>
                <w:color w:val="000000"/>
                <w:sz w:val="18"/>
                <w:szCs w:val="16"/>
                <w:highlight w:val="yellow"/>
              </w:rPr>
            </w:pPr>
            <w:r w:rsidRPr="00FD1578">
              <w:rPr>
                <w:sz w:val="18"/>
                <w:szCs w:val="16"/>
              </w:rPr>
              <w:t>0,0</w:t>
            </w:r>
          </w:p>
        </w:tc>
      </w:tr>
    </w:tbl>
    <w:p w14:paraId="40535AF6" w14:textId="77777777" w:rsidR="00830FA2" w:rsidRPr="00FD1578" w:rsidRDefault="00830FA2" w:rsidP="008349F0">
      <w:pPr>
        <w:widowControl w:val="0"/>
        <w:spacing w:before="120"/>
        <w:ind w:firstLine="0"/>
        <w:rPr>
          <w:rFonts w:cs="Times New Roman"/>
          <w:i/>
          <w:sz w:val="18"/>
          <w:szCs w:val="18"/>
        </w:rPr>
      </w:pPr>
      <w:r w:rsidRPr="00FD1578">
        <w:rPr>
          <w:rFonts w:cs="Times New Roman"/>
          <w:i/>
          <w:sz w:val="18"/>
          <w:szCs w:val="18"/>
        </w:rPr>
        <w:t>Datu avots: Valsts kase</w:t>
      </w:r>
    </w:p>
    <w:p w14:paraId="58D5683B" w14:textId="77777777" w:rsidR="00830FA2" w:rsidRPr="00FD1578" w:rsidRDefault="00830FA2" w:rsidP="008349F0">
      <w:pPr>
        <w:ind w:firstLine="0"/>
        <w:rPr>
          <w:rFonts w:eastAsiaTheme="minorHAnsi" w:cs="Calibri"/>
          <w:i/>
          <w:sz w:val="20"/>
        </w:rPr>
      </w:pPr>
      <w:r w:rsidRPr="00FD1578">
        <w:rPr>
          <w:rFonts w:cs="Times New Roman"/>
          <w:i/>
          <w:sz w:val="18"/>
          <w:szCs w:val="18"/>
        </w:rPr>
        <w:t>* Dati sagatavoti apkopojot informāciju no kapitālsabiedrību ies</w:t>
      </w:r>
      <w:r w:rsidRPr="00FD1578">
        <w:rPr>
          <w:i/>
          <w:sz w:val="20"/>
        </w:rPr>
        <w:t>niegtajām veidlapām Finanšu ministrijas organizētās aptaujas rezultātā 2024. gada jūnijā/jūlijā.</w:t>
      </w:r>
    </w:p>
    <w:p w14:paraId="6DC3273E" w14:textId="584B7555" w:rsidR="009613CE" w:rsidRPr="00FD1578" w:rsidRDefault="005E41CA" w:rsidP="008349F0">
      <w:pPr>
        <w:spacing w:after="0"/>
        <w:ind w:firstLine="0"/>
        <w:jc w:val="left"/>
        <w:rPr>
          <w:i/>
          <w:sz w:val="20"/>
          <w:highlight w:val="lightGray"/>
        </w:rPr>
      </w:pPr>
      <w:r w:rsidRPr="00FD1578">
        <w:rPr>
          <w:i/>
          <w:sz w:val="20"/>
          <w:highlight w:val="lightGray"/>
        </w:rPr>
        <w:br w:type="page"/>
      </w:r>
    </w:p>
    <w:p w14:paraId="792D188B" w14:textId="77777777" w:rsidR="002C253E" w:rsidRDefault="002C253E" w:rsidP="008349F0">
      <w:pPr>
        <w:widowControl w:val="0"/>
        <w:spacing w:after="0"/>
        <w:ind w:left="12242" w:firstLine="0"/>
        <w:jc w:val="right"/>
        <w:rPr>
          <w:rFonts w:eastAsia="Times New Roman" w:cs="Times New Roman"/>
          <w:color w:val="000000"/>
        </w:rPr>
      </w:pPr>
    </w:p>
    <w:p w14:paraId="1264E4CB" w14:textId="2E7C7F51" w:rsidR="00F95F29" w:rsidRPr="00883F63" w:rsidRDefault="00F95F29" w:rsidP="008349F0">
      <w:pPr>
        <w:widowControl w:val="0"/>
        <w:ind w:left="12240" w:firstLine="0"/>
        <w:jc w:val="right"/>
        <w:rPr>
          <w:rFonts w:eastAsia="Times New Roman" w:cs="Times New Roman"/>
          <w:color w:val="000000"/>
        </w:rPr>
      </w:pPr>
      <w:r w:rsidRPr="00883F63">
        <w:rPr>
          <w:rFonts w:eastAsia="Times New Roman" w:cs="Times New Roman"/>
          <w:color w:val="000000"/>
        </w:rPr>
        <w:t>4. pielikums</w:t>
      </w:r>
    </w:p>
    <w:tbl>
      <w:tblPr>
        <w:tblW w:w="5071" w:type="pct"/>
        <w:jc w:val="center"/>
        <w:tblLook w:val="04A0" w:firstRow="1" w:lastRow="0" w:firstColumn="1" w:lastColumn="0" w:noHBand="0" w:noVBand="1"/>
      </w:tblPr>
      <w:tblGrid>
        <w:gridCol w:w="3931"/>
        <w:gridCol w:w="1261"/>
        <w:gridCol w:w="1233"/>
        <w:gridCol w:w="1011"/>
        <w:gridCol w:w="1054"/>
        <w:gridCol w:w="1233"/>
        <w:gridCol w:w="1042"/>
        <w:gridCol w:w="1162"/>
        <w:gridCol w:w="1233"/>
        <w:gridCol w:w="1042"/>
      </w:tblGrid>
      <w:tr w:rsidR="00883F63" w:rsidRPr="00883F63" w14:paraId="26999701" w14:textId="77777777" w:rsidTr="00883F63">
        <w:trPr>
          <w:trHeight w:val="278"/>
          <w:jc w:val="center"/>
        </w:trPr>
        <w:tc>
          <w:tcPr>
            <w:tcW w:w="5000" w:type="pct"/>
            <w:gridSpan w:val="10"/>
            <w:tcBorders>
              <w:top w:val="nil"/>
              <w:left w:val="nil"/>
              <w:bottom w:val="nil"/>
              <w:right w:val="nil"/>
            </w:tcBorders>
            <w:shd w:val="clear" w:color="auto" w:fill="auto"/>
            <w:noWrap/>
            <w:vAlign w:val="center"/>
            <w:hideMark/>
          </w:tcPr>
          <w:p w14:paraId="6FCD0083" w14:textId="77777777" w:rsidR="00883F63" w:rsidRPr="00883F63" w:rsidRDefault="00883F63" w:rsidP="008349F0">
            <w:pPr>
              <w:spacing w:after="0"/>
              <w:ind w:firstLine="0"/>
              <w:jc w:val="right"/>
              <w:rPr>
                <w:rFonts w:eastAsia="Times New Roman" w:cs="Times New Roman"/>
                <w:b/>
                <w:bCs/>
                <w:color w:val="000000"/>
                <w:szCs w:val="24"/>
              </w:rPr>
            </w:pPr>
            <w:r w:rsidRPr="00883F63">
              <w:rPr>
                <w:rFonts w:eastAsia="Times New Roman" w:cs="Times New Roman"/>
                <w:b/>
                <w:bCs/>
                <w:color w:val="000000"/>
                <w:szCs w:val="24"/>
              </w:rPr>
              <w:t>Aizsardzības ministrijas pamatbudžeta programma 31.00.00. "Militārpersonu pensiju fonds"</w:t>
            </w:r>
          </w:p>
        </w:tc>
      </w:tr>
      <w:tr w:rsidR="00883F63" w:rsidRPr="00883F63" w14:paraId="5D05FD9B" w14:textId="77777777" w:rsidTr="00883F63">
        <w:trPr>
          <w:trHeight w:val="292"/>
          <w:jc w:val="center"/>
        </w:trPr>
        <w:tc>
          <w:tcPr>
            <w:tcW w:w="1384" w:type="pct"/>
            <w:tcBorders>
              <w:top w:val="nil"/>
              <w:left w:val="nil"/>
              <w:bottom w:val="single" w:sz="4" w:space="0" w:color="auto"/>
              <w:right w:val="nil"/>
            </w:tcBorders>
            <w:shd w:val="clear" w:color="auto" w:fill="auto"/>
            <w:noWrap/>
            <w:vAlign w:val="center"/>
            <w:hideMark/>
          </w:tcPr>
          <w:p w14:paraId="6D42CD1D" w14:textId="77777777" w:rsidR="00883F63" w:rsidRPr="00883F63" w:rsidRDefault="00883F63" w:rsidP="008349F0">
            <w:pPr>
              <w:spacing w:after="0"/>
              <w:ind w:firstLine="0"/>
              <w:jc w:val="left"/>
              <w:rPr>
                <w:rFonts w:eastAsia="Times New Roman" w:cs="Times New Roman"/>
                <w:b/>
                <w:bCs/>
                <w:color w:val="000000"/>
                <w:szCs w:val="24"/>
              </w:rPr>
            </w:pPr>
          </w:p>
        </w:tc>
        <w:tc>
          <w:tcPr>
            <w:tcW w:w="444" w:type="pct"/>
            <w:tcBorders>
              <w:top w:val="nil"/>
              <w:left w:val="nil"/>
              <w:bottom w:val="single" w:sz="4" w:space="0" w:color="auto"/>
              <w:right w:val="nil"/>
            </w:tcBorders>
            <w:shd w:val="clear" w:color="auto" w:fill="auto"/>
            <w:noWrap/>
            <w:vAlign w:val="center"/>
            <w:hideMark/>
          </w:tcPr>
          <w:p w14:paraId="36C3C3E0" w14:textId="77777777" w:rsidR="00883F63" w:rsidRPr="00883F63" w:rsidRDefault="00883F63" w:rsidP="008349F0">
            <w:pPr>
              <w:spacing w:after="0"/>
              <w:ind w:firstLine="0"/>
              <w:jc w:val="center"/>
              <w:rPr>
                <w:rFonts w:eastAsia="Times New Roman" w:cs="Times New Roman"/>
                <w:sz w:val="20"/>
                <w:szCs w:val="20"/>
              </w:rPr>
            </w:pPr>
          </w:p>
        </w:tc>
        <w:tc>
          <w:tcPr>
            <w:tcW w:w="434" w:type="pct"/>
            <w:tcBorders>
              <w:top w:val="nil"/>
              <w:left w:val="nil"/>
              <w:bottom w:val="single" w:sz="4" w:space="0" w:color="auto"/>
              <w:right w:val="nil"/>
            </w:tcBorders>
            <w:shd w:val="clear" w:color="auto" w:fill="auto"/>
            <w:noWrap/>
            <w:vAlign w:val="center"/>
            <w:hideMark/>
          </w:tcPr>
          <w:p w14:paraId="0F3E4969" w14:textId="77777777" w:rsidR="00883F63" w:rsidRPr="00883F63" w:rsidRDefault="00883F63" w:rsidP="008349F0">
            <w:pPr>
              <w:spacing w:after="0"/>
              <w:ind w:firstLine="0"/>
              <w:jc w:val="center"/>
              <w:rPr>
                <w:rFonts w:eastAsia="Times New Roman" w:cs="Times New Roman"/>
                <w:sz w:val="20"/>
                <w:szCs w:val="20"/>
              </w:rPr>
            </w:pPr>
          </w:p>
        </w:tc>
        <w:tc>
          <w:tcPr>
            <w:tcW w:w="356" w:type="pct"/>
            <w:tcBorders>
              <w:top w:val="nil"/>
              <w:left w:val="nil"/>
              <w:bottom w:val="single" w:sz="4" w:space="0" w:color="auto"/>
              <w:right w:val="nil"/>
            </w:tcBorders>
            <w:shd w:val="clear" w:color="auto" w:fill="auto"/>
            <w:noWrap/>
            <w:vAlign w:val="center"/>
            <w:hideMark/>
          </w:tcPr>
          <w:p w14:paraId="6392FD3C" w14:textId="77777777" w:rsidR="00883F63" w:rsidRPr="00883F63" w:rsidRDefault="00883F63" w:rsidP="008349F0">
            <w:pPr>
              <w:spacing w:after="0"/>
              <w:ind w:firstLine="0"/>
              <w:jc w:val="center"/>
              <w:rPr>
                <w:rFonts w:eastAsia="Times New Roman" w:cs="Times New Roman"/>
                <w:sz w:val="20"/>
                <w:szCs w:val="20"/>
              </w:rPr>
            </w:pPr>
          </w:p>
        </w:tc>
        <w:tc>
          <w:tcPr>
            <w:tcW w:w="371" w:type="pct"/>
            <w:tcBorders>
              <w:top w:val="nil"/>
              <w:left w:val="nil"/>
              <w:bottom w:val="single" w:sz="4" w:space="0" w:color="auto"/>
              <w:right w:val="nil"/>
            </w:tcBorders>
            <w:shd w:val="clear" w:color="auto" w:fill="auto"/>
            <w:noWrap/>
            <w:vAlign w:val="center"/>
            <w:hideMark/>
          </w:tcPr>
          <w:p w14:paraId="1909DA90" w14:textId="77777777" w:rsidR="00883F63" w:rsidRPr="00883F63" w:rsidRDefault="00883F63" w:rsidP="008349F0">
            <w:pPr>
              <w:spacing w:after="0"/>
              <w:ind w:firstLine="0"/>
              <w:jc w:val="center"/>
              <w:rPr>
                <w:rFonts w:eastAsia="Times New Roman" w:cs="Times New Roman"/>
                <w:sz w:val="20"/>
                <w:szCs w:val="20"/>
              </w:rPr>
            </w:pPr>
          </w:p>
        </w:tc>
        <w:tc>
          <w:tcPr>
            <w:tcW w:w="434" w:type="pct"/>
            <w:tcBorders>
              <w:top w:val="nil"/>
              <w:left w:val="nil"/>
              <w:bottom w:val="single" w:sz="4" w:space="0" w:color="auto"/>
              <w:right w:val="nil"/>
            </w:tcBorders>
            <w:shd w:val="clear" w:color="auto" w:fill="auto"/>
            <w:noWrap/>
            <w:vAlign w:val="center"/>
            <w:hideMark/>
          </w:tcPr>
          <w:p w14:paraId="2A129224" w14:textId="77777777" w:rsidR="00883F63" w:rsidRPr="00883F63" w:rsidRDefault="00883F63" w:rsidP="008349F0">
            <w:pPr>
              <w:spacing w:after="0"/>
              <w:ind w:firstLine="0"/>
              <w:jc w:val="center"/>
              <w:rPr>
                <w:rFonts w:eastAsia="Times New Roman" w:cs="Times New Roman"/>
                <w:sz w:val="20"/>
                <w:szCs w:val="20"/>
              </w:rPr>
            </w:pPr>
          </w:p>
        </w:tc>
        <w:tc>
          <w:tcPr>
            <w:tcW w:w="367" w:type="pct"/>
            <w:tcBorders>
              <w:top w:val="nil"/>
              <w:left w:val="nil"/>
              <w:bottom w:val="single" w:sz="4" w:space="0" w:color="auto"/>
              <w:right w:val="nil"/>
            </w:tcBorders>
            <w:shd w:val="clear" w:color="auto" w:fill="auto"/>
            <w:noWrap/>
            <w:vAlign w:val="center"/>
            <w:hideMark/>
          </w:tcPr>
          <w:p w14:paraId="257D4207" w14:textId="77777777" w:rsidR="00883F63" w:rsidRPr="00883F63" w:rsidRDefault="00883F63" w:rsidP="008349F0">
            <w:pPr>
              <w:spacing w:after="0"/>
              <w:ind w:firstLine="0"/>
              <w:jc w:val="center"/>
              <w:rPr>
                <w:rFonts w:eastAsia="Times New Roman" w:cs="Times New Roman"/>
                <w:sz w:val="20"/>
                <w:szCs w:val="20"/>
              </w:rPr>
            </w:pPr>
          </w:p>
        </w:tc>
        <w:tc>
          <w:tcPr>
            <w:tcW w:w="409" w:type="pct"/>
            <w:tcBorders>
              <w:top w:val="nil"/>
              <w:left w:val="nil"/>
              <w:bottom w:val="single" w:sz="4" w:space="0" w:color="auto"/>
              <w:right w:val="nil"/>
            </w:tcBorders>
            <w:shd w:val="clear" w:color="auto" w:fill="auto"/>
            <w:noWrap/>
            <w:vAlign w:val="center"/>
            <w:hideMark/>
          </w:tcPr>
          <w:p w14:paraId="515ABCF1" w14:textId="77777777" w:rsidR="00883F63" w:rsidRPr="00883F63" w:rsidRDefault="00883F63" w:rsidP="008349F0">
            <w:pPr>
              <w:spacing w:after="0"/>
              <w:ind w:firstLine="0"/>
              <w:jc w:val="center"/>
              <w:rPr>
                <w:rFonts w:eastAsia="Times New Roman" w:cs="Times New Roman"/>
                <w:sz w:val="20"/>
                <w:szCs w:val="20"/>
              </w:rPr>
            </w:pPr>
          </w:p>
        </w:tc>
        <w:tc>
          <w:tcPr>
            <w:tcW w:w="434" w:type="pct"/>
            <w:tcBorders>
              <w:top w:val="nil"/>
              <w:left w:val="nil"/>
              <w:bottom w:val="single" w:sz="4" w:space="0" w:color="auto"/>
              <w:right w:val="nil"/>
            </w:tcBorders>
            <w:shd w:val="clear" w:color="auto" w:fill="auto"/>
            <w:noWrap/>
            <w:vAlign w:val="center"/>
            <w:hideMark/>
          </w:tcPr>
          <w:p w14:paraId="210F3E72" w14:textId="77777777" w:rsidR="00883F63" w:rsidRPr="00883F63" w:rsidRDefault="00883F63" w:rsidP="008349F0">
            <w:pPr>
              <w:spacing w:after="0"/>
              <w:ind w:firstLine="0"/>
              <w:jc w:val="center"/>
              <w:rPr>
                <w:rFonts w:eastAsia="Times New Roman" w:cs="Times New Roman"/>
                <w:sz w:val="20"/>
                <w:szCs w:val="20"/>
              </w:rPr>
            </w:pPr>
          </w:p>
        </w:tc>
        <w:tc>
          <w:tcPr>
            <w:tcW w:w="367" w:type="pct"/>
            <w:tcBorders>
              <w:top w:val="nil"/>
              <w:left w:val="nil"/>
              <w:bottom w:val="single" w:sz="4" w:space="0" w:color="auto"/>
              <w:right w:val="nil"/>
            </w:tcBorders>
            <w:shd w:val="clear" w:color="auto" w:fill="auto"/>
            <w:noWrap/>
            <w:vAlign w:val="center"/>
            <w:hideMark/>
          </w:tcPr>
          <w:p w14:paraId="60DB6D89" w14:textId="77777777" w:rsidR="00883F63" w:rsidRPr="00883F63" w:rsidRDefault="00883F63" w:rsidP="008349F0">
            <w:pPr>
              <w:spacing w:after="0"/>
              <w:ind w:firstLine="0"/>
              <w:jc w:val="center"/>
              <w:rPr>
                <w:rFonts w:eastAsia="Times New Roman" w:cs="Times New Roman"/>
                <w:i/>
                <w:iCs/>
                <w:color w:val="000000"/>
                <w:szCs w:val="24"/>
              </w:rPr>
            </w:pPr>
          </w:p>
        </w:tc>
      </w:tr>
      <w:tr w:rsidR="00883F63" w:rsidRPr="00883F63" w14:paraId="21F1FBB0" w14:textId="77777777" w:rsidTr="002C253E">
        <w:trPr>
          <w:trHeight w:val="278"/>
          <w:jc w:val="center"/>
        </w:trPr>
        <w:tc>
          <w:tcPr>
            <w:tcW w:w="1384" w:type="pct"/>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14:paraId="49DEFF2C"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Programma/pensijas, pabalsta veids</w:t>
            </w:r>
          </w:p>
        </w:tc>
        <w:tc>
          <w:tcPr>
            <w:tcW w:w="1234" w:type="pct"/>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0AF008FD"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2025. gada</w:t>
            </w:r>
          </w:p>
        </w:tc>
        <w:tc>
          <w:tcPr>
            <w:tcW w:w="1172" w:type="pct"/>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359588C2"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2026. gada</w:t>
            </w:r>
          </w:p>
        </w:tc>
        <w:tc>
          <w:tcPr>
            <w:tcW w:w="1210" w:type="pct"/>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44AC52D1"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2027. gada</w:t>
            </w:r>
          </w:p>
        </w:tc>
      </w:tr>
      <w:tr w:rsidR="002C253E" w:rsidRPr="00883F63" w14:paraId="2C154A6C" w14:textId="77777777" w:rsidTr="002C253E">
        <w:trPr>
          <w:trHeight w:val="1020"/>
          <w:jc w:val="center"/>
        </w:trPr>
        <w:tc>
          <w:tcPr>
            <w:tcW w:w="1384" w:type="pct"/>
            <w:vMerge/>
            <w:tcBorders>
              <w:top w:val="single" w:sz="4" w:space="0" w:color="auto"/>
              <w:left w:val="single" w:sz="4" w:space="0" w:color="auto"/>
              <w:bottom w:val="single" w:sz="4" w:space="0" w:color="auto"/>
              <w:right w:val="single" w:sz="4" w:space="0" w:color="auto"/>
            </w:tcBorders>
            <w:vAlign w:val="center"/>
            <w:hideMark/>
          </w:tcPr>
          <w:p w14:paraId="5B5147A8" w14:textId="77777777" w:rsidR="00883F63" w:rsidRPr="00883F63" w:rsidRDefault="00883F63" w:rsidP="008349F0">
            <w:pPr>
              <w:spacing w:after="0"/>
              <w:ind w:firstLine="0"/>
              <w:jc w:val="left"/>
              <w:rPr>
                <w:rFonts w:eastAsia="Times New Roman" w:cs="Times New Roman"/>
                <w:b/>
                <w:bCs/>
                <w:color w:val="000000"/>
                <w:sz w:val="20"/>
                <w:szCs w:val="20"/>
              </w:rPr>
            </w:pPr>
          </w:p>
        </w:tc>
        <w:tc>
          <w:tcPr>
            <w:tcW w:w="44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836E520"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pensijas/ pabalsta/ atlīdzības apmērs vidēji mēnesī (</w:t>
            </w:r>
            <w:proofErr w:type="spellStart"/>
            <w:r w:rsidRPr="00883F63">
              <w:rPr>
                <w:rFonts w:eastAsia="Times New Roman" w:cs="Times New Roman"/>
                <w:b/>
                <w:bCs/>
                <w:i/>
                <w:iCs/>
                <w:color w:val="000000"/>
                <w:sz w:val="20"/>
                <w:szCs w:val="20"/>
              </w:rPr>
              <w:t>euro</w:t>
            </w:r>
            <w:proofErr w:type="spellEnd"/>
            <w:r w:rsidRPr="00883F63">
              <w:rPr>
                <w:rFonts w:eastAsia="Times New Roman" w:cs="Times New Roman"/>
                <w:b/>
                <w:bCs/>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D00E872"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kontingents</w:t>
            </w:r>
          </w:p>
          <w:p w14:paraId="36E245DD"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(vidēji mēnesī)</w:t>
            </w:r>
          </w:p>
        </w:tc>
        <w:tc>
          <w:tcPr>
            <w:tcW w:w="356"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19F1112"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izdevumi kopā</w:t>
            </w:r>
          </w:p>
          <w:p w14:paraId="6E5E9496"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w:t>
            </w:r>
            <w:proofErr w:type="spellStart"/>
            <w:r w:rsidRPr="00883F63">
              <w:rPr>
                <w:rFonts w:eastAsia="Times New Roman" w:cs="Times New Roman"/>
                <w:b/>
                <w:bCs/>
                <w:i/>
                <w:iCs/>
                <w:color w:val="000000"/>
                <w:sz w:val="20"/>
                <w:szCs w:val="20"/>
              </w:rPr>
              <w:t>euro</w:t>
            </w:r>
            <w:proofErr w:type="spellEnd"/>
            <w:r w:rsidRPr="00883F63">
              <w:rPr>
                <w:rFonts w:eastAsia="Times New Roman" w:cs="Times New Roman"/>
                <w:b/>
                <w:bCs/>
                <w:color w:val="000000"/>
                <w:sz w:val="20"/>
                <w:szCs w:val="20"/>
              </w:rPr>
              <w:t>)</w:t>
            </w:r>
          </w:p>
        </w:tc>
        <w:tc>
          <w:tcPr>
            <w:tcW w:w="371"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D772F69"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pensijas/ pabalsta/ atlīdzības apmērs vidēji mēnesī (</w:t>
            </w:r>
            <w:proofErr w:type="spellStart"/>
            <w:r w:rsidRPr="00883F63">
              <w:rPr>
                <w:rFonts w:eastAsia="Times New Roman" w:cs="Times New Roman"/>
                <w:b/>
                <w:bCs/>
                <w:i/>
                <w:iCs/>
                <w:color w:val="000000"/>
                <w:sz w:val="20"/>
                <w:szCs w:val="20"/>
              </w:rPr>
              <w:t>euro</w:t>
            </w:r>
            <w:proofErr w:type="spellEnd"/>
            <w:r w:rsidRPr="00883F63">
              <w:rPr>
                <w:rFonts w:eastAsia="Times New Roman" w:cs="Times New Roman"/>
                <w:b/>
                <w:bCs/>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0629ECC"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kontingents</w:t>
            </w:r>
          </w:p>
          <w:p w14:paraId="0272AED0"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(vidēji mēnesī)</w:t>
            </w:r>
          </w:p>
        </w:tc>
        <w:tc>
          <w:tcPr>
            <w:tcW w:w="367"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4A9059B"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izdevumi kopā</w:t>
            </w:r>
          </w:p>
          <w:p w14:paraId="6348CCF2"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w:t>
            </w:r>
            <w:proofErr w:type="spellStart"/>
            <w:r w:rsidRPr="00883F63">
              <w:rPr>
                <w:rFonts w:eastAsia="Times New Roman" w:cs="Times New Roman"/>
                <w:b/>
                <w:bCs/>
                <w:i/>
                <w:iCs/>
                <w:color w:val="000000"/>
                <w:sz w:val="20"/>
                <w:szCs w:val="20"/>
              </w:rPr>
              <w:t>euro</w:t>
            </w:r>
            <w:proofErr w:type="spellEnd"/>
            <w:r w:rsidRPr="00883F63">
              <w:rPr>
                <w:rFonts w:eastAsia="Times New Roman" w:cs="Times New Roman"/>
                <w:b/>
                <w:bCs/>
                <w:color w:val="000000"/>
                <w:sz w:val="20"/>
                <w:szCs w:val="20"/>
              </w:rPr>
              <w:t>)</w:t>
            </w:r>
          </w:p>
        </w:tc>
        <w:tc>
          <w:tcPr>
            <w:tcW w:w="409"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AEB553D"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pensijas/ pabalsta/ atlīdzības apmērs vidēji mēnesī (</w:t>
            </w:r>
            <w:proofErr w:type="spellStart"/>
            <w:r w:rsidRPr="00883F63">
              <w:rPr>
                <w:rFonts w:eastAsia="Times New Roman" w:cs="Times New Roman"/>
                <w:b/>
                <w:bCs/>
                <w:i/>
                <w:iCs/>
                <w:color w:val="000000"/>
                <w:sz w:val="20"/>
                <w:szCs w:val="20"/>
              </w:rPr>
              <w:t>euro</w:t>
            </w:r>
            <w:proofErr w:type="spellEnd"/>
            <w:r w:rsidRPr="00883F63">
              <w:rPr>
                <w:rFonts w:eastAsia="Times New Roman" w:cs="Times New Roman"/>
                <w:b/>
                <w:bCs/>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1320750"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kontingents</w:t>
            </w:r>
          </w:p>
          <w:p w14:paraId="674F4F2B"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(vidēji mēnesī)</w:t>
            </w:r>
          </w:p>
        </w:tc>
        <w:tc>
          <w:tcPr>
            <w:tcW w:w="367" w:type="pct"/>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89D0CEB"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izdevumi kopā</w:t>
            </w:r>
          </w:p>
          <w:p w14:paraId="6C058D94" w14:textId="77777777" w:rsidR="00883F63" w:rsidRPr="00883F63" w:rsidRDefault="00883F63" w:rsidP="008349F0">
            <w:pPr>
              <w:spacing w:after="0"/>
              <w:ind w:firstLine="0"/>
              <w:jc w:val="center"/>
              <w:rPr>
                <w:rFonts w:eastAsia="Times New Roman" w:cs="Times New Roman"/>
                <w:b/>
                <w:bCs/>
                <w:color w:val="000000"/>
                <w:sz w:val="20"/>
                <w:szCs w:val="20"/>
              </w:rPr>
            </w:pPr>
            <w:r w:rsidRPr="00883F63">
              <w:rPr>
                <w:rFonts w:eastAsia="Times New Roman" w:cs="Times New Roman"/>
                <w:b/>
                <w:bCs/>
                <w:color w:val="000000"/>
                <w:sz w:val="20"/>
                <w:szCs w:val="20"/>
              </w:rPr>
              <w:t>(</w:t>
            </w:r>
            <w:proofErr w:type="spellStart"/>
            <w:r w:rsidRPr="00883F63">
              <w:rPr>
                <w:rFonts w:eastAsia="Times New Roman" w:cs="Times New Roman"/>
                <w:b/>
                <w:bCs/>
                <w:i/>
                <w:iCs/>
                <w:color w:val="000000"/>
                <w:sz w:val="20"/>
                <w:szCs w:val="20"/>
              </w:rPr>
              <w:t>euro</w:t>
            </w:r>
            <w:proofErr w:type="spellEnd"/>
            <w:r w:rsidRPr="00883F63">
              <w:rPr>
                <w:rFonts w:eastAsia="Times New Roman" w:cs="Times New Roman"/>
                <w:b/>
                <w:bCs/>
                <w:color w:val="000000"/>
                <w:sz w:val="20"/>
                <w:szCs w:val="20"/>
              </w:rPr>
              <w:t>)</w:t>
            </w:r>
          </w:p>
        </w:tc>
      </w:tr>
      <w:tr w:rsidR="00883F63" w:rsidRPr="00883F63" w14:paraId="1D46A162" w14:textId="77777777" w:rsidTr="00883F63">
        <w:trPr>
          <w:trHeight w:val="265"/>
          <w:jc w:val="center"/>
        </w:trPr>
        <w:tc>
          <w:tcPr>
            <w:tcW w:w="1384" w:type="pct"/>
            <w:tcBorders>
              <w:top w:val="single" w:sz="4" w:space="0" w:color="auto"/>
              <w:left w:val="single" w:sz="8" w:space="0" w:color="auto"/>
              <w:bottom w:val="nil"/>
              <w:right w:val="single" w:sz="8" w:space="0" w:color="auto"/>
            </w:tcBorders>
            <w:shd w:val="clear" w:color="000000" w:fill="FFFFFF"/>
            <w:noWrap/>
            <w:vAlign w:val="center"/>
            <w:hideMark/>
          </w:tcPr>
          <w:p w14:paraId="47D4DB30" w14:textId="77777777" w:rsidR="00883F63" w:rsidRPr="00883F63" w:rsidRDefault="00883F63" w:rsidP="008349F0">
            <w:pPr>
              <w:spacing w:after="0"/>
              <w:ind w:firstLine="0"/>
              <w:rPr>
                <w:rFonts w:eastAsia="Times New Roman" w:cs="Times New Roman"/>
                <w:b/>
                <w:bCs/>
                <w:sz w:val="18"/>
                <w:szCs w:val="18"/>
              </w:rPr>
            </w:pPr>
            <w:r w:rsidRPr="00883F63">
              <w:rPr>
                <w:rFonts w:eastAsia="Times New Roman" w:cs="Times New Roman"/>
                <w:b/>
                <w:bCs/>
                <w:sz w:val="18"/>
                <w:szCs w:val="18"/>
              </w:rPr>
              <w:t xml:space="preserve">Izdevumi kopā </w:t>
            </w:r>
          </w:p>
        </w:tc>
        <w:tc>
          <w:tcPr>
            <w:tcW w:w="444" w:type="pct"/>
            <w:vMerge w:val="restart"/>
            <w:tcBorders>
              <w:top w:val="single" w:sz="4" w:space="0" w:color="auto"/>
              <w:left w:val="single" w:sz="8" w:space="0" w:color="auto"/>
              <w:bottom w:val="single" w:sz="8" w:space="0" w:color="000000"/>
              <w:right w:val="single" w:sz="8" w:space="0" w:color="auto"/>
            </w:tcBorders>
            <w:shd w:val="clear" w:color="auto" w:fill="auto"/>
            <w:hideMark/>
          </w:tcPr>
          <w:p w14:paraId="4BE9A4FE" w14:textId="77777777" w:rsidR="00883F63" w:rsidRPr="00883F63" w:rsidRDefault="00883F63" w:rsidP="008349F0">
            <w:pPr>
              <w:spacing w:after="0"/>
              <w:ind w:firstLine="0"/>
              <w:jc w:val="center"/>
              <w:rPr>
                <w:rFonts w:eastAsia="Times New Roman" w:cs="Times New Roman"/>
                <w:sz w:val="18"/>
                <w:szCs w:val="18"/>
              </w:rPr>
            </w:pPr>
            <w:r w:rsidRPr="00883F63">
              <w:rPr>
                <w:rFonts w:eastAsia="Times New Roman" w:cs="Times New Roman"/>
                <w:sz w:val="18"/>
                <w:szCs w:val="18"/>
              </w:rPr>
              <w:t xml:space="preserve"> </w:t>
            </w:r>
          </w:p>
          <w:p w14:paraId="5D6B74F8" w14:textId="77777777" w:rsidR="00883F63" w:rsidRPr="00883F63" w:rsidRDefault="00883F63" w:rsidP="008349F0">
            <w:pPr>
              <w:spacing w:after="0"/>
              <w:ind w:firstLine="0"/>
              <w:jc w:val="center"/>
              <w:rPr>
                <w:rFonts w:eastAsia="Times New Roman" w:cs="Times New Roman"/>
                <w:sz w:val="18"/>
                <w:szCs w:val="18"/>
              </w:rPr>
            </w:pPr>
          </w:p>
        </w:tc>
        <w:tc>
          <w:tcPr>
            <w:tcW w:w="434" w:type="pct"/>
            <w:vMerge w:val="restart"/>
            <w:tcBorders>
              <w:top w:val="single" w:sz="4" w:space="0" w:color="auto"/>
              <w:left w:val="single" w:sz="8" w:space="0" w:color="auto"/>
              <w:bottom w:val="single" w:sz="8" w:space="0" w:color="000000"/>
              <w:right w:val="single" w:sz="8" w:space="0" w:color="auto"/>
            </w:tcBorders>
            <w:shd w:val="clear" w:color="auto" w:fill="auto"/>
            <w:hideMark/>
          </w:tcPr>
          <w:p w14:paraId="7E733FFB" w14:textId="77777777" w:rsidR="00883F63" w:rsidRPr="00883F63" w:rsidRDefault="00883F63" w:rsidP="008349F0">
            <w:pPr>
              <w:spacing w:after="0"/>
              <w:ind w:firstLine="0"/>
              <w:jc w:val="center"/>
              <w:rPr>
                <w:rFonts w:eastAsia="Times New Roman" w:cs="Times New Roman"/>
                <w:sz w:val="18"/>
                <w:szCs w:val="18"/>
              </w:rPr>
            </w:pPr>
            <w:r w:rsidRPr="00883F63">
              <w:rPr>
                <w:rFonts w:eastAsia="Times New Roman" w:cs="Times New Roman"/>
                <w:sz w:val="18"/>
                <w:szCs w:val="18"/>
              </w:rPr>
              <w:t xml:space="preserve"> </w:t>
            </w:r>
          </w:p>
          <w:p w14:paraId="266A83FC" w14:textId="77777777" w:rsidR="00883F63" w:rsidRPr="00883F63" w:rsidRDefault="00883F63" w:rsidP="008349F0">
            <w:pPr>
              <w:spacing w:after="0"/>
              <w:ind w:firstLine="0"/>
              <w:jc w:val="center"/>
              <w:rPr>
                <w:rFonts w:eastAsia="Times New Roman" w:cs="Times New Roman"/>
                <w:sz w:val="18"/>
                <w:szCs w:val="18"/>
              </w:rPr>
            </w:pPr>
          </w:p>
        </w:tc>
        <w:tc>
          <w:tcPr>
            <w:tcW w:w="356" w:type="pct"/>
            <w:vMerge w:val="restart"/>
            <w:tcBorders>
              <w:top w:val="single" w:sz="4" w:space="0" w:color="auto"/>
              <w:left w:val="single" w:sz="8" w:space="0" w:color="auto"/>
              <w:bottom w:val="single" w:sz="8" w:space="0" w:color="000000"/>
              <w:right w:val="single" w:sz="8" w:space="0" w:color="auto"/>
            </w:tcBorders>
            <w:shd w:val="clear" w:color="auto" w:fill="auto"/>
          </w:tcPr>
          <w:p w14:paraId="5F562181" w14:textId="77777777" w:rsidR="00883F63" w:rsidRPr="00883F63" w:rsidRDefault="00883F63" w:rsidP="008349F0">
            <w:pPr>
              <w:spacing w:after="0"/>
              <w:ind w:firstLine="0"/>
              <w:rPr>
                <w:rFonts w:eastAsia="Times New Roman" w:cs="Times New Roman"/>
                <w:b/>
                <w:bCs/>
                <w:sz w:val="18"/>
                <w:szCs w:val="18"/>
              </w:rPr>
            </w:pPr>
            <w:r w:rsidRPr="00883F63">
              <w:rPr>
                <w:rFonts w:eastAsia="Times New Roman" w:cs="Times New Roman"/>
                <w:sz w:val="18"/>
                <w:szCs w:val="18"/>
              </w:rPr>
              <w:t>19 334 450</w:t>
            </w:r>
          </w:p>
          <w:p w14:paraId="06502C3B" w14:textId="77777777" w:rsidR="00883F63" w:rsidRPr="00883F63" w:rsidRDefault="00883F63" w:rsidP="008349F0">
            <w:pPr>
              <w:spacing w:after="0"/>
              <w:ind w:firstLine="0"/>
              <w:jc w:val="right"/>
              <w:rPr>
                <w:rFonts w:eastAsia="Times New Roman" w:cs="Times New Roman"/>
                <w:b/>
                <w:bCs/>
                <w:sz w:val="18"/>
                <w:szCs w:val="18"/>
              </w:rPr>
            </w:pPr>
          </w:p>
        </w:tc>
        <w:tc>
          <w:tcPr>
            <w:tcW w:w="371" w:type="pct"/>
            <w:vMerge w:val="restart"/>
            <w:tcBorders>
              <w:top w:val="single" w:sz="4" w:space="0" w:color="auto"/>
              <w:left w:val="single" w:sz="8" w:space="0" w:color="auto"/>
              <w:bottom w:val="single" w:sz="8" w:space="0" w:color="000000"/>
              <w:right w:val="single" w:sz="8" w:space="0" w:color="auto"/>
            </w:tcBorders>
            <w:shd w:val="clear" w:color="auto" w:fill="auto"/>
            <w:noWrap/>
            <w:hideMark/>
          </w:tcPr>
          <w:p w14:paraId="4CBD8928" w14:textId="77777777" w:rsidR="00883F63" w:rsidRPr="00883F63" w:rsidRDefault="00883F63" w:rsidP="008349F0">
            <w:pPr>
              <w:spacing w:after="0"/>
              <w:ind w:firstLine="0"/>
              <w:jc w:val="left"/>
              <w:rPr>
                <w:rFonts w:eastAsia="Times New Roman" w:cs="Times New Roman"/>
                <w:sz w:val="18"/>
                <w:szCs w:val="18"/>
              </w:rPr>
            </w:pPr>
            <w:r w:rsidRPr="00883F63">
              <w:rPr>
                <w:rFonts w:eastAsia="Times New Roman" w:cs="Times New Roman"/>
                <w:sz w:val="18"/>
                <w:szCs w:val="18"/>
              </w:rPr>
              <w:t xml:space="preserve"> </w:t>
            </w:r>
          </w:p>
          <w:p w14:paraId="1E43A670" w14:textId="77777777" w:rsidR="00883F63" w:rsidRPr="00883F63" w:rsidRDefault="00883F63" w:rsidP="008349F0">
            <w:pPr>
              <w:spacing w:after="0"/>
              <w:ind w:firstLine="0"/>
              <w:jc w:val="left"/>
              <w:rPr>
                <w:rFonts w:eastAsia="Times New Roman" w:cs="Times New Roman"/>
                <w:sz w:val="18"/>
                <w:szCs w:val="18"/>
              </w:rPr>
            </w:pPr>
          </w:p>
        </w:tc>
        <w:tc>
          <w:tcPr>
            <w:tcW w:w="434" w:type="pct"/>
            <w:vMerge w:val="restart"/>
            <w:tcBorders>
              <w:top w:val="single" w:sz="4" w:space="0" w:color="auto"/>
              <w:left w:val="single" w:sz="8" w:space="0" w:color="auto"/>
              <w:bottom w:val="single" w:sz="8" w:space="0" w:color="000000"/>
              <w:right w:val="single" w:sz="8" w:space="0" w:color="auto"/>
            </w:tcBorders>
            <w:shd w:val="clear" w:color="auto" w:fill="auto"/>
            <w:noWrap/>
            <w:hideMark/>
          </w:tcPr>
          <w:p w14:paraId="2454E78A" w14:textId="77777777" w:rsidR="00883F63" w:rsidRPr="00883F63" w:rsidRDefault="00883F63" w:rsidP="008349F0">
            <w:pPr>
              <w:spacing w:after="0"/>
              <w:ind w:firstLine="0"/>
              <w:jc w:val="left"/>
              <w:rPr>
                <w:rFonts w:eastAsia="Times New Roman" w:cs="Times New Roman"/>
                <w:sz w:val="18"/>
                <w:szCs w:val="18"/>
              </w:rPr>
            </w:pPr>
            <w:r w:rsidRPr="00883F63">
              <w:rPr>
                <w:rFonts w:eastAsia="Times New Roman" w:cs="Times New Roman"/>
                <w:sz w:val="18"/>
                <w:szCs w:val="18"/>
              </w:rPr>
              <w:t xml:space="preserve"> </w:t>
            </w:r>
          </w:p>
          <w:p w14:paraId="68434C3B" w14:textId="77777777" w:rsidR="00883F63" w:rsidRPr="00883F63" w:rsidRDefault="00883F63" w:rsidP="008349F0">
            <w:pPr>
              <w:spacing w:after="0"/>
              <w:ind w:firstLine="0"/>
              <w:jc w:val="left"/>
              <w:rPr>
                <w:rFonts w:eastAsia="Times New Roman" w:cs="Times New Roman"/>
                <w:sz w:val="18"/>
                <w:szCs w:val="18"/>
              </w:rPr>
            </w:pPr>
          </w:p>
        </w:tc>
        <w:tc>
          <w:tcPr>
            <w:tcW w:w="367" w:type="pct"/>
            <w:vMerge w:val="restart"/>
            <w:tcBorders>
              <w:top w:val="single" w:sz="4" w:space="0" w:color="auto"/>
              <w:left w:val="single" w:sz="8" w:space="0" w:color="auto"/>
              <w:bottom w:val="single" w:sz="8" w:space="0" w:color="000000"/>
              <w:right w:val="single" w:sz="8" w:space="0" w:color="auto"/>
            </w:tcBorders>
            <w:shd w:val="clear" w:color="auto" w:fill="auto"/>
            <w:hideMark/>
          </w:tcPr>
          <w:p w14:paraId="78D06EFD" w14:textId="77777777" w:rsidR="00883F63" w:rsidRPr="00883F63" w:rsidRDefault="00883F63" w:rsidP="008349F0">
            <w:pPr>
              <w:spacing w:after="0"/>
              <w:ind w:firstLine="0"/>
              <w:jc w:val="right"/>
              <w:rPr>
                <w:rFonts w:eastAsia="Times New Roman" w:cs="Times New Roman"/>
                <w:b/>
                <w:bCs/>
                <w:sz w:val="18"/>
                <w:szCs w:val="18"/>
              </w:rPr>
            </w:pPr>
            <w:r w:rsidRPr="00883F63">
              <w:rPr>
                <w:rFonts w:eastAsia="Times New Roman" w:cs="Times New Roman"/>
                <w:sz w:val="18"/>
                <w:szCs w:val="18"/>
              </w:rPr>
              <w:t>19 575 701</w:t>
            </w:r>
          </w:p>
          <w:p w14:paraId="6F3ECDE7" w14:textId="77777777" w:rsidR="00883F63" w:rsidRPr="00883F63" w:rsidRDefault="00883F63" w:rsidP="008349F0">
            <w:pPr>
              <w:spacing w:after="0"/>
              <w:ind w:firstLine="0"/>
              <w:jc w:val="right"/>
              <w:rPr>
                <w:rFonts w:eastAsia="Times New Roman" w:cs="Times New Roman"/>
                <w:b/>
                <w:bCs/>
                <w:sz w:val="18"/>
                <w:szCs w:val="18"/>
              </w:rPr>
            </w:pPr>
          </w:p>
        </w:tc>
        <w:tc>
          <w:tcPr>
            <w:tcW w:w="409" w:type="pct"/>
            <w:vMerge w:val="restart"/>
            <w:tcBorders>
              <w:top w:val="single" w:sz="4" w:space="0" w:color="auto"/>
              <w:left w:val="single" w:sz="8" w:space="0" w:color="auto"/>
              <w:bottom w:val="single" w:sz="8" w:space="0" w:color="000000"/>
              <w:right w:val="single" w:sz="8" w:space="0" w:color="auto"/>
            </w:tcBorders>
            <w:shd w:val="clear" w:color="auto" w:fill="auto"/>
            <w:noWrap/>
            <w:hideMark/>
          </w:tcPr>
          <w:p w14:paraId="576E09A2" w14:textId="77777777" w:rsidR="00883F63" w:rsidRPr="00883F63" w:rsidRDefault="00883F63" w:rsidP="008349F0">
            <w:pPr>
              <w:spacing w:after="0"/>
              <w:ind w:firstLine="0"/>
              <w:jc w:val="left"/>
              <w:rPr>
                <w:rFonts w:eastAsia="Times New Roman" w:cs="Times New Roman"/>
                <w:sz w:val="18"/>
                <w:szCs w:val="18"/>
              </w:rPr>
            </w:pPr>
            <w:r w:rsidRPr="00883F63">
              <w:rPr>
                <w:rFonts w:eastAsia="Times New Roman" w:cs="Times New Roman"/>
                <w:sz w:val="18"/>
                <w:szCs w:val="18"/>
              </w:rPr>
              <w:t xml:space="preserve"> </w:t>
            </w:r>
          </w:p>
          <w:p w14:paraId="3374694A" w14:textId="77777777" w:rsidR="00883F63" w:rsidRPr="00883F63" w:rsidRDefault="00883F63" w:rsidP="008349F0">
            <w:pPr>
              <w:spacing w:after="0"/>
              <w:ind w:firstLine="0"/>
              <w:jc w:val="left"/>
              <w:rPr>
                <w:rFonts w:eastAsia="Times New Roman" w:cs="Times New Roman"/>
                <w:sz w:val="18"/>
                <w:szCs w:val="18"/>
              </w:rPr>
            </w:pPr>
          </w:p>
        </w:tc>
        <w:tc>
          <w:tcPr>
            <w:tcW w:w="434" w:type="pct"/>
            <w:vMerge w:val="restart"/>
            <w:tcBorders>
              <w:top w:val="single" w:sz="4" w:space="0" w:color="auto"/>
              <w:left w:val="single" w:sz="8" w:space="0" w:color="auto"/>
              <w:bottom w:val="single" w:sz="8" w:space="0" w:color="000000"/>
              <w:right w:val="single" w:sz="8" w:space="0" w:color="auto"/>
            </w:tcBorders>
            <w:shd w:val="clear" w:color="auto" w:fill="auto"/>
            <w:noWrap/>
            <w:hideMark/>
          </w:tcPr>
          <w:p w14:paraId="13F802C5" w14:textId="77777777" w:rsidR="00883F63" w:rsidRPr="00883F63" w:rsidRDefault="00883F63" w:rsidP="008349F0">
            <w:pPr>
              <w:spacing w:after="0"/>
              <w:ind w:firstLine="0"/>
              <w:jc w:val="left"/>
              <w:rPr>
                <w:rFonts w:eastAsia="Times New Roman" w:cs="Times New Roman"/>
                <w:sz w:val="18"/>
                <w:szCs w:val="18"/>
              </w:rPr>
            </w:pPr>
            <w:r w:rsidRPr="00883F63">
              <w:rPr>
                <w:rFonts w:eastAsia="Times New Roman" w:cs="Times New Roman"/>
                <w:sz w:val="18"/>
                <w:szCs w:val="18"/>
              </w:rPr>
              <w:t xml:space="preserve"> </w:t>
            </w:r>
          </w:p>
          <w:p w14:paraId="2C8EEC9A" w14:textId="77777777" w:rsidR="00883F63" w:rsidRPr="00883F63" w:rsidRDefault="00883F63" w:rsidP="008349F0">
            <w:pPr>
              <w:spacing w:after="0"/>
              <w:ind w:firstLine="0"/>
              <w:jc w:val="left"/>
              <w:rPr>
                <w:rFonts w:eastAsia="Times New Roman" w:cs="Times New Roman"/>
                <w:sz w:val="18"/>
                <w:szCs w:val="18"/>
              </w:rPr>
            </w:pPr>
          </w:p>
        </w:tc>
        <w:tc>
          <w:tcPr>
            <w:tcW w:w="367" w:type="pct"/>
            <w:vMerge w:val="restart"/>
            <w:tcBorders>
              <w:top w:val="single" w:sz="4" w:space="0" w:color="auto"/>
              <w:left w:val="single" w:sz="8" w:space="0" w:color="auto"/>
              <w:bottom w:val="single" w:sz="8" w:space="0" w:color="000000"/>
              <w:right w:val="single" w:sz="8" w:space="0" w:color="auto"/>
            </w:tcBorders>
            <w:shd w:val="clear" w:color="auto" w:fill="auto"/>
            <w:hideMark/>
          </w:tcPr>
          <w:p w14:paraId="021789CB" w14:textId="77777777" w:rsidR="00883F63" w:rsidRPr="00883F63" w:rsidRDefault="00883F63" w:rsidP="008349F0">
            <w:pPr>
              <w:spacing w:after="0"/>
              <w:ind w:firstLine="0"/>
              <w:jc w:val="right"/>
              <w:rPr>
                <w:rFonts w:eastAsia="Times New Roman" w:cs="Times New Roman"/>
                <w:b/>
                <w:bCs/>
                <w:sz w:val="18"/>
                <w:szCs w:val="18"/>
              </w:rPr>
            </w:pPr>
            <w:r w:rsidRPr="00883F63">
              <w:rPr>
                <w:rFonts w:eastAsia="Times New Roman" w:cs="Times New Roman"/>
                <w:sz w:val="18"/>
                <w:szCs w:val="18"/>
              </w:rPr>
              <w:t>19 827 343</w:t>
            </w:r>
          </w:p>
          <w:p w14:paraId="5C0DECEA" w14:textId="77777777" w:rsidR="00883F63" w:rsidRPr="00883F63" w:rsidRDefault="00883F63" w:rsidP="008349F0">
            <w:pPr>
              <w:spacing w:after="0"/>
              <w:ind w:firstLine="0"/>
              <w:jc w:val="right"/>
              <w:rPr>
                <w:rFonts w:eastAsia="Times New Roman" w:cs="Times New Roman"/>
                <w:b/>
                <w:bCs/>
                <w:sz w:val="18"/>
                <w:szCs w:val="18"/>
              </w:rPr>
            </w:pPr>
          </w:p>
        </w:tc>
      </w:tr>
      <w:tr w:rsidR="00883F63" w:rsidRPr="00883F63" w14:paraId="7D333253" w14:textId="77777777" w:rsidTr="00883F63">
        <w:trPr>
          <w:trHeight w:val="278"/>
          <w:jc w:val="center"/>
        </w:trPr>
        <w:tc>
          <w:tcPr>
            <w:tcW w:w="1384" w:type="pct"/>
            <w:tcBorders>
              <w:top w:val="nil"/>
              <w:left w:val="single" w:sz="8" w:space="0" w:color="auto"/>
              <w:bottom w:val="single" w:sz="8" w:space="0" w:color="auto"/>
              <w:right w:val="single" w:sz="8" w:space="0" w:color="auto"/>
            </w:tcBorders>
            <w:shd w:val="clear" w:color="000000" w:fill="FFFFFF"/>
            <w:noWrap/>
            <w:vAlign w:val="center"/>
            <w:hideMark/>
          </w:tcPr>
          <w:p w14:paraId="39A9E4F3" w14:textId="77777777" w:rsidR="00883F63" w:rsidRPr="00883F63" w:rsidRDefault="00883F63" w:rsidP="008349F0">
            <w:pPr>
              <w:spacing w:after="0"/>
              <w:ind w:firstLine="0"/>
              <w:rPr>
                <w:rFonts w:eastAsia="Times New Roman" w:cs="Times New Roman"/>
                <w:sz w:val="18"/>
                <w:szCs w:val="18"/>
              </w:rPr>
            </w:pPr>
            <w:r w:rsidRPr="00883F63">
              <w:rPr>
                <w:rFonts w:eastAsia="Times New Roman" w:cs="Times New Roman"/>
                <w:sz w:val="18"/>
                <w:szCs w:val="18"/>
              </w:rPr>
              <w:t>(EKK 6000 Sociālie pabalsti)</w:t>
            </w:r>
          </w:p>
        </w:tc>
        <w:tc>
          <w:tcPr>
            <w:tcW w:w="444" w:type="pct"/>
            <w:vMerge/>
            <w:tcBorders>
              <w:top w:val="nil"/>
              <w:left w:val="single" w:sz="8" w:space="0" w:color="auto"/>
              <w:bottom w:val="single" w:sz="8" w:space="0" w:color="000000"/>
              <w:right w:val="single" w:sz="8" w:space="0" w:color="auto"/>
            </w:tcBorders>
            <w:hideMark/>
          </w:tcPr>
          <w:p w14:paraId="45C10888" w14:textId="77777777" w:rsidR="00883F63" w:rsidRPr="00883F63" w:rsidRDefault="00883F63" w:rsidP="008349F0">
            <w:pPr>
              <w:spacing w:after="0"/>
              <w:ind w:firstLine="0"/>
              <w:jc w:val="left"/>
              <w:rPr>
                <w:rFonts w:eastAsia="Times New Roman" w:cs="Times New Roman"/>
                <w:sz w:val="18"/>
                <w:szCs w:val="18"/>
              </w:rPr>
            </w:pPr>
          </w:p>
        </w:tc>
        <w:tc>
          <w:tcPr>
            <w:tcW w:w="434" w:type="pct"/>
            <w:vMerge/>
            <w:tcBorders>
              <w:top w:val="nil"/>
              <w:left w:val="single" w:sz="8" w:space="0" w:color="auto"/>
              <w:bottom w:val="single" w:sz="8" w:space="0" w:color="000000"/>
              <w:right w:val="single" w:sz="8" w:space="0" w:color="auto"/>
            </w:tcBorders>
            <w:hideMark/>
          </w:tcPr>
          <w:p w14:paraId="19712379" w14:textId="77777777" w:rsidR="00883F63" w:rsidRPr="00883F63" w:rsidRDefault="00883F63" w:rsidP="008349F0">
            <w:pPr>
              <w:spacing w:after="0"/>
              <w:ind w:firstLine="0"/>
              <w:jc w:val="left"/>
              <w:rPr>
                <w:rFonts w:eastAsia="Times New Roman" w:cs="Times New Roman"/>
                <w:sz w:val="18"/>
                <w:szCs w:val="18"/>
              </w:rPr>
            </w:pPr>
          </w:p>
        </w:tc>
        <w:tc>
          <w:tcPr>
            <w:tcW w:w="356" w:type="pct"/>
            <w:vMerge/>
            <w:tcBorders>
              <w:top w:val="nil"/>
              <w:left w:val="single" w:sz="8" w:space="0" w:color="auto"/>
              <w:bottom w:val="single" w:sz="8" w:space="0" w:color="000000"/>
              <w:right w:val="single" w:sz="8" w:space="0" w:color="auto"/>
            </w:tcBorders>
          </w:tcPr>
          <w:p w14:paraId="246A992C" w14:textId="77777777" w:rsidR="00883F63" w:rsidRPr="00883F63" w:rsidRDefault="00883F63" w:rsidP="008349F0">
            <w:pPr>
              <w:spacing w:after="0"/>
              <w:ind w:firstLine="0"/>
              <w:jc w:val="left"/>
              <w:rPr>
                <w:rFonts w:eastAsia="Times New Roman" w:cs="Times New Roman"/>
                <w:b/>
                <w:bCs/>
                <w:sz w:val="18"/>
                <w:szCs w:val="18"/>
              </w:rPr>
            </w:pPr>
          </w:p>
        </w:tc>
        <w:tc>
          <w:tcPr>
            <w:tcW w:w="371" w:type="pct"/>
            <w:vMerge/>
            <w:tcBorders>
              <w:top w:val="nil"/>
              <w:left w:val="single" w:sz="8" w:space="0" w:color="auto"/>
              <w:bottom w:val="single" w:sz="8" w:space="0" w:color="000000"/>
              <w:right w:val="single" w:sz="8" w:space="0" w:color="auto"/>
            </w:tcBorders>
            <w:hideMark/>
          </w:tcPr>
          <w:p w14:paraId="2882FA03" w14:textId="77777777" w:rsidR="00883F63" w:rsidRPr="00883F63" w:rsidRDefault="00883F63" w:rsidP="008349F0">
            <w:pPr>
              <w:spacing w:after="0"/>
              <w:ind w:firstLine="0"/>
              <w:jc w:val="left"/>
              <w:rPr>
                <w:rFonts w:eastAsia="Times New Roman" w:cs="Times New Roman"/>
                <w:sz w:val="18"/>
                <w:szCs w:val="18"/>
              </w:rPr>
            </w:pPr>
          </w:p>
        </w:tc>
        <w:tc>
          <w:tcPr>
            <w:tcW w:w="434" w:type="pct"/>
            <w:vMerge/>
            <w:tcBorders>
              <w:top w:val="nil"/>
              <w:left w:val="single" w:sz="8" w:space="0" w:color="auto"/>
              <w:bottom w:val="single" w:sz="8" w:space="0" w:color="000000"/>
              <w:right w:val="single" w:sz="8" w:space="0" w:color="auto"/>
            </w:tcBorders>
            <w:hideMark/>
          </w:tcPr>
          <w:p w14:paraId="43BE1470" w14:textId="77777777" w:rsidR="00883F63" w:rsidRPr="00883F63" w:rsidRDefault="00883F63" w:rsidP="008349F0">
            <w:pPr>
              <w:spacing w:after="0"/>
              <w:ind w:firstLine="0"/>
              <w:jc w:val="left"/>
              <w:rPr>
                <w:rFonts w:eastAsia="Times New Roman" w:cs="Times New Roman"/>
                <w:sz w:val="18"/>
                <w:szCs w:val="18"/>
              </w:rPr>
            </w:pPr>
          </w:p>
        </w:tc>
        <w:tc>
          <w:tcPr>
            <w:tcW w:w="367" w:type="pct"/>
            <w:vMerge/>
            <w:tcBorders>
              <w:top w:val="nil"/>
              <w:left w:val="single" w:sz="8" w:space="0" w:color="auto"/>
              <w:bottom w:val="single" w:sz="8" w:space="0" w:color="000000"/>
              <w:right w:val="single" w:sz="8" w:space="0" w:color="auto"/>
            </w:tcBorders>
            <w:hideMark/>
          </w:tcPr>
          <w:p w14:paraId="6E22F43C" w14:textId="77777777" w:rsidR="00883F63" w:rsidRPr="00883F63" w:rsidRDefault="00883F63" w:rsidP="008349F0">
            <w:pPr>
              <w:spacing w:after="0"/>
              <w:ind w:firstLine="0"/>
              <w:jc w:val="left"/>
              <w:rPr>
                <w:rFonts w:eastAsia="Times New Roman" w:cs="Times New Roman"/>
                <w:b/>
                <w:bCs/>
                <w:sz w:val="18"/>
                <w:szCs w:val="18"/>
              </w:rPr>
            </w:pPr>
          </w:p>
        </w:tc>
        <w:tc>
          <w:tcPr>
            <w:tcW w:w="409" w:type="pct"/>
            <w:vMerge/>
            <w:tcBorders>
              <w:top w:val="nil"/>
              <w:left w:val="single" w:sz="8" w:space="0" w:color="auto"/>
              <w:bottom w:val="single" w:sz="8" w:space="0" w:color="000000"/>
              <w:right w:val="single" w:sz="8" w:space="0" w:color="auto"/>
            </w:tcBorders>
            <w:hideMark/>
          </w:tcPr>
          <w:p w14:paraId="4E00A30C" w14:textId="77777777" w:rsidR="00883F63" w:rsidRPr="00883F63" w:rsidRDefault="00883F63" w:rsidP="008349F0">
            <w:pPr>
              <w:spacing w:after="0"/>
              <w:ind w:firstLine="0"/>
              <w:jc w:val="left"/>
              <w:rPr>
                <w:rFonts w:eastAsia="Times New Roman" w:cs="Times New Roman"/>
                <w:sz w:val="18"/>
                <w:szCs w:val="18"/>
              </w:rPr>
            </w:pPr>
          </w:p>
        </w:tc>
        <w:tc>
          <w:tcPr>
            <w:tcW w:w="434" w:type="pct"/>
            <w:vMerge/>
            <w:tcBorders>
              <w:top w:val="nil"/>
              <w:left w:val="single" w:sz="8" w:space="0" w:color="auto"/>
              <w:bottom w:val="single" w:sz="8" w:space="0" w:color="000000"/>
              <w:right w:val="single" w:sz="8" w:space="0" w:color="auto"/>
            </w:tcBorders>
            <w:hideMark/>
          </w:tcPr>
          <w:p w14:paraId="097BE9F1" w14:textId="77777777" w:rsidR="00883F63" w:rsidRPr="00883F63" w:rsidRDefault="00883F63" w:rsidP="008349F0">
            <w:pPr>
              <w:spacing w:after="0"/>
              <w:ind w:firstLine="0"/>
              <w:jc w:val="left"/>
              <w:rPr>
                <w:rFonts w:eastAsia="Times New Roman" w:cs="Times New Roman"/>
                <w:sz w:val="18"/>
                <w:szCs w:val="18"/>
              </w:rPr>
            </w:pPr>
          </w:p>
        </w:tc>
        <w:tc>
          <w:tcPr>
            <w:tcW w:w="367" w:type="pct"/>
            <w:vMerge/>
            <w:tcBorders>
              <w:top w:val="nil"/>
              <w:left w:val="single" w:sz="8" w:space="0" w:color="auto"/>
              <w:bottom w:val="single" w:sz="8" w:space="0" w:color="000000"/>
              <w:right w:val="single" w:sz="8" w:space="0" w:color="auto"/>
            </w:tcBorders>
            <w:hideMark/>
          </w:tcPr>
          <w:p w14:paraId="71CA6936" w14:textId="77777777" w:rsidR="00883F63" w:rsidRPr="00883F63" w:rsidRDefault="00883F63" w:rsidP="008349F0">
            <w:pPr>
              <w:spacing w:after="0"/>
              <w:ind w:firstLine="0"/>
              <w:jc w:val="left"/>
              <w:rPr>
                <w:rFonts w:eastAsia="Times New Roman" w:cs="Times New Roman"/>
                <w:b/>
                <w:bCs/>
                <w:sz w:val="18"/>
                <w:szCs w:val="18"/>
              </w:rPr>
            </w:pPr>
          </w:p>
        </w:tc>
      </w:tr>
      <w:tr w:rsidR="00883F63" w:rsidRPr="00883F63" w14:paraId="256EBFBD" w14:textId="77777777" w:rsidTr="00883F63">
        <w:trPr>
          <w:trHeight w:val="265"/>
          <w:jc w:val="center"/>
        </w:trPr>
        <w:tc>
          <w:tcPr>
            <w:tcW w:w="1384" w:type="pct"/>
            <w:tcBorders>
              <w:top w:val="nil"/>
              <w:left w:val="single" w:sz="8" w:space="0" w:color="auto"/>
              <w:bottom w:val="nil"/>
              <w:right w:val="single" w:sz="8" w:space="0" w:color="auto"/>
            </w:tcBorders>
            <w:shd w:val="clear" w:color="000000" w:fill="FFFFFF"/>
            <w:vAlign w:val="center"/>
            <w:hideMark/>
          </w:tcPr>
          <w:p w14:paraId="301EA825" w14:textId="77777777" w:rsidR="00883F63" w:rsidRPr="00883F63" w:rsidRDefault="00883F63" w:rsidP="008349F0">
            <w:pPr>
              <w:spacing w:after="0"/>
              <w:ind w:firstLine="0"/>
              <w:rPr>
                <w:rFonts w:eastAsia="Times New Roman" w:cs="Times New Roman"/>
                <w:b/>
                <w:bCs/>
                <w:sz w:val="18"/>
                <w:szCs w:val="18"/>
              </w:rPr>
            </w:pPr>
            <w:r w:rsidRPr="00883F63">
              <w:rPr>
                <w:rFonts w:eastAsia="Times New Roman" w:cs="Times New Roman"/>
                <w:b/>
                <w:bCs/>
                <w:sz w:val="18"/>
                <w:szCs w:val="18"/>
              </w:rPr>
              <w:t xml:space="preserve">Izdienas pensijas – kopā </w:t>
            </w:r>
          </w:p>
        </w:tc>
        <w:tc>
          <w:tcPr>
            <w:tcW w:w="444" w:type="pct"/>
            <w:vMerge w:val="restart"/>
            <w:tcBorders>
              <w:top w:val="nil"/>
              <w:left w:val="single" w:sz="8" w:space="0" w:color="auto"/>
              <w:bottom w:val="single" w:sz="8" w:space="0" w:color="000000"/>
              <w:right w:val="single" w:sz="8" w:space="0" w:color="auto"/>
            </w:tcBorders>
            <w:shd w:val="clear" w:color="auto" w:fill="auto"/>
            <w:hideMark/>
          </w:tcPr>
          <w:p w14:paraId="23254F03"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hideMark/>
          </w:tcPr>
          <w:p w14:paraId="6954E913"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356" w:type="pct"/>
            <w:vMerge w:val="restart"/>
            <w:tcBorders>
              <w:top w:val="nil"/>
              <w:left w:val="single" w:sz="8" w:space="0" w:color="auto"/>
              <w:bottom w:val="single" w:sz="8" w:space="0" w:color="000000"/>
              <w:right w:val="single" w:sz="8" w:space="0" w:color="auto"/>
            </w:tcBorders>
            <w:shd w:val="clear" w:color="auto" w:fill="auto"/>
          </w:tcPr>
          <w:p w14:paraId="797E6693" w14:textId="77777777" w:rsidR="00883F63" w:rsidRPr="00883F63" w:rsidRDefault="00883F63" w:rsidP="008349F0">
            <w:pPr>
              <w:spacing w:after="0"/>
              <w:ind w:firstLine="0"/>
              <w:rPr>
                <w:rFonts w:eastAsia="Times New Roman" w:cs="Times New Roman"/>
                <w:b/>
                <w:bCs/>
                <w:sz w:val="18"/>
                <w:szCs w:val="18"/>
              </w:rPr>
            </w:pPr>
            <w:r w:rsidRPr="00883F63">
              <w:rPr>
                <w:rFonts w:eastAsia="Times New Roman" w:cs="Times New Roman"/>
                <w:sz w:val="18"/>
                <w:szCs w:val="18"/>
              </w:rPr>
              <w:t>17 593 174</w:t>
            </w:r>
          </w:p>
        </w:tc>
        <w:tc>
          <w:tcPr>
            <w:tcW w:w="371" w:type="pct"/>
            <w:vMerge w:val="restart"/>
            <w:tcBorders>
              <w:top w:val="nil"/>
              <w:left w:val="single" w:sz="8" w:space="0" w:color="auto"/>
              <w:bottom w:val="single" w:sz="8" w:space="0" w:color="000000"/>
              <w:right w:val="single" w:sz="8" w:space="0" w:color="auto"/>
            </w:tcBorders>
            <w:shd w:val="clear" w:color="auto" w:fill="auto"/>
            <w:noWrap/>
            <w:hideMark/>
          </w:tcPr>
          <w:p w14:paraId="01320C18"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noWrap/>
            <w:hideMark/>
          </w:tcPr>
          <w:p w14:paraId="78069D67"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367" w:type="pct"/>
            <w:vMerge w:val="restart"/>
            <w:tcBorders>
              <w:top w:val="nil"/>
              <w:left w:val="single" w:sz="8" w:space="0" w:color="auto"/>
              <w:bottom w:val="single" w:sz="8" w:space="0" w:color="000000"/>
              <w:right w:val="single" w:sz="8" w:space="0" w:color="auto"/>
            </w:tcBorders>
            <w:shd w:val="clear" w:color="auto" w:fill="auto"/>
            <w:noWrap/>
            <w:hideMark/>
          </w:tcPr>
          <w:p w14:paraId="30D16A76" w14:textId="77777777" w:rsidR="00883F63" w:rsidRPr="00883F63" w:rsidRDefault="00883F63" w:rsidP="008349F0">
            <w:pPr>
              <w:spacing w:after="0"/>
              <w:ind w:firstLine="0"/>
              <w:jc w:val="right"/>
              <w:rPr>
                <w:rFonts w:eastAsia="Times New Roman" w:cs="Times New Roman"/>
                <w:b/>
                <w:bCs/>
                <w:sz w:val="18"/>
                <w:szCs w:val="18"/>
              </w:rPr>
            </w:pPr>
            <w:r w:rsidRPr="00883F63">
              <w:rPr>
                <w:rFonts w:eastAsia="Times New Roman" w:cs="Times New Roman"/>
                <w:sz w:val="18"/>
                <w:szCs w:val="18"/>
              </w:rPr>
              <w:t>17 834 425</w:t>
            </w:r>
          </w:p>
        </w:tc>
        <w:tc>
          <w:tcPr>
            <w:tcW w:w="409" w:type="pct"/>
            <w:vMerge w:val="restart"/>
            <w:tcBorders>
              <w:top w:val="nil"/>
              <w:left w:val="single" w:sz="8" w:space="0" w:color="auto"/>
              <w:bottom w:val="single" w:sz="8" w:space="0" w:color="000000"/>
              <w:right w:val="single" w:sz="8" w:space="0" w:color="auto"/>
            </w:tcBorders>
            <w:shd w:val="clear" w:color="auto" w:fill="auto"/>
            <w:noWrap/>
            <w:hideMark/>
          </w:tcPr>
          <w:p w14:paraId="6CEE016A"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noWrap/>
            <w:hideMark/>
          </w:tcPr>
          <w:p w14:paraId="01B92377"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367" w:type="pct"/>
            <w:vMerge w:val="restart"/>
            <w:tcBorders>
              <w:top w:val="nil"/>
              <w:left w:val="single" w:sz="8" w:space="0" w:color="auto"/>
              <w:bottom w:val="single" w:sz="8" w:space="0" w:color="000000"/>
              <w:right w:val="single" w:sz="8" w:space="0" w:color="auto"/>
            </w:tcBorders>
            <w:shd w:val="clear" w:color="auto" w:fill="auto"/>
            <w:noWrap/>
            <w:hideMark/>
          </w:tcPr>
          <w:p w14:paraId="36924BB2" w14:textId="77777777" w:rsidR="00883F63" w:rsidRPr="00883F63" w:rsidRDefault="00883F63" w:rsidP="008349F0">
            <w:pPr>
              <w:spacing w:after="0"/>
              <w:ind w:firstLine="0"/>
              <w:jc w:val="right"/>
              <w:rPr>
                <w:rFonts w:eastAsia="Times New Roman" w:cs="Times New Roman"/>
                <w:b/>
                <w:bCs/>
                <w:sz w:val="18"/>
                <w:szCs w:val="18"/>
              </w:rPr>
            </w:pPr>
            <w:r w:rsidRPr="00883F63">
              <w:rPr>
                <w:rFonts w:eastAsia="Times New Roman" w:cs="Times New Roman"/>
                <w:sz w:val="18"/>
                <w:szCs w:val="18"/>
              </w:rPr>
              <w:t>18 086 067</w:t>
            </w:r>
          </w:p>
        </w:tc>
      </w:tr>
      <w:tr w:rsidR="00883F63" w:rsidRPr="00883F63" w14:paraId="026EE988" w14:textId="77777777" w:rsidTr="00883F63">
        <w:trPr>
          <w:trHeight w:val="278"/>
          <w:jc w:val="center"/>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24BE7880" w14:textId="77777777" w:rsidR="00883F63" w:rsidRPr="00883F63" w:rsidRDefault="00883F63" w:rsidP="008349F0">
            <w:pPr>
              <w:spacing w:after="0"/>
              <w:ind w:firstLine="0"/>
              <w:rPr>
                <w:rFonts w:eastAsia="Times New Roman" w:cs="Times New Roman"/>
                <w:sz w:val="18"/>
                <w:szCs w:val="18"/>
              </w:rPr>
            </w:pPr>
            <w:r w:rsidRPr="00883F63">
              <w:rPr>
                <w:rFonts w:eastAsia="Times New Roman" w:cs="Times New Roman"/>
                <w:sz w:val="18"/>
                <w:szCs w:val="18"/>
              </w:rPr>
              <w:t>(EKK 6216)</w:t>
            </w:r>
          </w:p>
        </w:tc>
        <w:tc>
          <w:tcPr>
            <w:tcW w:w="444" w:type="pct"/>
            <w:vMerge/>
            <w:tcBorders>
              <w:top w:val="nil"/>
              <w:left w:val="single" w:sz="8" w:space="0" w:color="auto"/>
              <w:bottom w:val="single" w:sz="4" w:space="0" w:color="auto"/>
              <w:right w:val="single" w:sz="8" w:space="0" w:color="auto"/>
            </w:tcBorders>
            <w:vAlign w:val="center"/>
            <w:hideMark/>
          </w:tcPr>
          <w:p w14:paraId="3A217AE0" w14:textId="77777777" w:rsidR="00883F63" w:rsidRPr="00883F63" w:rsidRDefault="00883F63" w:rsidP="008349F0">
            <w:pPr>
              <w:spacing w:after="0"/>
              <w:ind w:firstLine="0"/>
              <w:jc w:val="left"/>
              <w:rPr>
                <w:rFonts w:eastAsia="Times New Roman" w:cs="Times New Roman"/>
                <w:b/>
                <w:bCs/>
                <w:sz w:val="18"/>
                <w:szCs w:val="18"/>
              </w:rPr>
            </w:pPr>
          </w:p>
        </w:tc>
        <w:tc>
          <w:tcPr>
            <w:tcW w:w="434" w:type="pct"/>
            <w:vMerge/>
            <w:tcBorders>
              <w:top w:val="nil"/>
              <w:left w:val="single" w:sz="8" w:space="0" w:color="auto"/>
              <w:bottom w:val="single" w:sz="4" w:space="0" w:color="auto"/>
              <w:right w:val="single" w:sz="8" w:space="0" w:color="auto"/>
            </w:tcBorders>
            <w:vAlign w:val="center"/>
            <w:hideMark/>
          </w:tcPr>
          <w:p w14:paraId="3173BBF1" w14:textId="77777777" w:rsidR="00883F63" w:rsidRPr="00883F63" w:rsidRDefault="00883F63" w:rsidP="008349F0">
            <w:pPr>
              <w:spacing w:after="0"/>
              <w:ind w:firstLine="0"/>
              <w:jc w:val="left"/>
              <w:rPr>
                <w:rFonts w:eastAsia="Times New Roman" w:cs="Times New Roman"/>
                <w:b/>
                <w:bCs/>
                <w:sz w:val="18"/>
                <w:szCs w:val="18"/>
              </w:rPr>
            </w:pPr>
          </w:p>
        </w:tc>
        <w:tc>
          <w:tcPr>
            <w:tcW w:w="356" w:type="pct"/>
            <w:vMerge/>
            <w:tcBorders>
              <w:top w:val="nil"/>
              <w:left w:val="single" w:sz="8" w:space="0" w:color="auto"/>
              <w:bottom w:val="single" w:sz="4" w:space="0" w:color="auto"/>
              <w:right w:val="single" w:sz="8" w:space="0" w:color="auto"/>
            </w:tcBorders>
            <w:vAlign w:val="center"/>
          </w:tcPr>
          <w:p w14:paraId="3FFDDADA" w14:textId="77777777" w:rsidR="00883F63" w:rsidRPr="00883F63" w:rsidRDefault="00883F63" w:rsidP="008349F0">
            <w:pPr>
              <w:spacing w:after="0"/>
              <w:ind w:firstLine="0"/>
              <w:jc w:val="left"/>
              <w:rPr>
                <w:rFonts w:eastAsia="Times New Roman" w:cs="Times New Roman"/>
                <w:b/>
                <w:bCs/>
                <w:sz w:val="18"/>
                <w:szCs w:val="18"/>
              </w:rPr>
            </w:pPr>
          </w:p>
        </w:tc>
        <w:tc>
          <w:tcPr>
            <w:tcW w:w="371" w:type="pct"/>
            <w:vMerge/>
            <w:tcBorders>
              <w:top w:val="nil"/>
              <w:left w:val="single" w:sz="8" w:space="0" w:color="auto"/>
              <w:bottom w:val="single" w:sz="4" w:space="0" w:color="auto"/>
              <w:right w:val="single" w:sz="8" w:space="0" w:color="auto"/>
            </w:tcBorders>
            <w:vAlign w:val="center"/>
            <w:hideMark/>
          </w:tcPr>
          <w:p w14:paraId="08C1AFEB" w14:textId="77777777" w:rsidR="00883F63" w:rsidRPr="00883F63" w:rsidRDefault="00883F63" w:rsidP="008349F0">
            <w:pPr>
              <w:spacing w:after="0"/>
              <w:ind w:firstLine="0"/>
              <w:jc w:val="left"/>
              <w:rPr>
                <w:rFonts w:eastAsia="Times New Roman" w:cs="Times New Roman"/>
                <w:b/>
                <w:bCs/>
                <w:sz w:val="18"/>
                <w:szCs w:val="18"/>
              </w:rPr>
            </w:pPr>
          </w:p>
        </w:tc>
        <w:tc>
          <w:tcPr>
            <w:tcW w:w="434" w:type="pct"/>
            <w:vMerge/>
            <w:tcBorders>
              <w:top w:val="nil"/>
              <w:left w:val="single" w:sz="8" w:space="0" w:color="auto"/>
              <w:bottom w:val="single" w:sz="4" w:space="0" w:color="auto"/>
              <w:right w:val="single" w:sz="8" w:space="0" w:color="auto"/>
            </w:tcBorders>
            <w:vAlign w:val="center"/>
            <w:hideMark/>
          </w:tcPr>
          <w:p w14:paraId="0986923B" w14:textId="77777777" w:rsidR="00883F63" w:rsidRPr="00883F63" w:rsidRDefault="00883F63" w:rsidP="008349F0">
            <w:pPr>
              <w:spacing w:after="0"/>
              <w:ind w:firstLine="0"/>
              <w:jc w:val="left"/>
              <w:rPr>
                <w:rFonts w:eastAsia="Times New Roman" w:cs="Times New Roman"/>
                <w:b/>
                <w:bCs/>
                <w:sz w:val="18"/>
                <w:szCs w:val="18"/>
              </w:rPr>
            </w:pPr>
          </w:p>
        </w:tc>
        <w:tc>
          <w:tcPr>
            <w:tcW w:w="367" w:type="pct"/>
            <w:vMerge/>
            <w:tcBorders>
              <w:top w:val="nil"/>
              <w:left w:val="single" w:sz="8" w:space="0" w:color="auto"/>
              <w:bottom w:val="single" w:sz="4" w:space="0" w:color="auto"/>
              <w:right w:val="single" w:sz="8" w:space="0" w:color="auto"/>
            </w:tcBorders>
            <w:vAlign w:val="center"/>
            <w:hideMark/>
          </w:tcPr>
          <w:p w14:paraId="0AA49C55" w14:textId="77777777" w:rsidR="00883F63" w:rsidRPr="00883F63" w:rsidRDefault="00883F63" w:rsidP="008349F0">
            <w:pPr>
              <w:spacing w:after="0"/>
              <w:ind w:firstLine="0"/>
              <w:jc w:val="left"/>
              <w:rPr>
                <w:rFonts w:eastAsia="Times New Roman" w:cs="Times New Roman"/>
                <w:b/>
                <w:bCs/>
                <w:sz w:val="18"/>
                <w:szCs w:val="18"/>
              </w:rPr>
            </w:pPr>
          </w:p>
        </w:tc>
        <w:tc>
          <w:tcPr>
            <w:tcW w:w="409" w:type="pct"/>
            <w:vMerge/>
            <w:tcBorders>
              <w:top w:val="nil"/>
              <w:left w:val="single" w:sz="8" w:space="0" w:color="auto"/>
              <w:bottom w:val="single" w:sz="4" w:space="0" w:color="auto"/>
              <w:right w:val="single" w:sz="8" w:space="0" w:color="auto"/>
            </w:tcBorders>
            <w:vAlign w:val="center"/>
            <w:hideMark/>
          </w:tcPr>
          <w:p w14:paraId="680E1383" w14:textId="77777777" w:rsidR="00883F63" w:rsidRPr="00883F63" w:rsidRDefault="00883F63" w:rsidP="008349F0">
            <w:pPr>
              <w:spacing w:after="0"/>
              <w:ind w:firstLine="0"/>
              <w:jc w:val="left"/>
              <w:rPr>
                <w:rFonts w:eastAsia="Times New Roman" w:cs="Times New Roman"/>
                <w:b/>
                <w:bCs/>
                <w:sz w:val="18"/>
                <w:szCs w:val="18"/>
              </w:rPr>
            </w:pPr>
          </w:p>
        </w:tc>
        <w:tc>
          <w:tcPr>
            <w:tcW w:w="434" w:type="pct"/>
            <w:vMerge/>
            <w:tcBorders>
              <w:top w:val="nil"/>
              <w:left w:val="single" w:sz="8" w:space="0" w:color="auto"/>
              <w:bottom w:val="single" w:sz="4" w:space="0" w:color="auto"/>
              <w:right w:val="single" w:sz="8" w:space="0" w:color="auto"/>
            </w:tcBorders>
            <w:vAlign w:val="center"/>
            <w:hideMark/>
          </w:tcPr>
          <w:p w14:paraId="7F0F6FFD" w14:textId="77777777" w:rsidR="00883F63" w:rsidRPr="00883F63" w:rsidRDefault="00883F63" w:rsidP="008349F0">
            <w:pPr>
              <w:spacing w:after="0"/>
              <w:ind w:firstLine="0"/>
              <w:jc w:val="left"/>
              <w:rPr>
                <w:rFonts w:eastAsia="Times New Roman" w:cs="Times New Roman"/>
                <w:b/>
                <w:bCs/>
                <w:sz w:val="18"/>
                <w:szCs w:val="18"/>
              </w:rPr>
            </w:pPr>
          </w:p>
        </w:tc>
        <w:tc>
          <w:tcPr>
            <w:tcW w:w="367" w:type="pct"/>
            <w:vMerge/>
            <w:tcBorders>
              <w:top w:val="nil"/>
              <w:left w:val="single" w:sz="8" w:space="0" w:color="auto"/>
              <w:bottom w:val="single" w:sz="4" w:space="0" w:color="auto"/>
              <w:right w:val="single" w:sz="8" w:space="0" w:color="auto"/>
            </w:tcBorders>
            <w:vAlign w:val="center"/>
            <w:hideMark/>
          </w:tcPr>
          <w:p w14:paraId="0E48303A" w14:textId="77777777" w:rsidR="00883F63" w:rsidRPr="00883F63" w:rsidRDefault="00883F63" w:rsidP="008349F0">
            <w:pPr>
              <w:spacing w:after="0"/>
              <w:ind w:firstLine="0"/>
              <w:jc w:val="left"/>
              <w:rPr>
                <w:rFonts w:eastAsia="Times New Roman" w:cs="Times New Roman"/>
                <w:b/>
                <w:bCs/>
                <w:sz w:val="18"/>
                <w:szCs w:val="18"/>
              </w:rPr>
            </w:pPr>
          </w:p>
        </w:tc>
      </w:tr>
      <w:tr w:rsidR="00883F63" w:rsidRPr="00883F63" w14:paraId="5340921C" w14:textId="77777777" w:rsidTr="00883F63">
        <w:trPr>
          <w:trHeight w:val="278"/>
          <w:jc w:val="center"/>
        </w:trPr>
        <w:tc>
          <w:tcPr>
            <w:tcW w:w="1384" w:type="pct"/>
            <w:tcBorders>
              <w:top w:val="nil"/>
              <w:left w:val="single" w:sz="8" w:space="0" w:color="auto"/>
              <w:bottom w:val="single" w:sz="8" w:space="0" w:color="auto"/>
              <w:right w:val="single" w:sz="4" w:space="0" w:color="auto"/>
            </w:tcBorders>
            <w:shd w:val="clear" w:color="000000" w:fill="FFFFFF"/>
            <w:noWrap/>
            <w:vAlign w:val="center"/>
            <w:hideMark/>
          </w:tcPr>
          <w:p w14:paraId="7401AC51" w14:textId="77777777" w:rsidR="00883F63" w:rsidRPr="00883F63" w:rsidRDefault="00883F63" w:rsidP="008349F0">
            <w:pPr>
              <w:spacing w:after="0"/>
              <w:ind w:firstLine="0"/>
              <w:jc w:val="right"/>
              <w:rPr>
                <w:rFonts w:eastAsia="Times New Roman" w:cs="Times New Roman"/>
                <w:i/>
                <w:iCs/>
                <w:sz w:val="18"/>
                <w:szCs w:val="18"/>
              </w:rPr>
            </w:pPr>
            <w:r w:rsidRPr="00883F63">
              <w:rPr>
                <w:rFonts w:eastAsia="Times New Roman" w:cs="Times New Roman"/>
                <w:i/>
                <w:iCs/>
                <w:sz w:val="18"/>
                <w:szCs w:val="18"/>
              </w:rPr>
              <w:t>tajā skaitā:</w:t>
            </w:r>
          </w:p>
        </w:tc>
        <w:tc>
          <w:tcPr>
            <w:tcW w:w="3616"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7F3C9C2E" w14:textId="77777777" w:rsidR="00883F63" w:rsidRPr="00883F63" w:rsidRDefault="00883F63" w:rsidP="008349F0">
            <w:pPr>
              <w:spacing w:after="0"/>
              <w:ind w:firstLine="0"/>
              <w:jc w:val="left"/>
              <w:rPr>
                <w:rFonts w:ascii="Calibri" w:eastAsia="Times New Roman" w:hAnsi="Calibri" w:cs="Times New Roman"/>
                <w:sz w:val="22"/>
              </w:rPr>
            </w:pPr>
            <w:r w:rsidRPr="00883F63">
              <w:rPr>
                <w:rFonts w:ascii="Calibri" w:eastAsia="Times New Roman" w:hAnsi="Calibri" w:cs="Times New Roman"/>
                <w:sz w:val="22"/>
              </w:rPr>
              <w:t> </w:t>
            </w:r>
          </w:p>
        </w:tc>
      </w:tr>
      <w:tr w:rsidR="00883F63" w:rsidRPr="00883F63" w14:paraId="27037036" w14:textId="77777777" w:rsidTr="00883F63">
        <w:trPr>
          <w:trHeight w:val="278"/>
          <w:jc w:val="center"/>
        </w:trPr>
        <w:tc>
          <w:tcPr>
            <w:tcW w:w="1384" w:type="pct"/>
            <w:tcBorders>
              <w:top w:val="nil"/>
              <w:left w:val="single" w:sz="8" w:space="0" w:color="auto"/>
              <w:bottom w:val="single" w:sz="8" w:space="0" w:color="auto"/>
              <w:right w:val="single" w:sz="8" w:space="0" w:color="auto"/>
            </w:tcBorders>
            <w:shd w:val="clear" w:color="auto" w:fill="auto"/>
            <w:noWrap/>
            <w:vAlign w:val="center"/>
            <w:hideMark/>
          </w:tcPr>
          <w:p w14:paraId="6F3230AF" w14:textId="77777777" w:rsidR="00883F63" w:rsidRPr="00883F63" w:rsidRDefault="00883F63" w:rsidP="008349F0">
            <w:pPr>
              <w:spacing w:after="0"/>
              <w:ind w:firstLine="0"/>
              <w:rPr>
                <w:rFonts w:eastAsia="Times New Roman" w:cs="Times New Roman"/>
                <w:sz w:val="18"/>
                <w:szCs w:val="18"/>
              </w:rPr>
            </w:pPr>
            <w:r w:rsidRPr="00883F63">
              <w:rPr>
                <w:rFonts w:eastAsia="Times New Roman" w:cs="Times New Roman"/>
                <w:sz w:val="18"/>
                <w:szCs w:val="18"/>
              </w:rPr>
              <w:t xml:space="preserve">Izdienas pensijas </w:t>
            </w:r>
          </w:p>
        </w:tc>
        <w:tc>
          <w:tcPr>
            <w:tcW w:w="444" w:type="pct"/>
            <w:tcBorders>
              <w:top w:val="single" w:sz="4" w:space="0" w:color="auto"/>
              <w:left w:val="nil"/>
              <w:bottom w:val="single" w:sz="8" w:space="0" w:color="auto"/>
              <w:right w:val="single" w:sz="8" w:space="0" w:color="auto"/>
            </w:tcBorders>
            <w:shd w:val="clear" w:color="auto" w:fill="auto"/>
            <w:hideMark/>
          </w:tcPr>
          <w:p w14:paraId="738294B8"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698,52</w:t>
            </w:r>
          </w:p>
        </w:tc>
        <w:tc>
          <w:tcPr>
            <w:tcW w:w="434" w:type="pct"/>
            <w:tcBorders>
              <w:top w:val="single" w:sz="4" w:space="0" w:color="auto"/>
              <w:left w:val="nil"/>
              <w:bottom w:val="single" w:sz="8" w:space="0" w:color="auto"/>
              <w:right w:val="single" w:sz="8" w:space="0" w:color="auto"/>
            </w:tcBorders>
            <w:shd w:val="clear" w:color="auto" w:fill="auto"/>
            <w:hideMark/>
          </w:tcPr>
          <w:p w14:paraId="73904D74"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2 050</w:t>
            </w:r>
          </w:p>
        </w:tc>
        <w:tc>
          <w:tcPr>
            <w:tcW w:w="356" w:type="pct"/>
            <w:tcBorders>
              <w:top w:val="single" w:sz="4" w:space="0" w:color="auto"/>
              <w:left w:val="nil"/>
              <w:bottom w:val="single" w:sz="8" w:space="0" w:color="auto"/>
              <w:right w:val="single" w:sz="8" w:space="0" w:color="auto"/>
            </w:tcBorders>
            <w:shd w:val="clear" w:color="auto" w:fill="auto"/>
          </w:tcPr>
          <w:p w14:paraId="01F849AA" w14:textId="77777777" w:rsidR="00883F63" w:rsidRPr="00883F63" w:rsidRDefault="00883F63" w:rsidP="008349F0">
            <w:pPr>
              <w:spacing w:after="0"/>
              <w:ind w:firstLine="0"/>
              <w:rPr>
                <w:rFonts w:eastAsia="Times New Roman" w:cs="Times New Roman"/>
                <w:sz w:val="18"/>
                <w:szCs w:val="18"/>
              </w:rPr>
            </w:pPr>
            <w:r w:rsidRPr="00883F63">
              <w:rPr>
                <w:rFonts w:eastAsia="Times New Roman" w:cs="Times New Roman"/>
                <w:sz w:val="18"/>
                <w:szCs w:val="18"/>
              </w:rPr>
              <w:t>17 593 174</w:t>
            </w:r>
          </w:p>
        </w:tc>
        <w:tc>
          <w:tcPr>
            <w:tcW w:w="371" w:type="pct"/>
            <w:tcBorders>
              <w:top w:val="single" w:sz="4" w:space="0" w:color="auto"/>
              <w:left w:val="nil"/>
              <w:bottom w:val="single" w:sz="8" w:space="0" w:color="auto"/>
              <w:right w:val="single" w:sz="8" w:space="0" w:color="auto"/>
            </w:tcBorders>
            <w:shd w:val="clear" w:color="auto" w:fill="auto"/>
            <w:noWrap/>
            <w:hideMark/>
          </w:tcPr>
          <w:p w14:paraId="2D2EAF3D"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698,52</w:t>
            </w:r>
          </w:p>
        </w:tc>
        <w:tc>
          <w:tcPr>
            <w:tcW w:w="434" w:type="pct"/>
            <w:tcBorders>
              <w:top w:val="single" w:sz="4" w:space="0" w:color="auto"/>
              <w:left w:val="nil"/>
              <w:bottom w:val="single" w:sz="8" w:space="0" w:color="auto"/>
              <w:right w:val="single" w:sz="8" w:space="0" w:color="auto"/>
            </w:tcBorders>
            <w:shd w:val="clear" w:color="auto" w:fill="auto"/>
            <w:noWrap/>
            <w:hideMark/>
          </w:tcPr>
          <w:p w14:paraId="73057EA4"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2 050</w:t>
            </w:r>
          </w:p>
        </w:tc>
        <w:tc>
          <w:tcPr>
            <w:tcW w:w="367" w:type="pct"/>
            <w:tcBorders>
              <w:top w:val="single" w:sz="4" w:space="0" w:color="auto"/>
              <w:left w:val="nil"/>
              <w:bottom w:val="single" w:sz="8" w:space="0" w:color="auto"/>
              <w:right w:val="single" w:sz="8" w:space="0" w:color="auto"/>
            </w:tcBorders>
            <w:shd w:val="clear" w:color="auto" w:fill="auto"/>
            <w:noWrap/>
            <w:hideMark/>
          </w:tcPr>
          <w:p w14:paraId="34D8555C"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17 834 425</w:t>
            </w:r>
          </w:p>
        </w:tc>
        <w:tc>
          <w:tcPr>
            <w:tcW w:w="409" w:type="pct"/>
            <w:tcBorders>
              <w:top w:val="single" w:sz="4" w:space="0" w:color="auto"/>
              <w:left w:val="nil"/>
              <w:bottom w:val="single" w:sz="8" w:space="0" w:color="auto"/>
              <w:right w:val="single" w:sz="8" w:space="0" w:color="auto"/>
            </w:tcBorders>
            <w:shd w:val="clear" w:color="auto" w:fill="auto"/>
            <w:noWrap/>
            <w:hideMark/>
          </w:tcPr>
          <w:p w14:paraId="6A4F86F5"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698,52</w:t>
            </w:r>
          </w:p>
        </w:tc>
        <w:tc>
          <w:tcPr>
            <w:tcW w:w="434" w:type="pct"/>
            <w:tcBorders>
              <w:top w:val="single" w:sz="4" w:space="0" w:color="auto"/>
              <w:left w:val="nil"/>
              <w:bottom w:val="single" w:sz="8" w:space="0" w:color="auto"/>
              <w:right w:val="single" w:sz="8" w:space="0" w:color="auto"/>
            </w:tcBorders>
            <w:shd w:val="clear" w:color="auto" w:fill="auto"/>
            <w:noWrap/>
            <w:hideMark/>
          </w:tcPr>
          <w:p w14:paraId="07F94B5C"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2 050</w:t>
            </w:r>
          </w:p>
        </w:tc>
        <w:tc>
          <w:tcPr>
            <w:tcW w:w="367" w:type="pct"/>
            <w:tcBorders>
              <w:top w:val="single" w:sz="4" w:space="0" w:color="auto"/>
              <w:left w:val="nil"/>
              <w:bottom w:val="single" w:sz="8" w:space="0" w:color="auto"/>
              <w:right w:val="single" w:sz="8" w:space="0" w:color="auto"/>
            </w:tcBorders>
            <w:shd w:val="clear" w:color="auto" w:fill="auto"/>
            <w:noWrap/>
            <w:hideMark/>
          </w:tcPr>
          <w:p w14:paraId="01CCC08C"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18 086 067</w:t>
            </w:r>
          </w:p>
        </w:tc>
      </w:tr>
      <w:tr w:rsidR="00883F63" w:rsidRPr="00883F63" w14:paraId="3B4A2EBD" w14:textId="77777777" w:rsidTr="00883F63">
        <w:trPr>
          <w:trHeight w:val="265"/>
          <w:jc w:val="center"/>
        </w:trPr>
        <w:tc>
          <w:tcPr>
            <w:tcW w:w="1384" w:type="pct"/>
            <w:tcBorders>
              <w:top w:val="nil"/>
              <w:left w:val="single" w:sz="8" w:space="0" w:color="auto"/>
              <w:bottom w:val="nil"/>
              <w:right w:val="single" w:sz="8" w:space="0" w:color="auto"/>
            </w:tcBorders>
            <w:shd w:val="clear" w:color="000000" w:fill="FFFFFF"/>
            <w:noWrap/>
            <w:vAlign w:val="center"/>
            <w:hideMark/>
          </w:tcPr>
          <w:p w14:paraId="49F487AF" w14:textId="77777777" w:rsidR="00883F63" w:rsidRPr="00883F63" w:rsidRDefault="00883F63" w:rsidP="008349F0">
            <w:pPr>
              <w:spacing w:after="0"/>
              <w:ind w:firstLine="0"/>
              <w:rPr>
                <w:rFonts w:eastAsia="Times New Roman" w:cs="Times New Roman"/>
                <w:b/>
                <w:bCs/>
                <w:sz w:val="18"/>
                <w:szCs w:val="18"/>
              </w:rPr>
            </w:pPr>
            <w:r w:rsidRPr="00883F63">
              <w:rPr>
                <w:rFonts w:eastAsia="Times New Roman" w:cs="Times New Roman"/>
                <w:b/>
                <w:bCs/>
                <w:sz w:val="18"/>
                <w:szCs w:val="18"/>
              </w:rPr>
              <w:t xml:space="preserve">Pārējie valsts pabalsti un kompensācijas – kopā </w:t>
            </w:r>
          </w:p>
        </w:tc>
        <w:tc>
          <w:tcPr>
            <w:tcW w:w="444" w:type="pct"/>
            <w:vMerge w:val="restart"/>
            <w:tcBorders>
              <w:top w:val="nil"/>
              <w:left w:val="single" w:sz="8" w:space="0" w:color="auto"/>
              <w:bottom w:val="single" w:sz="8" w:space="0" w:color="000000"/>
              <w:right w:val="single" w:sz="8" w:space="0" w:color="auto"/>
            </w:tcBorders>
            <w:shd w:val="clear" w:color="auto" w:fill="auto"/>
            <w:hideMark/>
          </w:tcPr>
          <w:p w14:paraId="45061AAB"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hideMark/>
          </w:tcPr>
          <w:p w14:paraId="1639E0A6"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356" w:type="pct"/>
            <w:vMerge w:val="restart"/>
            <w:tcBorders>
              <w:top w:val="nil"/>
              <w:left w:val="single" w:sz="8" w:space="0" w:color="auto"/>
              <w:bottom w:val="single" w:sz="8" w:space="0" w:color="000000"/>
              <w:right w:val="single" w:sz="8" w:space="0" w:color="auto"/>
            </w:tcBorders>
            <w:shd w:val="clear" w:color="auto" w:fill="auto"/>
          </w:tcPr>
          <w:p w14:paraId="456C0191" w14:textId="77777777" w:rsidR="00883F63" w:rsidRPr="00883F63" w:rsidRDefault="00883F63" w:rsidP="008349F0">
            <w:pPr>
              <w:spacing w:after="0"/>
              <w:ind w:firstLine="0"/>
              <w:jc w:val="right"/>
              <w:rPr>
                <w:rFonts w:eastAsia="Times New Roman" w:cs="Times New Roman"/>
                <w:b/>
                <w:bCs/>
                <w:sz w:val="18"/>
                <w:szCs w:val="18"/>
              </w:rPr>
            </w:pPr>
            <w:r w:rsidRPr="00883F63">
              <w:rPr>
                <w:rFonts w:eastAsia="Times New Roman" w:cs="Times New Roman"/>
                <w:sz w:val="18"/>
                <w:szCs w:val="18"/>
              </w:rPr>
              <w:t>1 741 276</w:t>
            </w:r>
          </w:p>
        </w:tc>
        <w:tc>
          <w:tcPr>
            <w:tcW w:w="371" w:type="pct"/>
            <w:vMerge w:val="restart"/>
            <w:tcBorders>
              <w:top w:val="nil"/>
              <w:left w:val="single" w:sz="8" w:space="0" w:color="auto"/>
              <w:bottom w:val="single" w:sz="8" w:space="0" w:color="000000"/>
              <w:right w:val="single" w:sz="8" w:space="0" w:color="auto"/>
            </w:tcBorders>
            <w:shd w:val="clear" w:color="auto" w:fill="auto"/>
            <w:noWrap/>
            <w:hideMark/>
          </w:tcPr>
          <w:p w14:paraId="5B84F988"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noWrap/>
            <w:hideMark/>
          </w:tcPr>
          <w:p w14:paraId="1765B8CA"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367" w:type="pct"/>
            <w:vMerge w:val="restart"/>
            <w:tcBorders>
              <w:top w:val="nil"/>
              <w:left w:val="single" w:sz="8" w:space="0" w:color="auto"/>
              <w:bottom w:val="single" w:sz="8" w:space="0" w:color="000000"/>
              <w:right w:val="single" w:sz="8" w:space="0" w:color="auto"/>
            </w:tcBorders>
            <w:shd w:val="clear" w:color="auto" w:fill="auto"/>
            <w:noWrap/>
            <w:hideMark/>
          </w:tcPr>
          <w:p w14:paraId="346EE3D1" w14:textId="77777777" w:rsidR="00883F63" w:rsidRPr="00883F63" w:rsidRDefault="00883F63" w:rsidP="008349F0">
            <w:pPr>
              <w:spacing w:after="0"/>
              <w:ind w:firstLine="0"/>
              <w:jc w:val="right"/>
              <w:rPr>
                <w:rFonts w:eastAsia="Times New Roman" w:cs="Times New Roman"/>
                <w:b/>
                <w:bCs/>
                <w:sz w:val="18"/>
                <w:szCs w:val="18"/>
              </w:rPr>
            </w:pPr>
            <w:r w:rsidRPr="00883F63">
              <w:rPr>
                <w:rFonts w:eastAsia="Times New Roman" w:cs="Times New Roman"/>
                <w:sz w:val="18"/>
                <w:szCs w:val="18"/>
              </w:rPr>
              <w:t>1 741 276</w:t>
            </w:r>
          </w:p>
        </w:tc>
        <w:tc>
          <w:tcPr>
            <w:tcW w:w="409" w:type="pct"/>
            <w:vMerge w:val="restart"/>
            <w:tcBorders>
              <w:top w:val="nil"/>
              <w:left w:val="single" w:sz="8" w:space="0" w:color="auto"/>
              <w:bottom w:val="single" w:sz="8" w:space="0" w:color="000000"/>
              <w:right w:val="single" w:sz="8" w:space="0" w:color="auto"/>
            </w:tcBorders>
            <w:shd w:val="clear" w:color="auto" w:fill="auto"/>
            <w:noWrap/>
            <w:hideMark/>
          </w:tcPr>
          <w:p w14:paraId="1D2698E0"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434" w:type="pct"/>
            <w:vMerge w:val="restart"/>
            <w:tcBorders>
              <w:top w:val="nil"/>
              <w:left w:val="single" w:sz="8" w:space="0" w:color="auto"/>
              <w:bottom w:val="single" w:sz="8" w:space="0" w:color="000000"/>
              <w:right w:val="single" w:sz="8" w:space="0" w:color="auto"/>
            </w:tcBorders>
            <w:shd w:val="clear" w:color="auto" w:fill="auto"/>
            <w:noWrap/>
            <w:hideMark/>
          </w:tcPr>
          <w:p w14:paraId="6CC39BF2" w14:textId="77777777" w:rsidR="00883F63" w:rsidRPr="00883F63" w:rsidRDefault="00883F63" w:rsidP="008349F0">
            <w:pPr>
              <w:spacing w:after="0"/>
              <w:ind w:firstLine="0"/>
              <w:jc w:val="center"/>
              <w:rPr>
                <w:rFonts w:eastAsia="Times New Roman" w:cs="Times New Roman"/>
                <w:b/>
                <w:bCs/>
                <w:sz w:val="18"/>
                <w:szCs w:val="18"/>
              </w:rPr>
            </w:pPr>
            <w:r w:rsidRPr="00883F63">
              <w:rPr>
                <w:rFonts w:eastAsia="Times New Roman" w:cs="Times New Roman"/>
                <w:sz w:val="18"/>
                <w:szCs w:val="18"/>
              </w:rPr>
              <w:t>X</w:t>
            </w:r>
          </w:p>
        </w:tc>
        <w:tc>
          <w:tcPr>
            <w:tcW w:w="367" w:type="pct"/>
            <w:vMerge w:val="restart"/>
            <w:tcBorders>
              <w:top w:val="nil"/>
              <w:left w:val="single" w:sz="8" w:space="0" w:color="auto"/>
              <w:bottom w:val="single" w:sz="8" w:space="0" w:color="000000"/>
              <w:right w:val="single" w:sz="8" w:space="0" w:color="auto"/>
            </w:tcBorders>
            <w:shd w:val="clear" w:color="auto" w:fill="auto"/>
            <w:noWrap/>
            <w:hideMark/>
          </w:tcPr>
          <w:p w14:paraId="27427333" w14:textId="77777777" w:rsidR="00883F63" w:rsidRPr="00883F63" w:rsidRDefault="00883F63" w:rsidP="008349F0">
            <w:pPr>
              <w:spacing w:after="0"/>
              <w:ind w:firstLine="0"/>
              <w:jc w:val="right"/>
              <w:rPr>
                <w:rFonts w:eastAsia="Times New Roman" w:cs="Times New Roman"/>
                <w:b/>
                <w:bCs/>
                <w:sz w:val="18"/>
                <w:szCs w:val="18"/>
              </w:rPr>
            </w:pPr>
            <w:r w:rsidRPr="00883F63">
              <w:rPr>
                <w:rFonts w:eastAsia="Times New Roman" w:cs="Times New Roman"/>
                <w:sz w:val="18"/>
                <w:szCs w:val="18"/>
              </w:rPr>
              <w:t>1 741 276</w:t>
            </w:r>
          </w:p>
        </w:tc>
      </w:tr>
      <w:tr w:rsidR="00883F63" w:rsidRPr="00883F63" w14:paraId="12018620" w14:textId="77777777" w:rsidTr="00883F63">
        <w:trPr>
          <w:trHeight w:val="278"/>
          <w:jc w:val="center"/>
        </w:trPr>
        <w:tc>
          <w:tcPr>
            <w:tcW w:w="1384" w:type="pct"/>
            <w:tcBorders>
              <w:top w:val="nil"/>
              <w:left w:val="single" w:sz="8" w:space="0" w:color="auto"/>
              <w:bottom w:val="single" w:sz="8" w:space="0" w:color="auto"/>
              <w:right w:val="single" w:sz="8" w:space="0" w:color="auto"/>
            </w:tcBorders>
            <w:shd w:val="clear" w:color="000000" w:fill="FFFFFF"/>
            <w:noWrap/>
            <w:vAlign w:val="center"/>
            <w:hideMark/>
          </w:tcPr>
          <w:p w14:paraId="27EFDFE1" w14:textId="77777777" w:rsidR="00883F63" w:rsidRPr="00883F63" w:rsidRDefault="00883F63" w:rsidP="008349F0">
            <w:pPr>
              <w:spacing w:after="0"/>
              <w:ind w:firstLine="0"/>
              <w:rPr>
                <w:rFonts w:eastAsia="Times New Roman" w:cs="Times New Roman"/>
                <w:sz w:val="18"/>
                <w:szCs w:val="18"/>
              </w:rPr>
            </w:pPr>
            <w:r w:rsidRPr="00883F63">
              <w:rPr>
                <w:rFonts w:eastAsia="Times New Roman" w:cs="Times New Roman"/>
                <w:sz w:val="18"/>
                <w:szCs w:val="18"/>
              </w:rPr>
              <w:t>(EKK 6239)</w:t>
            </w:r>
          </w:p>
        </w:tc>
        <w:tc>
          <w:tcPr>
            <w:tcW w:w="444" w:type="pct"/>
            <w:vMerge/>
            <w:tcBorders>
              <w:top w:val="nil"/>
              <w:left w:val="single" w:sz="8" w:space="0" w:color="auto"/>
              <w:bottom w:val="single" w:sz="4" w:space="0" w:color="auto"/>
              <w:right w:val="single" w:sz="8" w:space="0" w:color="auto"/>
            </w:tcBorders>
            <w:vAlign w:val="center"/>
            <w:hideMark/>
          </w:tcPr>
          <w:p w14:paraId="386C7EB3" w14:textId="77777777" w:rsidR="00883F63" w:rsidRPr="00883F63" w:rsidRDefault="00883F63" w:rsidP="008349F0">
            <w:pPr>
              <w:spacing w:after="0"/>
              <w:ind w:firstLine="0"/>
              <w:jc w:val="left"/>
              <w:rPr>
                <w:rFonts w:eastAsia="Times New Roman" w:cs="Times New Roman"/>
                <w:b/>
                <w:bCs/>
                <w:sz w:val="18"/>
                <w:szCs w:val="18"/>
              </w:rPr>
            </w:pPr>
          </w:p>
        </w:tc>
        <w:tc>
          <w:tcPr>
            <w:tcW w:w="434" w:type="pct"/>
            <w:vMerge/>
            <w:tcBorders>
              <w:top w:val="nil"/>
              <w:left w:val="single" w:sz="8" w:space="0" w:color="auto"/>
              <w:bottom w:val="single" w:sz="4" w:space="0" w:color="auto"/>
              <w:right w:val="single" w:sz="8" w:space="0" w:color="auto"/>
            </w:tcBorders>
            <w:vAlign w:val="center"/>
            <w:hideMark/>
          </w:tcPr>
          <w:p w14:paraId="35456934" w14:textId="77777777" w:rsidR="00883F63" w:rsidRPr="00883F63" w:rsidRDefault="00883F63" w:rsidP="008349F0">
            <w:pPr>
              <w:spacing w:after="0"/>
              <w:ind w:firstLine="0"/>
              <w:jc w:val="left"/>
              <w:rPr>
                <w:rFonts w:eastAsia="Times New Roman" w:cs="Times New Roman"/>
                <w:b/>
                <w:bCs/>
                <w:sz w:val="18"/>
                <w:szCs w:val="18"/>
              </w:rPr>
            </w:pPr>
          </w:p>
        </w:tc>
        <w:tc>
          <w:tcPr>
            <w:tcW w:w="356" w:type="pct"/>
            <w:vMerge/>
            <w:tcBorders>
              <w:top w:val="nil"/>
              <w:left w:val="single" w:sz="8" w:space="0" w:color="auto"/>
              <w:bottom w:val="single" w:sz="4" w:space="0" w:color="auto"/>
              <w:right w:val="single" w:sz="8" w:space="0" w:color="auto"/>
            </w:tcBorders>
            <w:vAlign w:val="center"/>
          </w:tcPr>
          <w:p w14:paraId="42E1B101" w14:textId="77777777" w:rsidR="00883F63" w:rsidRPr="00883F63" w:rsidRDefault="00883F63" w:rsidP="008349F0">
            <w:pPr>
              <w:spacing w:after="0"/>
              <w:ind w:firstLine="0"/>
              <w:jc w:val="left"/>
              <w:rPr>
                <w:rFonts w:eastAsia="Times New Roman" w:cs="Times New Roman"/>
                <w:b/>
                <w:bCs/>
                <w:sz w:val="18"/>
                <w:szCs w:val="18"/>
              </w:rPr>
            </w:pPr>
          </w:p>
        </w:tc>
        <w:tc>
          <w:tcPr>
            <w:tcW w:w="371" w:type="pct"/>
            <w:vMerge/>
            <w:tcBorders>
              <w:top w:val="nil"/>
              <w:left w:val="single" w:sz="8" w:space="0" w:color="auto"/>
              <w:bottom w:val="single" w:sz="4" w:space="0" w:color="auto"/>
              <w:right w:val="single" w:sz="8" w:space="0" w:color="auto"/>
            </w:tcBorders>
            <w:vAlign w:val="center"/>
            <w:hideMark/>
          </w:tcPr>
          <w:p w14:paraId="67504748" w14:textId="77777777" w:rsidR="00883F63" w:rsidRPr="00883F63" w:rsidRDefault="00883F63" w:rsidP="008349F0">
            <w:pPr>
              <w:spacing w:after="0"/>
              <w:ind w:firstLine="0"/>
              <w:jc w:val="left"/>
              <w:rPr>
                <w:rFonts w:eastAsia="Times New Roman" w:cs="Times New Roman"/>
                <w:b/>
                <w:bCs/>
                <w:sz w:val="18"/>
                <w:szCs w:val="18"/>
              </w:rPr>
            </w:pPr>
          </w:p>
        </w:tc>
        <w:tc>
          <w:tcPr>
            <w:tcW w:w="434" w:type="pct"/>
            <w:vMerge/>
            <w:tcBorders>
              <w:top w:val="nil"/>
              <w:left w:val="single" w:sz="8" w:space="0" w:color="auto"/>
              <w:bottom w:val="single" w:sz="4" w:space="0" w:color="auto"/>
              <w:right w:val="single" w:sz="8" w:space="0" w:color="auto"/>
            </w:tcBorders>
            <w:vAlign w:val="center"/>
            <w:hideMark/>
          </w:tcPr>
          <w:p w14:paraId="0DCB7FC8" w14:textId="77777777" w:rsidR="00883F63" w:rsidRPr="00883F63" w:rsidRDefault="00883F63" w:rsidP="008349F0">
            <w:pPr>
              <w:spacing w:after="0"/>
              <w:ind w:firstLine="0"/>
              <w:jc w:val="left"/>
              <w:rPr>
                <w:rFonts w:eastAsia="Times New Roman" w:cs="Times New Roman"/>
                <w:b/>
                <w:bCs/>
                <w:sz w:val="18"/>
                <w:szCs w:val="18"/>
              </w:rPr>
            </w:pPr>
          </w:p>
        </w:tc>
        <w:tc>
          <w:tcPr>
            <w:tcW w:w="367" w:type="pct"/>
            <w:vMerge/>
            <w:tcBorders>
              <w:top w:val="nil"/>
              <w:left w:val="single" w:sz="8" w:space="0" w:color="auto"/>
              <w:bottom w:val="single" w:sz="4" w:space="0" w:color="auto"/>
              <w:right w:val="single" w:sz="8" w:space="0" w:color="auto"/>
            </w:tcBorders>
            <w:vAlign w:val="center"/>
            <w:hideMark/>
          </w:tcPr>
          <w:p w14:paraId="52F1E157" w14:textId="77777777" w:rsidR="00883F63" w:rsidRPr="00883F63" w:rsidRDefault="00883F63" w:rsidP="008349F0">
            <w:pPr>
              <w:spacing w:after="0"/>
              <w:ind w:firstLine="0"/>
              <w:jc w:val="left"/>
              <w:rPr>
                <w:rFonts w:eastAsia="Times New Roman" w:cs="Times New Roman"/>
                <w:b/>
                <w:bCs/>
                <w:sz w:val="18"/>
                <w:szCs w:val="18"/>
              </w:rPr>
            </w:pPr>
          </w:p>
        </w:tc>
        <w:tc>
          <w:tcPr>
            <w:tcW w:w="409" w:type="pct"/>
            <w:vMerge/>
            <w:tcBorders>
              <w:top w:val="nil"/>
              <w:left w:val="single" w:sz="8" w:space="0" w:color="auto"/>
              <w:bottom w:val="single" w:sz="4" w:space="0" w:color="auto"/>
              <w:right w:val="single" w:sz="8" w:space="0" w:color="auto"/>
            </w:tcBorders>
            <w:vAlign w:val="center"/>
            <w:hideMark/>
          </w:tcPr>
          <w:p w14:paraId="245E9D99" w14:textId="77777777" w:rsidR="00883F63" w:rsidRPr="00883F63" w:rsidRDefault="00883F63" w:rsidP="008349F0">
            <w:pPr>
              <w:spacing w:after="0"/>
              <w:ind w:firstLine="0"/>
              <w:jc w:val="left"/>
              <w:rPr>
                <w:rFonts w:eastAsia="Times New Roman" w:cs="Times New Roman"/>
                <w:b/>
                <w:bCs/>
                <w:sz w:val="18"/>
                <w:szCs w:val="18"/>
              </w:rPr>
            </w:pPr>
          </w:p>
        </w:tc>
        <w:tc>
          <w:tcPr>
            <w:tcW w:w="434" w:type="pct"/>
            <w:vMerge/>
            <w:tcBorders>
              <w:top w:val="nil"/>
              <w:left w:val="single" w:sz="8" w:space="0" w:color="auto"/>
              <w:bottom w:val="single" w:sz="4" w:space="0" w:color="auto"/>
              <w:right w:val="single" w:sz="8" w:space="0" w:color="auto"/>
            </w:tcBorders>
            <w:vAlign w:val="center"/>
            <w:hideMark/>
          </w:tcPr>
          <w:p w14:paraId="5CD0CC00" w14:textId="77777777" w:rsidR="00883F63" w:rsidRPr="00883F63" w:rsidRDefault="00883F63" w:rsidP="008349F0">
            <w:pPr>
              <w:spacing w:after="0"/>
              <w:ind w:firstLine="0"/>
              <w:jc w:val="left"/>
              <w:rPr>
                <w:rFonts w:eastAsia="Times New Roman" w:cs="Times New Roman"/>
                <w:b/>
                <w:bCs/>
                <w:sz w:val="18"/>
                <w:szCs w:val="18"/>
              </w:rPr>
            </w:pPr>
          </w:p>
        </w:tc>
        <w:tc>
          <w:tcPr>
            <w:tcW w:w="367" w:type="pct"/>
            <w:vMerge/>
            <w:tcBorders>
              <w:top w:val="nil"/>
              <w:left w:val="single" w:sz="8" w:space="0" w:color="auto"/>
              <w:bottom w:val="single" w:sz="4" w:space="0" w:color="auto"/>
              <w:right w:val="single" w:sz="8" w:space="0" w:color="auto"/>
            </w:tcBorders>
            <w:vAlign w:val="center"/>
            <w:hideMark/>
          </w:tcPr>
          <w:p w14:paraId="512EF889" w14:textId="77777777" w:rsidR="00883F63" w:rsidRPr="00883F63" w:rsidRDefault="00883F63" w:rsidP="008349F0">
            <w:pPr>
              <w:spacing w:after="0"/>
              <w:ind w:firstLine="0"/>
              <w:jc w:val="left"/>
              <w:rPr>
                <w:rFonts w:eastAsia="Times New Roman" w:cs="Times New Roman"/>
                <w:b/>
                <w:bCs/>
                <w:sz w:val="18"/>
                <w:szCs w:val="18"/>
              </w:rPr>
            </w:pPr>
          </w:p>
        </w:tc>
      </w:tr>
      <w:tr w:rsidR="00883F63" w:rsidRPr="00883F63" w14:paraId="0992CD83" w14:textId="77777777" w:rsidTr="00883F63">
        <w:trPr>
          <w:trHeight w:val="278"/>
          <w:jc w:val="center"/>
        </w:trPr>
        <w:tc>
          <w:tcPr>
            <w:tcW w:w="1384" w:type="pct"/>
            <w:tcBorders>
              <w:top w:val="nil"/>
              <w:left w:val="single" w:sz="8" w:space="0" w:color="auto"/>
              <w:bottom w:val="single" w:sz="8" w:space="0" w:color="auto"/>
              <w:right w:val="single" w:sz="4" w:space="0" w:color="auto"/>
            </w:tcBorders>
            <w:shd w:val="clear" w:color="000000" w:fill="FFFFFF"/>
            <w:noWrap/>
            <w:vAlign w:val="center"/>
            <w:hideMark/>
          </w:tcPr>
          <w:p w14:paraId="5F8331BF" w14:textId="77777777" w:rsidR="00883F63" w:rsidRPr="00883F63" w:rsidRDefault="00883F63" w:rsidP="008349F0">
            <w:pPr>
              <w:spacing w:after="0"/>
              <w:ind w:firstLine="0"/>
              <w:jc w:val="right"/>
              <w:rPr>
                <w:rFonts w:eastAsia="Times New Roman" w:cs="Times New Roman"/>
                <w:i/>
                <w:iCs/>
                <w:sz w:val="18"/>
                <w:szCs w:val="18"/>
              </w:rPr>
            </w:pPr>
            <w:r w:rsidRPr="00883F63">
              <w:rPr>
                <w:rFonts w:eastAsia="Times New Roman" w:cs="Times New Roman"/>
                <w:i/>
                <w:iCs/>
                <w:sz w:val="18"/>
                <w:szCs w:val="18"/>
              </w:rPr>
              <w:t>tajā skaitā:</w:t>
            </w:r>
          </w:p>
        </w:tc>
        <w:tc>
          <w:tcPr>
            <w:tcW w:w="3616"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7184819" w14:textId="77777777" w:rsidR="00883F63" w:rsidRPr="00883F63" w:rsidRDefault="00883F63" w:rsidP="008349F0">
            <w:pPr>
              <w:spacing w:after="0"/>
              <w:ind w:firstLine="0"/>
              <w:jc w:val="left"/>
              <w:rPr>
                <w:rFonts w:ascii="Calibri" w:eastAsia="Times New Roman" w:hAnsi="Calibri" w:cs="Times New Roman"/>
                <w:sz w:val="22"/>
              </w:rPr>
            </w:pPr>
            <w:r w:rsidRPr="00883F63">
              <w:rPr>
                <w:rFonts w:ascii="Calibri" w:eastAsia="Times New Roman" w:hAnsi="Calibri" w:cs="Times New Roman"/>
                <w:sz w:val="22"/>
              </w:rPr>
              <w:t> </w:t>
            </w:r>
          </w:p>
        </w:tc>
      </w:tr>
      <w:tr w:rsidR="00883F63" w:rsidRPr="00883F63" w14:paraId="25B940A7" w14:textId="77777777" w:rsidTr="00883F63">
        <w:trPr>
          <w:trHeight w:val="278"/>
          <w:jc w:val="center"/>
        </w:trPr>
        <w:tc>
          <w:tcPr>
            <w:tcW w:w="1384" w:type="pct"/>
            <w:tcBorders>
              <w:top w:val="nil"/>
              <w:left w:val="single" w:sz="8" w:space="0" w:color="auto"/>
              <w:bottom w:val="single" w:sz="8" w:space="0" w:color="auto"/>
              <w:right w:val="single" w:sz="8" w:space="0" w:color="auto"/>
            </w:tcBorders>
            <w:shd w:val="clear" w:color="000000" w:fill="FFFFFF"/>
            <w:noWrap/>
            <w:vAlign w:val="center"/>
            <w:hideMark/>
          </w:tcPr>
          <w:p w14:paraId="5FE2D9AE" w14:textId="77777777" w:rsidR="00883F63" w:rsidRPr="00883F63" w:rsidRDefault="00883F63" w:rsidP="008349F0">
            <w:pPr>
              <w:spacing w:after="0"/>
              <w:ind w:firstLine="0"/>
              <w:jc w:val="left"/>
              <w:rPr>
                <w:rFonts w:eastAsia="Times New Roman" w:cs="Times New Roman"/>
                <w:sz w:val="18"/>
                <w:szCs w:val="18"/>
              </w:rPr>
            </w:pPr>
            <w:r w:rsidRPr="00883F63">
              <w:rPr>
                <w:rFonts w:eastAsia="Times New Roman" w:cs="Times New Roman"/>
                <w:sz w:val="18"/>
                <w:szCs w:val="18"/>
              </w:rPr>
              <w:t>Nacionālās pretošanās kustības dalībnieku pabalsti</w:t>
            </w:r>
          </w:p>
        </w:tc>
        <w:tc>
          <w:tcPr>
            <w:tcW w:w="444" w:type="pct"/>
            <w:tcBorders>
              <w:top w:val="single" w:sz="4" w:space="0" w:color="auto"/>
              <w:left w:val="nil"/>
              <w:bottom w:val="single" w:sz="8" w:space="0" w:color="auto"/>
              <w:right w:val="single" w:sz="8" w:space="0" w:color="auto"/>
            </w:tcBorders>
            <w:shd w:val="clear" w:color="auto" w:fill="auto"/>
            <w:hideMark/>
          </w:tcPr>
          <w:p w14:paraId="1CC5BFCE"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340,00</w:t>
            </w:r>
          </w:p>
        </w:tc>
        <w:tc>
          <w:tcPr>
            <w:tcW w:w="434" w:type="pct"/>
            <w:tcBorders>
              <w:top w:val="single" w:sz="4" w:space="0" w:color="auto"/>
              <w:left w:val="nil"/>
              <w:bottom w:val="single" w:sz="8" w:space="0" w:color="auto"/>
              <w:right w:val="single" w:sz="8" w:space="0" w:color="auto"/>
            </w:tcBorders>
            <w:shd w:val="clear" w:color="auto" w:fill="auto"/>
            <w:hideMark/>
          </w:tcPr>
          <w:p w14:paraId="695C0246"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143</w:t>
            </w:r>
          </w:p>
        </w:tc>
        <w:tc>
          <w:tcPr>
            <w:tcW w:w="356" w:type="pct"/>
            <w:tcBorders>
              <w:top w:val="single" w:sz="4" w:space="0" w:color="auto"/>
              <w:left w:val="nil"/>
              <w:bottom w:val="single" w:sz="8" w:space="0" w:color="auto"/>
              <w:right w:val="single" w:sz="8" w:space="0" w:color="auto"/>
            </w:tcBorders>
            <w:shd w:val="clear" w:color="auto" w:fill="auto"/>
          </w:tcPr>
          <w:p w14:paraId="09D0195D"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583 440</w:t>
            </w:r>
          </w:p>
        </w:tc>
        <w:tc>
          <w:tcPr>
            <w:tcW w:w="371" w:type="pct"/>
            <w:tcBorders>
              <w:top w:val="single" w:sz="4" w:space="0" w:color="auto"/>
              <w:left w:val="nil"/>
              <w:bottom w:val="single" w:sz="8" w:space="0" w:color="auto"/>
              <w:right w:val="single" w:sz="8" w:space="0" w:color="auto"/>
            </w:tcBorders>
            <w:shd w:val="clear" w:color="auto" w:fill="auto"/>
            <w:noWrap/>
            <w:hideMark/>
          </w:tcPr>
          <w:p w14:paraId="0F69C7C6"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340,00</w:t>
            </w:r>
          </w:p>
        </w:tc>
        <w:tc>
          <w:tcPr>
            <w:tcW w:w="434" w:type="pct"/>
            <w:tcBorders>
              <w:top w:val="single" w:sz="4" w:space="0" w:color="auto"/>
              <w:left w:val="nil"/>
              <w:bottom w:val="single" w:sz="8" w:space="0" w:color="auto"/>
              <w:right w:val="single" w:sz="8" w:space="0" w:color="auto"/>
            </w:tcBorders>
            <w:shd w:val="clear" w:color="auto" w:fill="auto"/>
            <w:noWrap/>
            <w:hideMark/>
          </w:tcPr>
          <w:p w14:paraId="6821B93D"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143</w:t>
            </w:r>
          </w:p>
        </w:tc>
        <w:tc>
          <w:tcPr>
            <w:tcW w:w="367" w:type="pct"/>
            <w:tcBorders>
              <w:top w:val="single" w:sz="4" w:space="0" w:color="auto"/>
              <w:left w:val="nil"/>
              <w:bottom w:val="single" w:sz="8" w:space="0" w:color="auto"/>
              <w:right w:val="single" w:sz="8" w:space="0" w:color="auto"/>
            </w:tcBorders>
            <w:shd w:val="clear" w:color="auto" w:fill="auto"/>
            <w:noWrap/>
            <w:hideMark/>
          </w:tcPr>
          <w:p w14:paraId="70CC4FD8"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583 440</w:t>
            </w:r>
          </w:p>
        </w:tc>
        <w:tc>
          <w:tcPr>
            <w:tcW w:w="409" w:type="pct"/>
            <w:tcBorders>
              <w:top w:val="single" w:sz="4" w:space="0" w:color="auto"/>
              <w:left w:val="nil"/>
              <w:bottom w:val="single" w:sz="8" w:space="0" w:color="auto"/>
              <w:right w:val="single" w:sz="8" w:space="0" w:color="auto"/>
            </w:tcBorders>
            <w:shd w:val="clear" w:color="auto" w:fill="auto"/>
            <w:noWrap/>
            <w:hideMark/>
          </w:tcPr>
          <w:p w14:paraId="692006E1"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340,00</w:t>
            </w:r>
          </w:p>
        </w:tc>
        <w:tc>
          <w:tcPr>
            <w:tcW w:w="434" w:type="pct"/>
            <w:tcBorders>
              <w:top w:val="single" w:sz="4" w:space="0" w:color="auto"/>
              <w:left w:val="nil"/>
              <w:bottom w:val="single" w:sz="8" w:space="0" w:color="auto"/>
              <w:right w:val="single" w:sz="8" w:space="0" w:color="auto"/>
            </w:tcBorders>
            <w:shd w:val="clear" w:color="auto" w:fill="auto"/>
            <w:noWrap/>
            <w:hideMark/>
          </w:tcPr>
          <w:p w14:paraId="0CB4D7DC"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143</w:t>
            </w:r>
          </w:p>
        </w:tc>
        <w:tc>
          <w:tcPr>
            <w:tcW w:w="367" w:type="pct"/>
            <w:tcBorders>
              <w:top w:val="single" w:sz="4" w:space="0" w:color="auto"/>
              <w:left w:val="nil"/>
              <w:bottom w:val="single" w:sz="8" w:space="0" w:color="auto"/>
              <w:right w:val="single" w:sz="8" w:space="0" w:color="auto"/>
            </w:tcBorders>
            <w:shd w:val="clear" w:color="auto" w:fill="auto"/>
            <w:noWrap/>
            <w:hideMark/>
          </w:tcPr>
          <w:p w14:paraId="10C9B88A"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583 440</w:t>
            </w:r>
          </w:p>
        </w:tc>
      </w:tr>
      <w:tr w:rsidR="00883F63" w:rsidRPr="00883F63" w14:paraId="61A29D00" w14:textId="77777777" w:rsidTr="00883F63">
        <w:trPr>
          <w:trHeight w:val="278"/>
          <w:jc w:val="center"/>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4EF21B30" w14:textId="77777777" w:rsidR="00883F63" w:rsidRPr="00883F63" w:rsidRDefault="00883F63" w:rsidP="008349F0">
            <w:pPr>
              <w:spacing w:after="0"/>
              <w:ind w:firstLine="0"/>
              <w:jc w:val="left"/>
              <w:rPr>
                <w:rFonts w:eastAsia="Times New Roman" w:cs="Times New Roman"/>
                <w:sz w:val="18"/>
                <w:szCs w:val="18"/>
              </w:rPr>
            </w:pPr>
            <w:r w:rsidRPr="00883F63">
              <w:rPr>
                <w:rFonts w:eastAsia="Times New Roman" w:cs="Times New Roman"/>
                <w:sz w:val="18"/>
                <w:szCs w:val="18"/>
              </w:rPr>
              <w:t>Barikāžu pabalsti</w:t>
            </w:r>
          </w:p>
        </w:tc>
        <w:tc>
          <w:tcPr>
            <w:tcW w:w="444" w:type="pct"/>
            <w:tcBorders>
              <w:top w:val="nil"/>
              <w:left w:val="nil"/>
              <w:bottom w:val="single" w:sz="8" w:space="0" w:color="auto"/>
              <w:right w:val="single" w:sz="8" w:space="0" w:color="auto"/>
            </w:tcBorders>
            <w:shd w:val="clear" w:color="auto" w:fill="auto"/>
            <w:hideMark/>
          </w:tcPr>
          <w:p w14:paraId="3909D615"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100,00</w:t>
            </w:r>
          </w:p>
        </w:tc>
        <w:tc>
          <w:tcPr>
            <w:tcW w:w="434" w:type="pct"/>
            <w:tcBorders>
              <w:top w:val="nil"/>
              <w:left w:val="nil"/>
              <w:bottom w:val="single" w:sz="8" w:space="0" w:color="auto"/>
              <w:right w:val="single" w:sz="8" w:space="0" w:color="auto"/>
            </w:tcBorders>
            <w:shd w:val="clear" w:color="auto" w:fill="auto"/>
            <w:hideMark/>
          </w:tcPr>
          <w:p w14:paraId="4966AEB5"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8</w:t>
            </w:r>
          </w:p>
        </w:tc>
        <w:tc>
          <w:tcPr>
            <w:tcW w:w="356" w:type="pct"/>
            <w:tcBorders>
              <w:top w:val="nil"/>
              <w:left w:val="nil"/>
              <w:bottom w:val="single" w:sz="8" w:space="0" w:color="auto"/>
              <w:right w:val="single" w:sz="8" w:space="0" w:color="auto"/>
            </w:tcBorders>
            <w:shd w:val="clear" w:color="auto" w:fill="auto"/>
          </w:tcPr>
          <w:p w14:paraId="03492FBF"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9 600</w:t>
            </w:r>
          </w:p>
        </w:tc>
        <w:tc>
          <w:tcPr>
            <w:tcW w:w="371" w:type="pct"/>
            <w:tcBorders>
              <w:top w:val="nil"/>
              <w:left w:val="nil"/>
              <w:bottom w:val="single" w:sz="8" w:space="0" w:color="auto"/>
              <w:right w:val="single" w:sz="8" w:space="0" w:color="auto"/>
            </w:tcBorders>
            <w:shd w:val="clear" w:color="auto" w:fill="auto"/>
            <w:noWrap/>
            <w:hideMark/>
          </w:tcPr>
          <w:p w14:paraId="29B96BA2"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100,00</w:t>
            </w:r>
          </w:p>
        </w:tc>
        <w:tc>
          <w:tcPr>
            <w:tcW w:w="434" w:type="pct"/>
            <w:tcBorders>
              <w:top w:val="nil"/>
              <w:left w:val="nil"/>
              <w:bottom w:val="single" w:sz="8" w:space="0" w:color="auto"/>
              <w:right w:val="single" w:sz="8" w:space="0" w:color="auto"/>
            </w:tcBorders>
            <w:shd w:val="clear" w:color="auto" w:fill="auto"/>
            <w:noWrap/>
            <w:hideMark/>
          </w:tcPr>
          <w:p w14:paraId="4962F700"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8</w:t>
            </w:r>
          </w:p>
        </w:tc>
        <w:tc>
          <w:tcPr>
            <w:tcW w:w="367" w:type="pct"/>
            <w:tcBorders>
              <w:top w:val="nil"/>
              <w:left w:val="nil"/>
              <w:bottom w:val="single" w:sz="8" w:space="0" w:color="auto"/>
              <w:right w:val="single" w:sz="8" w:space="0" w:color="auto"/>
            </w:tcBorders>
            <w:shd w:val="clear" w:color="auto" w:fill="auto"/>
            <w:noWrap/>
            <w:hideMark/>
          </w:tcPr>
          <w:p w14:paraId="74AAA0F9"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9 600</w:t>
            </w:r>
          </w:p>
        </w:tc>
        <w:tc>
          <w:tcPr>
            <w:tcW w:w="409" w:type="pct"/>
            <w:tcBorders>
              <w:top w:val="nil"/>
              <w:left w:val="nil"/>
              <w:bottom w:val="single" w:sz="8" w:space="0" w:color="auto"/>
              <w:right w:val="single" w:sz="8" w:space="0" w:color="auto"/>
            </w:tcBorders>
            <w:shd w:val="clear" w:color="auto" w:fill="auto"/>
            <w:noWrap/>
            <w:hideMark/>
          </w:tcPr>
          <w:p w14:paraId="50EE78D3"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100,00</w:t>
            </w:r>
          </w:p>
        </w:tc>
        <w:tc>
          <w:tcPr>
            <w:tcW w:w="434" w:type="pct"/>
            <w:tcBorders>
              <w:top w:val="nil"/>
              <w:left w:val="nil"/>
              <w:bottom w:val="single" w:sz="8" w:space="0" w:color="auto"/>
              <w:right w:val="single" w:sz="8" w:space="0" w:color="auto"/>
            </w:tcBorders>
            <w:shd w:val="clear" w:color="auto" w:fill="auto"/>
            <w:noWrap/>
            <w:hideMark/>
          </w:tcPr>
          <w:p w14:paraId="679E26F8"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8</w:t>
            </w:r>
          </w:p>
        </w:tc>
        <w:tc>
          <w:tcPr>
            <w:tcW w:w="367" w:type="pct"/>
            <w:tcBorders>
              <w:top w:val="nil"/>
              <w:left w:val="nil"/>
              <w:bottom w:val="single" w:sz="8" w:space="0" w:color="auto"/>
              <w:right w:val="single" w:sz="8" w:space="0" w:color="auto"/>
            </w:tcBorders>
            <w:shd w:val="clear" w:color="auto" w:fill="auto"/>
            <w:noWrap/>
            <w:hideMark/>
          </w:tcPr>
          <w:p w14:paraId="3949DCA6"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9 600</w:t>
            </w:r>
          </w:p>
        </w:tc>
      </w:tr>
      <w:tr w:rsidR="00883F63" w:rsidRPr="00883F63" w14:paraId="6E274E43" w14:textId="77777777" w:rsidTr="00883F63">
        <w:trPr>
          <w:trHeight w:val="278"/>
          <w:jc w:val="center"/>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366DFAE4" w14:textId="77777777" w:rsidR="00883F63" w:rsidRPr="00883F63" w:rsidRDefault="00883F63" w:rsidP="008349F0">
            <w:pPr>
              <w:spacing w:after="0"/>
              <w:ind w:firstLine="0"/>
              <w:jc w:val="left"/>
              <w:rPr>
                <w:rFonts w:eastAsia="Times New Roman" w:cs="Times New Roman"/>
                <w:sz w:val="18"/>
                <w:szCs w:val="18"/>
              </w:rPr>
            </w:pPr>
            <w:r w:rsidRPr="00883F63">
              <w:rPr>
                <w:rFonts w:eastAsia="Times New Roman" w:cs="Times New Roman"/>
                <w:sz w:val="18"/>
                <w:szCs w:val="18"/>
              </w:rPr>
              <w:t>Obligātā militārā dienesta kompensācijas</w:t>
            </w:r>
          </w:p>
        </w:tc>
        <w:tc>
          <w:tcPr>
            <w:tcW w:w="444" w:type="pct"/>
            <w:tcBorders>
              <w:top w:val="nil"/>
              <w:left w:val="nil"/>
              <w:bottom w:val="single" w:sz="8" w:space="0" w:color="auto"/>
              <w:right w:val="single" w:sz="8" w:space="0" w:color="auto"/>
            </w:tcBorders>
            <w:shd w:val="clear" w:color="auto" w:fill="auto"/>
            <w:hideMark/>
          </w:tcPr>
          <w:p w14:paraId="343EDA44"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231,22</w:t>
            </w:r>
          </w:p>
        </w:tc>
        <w:tc>
          <w:tcPr>
            <w:tcW w:w="434" w:type="pct"/>
            <w:tcBorders>
              <w:top w:val="nil"/>
              <w:left w:val="nil"/>
              <w:bottom w:val="single" w:sz="8" w:space="0" w:color="auto"/>
              <w:right w:val="single" w:sz="8" w:space="0" w:color="auto"/>
            </w:tcBorders>
            <w:shd w:val="clear" w:color="auto" w:fill="auto"/>
            <w:hideMark/>
          </w:tcPr>
          <w:p w14:paraId="6A482995"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4</w:t>
            </w:r>
          </w:p>
        </w:tc>
        <w:tc>
          <w:tcPr>
            <w:tcW w:w="356" w:type="pct"/>
            <w:tcBorders>
              <w:top w:val="nil"/>
              <w:left w:val="nil"/>
              <w:bottom w:val="single" w:sz="8" w:space="0" w:color="auto"/>
              <w:right w:val="single" w:sz="8" w:space="0" w:color="auto"/>
            </w:tcBorders>
            <w:shd w:val="clear" w:color="auto" w:fill="auto"/>
          </w:tcPr>
          <w:p w14:paraId="6D7032E3"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11 098</w:t>
            </w:r>
          </w:p>
        </w:tc>
        <w:tc>
          <w:tcPr>
            <w:tcW w:w="371" w:type="pct"/>
            <w:tcBorders>
              <w:top w:val="nil"/>
              <w:left w:val="nil"/>
              <w:bottom w:val="single" w:sz="8" w:space="0" w:color="auto"/>
              <w:right w:val="single" w:sz="8" w:space="0" w:color="auto"/>
            </w:tcBorders>
            <w:shd w:val="clear" w:color="auto" w:fill="auto"/>
            <w:noWrap/>
            <w:hideMark/>
          </w:tcPr>
          <w:p w14:paraId="045D0EAD"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231,22</w:t>
            </w:r>
          </w:p>
        </w:tc>
        <w:tc>
          <w:tcPr>
            <w:tcW w:w="434" w:type="pct"/>
            <w:tcBorders>
              <w:top w:val="nil"/>
              <w:left w:val="nil"/>
              <w:bottom w:val="single" w:sz="8" w:space="0" w:color="auto"/>
              <w:right w:val="single" w:sz="8" w:space="0" w:color="auto"/>
            </w:tcBorders>
            <w:shd w:val="clear" w:color="auto" w:fill="auto"/>
            <w:noWrap/>
            <w:hideMark/>
          </w:tcPr>
          <w:p w14:paraId="0108BF05"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4</w:t>
            </w:r>
          </w:p>
        </w:tc>
        <w:tc>
          <w:tcPr>
            <w:tcW w:w="367" w:type="pct"/>
            <w:tcBorders>
              <w:top w:val="nil"/>
              <w:left w:val="nil"/>
              <w:bottom w:val="single" w:sz="8" w:space="0" w:color="auto"/>
              <w:right w:val="single" w:sz="8" w:space="0" w:color="auto"/>
            </w:tcBorders>
            <w:shd w:val="clear" w:color="auto" w:fill="auto"/>
            <w:noWrap/>
            <w:hideMark/>
          </w:tcPr>
          <w:p w14:paraId="4794D0D2"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11 098</w:t>
            </w:r>
          </w:p>
        </w:tc>
        <w:tc>
          <w:tcPr>
            <w:tcW w:w="409" w:type="pct"/>
            <w:tcBorders>
              <w:top w:val="nil"/>
              <w:left w:val="nil"/>
              <w:bottom w:val="single" w:sz="8" w:space="0" w:color="auto"/>
              <w:right w:val="single" w:sz="8" w:space="0" w:color="auto"/>
            </w:tcBorders>
            <w:shd w:val="clear" w:color="auto" w:fill="auto"/>
            <w:noWrap/>
            <w:hideMark/>
          </w:tcPr>
          <w:p w14:paraId="331BF65C"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231,22</w:t>
            </w:r>
          </w:p>
        </w:tc>
        <w:tc>
          <w:tcPr>
            <w:tcW w:w="434" w:type="pct"/>
            <w:tcBorders>
              <w:top w:val="nil"/>
              <w:left w:val="nil"/>
              <w:bottom w:val="single" w:sz="8" w:space="0" w:color="auto"/>
              <w:right w:val="single" w:sz="8" w:space="0" w:color="auto"/>
            </w:tcBorders>
            <w:shd w:val="clear" w:color="auto" w:fill="auto"/>
            <w:noWrap/>
            <w:hideMark/>
          </w:tcPr>
          <w:p w14:paraId="52C70635"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4</w:t>
            </w:r>
          </w:p>
        </w:tc>
        <w:tc>
          <w:tcPr>
            <w:tcW w:w="367" w:type="pct"/>
            <w:tcBorders>
              <w:top w:val="nil"/>
              <w:left w:val="nil"/>
              <w:bottom w:val="single" w:sz="8" w:space="0" w:color="auto"/>
              <w:right w:val="single" w:sz="8" w:space="0" w:color="auto"/>
            </w:tcBorders>
            <w:shd w:val="clear" w:color="auto" w:fill="auto"/>
            <w:noWrap/>
            <w:hideMark/>
          </w:tcPr>
          <w:p w14:paraId="3845F07A"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11 098</w:t>
            </w:r>
          </w:p>
        </w:tc>
      </w:tr>
      <w:tr w:rsidR="00883F63" w:rsidRPr="00883F63" w14:paraId="5E27A0D3" w14:textId="77777777" w:rsidTr="00883F63">
        <w:trPr>
          <w:trHeight w:val="278"/>
          <w:jc w:val="center"/>
        </w:trPr>
        <w:tc>
          <w:tcPr>
            <w:tcW w:w="1384" w:type="pct"/>
            <w:tcBorders>
              <w:top w:val="nil"/>
              <w:left w:val="single" w:sz="8" w:space="0" w:color="auto"/>
              <w:bottom w:val="single" w:sz="8" w:space="0" w:color="auto"/>
              <w:right w:val="single" w:sz="8" w:space="0" w:color="auto"/>
            </w:tcBorders>
            <w:shd w:val="clear" w:color="000000" w:fill="FFFFFF"/>
            <w:noWrap/>
            <w:vAlign w:val="center"/>
            <w:hideMark/>
          </w:tcPr>
          <w:p w14:paraId="74F2474A" w14:textId="77777777" w:rsidR="00883F63" w:rsidRPr="00883F63" w:rsidRDefault="00883F63" w:rsidP="008349F0">
            <w:pPr>
              <w:spacing w:after="0"/>
              <w:ind w:firstLine="0"/>
              <w:jc w:val="left"/>
              <w:rPr>
                <w:rFonts w:eastAsia="Times New Roman" w:cs="Times New Roman"/>
                <w:sz w:val="18"/>
                <w:szCs w:val="18"/>
              </w:rPr>
            </w:pPr>
            <w:r w:rsidRPr="00883F63">
              <w:rPr>
                <w:rFonts w:eastAsia="Times New Roman" w:cs="Times New Roman"/>
                <w:sz w:val="18"/>
                <w:szCs w:val="18"/>
              </w:rPr>
              <w:t>Darbā nodarītā kaitējuma atlīdzība</w:t>
            </w:r>
          </w:p>
        </w:tc>
        <w:tc>
          <w:tcPr>
            <w:tcW w:w="444" w:type="pct"/>
            <w:tcBorders>
              <w:top w:val="nil"/>
              <w:left w:val="nil"/>
              <w:bottom w:val="single" w:sz="8" w:space="0" w:color="auto"/>
              <w:right w:val="single" w:sz="8" w:space="0" w:color="auto"/>
            </w:tcBorders>
            <w:shd w:val="clear" w:color="auto" w:fill="auto"/>
            <w:hideMark/>
          </w:tcPr>
          <w:p w14:paraId="0DA5D1E7"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115,75</w:t>
            </w:r>
          </w:p>
        </w:tc>
        <w:tc>
          <w:tcPr>
            <w:tcW w:w="434" w:type="pct"/>
            <w:tcBorders>
              <w:top w:val="nil"/>
              <w:left w:val="nil"/>
              <w:bottom w:val="single" w:sz="8" w:space="0" w:color="auto"/>
              <w:right w:val="single" w:sz="8" w:space="0" w:color="auto"/>
            </w:tcBorders>
            <w:shd w:val="clear" w:color="auto" w:fill="auto"/>
            <w:hideMark/>
          </w:tcPr>
          <w:p w14:paraId="2D7253AD"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w:t>
            </w:r>
          </w:p>
        </w:tc>
        <w:tc>
          <w:tcPr>
            <w:tcW w:w="356" w:type="pct"/>
            <w:tcBorders>
              <w:top w:val="nil"/>
              <w:left w:val="nil"/>
              <w:bottom w:val="single" w:sz="8" w:space="0" w:color="auto"/>
              <w:right w:val="single" w:sz="8" w:space="0" w:color="auto"/>
            </w:tcBorders>
            <w:shd w:val="clear" w:color="auto" w:fill="auto"/>
          </w:tcPr>
          <w:p w14:paraId="1600D5A3"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2778</w:t>
            </w:r>
          </w:p>
        </w:tc>
        <w:tc>
          <w:tcPr>
            <w:tcW w:w="371" w:type="pct"/>
            <w:tcBorders>
              <w:top w:val="nil"/>
              <w:left w:val="nil"/>
              <w:bottom w:val="single" w:sz="8" w:space="0" w:color="auto"/>
              <w:right w:val="single" w:sz="8" w:space="0" w:color="auto"/>
            </w:tcBorders>
            <w:shd w:val="clear" w:color="auto" w:fill="auto"/>
            <w:noWrap/>
            <w:hideMark/>
          </w:tcPr>
          <w:p w14:paraId="39109420"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115,75</w:t>
            </w:r>
          </w:p>
        </w:tc>
        <w:tc>
          <w:tcPr>
            <w:tcW w:w="434" w:type="pct"/>
            <w:tcBorders>
              <w:top w:val="nil"/>
              <w:left w:val="nil"/>
              <w:bottom w:val="single" w:sz="8" w:space="0" w:color="auto"/>
              <w:right w:val="single" w:sz="8" w:space="0" w:color="auto"/>
            </w:tcBorders>
            <w:shd w:val="clear" w:color="auto" w:fill="auto"/>
            <w:noWrap/>
            <w:hideMark/>
          </w:tcPr>
          <w:p w14:paraId="4C0F5528"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w:t>
            </w:r>
          </w:p>
        </w:tc>
        <w:tc>
          <w:tcPr>
            <w:tcW w:w="367" w:type="pct"/>
            <w:tcBorders>
              <w:top w:val="nil"/>
              <w:left w:val="nil"/>
              <w:bottom w:val="single" w:sz="8" w:space="0" w:color="auto"/>
              <w:right w:val="single" w:sz="8" w:space="0" w:color="auto"/>
            </w:tcBorders>
            <w:shd w:val="clear" w:color="auto" w:fill="auto"/>
            <w:noWrap/>
            <w:hideMark/>
          </w:tcPr>
          <w:p w14:paraId="0342CEF4"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2778</w:t>
            </w:r>
          </w:p>
        </w:tc>
        <w:tc>
          <w:tcPr>
            <w:tcW w:w="409" w:type="pct"/>
            <w:tcBorders>
              <w:top w:val="nil"/>
              <w:left w:val="nil"/>
              <w:bottom w:val="single" w:sz="8" w:space="0" w:color="auto"/>
              <w:right w:val="single" w:sz="8" w:space="0" w:color="auto"/>
            </w:tcBorders>
            <w:shd w:val="clear" w:color="auto" w:fill="auto"/>
            <w:noWrap/>
            <w:hideMark/>
          </w:tcPr>
          <w:p w14:paraId="350A1DF0"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88,25</w:t>
            </w:r>
          </w:p>
        </w:tc>
        <w:tc>
          <w:tcPr>
            <w:tcW w:w="434" w:type="pct"/>
            <w:tcBorders>
              <w:top w:val="nil"/>
              <w:left w:val="nil"/>
              <w:bottom w:val="single" w:sz="8" w:space="0" w:color="auto"/>
              <w:right w:val="single" w:sz="8" w:space="0" w:color="auto"/>
            </w:tcBorders>
            <w:shd w:val="clear" w:color="auto" w:fill="auto"/>
            <w:noWrap/>
            <w:hideMark/>
          </w:tcPr>
          <w:p w14:paraId="602B5BFA"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w:t>
            </w:r>
          </w:p>
        </w:tc>
        <w:tc>
          <w:tcPr>
            <w:tcW w:w="367" w:type="pct"/>
            <w:tcBorders>
              <w:top w:val="nil"/>
              <w:left w:val="nil"/>
              <w:bottom w:val="single" w:sz="8" w:space="0" w:color="auto"/>
              <w:right w:val="single" w:sz="8" w:space="0" w:color="auto"/>
            </w:tcBorders>
            <w:shd w:val="clear" w:color="auto" w:fill="auto"/>
            <w:noWrap/>
            <w:hideMark/>
          </w:tcPr>
          <w:p w14:paraId="7A7463DA"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2 778</w:t>
            </w:r>
          </w:p>
        </w:tc>
      </w:tr>
      <w:tr w:rsidR="00883F63" w:rsidRPr="00883F63" w14:paraId="19A8876D" w14:textId="77777777" w:rsidTr="00883F63">
        <w:trPr>
          <w:trHeight w:val="438"/>
          <w:jc w:val="center"/>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31519798" w14:textId="77777777" w:rsidR="00883F63" w:rsidRPr="00883F63" w:rsidRDefault="00883F63" w:rsidP="008349F0">
            <w:pPr>
              <w:spacing w:after="0"/>
              <w:ind w:firstLine="0"/>
              <w:jc w:val="left"/>
              <w:rPr>
                <w:rFonts w:eastAsia="Times New Roman" w:cs="Times New Roman"/>
                <w:sz w:val="18"/>
                <w:szCs w:val="18"/>
              </w:rPr>
            </w:pPr>
            <w:r w:rsidRPr="00883F63">
              <w:rPr>
                <w:rFonts w:eastAsia="Times New Roman" w:cs="Times New Roman"/>
                <w:sz w:val="18"/>
                <w:szCs w:val="18"/>
              </w:rPr>
              <w:t>Veselības bojājuma, traumu un apbedīšanas pabalsti militārpersonām</w:t>
            </w:r>
          </w:p>
        </w:tc>
        <w:tc>
          <w:tcPr>
            <w:tcW w:w="444" w:type="pct"/>
            <w:tcBorders>
              <w:top w:val="nil"/>
              <w:left w:val="nil"/>
              <w:bottom w:val="single" w:sz="8" w:space="0" w:color="auto"/>
              <w:right w:val="single" w:sz="8" w:space="0" w:color="auto"/>
            </w:tcBorders>
            <w:shd w:val="clear" w:color="auto" w:fill="auto"/>
            <w:hideMark/>
          </w:tcPr>
          <w:p w14:paraId="22316D00"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1500,31</w:t>
            </w:r>
          </w:p>
        </w:tc>
        <w:tc>
          <w:tcPr>
            <w:tcW w:w="434" w:type="pct"/>
            <w:tcBorders>
              <w:top w:val="nil"/>
              <w:left w:val="nil"/>
              <w:bottom w:val="single" w:sz="8" w:space="0" w:color="auto"/>
              <w:right w:val="single" w:sz="8" w:space="0" w:color="auto"/>
            </w:tcBorders>
            <w:shd w:val="clear" w:color="auto" w:fill="auto"/>
            <w:hideMark/>
          </w:tcPr>
          <w:p w14:paraId="5D2F571D"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24</w:t>
            </w:r>
          </w:p>
        </w:tc>
        <w:tc>
          <w:tcPr>
            <w:tcW w:w="356" w:type="pct"/>
            <w:tcBorders>
              <w:top w:val="nil"/>
              <w:left w:val="nil"/>
              <w:bottom w:val="single" w:sz="8" w:space="0" w:color="auto"/>
              <w:right w:val="single" w:sz="8" w:space="0" w:color="auto"/>
            </w:tcBorders>
            <w:shd w:val="clear" w:color="auto" w:fill="auto"/>
          </w:tcPr>
          <w:p w14:paraId="7C2DE3A0"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432 090</w:t>
            </w:r>
          </w:p>
        </w:tc>
        <w:tc>
          <w:tcPr>
            <w:tcW w:w="371" w:type="pct"/>
            <w:tcBorders>
              <w:top w:val="nil"/>
              <w:left w:val="nil"/>
              <w:bottom w:val="single" w:sz="8" w:space="0" w:color="auto"/>
              <w:right w:val="single" w:sz="8" w:space="0" w:color="auto"/>
            </w:tcBorders>
            <w:shd w:val="clear" w:color="auto" w:fill="auto"/>
            <w:noWrap/>
            <w:hideMark/>
          </w:tcPr>
          <w:p w14:paraId="07826724"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1500,31</w:t>
            </w:r>
          </w:p>
        </w:tc>
        <w:tc>
          <w:tcPr>
            <w:tcW w:w="434" w:type="pct"/>
            <w:tcBorders>
              <w:top w:val="nil"/>
              <w:left w:val="nil"/>
              <w:bottom w:val="single" w:sz="8" w:space="0" w:color="auto"/>
              <w:right w:val="single" w:sz="8" w:space="0" w:color="auto"/>
            </w:tcBorders>
            <w:shd w:val="clear" w:color="auto" w:fill="auto"/>
            <w:noWrap/>
            <w:hideMark/>
          </w:tcPr>
          <w:p w14:paraId="30BB86DA"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24</w:t>
            </w:r>
          </w:p>
        </w:tc>
        <w:tc>
          <w:tcPr>
            <w:tcW w:w="367" w:type="pct"/>
            <w:tcBorders>
              <w:top w:val="nil"/>
              <w:left w:val="nil"/>
              <w:bottom w:val="single" w:sz="8" w:space="0" w:color="auto"/>
              <w:right w:val="single" w:sz="8" w:space="0" w:color="auto"/>
            </w:tcBorders>
            <w:shd w:val="clear" w:color="auto" w:fill="auto"/>
            <w:noWrap/>
            <w:hideMark/>
          </w:tcPr>
          <w:p w14:paraId="25312A92"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432 090</w:t>
            </w:r>
          </w:p>
        </w:tc>
        <w:tc>
          <w:tcPr>
            <w:tcW w:w="409" w:type="pct"/>
            <w:tcBorders>
              <w:top w:val="nil"/>
              <w:left w:val="nil"/>
              <w:bottom w:val="single" w:sz="8" w:space="0" w:color="auto"/>
              <w:right w:val="single" w:sz="8" w:space="0" w:color="auto"/>
            </w:tcBorders>
            <w:shd w:val="clear" w:color="auto" w:fill="auto"/>
            <w:noWrap/>
            <w:hideMark/>
          </w:tcPr>
          <w:p w14:paraId="6A3AE08E"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1500,31</w:t>
            </w:r>
          </w:p>
        </w:tc>
        <w:tc>
          <w:tcPr>
            <w:tcW w:w="434" w:type="pct"/>
            <w:tcBorders>
              <w:top w:val="nil"/>
              <w:left w:val="nil"/>
              <w:bottom w:val="single" w:sz="8" w:space="0" w:color="auto"/>
              <w:right w:val="single" w:sz="8" w:space="0" w:color="auto"/>
            </w:tcBorders>
            <w:shd w:val="clear" w:color="auto" w:fill="auto"/>
            <w:noWrap/>
            <w:hideMark/>
          </w:tcPr>
          <w:p w14:paraId="6FC5864B"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24</w:t>
            </w:r>
          </w:p>
        </w:tc>
        <w:tc>
          <w:tcPr>
            <w:tcW w:w="367" w:type="pct"/>
            <w:tcBorders>
              <w:top w:val="nil"/>
              <w:left w:val="nil"/>
              <w:bottom w:val="single" w:sz="8" w:space="0" w:color="auto"/>
              <w:right w:val="single" w:sz="8" w:space="0" w:color="auto"/>
            </w:tcBorders>
            <w:shd w:val="clear" w:color="auto" w:fill="auto"/>
            <w:noWrap/>
            <w:hideMark/>
          </w:tcPr>
          <w:p w14:paraId="07BDDBDE"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432 090</w:t>
            </w:r>
          </w:p>
        </w:tc>
      </w:tr>
      <w:tr w:rsidR="00883F63" w:rsidRPr="00883F63" w14:paraId="36E528F3" w14:textId="77777777" w:rsidTr="00883F63">
        <w:trPr>
          <w:trHeight w:val="278"/>
          <w:jc w:val="center"/>
        </w:trPr>
        <w:tc>
          <w:tcPr>
            <w:tcW w:w="1384" w:type="pct"/>
            <w:tcBorders>
              <w:top w:val="nil"/>
              <w:left w:val="single" w:sz="8" w:space="0" w:color="auto"/>
              <w:bottom w:val="single" w:sz="8" w:space="0" w:color="auto"/>
              <w:right w:val="single" w:sz="8" w:space="0" w:color="auto"/>
            </w:tcBorders>
            <w:shd w:val="clear" w:color="000000" w:fill="FFFFFF"/>
            <w:vAlign w:val="center"/>
            <w:hideMark/>
          </w:tcPr>
          <w:p w14:paraId="716027C7" w14:textId="77777777" w:rsidR="00883F63" w:rsidRPr="00883F63" w:rsidRDefault="00883F63" w:rsidP="008349F0">
            <w:pPr>
              <w:spacing w:after="0"/>
              <w:ind w:firstLine="0"/>
              <w:jc w:val="left"/>
              <w:rPr>
                <w:rFonts w:eastAsia="Times New Roman" w:cs="Times New Roman"/>
                <w:sz w:val="18"/>
                <w:szCs w:val="18"/>
              </w:rPr>
            </w:pPr>
            <w:bookmarkStart w:id="114" w:name="_Hlk97717361"/>
            <w:r w:rsidRPr="00883F63">
              <w:rPr>
                <w:rFonts w:eastAsia="Times New Roman" w:cs="Times New Roman"/>
                <w:sz w:val="18"/>
                <w:szCs w:val="18"/>
              </w:rPr>
              <w:t xml:space="preserve">Veselības aprūpes izdevumi </w:t>
            </w:r>
          </w:p>
        </w:tc>
        <w:tc>
          <w:tcPr>
            <w:tcW w:w="444" w:type="pct"/>
            <w:tcBorders>
              <w:top w:val="nil"/>
              <w:left w:val="nil"/>
              <w:bottom w:val="single" w:sz="8" w:space="0" w:color="auto"/>
              <w:right w:val="single" w:sz="8" w:space="0" w:color="auto"/>
            </w:tcBorders>
            <w:shd w:val="clear" w:color="auto" w:fill="auto"/>
            <w:hideMark/>
          </w:tcPr>
          <w:p w14:paraId="10E2EC91"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390,15</w:t>
            </w:r>
          </w:p>
        </w:tc>
        <w:tc>
          <w:tcPr>
            <w:tcW w:w="434" w:type="pct"/>
            <w:tcBorders>
              <w:top w:val="nil"/>
              <w:left w:val="nil"/>
              <w:bottom w:val="single" w:sz="8" w:space="0" w:color="auto"/>
              <w:right w:val="single" w:sz="8" w:space="0" w:color="auto"/>
            </w:tcBorders>
            <w:shd w:val="clear" w:color="auto" w:fill="auto"/>
            <w:hideMark/>
          </w:tcPr>
          <w:p w14:paraId="6C9A201C"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150</w:t>
            </w:r>
          </w:p>
        </w:tc>
        <w:tc>
          <w:tcPr>
            <w:tcW w:w="356" w:type="pct"/>
            <w:tcBorders>
              <w:top w:val="nil"/>
              <w:left w:val="nil"/>
              <w:bottom w:val="single" w:sz="8" w:space="0" w:color="auto"/>
              <w:right w:val="single" w:sz="8" w:space="0" w:color="auto"/>
            </w:tcBorders>
            <w:shd w:val="clear" w:color="auto" w:fill="auto"/>
          </w:tcPr>
          <w:p w14:paraId="6FCEBD2B"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702 270</w:t>
            </w:r>
          </w:p>
        </w:tc>
        <w:tc>
          <w:tcPr>
            <w:tcW w:w="371" w:type="pct"/>
            <w:tcBorders>
              <w:top w:val="nil"/>
              <w:left w:val="nil"/>
              <w:bottom w:val="single" w:sz="8" w:space="0" w:color="auto"/>
              <w:right w:val="single" w:sz="8" w:space="0" w:color="auto"/>
            </w:tcBorders>
            <w:shd w:val="clear" w:color="auto" w:fill="auto"/>
            <w:noWrap/>
            <w:hideMark/>
          </w:tcPr>
          <w:p w14:paraId="693C0325"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390,15</w:t>
            </w:r>
          </w:p>
        </w:tc>
        <w:tc>
          <w:tcPr>
            <w:tcW w:w="434" w:type="pct"/>
            <w:tcBorders>
              <w:top w:val="nil"/>
              <w:left w:val="nil"/>
              <w:bottom w:val="single" w:sz="8" w:space="0" w:color="auto"/>
              <w:right w:val="single" w:sz="8" w:space="0" w:color="auto"/>
            </w:tcBorders>
            <w:shd w:val="clear" w:color="auto" w:fill="auto"/>
            <w:noWrap/>
            <w:hideMark/>
          </w:tcPr>
          <w:p w14:paraId="3E518B44"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150</w:t>
            </w:r>
          </w:p>
        </w:tc>
        <w:tc>
          <w:tcPr>
            <w:tcW w:w="367" w:type="pct"/>
            <w:tcBorders>
              <w:top w:val="nil"/>
              <w:left w:val="nil"/>
              <w:bottom w:val="single" w:sz="8" w:space="0" w:color="auto"/>
              <w:right w:val="single" w:sz="8" w:space="0" w:color="auto"/>
            </w:tcBorders>
            <w:shd w:val="clear" w:color="auto" w:fill="auto"/>
            <w:noWrap/>
            <w:hideMark/>
          </w:tcPr>
          <w:p w14:paraId="59588DF6"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702 270</w:t>
            </w:r>
          </w:p>
        </w:tc>
        <w:tc>
          <w:tcPr>
            <w:tcW w:w="409" w:type="pct"/>
            <w:tcBorders>
              <w:top w:val="nil"/>
              <w:left w:val="nil"/>
              <w:bottom w:val="single" w:sz="8" w:space="0" w:color="auto"/>
              <w:right w:val="single" w:sz="8" w:space="0" w:color="auto"/>
            </w:tcBorders>
            <w:shd w:val="clear" w:color="auto" w:fill="auto"/>
            <w:noWrap/>
            <w:hideMark/>
          </w:tcPr>
          <w:p w14:paraId="354B038A"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390,15</w:t>
            </w:r>
          </w:p>
        </w:tc>
        <w:tc>
          <w:tcPr>
            <w:tcW w:w="434" w:type="pct"/>
            <w:tcBorders>
              <w:top w:val="nil"/>
              <w:left w:val="nil"/>
              <w:bottom w:val="single" w:sz="8" w:space="0" w:color="auto"/>
              <w:right w:val="single" w:sz="8" w:space="0" w:color="auto"/>
            </w:tcBorders>
            <w:shd w:val="clear" w:color="auto" w:fill="auto"/>
            <w:noWrap/>
            <w:hideMark/>
          </w:tcPr>
          <w:p w14:paraId="19D39190"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150</w:t>
            </w:r>
          </w:p>
        </w:tc>
        <w:tc>
          <w:tcPr>
            <w:tcW w:w="367" w:type="pct"/>
            <w:tcBorders>
              <w:top w:val="nil"/>
              <w:left w:val="nil"/>
              <w:bottom w:val="single" w:sz="8" w:space="0" w:color="auto"/>
              <w:right w:val="single" w:sz="8" w:space="0" w:color="auto"/>
            </w:tcBorders>
            <w:shd w:val="clear" w:color="auto" w:fill="auto"/>
            <w:noWrap/>
            <w:hideMark/>
          </w:tcPr>
          <w:p w14:paraId="6483FF47" w14:textId="77777777" w:rsidR="00883F63" w:rsidRPr="00883F63" w:rsidRDefault="00883F63" w:rsidP="008349F0">
            <w:pPr>
              <w:spacing w:after="0"/>
              <w:ind w:firstLine="0"/>
              <w:jc w:val="right"/>
              <w:rPr>
                <w:rFonts w:eastAsia="Times New Roman" w:cs="Times New Roman"/>
                <w:sz w:val="18"/>
                <w:szCs w:val="18"/>
              </w:rPr>
            </w:pPr>
            <w:r w:rsidRPr="00883F63">
              <w:rPr>
                <w:rFonts w:eastAsia="Times New Roman" w:cs="Times New Roman"/>
                <w:sz w:val="18"/>
                <w:szCs w:val="18"/>
              </w:rPr>
              <w:t>702 270</w:t>
            </w:r>
          </w:p>
        </w:tc>
      </w:tr>
    </w:tbl>
    <w:bookmarkEnd w:id="114"/>
    <w:p w14:paraId="0DD00CEF" w14:textId="3D75CA0A" w:rsidR="00F95F29" w:rsidRPr="00883F63" w:rsidRDefault="00F95F29" w:rsidP="008349F0">
      <w:pPr>
        <w:widowControl w:val="0"/>
        <w:spacing w:before="120"/>
        <w:ind w:firstLine="0"/>
        <w:rPr>
          <w:rFonts w:eastAsia="Calibri" w:cs="Times New Roman"/>
          <w:i/>
          <w:sz w:val="20"/>
        </w:rPr>
      </w:pPr>
      <w:r w:rsidRPr="00883F63">
        <w:rPr>
          <w:rFonts w:eastAsia="Calibri" w:cs="Times New Roman"/>
          <w:i/>
          <w:sz w:val="20"/>
        </w:rPr>
        <w:t xml:space="preserve">Datu avots: </w:t>
      </w:r>
      <w:r w:rsidR="006836ED" w:rsidRPr="00883F63">
        <w:rPr>
          <w:rFonts w:eastAsia="Calibri" w:cs="Times New Roman"/>
          <w:i/>
          <w:sz w:val="20"/>
        </w:rPr>
        <w:t>FM</w:t>
      </w:r>
    </w:p>
    <w:p w14:paraId="39EC4823" w14:textId="77777777" w:rsidR="00F7392F" w:rsidRPr="00FD1578" w:rsidRDefault="00F7392F" w:rsidP="008349F0">
      <w:pPr>
        <w:spacing w:after="0"/>
        <w:ind w:firstLine="0"/>
        <w:jc w:val="left"/>
        <w:rPr>
          <w:rFonts w:eastAsia="Times New Roman" w:cs="Times New Roman"/>
          <w:color w:val="000000"/>
          <w:highlight w:val="lightGray"/>
        </w:rPr>
      </w:pPr>
      <w:r w:rsidRPr="00FD1578">
        <w:rPr>
          <w:rFonts w:eastAsia="Times New Roman" w:cs="Times New Roman"/>
          <w:color w:val="000000"/>
          <w:highlight w:val="lightGray"/>
        </w:rPr>
        <w:br w:type="page"/>
      </w:r>
    </w:p>
    <w:p w14:paraId="25C29452" w14:textId="77777777" w:rsidR="002C253E" w:rsidRDefault="002C253E" w:rsidP="008349F0">
      <w:pPr>
        <w:widowControl w:val="0"/>
        <w:spacing w:after="0"/>
        <w:ind w:firstLine="0"/>
        <w:jc w:val="right"/>
        <w:rPr>
          <w:rFonts w:eastAsia="Times New Roman" w:cs="Times New Roman"/>
          <w:color w:val="000000"/>
        </w:rPr>
      </w:pPr>
    </w:p>
    <w:p w14:paraId="582545FF" w14:textId="395FA826" w:rsidR="002C253E" w:rsidRPr="002C253E" w:rsidRDefault="002C253E" w:rsidP="008349F0">
      <w:pPr>
        <w:widowControl w:val="0"/>
        <w:spacing w:after="240"/>
        <w:ind w:firstLine="0"/>
        <w:jc w:val="right"/>
        <w:rPr>
          <w:rFonts w:eastAsia="Times New Roman" w:cs="Times New Roman"/>
          <w:color w:val="000000"/>
        </w:rPr>
      </w:pPr>
      <w:r w:rsidRPr="002C253E">
        <w:rPr>
          <w:rFonts w:eastAsia="Times New Roman" w:cs="Times New Roman"/>
          <w:color w:val="000000"/>
        </w:rPr>
        <w:t>5. pielikums</w:t>
      </w:r>
    </w:p>
    <w:p w14:paraId="28FB3975" w14:textId="3244D3A8" w:rsidR="002C253E" w:rsidRPr="002C253E" w:rsidRDefault="002C253E" w:rsidP="008349F0">
      <w:pPr>
        <w:widowControl w:val="0"/>
        <w:spacing w:after="240"/>
        <w:jc w:val="right"/>
        <w:rPr>
          <w:rFonts w:eastAsia="Times New Roman" w:cs="Times New Roman"/>
          <w:b/>
          <w:color w:val="000000"/>
          <w:sz w:val="28"/>
        </w:rPr>
      </w:pPr>
      <w:r w:rsidRPr="002C253E">
        <w:rPr>
          <w:rFonts w:eastAsia="Times New Roman" w:cs="Times New Roman"/>
          <w:b/>
          <w:color w:val="000000"/>
        </w:rPr>
        <w:t xml:space="preserve">Labklājības ministrijas pamatbudžeta </w:t>
      </w:r>
      <w:r w:rsidR="00AF0216">
        <w:rPr>
          <w:rFonts w:eastAsia="Times New Roman" w:cs="Times New Roman"/>
          <w:b/>
          <w:color w:val="000000"/>
        </w:rPr>
        <w:t>apakš</w:t>
      </w:r>
      <w:r w:rsidRPr="002C253E">
        <w:rPr>
          <w:rFonts w:eastAsia="Times New Roman" w:cs="Times New Roman"/>
          <w:b/>
          <w:color w:val="000000"/>
        </w:rPr>
        <w:t>programma 20.01.00 "Valsts sociālie pabalsti"</w:t>
      </w:r>
    </w:p>
    <w:tbl>
      <w:tblPr>
        <w:tblW w:w="14243" w:type="dxa"/>
        <w:tblLook w:val="04A0" w:firstRow="1" w:lastRow="0" w:firstColumn="1" w:lastColumn="0" w:noHBand="0" w:noVBand="1"/>
      </w:tblPr>
      <w:tblGrid>
        <w:gridCol w:w="4500"/>
        <w:gridCol w:w="880"/>
        <w:gridCol w:w="980"/>
        <w:gridCol w:w="1148"/>
        <w:gridCol w:w="1134"/>
        <w:gridCol w:w="1276"/>
        <w:gridCol w:w="1134"/>
        <w:gridCol w:w="992"/>
        <w:gridCol w:w="966"/>
        <w:gridCol w:w="1233"/>
      </w:tblGrid>
      <w:tr w:rsidR="002C253E" w:rsidRPr="002C253E" w14:paraId="6811734B" w14:textId="77777777" w:rsidTr="002C253E">
        <w:trPr>
          <w:trHeight w:val="660"/>
          <w:tblHeader/>
        </w:trPr>
        <w:tc>
          <w:tcPr>
            <w:tcW w:w="4500" w:type="dxa"/>
            <w:vMerge w:val="restart"/>
            <w:tcBorders>
              <w:top w:val="single" w:sz="4" w:space="0" w:color="auto"/>
              <w:left w:val="single" w:sz="4" w:space="0" w:color="auto"/>
              <w:right w:val="single" w:sz="4" w:space="0" w:color="auto"/>
            </w:tcBorders>
            <w:shd w:val="clear" w:color="auto" w:fill="9CC2E5" w:themeFill="accent1" w:themeFillTint="99"/>
            <w:noWrap/>
            <w:vAlign w:val="bottom"/>
            <w:hideMark/>
          </w:tcPr>
          <w:p w14:paraId="48D8049C"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 Pabalsta veids</w:t>
            </w:r>
          </w:p>
        </w:tc>
        <w:tc>
          <w:tcPr>
            <w:tcW w:w="3008"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2235BCF9"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2025. gada projekts</w:t>
            </w:r>
          </w:p>
        </w:tc>
        <w:tc>
          <w:tcPr>
            <w:tcW w:w="3544"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029F704E"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2026. gada prognoze</w:t>
            </w:r>
          </w:p>
        </w:tc>
        <w:tc>
          <w:tcPr>
            <w:tcW w:w="3191"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39A41DA1"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2027. gada prognoze</w:t>
            </w:r>
          </w:p>
        </w:tc>
      </w:tr>
      <w:tr w:rsidR="002C253E" w:rsidRPr="002C253E" w14:paraId="6CBBA971" w14:textId="77777777" w:rsidTr="002C253E">
        <w:trPr>
          <w:trHeight w:val="480"/>
          <w:tblHeader/>
        </w:trPr>
        <w:tc>
          <w:tcPr>
            <w:tcW w:w="4500" w:type="dxa"/>
            <w:vMerge/>
            <w:tcBorders>
              <w:left w:val="single" w:sz="4" w:space="0" w:color="auto"/>
              <w:right w:val="single" w:sz="4" w:space="0" w:color="auto"/>
            </w:tcBorders>
            <w:shd w:val="clear" w:color="auto" w:fill="9CC2E5" w:themeFill="accent1" w:themeFillTint="99"/>
            <w:noWrap/>
            <w:vAlign w:val="center"/>
            <w:hideMark/>
          </w:tcPr>
          <w:p w14:paraId="0080F1DF" w14:textId="77777777" w:rsidR="002C253E" w:rsidRPr="002C253E" w:rsidRDefault="002C253E" w:rsidP="008349F0">
            <w:pPr>
              <w:spacing w:after="0"/>
              <w:ind w:firstLine="0"/>
              <w:jc w:val="center"/>
              <w:rPr>
                <w:rFonts w:eastAsia="Times New Roman" w:cs="Times New Roman"/>
                <w:sz w:val="18"/>
                <w:szCs w:val="18"/>
              </w:rPr>
            </w:pPr>
          </w:p>
        </w:tc>
        <w:tc>
          <w:tcPr>
            <w:tcW w:w="880" w:type="dxa"/>
            <w:vMerge w:val="restart"/>
            <w:tcBorders>
              <w:top w:val="nil"/>
              <w:left w:val="single" w:sz="4" w:space="0" w:color="auto"/>
              <w:bottom w:val="single" w:sz="4" w:space="0" w:color="000000"/>
              <w:right w:val="single" w:sz="4" w:space="0" w:color="auto"/>
            </w:tcBorders>
            <w:shd w:val="clear" w:color="auto" w:fill="DEEAF6"/>
            <w:vAlign w:val="center"/>
            <w:hideMark/>
          </w:tcPr>
          <w:p w14:paraId="6DCBA18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Pabalsta apmērs vidēji mēnesī (</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980" w:type="dxa"/>
            <w:tcBorders>
              <w:top w:val="nil"/>
              <w:left w:val="nil"/>
              <w:bottom w:val="nil"/>
              <w:right w:val="single" w:sz="4" w:space="0" w:color="auto"/>
            </w:tcBorders>
            <w:shd w:val="clear" w:color="auto" w:fill="DEEAF6"/>
            <w:vAlign w:val="center"/>
            <w:hideMark/>
          </w:tcPr>
          <w:p w14:paraId="38005D49" w14:textId="77777777" w:rsidR="002C253E" w:rsidRPr="002C253E" w:rsidRDefault="002C253E" w:rsidP="008349F0">
            <w:pPr>
              <w:spacing w:after="0"/>
              <w:ind w:firstLine="0"/>
              <w:jc w:val="center"/>
              <w:rPr>
                <w:rFonts w:eastAsia="Times New Roman" w:cs="Times New Roman"/>
                <w:sz w:val="18"/>
                <w:szCs w:val="18"/>
              </w:rPr>
            </w:pPr>
          </w:p>
          <w:p w14:paraId="0107832E"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w:t>
            </w:r>
            <w:r w:rsidRPr="002C253E">
              <w:rPr>
                <w:rFonts w:eastAsia="Times New Roman" w:cs="Times New Roman"/>
                <w:sz w:val="18"/>
                <w:szCs w:val="18"/>
              </w:rPr>
              <w:br/>
              <w:t xml:space="preserve"> skaits</w:t>
            </w:r>
          </w:p>
        </w:tc>
        <w:tc>
          <w:tcPr>
            <w:tcW w:w="1148" w:type="dxa"/>
            <w:tcBorders>
              <w:top w:val="nil"/>
              <w:left w:val="nil"/>
              <w:bottom w:val="nil"/>
              <w:right w:val="single" w:sz="4" w:space="0" w:color="auto"/>
            </w:tcBorders>
            <w:shd w:val="clear" w:color="auto" w:fill="DEEAF6" w:themeFill="accent1" w:themeFillTint="33"/>
            <w:vAlign w:val="center"/>
            <w:hideMark/>
          </w:tcPr>
          <w:p w14:paraId="18401E08" w14:textId="77777777" w:rsidR="002C253E" w:rsidRPr="002C253E" w:rsidRDefault="002C253E" w:rsidP="008349F0">
            <w:pPr>
              <w:spacing w:after="0"/>
              <w:ind w:firstLine="0"/>
              <w:jc w:val="center"/>
              <w:rPr>
                <w:rFonts w:eastAsia="Times New Roman" w:cs="Times New Roman"/>
                <w:sz w:val="18"/>
                <w:szCs w:val="18"/>
              </w:rPr>
            </w:pPr>
          </w:p>
          <w:p w14:paraId="6ECCD3B9"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w:t>
            </w:r>
          </w:p>
        </w:tc>
        <w:tc>
          <w:tcPr>
            <w:tcW w:w="1134" w:type="dxa"/>
            <w:vMerge w:val="restart"/>
            <w:tcBorders>
              <w:top w:val="nil"/>
              <w:left w:val="single" w:sz="4" w:space="0" w:color="auto"/>
              <w:bottom w:val="single" w:sz="4" w:space="0" w:color="000000"/>
              <w:right w:val="single" w:sz="4" w:space="0" w:color="auto"/>
            </w:tcBorders>
            <w:shd w:val="clear" w:color="auto" w:fill="DEEAF6"/>
            <w:vAlign w:val="center"/>
            <w:hideMark/>
          </w:tcPr>
          <w:p w14:paraId="42E35C1A"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Pabalsta apmērs vidēji mēnesī (</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1276" w:type="dxa"/>
            <w:tcBorders>
              <w:top w:val="nil"/>
              <w:left w:val="nil"/>
              <w:bottom w:val="nil"/>
              <w:right w:val="single" w:sz="4" w:space="0" w:color="auto"/>
            </w:tcBorders>
            <w:shd w:val="clear" w:color="auto" w:fill="DEEAF6"/>
            <w:vAlign w:val="center"/>
            <w:hideMark/>
          </w:tcPr>
          <w:p w14:paraId="2751254B" w14:textId="77777777" w:rsidR="002C253E" w:rsidRPr="002C253E" w:rsidRDefault="002C253E" w:rsidP="008349F0">
            <w:pPr>
              <w:spacing w:after="0"/>
              <w:ind w:firstLine="0"/>
              <w:jc w:val="center"/>
              <w:rPr>
                <w:rFonts w:eastAsia="Times New Roman" w:cs="Times New Roman"/>
                <w:sz w:val="18"/>
                <w:szCs w:val="18"/>
              </w:rPr>
            </w:pPr>
          </w:p>
          <w:p w14:paraId="6F106B89"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w:t>
            </w:r>
            <w:r w:rsidRPr="002C253E">
              <w:rPr>
                <w:rFonts w:eastAsia="Times New Roman" w:cs="Times New Roman"/>
                <w:sz w:val="18"/>
                <w:szCs w:val="18"/>
              </w:rPr>
              <w:br/>
              <w:t xml:space="preserve"> skaits</w:t>
            </w:r>
          </w:p>
        </w:tc>
        <w:tc>
          <w:tcPr>
            <w:tcW w:w="1134" w:type="dxa"/>
            <w:tcBorders>
              <w:top w:val="nil"/>
              <w:left w:val="nil"/>
              <w:bottom w:val="nil"/>
              <w:right w:val="single" w:sz="4" w:space="0" w:color="auto"/>
            </w:tcBorders>
            <w:shd w:val="clear" w:color="auto" w:fill="DEEAF6"/>
            <w:vAlign w:val="center"/>
            <w:hideMark/>
          </w:tcPr>
          <w:p w14:paraId="63FA56EF" w14:textId="77777777" w:rsidR="002C253E" w:rsidRPr="002C253E" w:rsidRDefault="002C253E" w:rsidP="008349F0">
            <w:pPr>
              <w:spacing w:after="0"/>
              <w:ind w:firstLine="0"/>
              <w:jc w:val="center"/>
              <w:rPr>
                <w:rFonts w:eastAsia="Times New Roman" w:cs="Times New Roman"/>
                <w:sz w:val="18"/>
                <w:szCs w:val="18"/>
              </w:rPr>
            </w:pPr>
          </w:p>
          <w:p w14:paraId="15E60BE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w:t>
            </w:r>
          </w:p>
        </w:tc>
        <w:tc>
          <w:tcPr>
            <w:tcW w:w="992" w:type="dxa"/>
            <w:vMerge w:val="restart"/>
            <w:tcBorders>
              <w:top w:val="nil"/>
              <w:left w:val="single" w:sz="4" w:space="0" w:color="auto"/>
              <w:bottom w:val="single" w:sz="4" w:space="0" w:color="000000"/>
              <w:right w:val="single" w:sz="4" w:space="0" w:color="auto"/>
            </w:tcBorders>
            <w:shd w:val="clear" w:color="auto" w:fill="DEEAF6"/>
            <w:vAlign w:val="center"/>
            <w:hideMark/>
          </w:tcPr>
          <w:p w14:paraId="356296A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Pabalsta apmērs vidēji mēnesī (</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966" w:type="dxa"/>
            <w:tcBorders>
              <w:top w:val="nil"/>
              <w:left w:val="nil"/>
              <w:bottom w:val="nil"/>
              <w:right w:val="single" w:sz="4" w:space="0" w:color="auto"/>
            </w:tcBorders>
            <w:shd w:val="clear" w:color="auto" w:fill="DEEAF6"/>
            <w:vAlign w:val="center"/>
            <w:hideMark/>
          </w:tcPr>
          <w:p w14:paraId="223A24F7" w14:textId="77777777" w:rsidR="002C253E" w:rsidRPr="002C253E" w:rsidRDefault="002C253E" w:rsidP="008349F0">
            <w:pPr>
              <w:spacing w:after="0"/>
              <w:ind w:firstLine="0"/>
              <w:jc w:val="center"/>
              <w:rPr>
                <w:rFonts w:eastAsia="Times New Roman" w:cs="Times New Roman"/>
                <w:sz w:val="18"/>
                <w:szCs w:val="18"/>
              </w:rPr>
            </w:pPr>
          </w:p>
          <w:p w14:paraId="2BA8D639"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w:t>
            </w:r>
            <w:r w:rsidRPr="002C253E">
              <w:rPr>
                <w:rFonts w:eastAsia="Times New Roman" w:cs="Times New Roman"/>
                <w:sz w:val="18"/>
                <w:szCs w:val="18"/>
              </w:rPr>
              <w:br/>
              <w:t xml:space="preserve"> skaits</w:t>
            </w:r>
          </w:p>
        </w:tc>
        <w:tc>
          <w:tcPr>
            <w:tcW w:w="1233" w:type="dxa"/>
            <w:tcBorders>
              <w:top w:val="nil"/>
              <w:left w:val="nil"/>
              <w:bottom w:val="nil"/>
              <w:right w:val="single" w:sz="4" w:space="0" w:color="auto"/>
            </w:tcBorders>
            <w:shd w:val="clear" w:color="auto" w:fill="DEEAF6"/>
            <w:vAlign w:val="center"/>
            <w:hideMark/>
          </w:tcPr>
          <w:p w14:paraId="072F0EEB" w14:textId="77777777" w:rsidR="002C253E" w:rsidRPr="002C253E" w:rsidRDefault="002C253E" w:rsidP="008349F0">
            <w:pPr>
              <w:spacing w:after="0"/>
              <w:ind w:firstLine="0"/>
              <w:jc w:val="center"/>
              <w:rPr>
                <w:rFonts w:eastAsia="Times New Roman" w:cs="Times New Roman"/>
                <w:sz w:val="18"/>
                <w:szCs w:val="18"/>
              </w:rPr>
            </w:pPr>
          </w:p>
          <w:p w14:paraId="335C086A"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w:t>
            </w:r>
          </w:p>
        </w:tc>
      </w:tr>
      <w:tr w:rsidR="002C253E" w:rsidRPr="002C253E" w14:paraId="3057B78A" w14:textId="77777777" w:rsidTr="008415BC">
        <w:trPr>
          <w:trHeight w:val="591"/>
          <w:tblHeader/>
        </w:trPr>
        <w:tc>
          <w:tcPr>
            <w:tcW w:w="4500" w:type="dxa"/>
            <w:tcBorders>
              <w:left w:val="single" w:sz="4" w:space="0" w:color="auto"/>
              <w:bottom w:val="single" w:sz="4" w:space="0" w:color="000000"/>
              <w:right w:val="single" w:sz="4" w:space="0" w:color="auto"/>
            </w:tcBorders>
            <w:shd w:val="clear" w:color="auto" w:fill="9CC2E5"/>
            <w:vAlign w:val="center"/>
            <w:hideMark/>
          </w:tcPr>
          <w:p w14:paraId="76603335" w14:textId="77777777" w:rsidR="002C253E" w:rsidRPr="002C253E" w:rsidRDefault="002C253E" w:rsidP="008349F0">
            <w:pPr>
              <w:spacing w:after="0"/>
              <w:ind w:firstLine="0"/>
              <w:jc w:val="left"/>
              <w:rPr>
                <w:rFonts w:eastAsia="Times New Roman" w:cs="Times New Roman"/>
                <w:sz w:val="18"/>
                <w:szCs w:val="18"/>
              </w:rPr>
            </w:pPr>
          </w:p>
        </w:tc>
        <w:tc>
          <w:tcPr>
            <w:tcW w:w="880" w:type="dxa"/>
            <w:vMerge/>
            <w:tcBorders>
              <w:top w:val="nil"/>
              <w:left w:val="single" w:sz="4" w:space="0" w:color="auto"/>
              <w:bottom w:val="single" w:sz="4" w:space="0" w:color="000000"/>
              <w:right w:val="single" w:sz="4" w:space="0" w:color="auto"/>
            </w:tcBorders>
            <w:shd w:val="clear" w:color="auto" w:fill="DEEAF6"/>
            <w:vAlign w:val="center"/>
            <w:hideMark/>
          </w:tcPr>
          <w:p w14:paraId="63996C77" w14:textId="77777777" w:rsidR="002C253E" w:rsidRPr="002C253E" w:rsidRDefault="002C253E" w:rsidP="008349F0">
            <w:pPr>
              <w:spacing w:after="0"/>
              <w:ind w:firstLine="0"/>
              <w:jc w:val="left"/>
              <w:rPr>
                <w:rFonts w:eastAsia="Times New Roman" w:cs="Times New Roman"/>
                <w:sz w:val="18"/>
                <w:szCs w:val="18"/>
              </w:rPr>
            </w:pPr>
          </w:p>
        </w:tc>
        <w:tc>
          <w:tcPr>
            <w:tcW w:w="980" w:type="dxa"/>
            <w:tcBorders>
              <w:top w:val="nil"/>
              <w:left w:val="nil"/>
              <w:bottom w:val="single" w:sz="4" w:space="0" w:color="auto"/>
              <w:right w:val="single" w:sz="4" w:space="0" w:color="auto"/>
            </w:tcBorders>
            <w:shd w:val="clear" w:color="auto" w:fill="DEEAF6"/>
            <w:noWrap/>
            <w:hideMark/>
          </w:tcPr>
          <w:p w14:paraId="0FE306F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sz w:val="18"/>
                <w:szCs w:val="18"/>
              </w:rPr>
              <w:t>vid.mēn</w:t>
            </w:r>
            <w:proofErr w:type="spellEnd"/>
            <w:r w:rsidRPr="002C253E">
              <w:rPr>
                <w:rFonts w:eastAsia="Times New Roman" w:cs="Times New Roman"/>
                <w:sz w:val="18"/>
                <w:szCs w:val="18"/>
              </w:rPr>
              <w:t>.)</w:t>
            </w:r>
          </w:p>
        </w:tc>
        <w:tc>
          <w:tcPr>
            <w:tcW w:w="1148" w:type="dxa"/>
            <w:tcBorders>
              <w:top w:val="nil"/>
              <w:left w:val="nil"/>
              <w:bottom w:val="single" w:sz="4" w:space="0" w:color="auto"/>
              <w:right w:val="single" w:sz="4" w:space="0" w:color="auto"/>
            </w:tcBorders>
            <w:shd w:val="clear" w:color="auto" w:fill="DEEAF6"/>
            <w:noWrap/>
            <w:hideMark/>
          </w:tcPr>
          <w:p w14:paraId="138E331B"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1134" w:type="dxa"/>
            <w:vMerge/>
            <w:tcBorders>
              <w:top w:val="nil"/>
              <w:left w:val="single" w:sz="4" w:space="0" w:color="auto"/>
              <w:bottom w:val="single" w:sz="4" w:space="0" w:color="000000"/>
              <w:right w:val="single" w:sz="4" w:space="0" w:color="auto"/>
            </w:tcBorders>
            <w:shd w:val="clear" w:color="auto" w:fill="DEEAF6"/>
            <w:vAlign w:val="center"/>
            <w:hideMark/>
          </w:tcPr>
          <w:p w14:paraId="514B4755" w14:textId="77777777" w:rsidR="002C253E" w:rsidRPr="002C253E" w:rsidRDefault="002C253E" w:rsidP="008349F0">
            <w:pPr>
              <w:spacing w:after="0"/>
              <w:ind w:firstLine="0"/>
              <w:jc w:val="left"/>
              <w:rPr>
                <w:rFonts w:eastAsia="Times New Roman" w:cs="Times New Roman"/>
                <w:sz w:val="18"/>
                <w:szCs w:val="18"/>
              </w:rPr>
            </w:pPr>
          </w:p>
        </w:tc>
        <w:tc>
          <w:tcPr>
            <w:tcW w:w="1276" w:type="dxa"/>
            <w:tcBorders>
              <w:top w:val="nil"/>
              <w:left w:val="nil"/>
              <w:bottom w:val="single" w:sz="4" w:space="0" w:color="auto"/>
              <w:right w:val="single" w:sz="4" w:space="0" w:color="auto"/>
            </w:tcBorders>
            <w:shd w:val="clear" w:color="auto" w:fill="DEEAF6"/>
            <w:noWrap/>
            <w:hideMark/>
          </w:tcPr>
          <w:p w14:paraId="4FFC6E61"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sz w:val="18"/>
                <w:szCs w:val="18"/>
              </w:rPr>
              <w:t>vid.mēn</w:t>
            </w:r>
            <w:proofErr w:type="spellEnd"/>
            <w:r w:rsidRPr="002C253E">
              <w:rPr>
                <w:rFonts w:eastAsia="Times New Roman" w:cs="Times New Roman"/>
                <w:sz w:val="18"/>
                <w:szCs w:val="18"/>
              </w:rPr>
              <w:t>)</w:t>
            </w:r>
          </w:p>
        </w:tc>
        <w:tc>
          <w:tcPr>
            <w:tcW w:w="1134" w:type="dxa"/>
            <w:tcBorders>
              <w:top w:val="nil"/>
              <w:left w:val="nil"/>
              <w:bottom w:val="single" w:sz="4" w:space="0" w:color="auto"/>
              <w:right w:val="single" w:sz="4" w:space="0" w:color="auto"/>
            </w:tcBorders>
            <w:shd w:val="clear" w:color="auto" w:fill="DEEAF6"/>
            <w:noWrap/>
            <w:hideMark/>
          </w:tcPr>
          <w:p w14:paraId="22236BA9"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992" w:type="dxa"/>
            <w:vMerge/>
            <w:tcBorders>
              <w:top w:val="nil"/>
              <w:left w:val="single" w:sz="4" w:space="0" w:color="auto"/>
              <w:bottom w:val="single" w:sz="4" w:space="0" w:color="000000"/>
              <w:right w:val="single" w:sz="4" w:space="0" w:color="auto"/>
            </w:tcBorders>
            <w:shd w:val="clear" w:color="auto" w:fill="DEEAF6"/>
            <w:vAlign w:val="center"/>
            <w:hideMark/>
          </w:tcPr>
          <w:p w14:paraId="43E605DD" w14:textId="77777777" w:rsidR="002C253E" w:rsidRPr="002C253E" w:rsidRDefault="002C253E" w:rsidP="008349F0">
            <w:pPr>
              <w:spacing w:after="0"/>
              <w:ind w:firstLine="0"/>
              <w:jc w:val="left"/>
              <w:rPr>
                <w:rFonts w:eastAsia="Times New Roman" w:cs="Times New Roman"/>
                <w:sz w:val="18"/>
                <w:szCs w:val="18"/>
              </w:rPr>
            </w:pPr>
          </w:p>
        </w:tc>
        <w:tc>
          <w:tcPr>
            <w:tcW w:w="966" w:type="dxa"/>
            <w:tcBorders>
              <w:top w:val="nil"/>
              <w:left w:val="nil"/>
              <w:bottom w:val="single" w:sz="4" w:space="0" w:color="auto"/>
              <w:right w:val="single" w:sz="4" w:space="0" w:color="auto"/>
            </w:tcBorders>
            <w:shd w:val="clear" w:color="auto" w:fill="DEEAF6"/>
            <w:noWrap/>
            <w:hideMark/>
          </w:tcPr>
          <w:p w14:paraId="6A7BD67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sz w:val="18"/>
                <w:szCs w:val="18"/>
              </w:rPr>
              <w:t>vid.mēn</w:t>
            </w:r>
            <w:proofErr w:type="spellEnd"/>
            <w:r w:rsidRPr="002C253E">
              <w:rPr>
                <w:rFonts w:eastAsia="Times New Roman" w:cs="Times New Roman"/>
                <w:sz w:val="18"/>
                <w:szCs w:val="18"/>
              </w:rPr>
              <w:t>.)</w:t>
            </w:r>
          </w:p>
        </w:tc>
        <w:tc>
          <w:tcPr>
            <w:tcW w:w="1233" w:type="dxa"/>
            <w:tcBorders>
              <w:top w:val="nil"/>
              <w:left w:val="nil"/>
              <w:bottom w:val="single" w:sz="4" w:space="0" w:color="auto"/>
              <w:right w:val="single" w:sz="4" w:space="0" w:color="auto"/>
            </w:tcBorders>
            <w:shd w:val="clear" w:color="auto" w:fill="DEEAF6"/>
            <w:noWrap/>
            <w:hideMark/>
          </w:tcPr>
          <w:p w14:paraId="2BDF4B4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r>
      <w:tr w:rsidR="002C253E" w:rsidRPr="002C253E" w14:paraId="0D286332" w14:textId="77777777" w:rsidTr="008415BC">
        <w:trPr>
          <w:trHeight w:val="276"/>
          <w:tblHeader/>
        </w:trPr>
        <w:tc>
          <w:tcPr>
            <w:tcW w:w="4500" w:type="dxa"/>
            <w:tcBorders>
              <w:top w:val="nil"/>
              <w:left w:val="single" w:sz="4" w:space="0" w:color="auto"/>
              <w:bottom w:val="single" w:sz="4" w:space="0" w:color="auto"/>
              <w:right w:val="single" w:sz="4" w:space="0" w:color="auto"/>
            </w:tcBorders>
            <w:shd w:val="clear" w:color="000000" w:fill="FFFFFF"/>
            <w:noWrap/>
            <w:vAlign w:val="center"/>
            <w:hideMark/>
          </w:tcPr>
          <w:p w14:paraId="3028ED52"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1</w:t>
            </w:r>
          </w:p>
        </w:tc>
        <w:tc>
          <w:tcPr>
            <w:tcW w:w="880" w:type="dxa"/>
            <w:tcBorders>
              <w:top w:val="nil"/>
              <w:left w:val="nil"/>
              <w:bottom w:val="single" w:sz="4" w:space="0" w:color="auto"/>
              <w:right w:val="single" w:sz="4" w:space="0" w:color="auto"/>
            </w:tcBorders>
            <w:shd w:val="clear" w:color="auto" w:fill="auto"/>
            <w:noWrap/>
            <w:vAlign w:val="center"/>
            <w:hideMark/>
          </w:tcPr>
          <w:p w14:paraId="2D252181"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2</w:t>
            </w:r>
          </w:p>
        </w:tc>
        <w:tc>
          <w:tcPr>
            <w:tcW w:w="980" w:type="dxa"/>
            <w:tcBorders>
              <w:top w:val="nil"/>
              <w:left w:val="nil"/>
              <w:bottom w:val="single" w:sz="4" w:space="0" w:color="auto"/>
              <w:right w:val="single" w:sz="4" w:space="0" w:color="auto"/>
            </w:tcBorders>
            <w:shd w:val="clear" w:color="auto" w:fill="auto"/>
            <w:noWrap/>
            <w:vAlign w:val="center"/>
            <w:hideMark/>
          </w:tcPr>
          <w:p w14:paraId="04832CFB"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3</w:t>
            </w:r>
          </w:p>
        </w:tc>
        <w:tc>
          <w:tcPr>
            <w:tcW w:w="1148" w:type="dxa"/>
            <w:tcBorders>
              <w:top w:val="nil"/>
              <w:left w:val="nil"/>
              <w:bottom w:val="single" w:sz="4" w:space="0" w:color="auto"/>
              <w:right w:val="single" w:sz="4" w:space="0" w:color="auto"/>
            </w:tcBorders>
            <w:shd w:val="clear" w:color="auto" w:fill="auto"/>
            <w:noWrap/>
            <w:vAlign w:val="center"/>
            <w:hideMark/>
          </w:tcPr>
          <w:p w14:paraId="376147DD"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4</w:t>
            </w:r>
          </w:p>
        </w:tc>
        <w:tc>
          <w:tcPr>
            <w:tcW w:w="1134" w:type="dxa"/>
            <w:tcBorders>
              <w:top w:val="nil"/>
              <w:left w:val="nil"/>
              <w:bottom w:val="single" w:sz="4" w:space="0" w:color="auto"/>
              <w:right w:val="single" w:sz="4" w:space="0" w:color="auto"/>
            </w:tcBorders>
            <w:shd w:val="clear" w:color="auto" w:fill="auto"/>
            <w:noWrap/>
            <w:vAlign w:val="center"/>
            <w:hideMark/>
          </w:tcPr>
          <w:p w14:paraId="2A0EC958"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5</w:t>
            </w:r>
          </w:p>
        </w:tc>
        <w:tc>
          <w:tcPr>
            <w:tcW w:w="1276" w:type="dxa"/>
            <w:tcBorders>
              <w:top w:val="nil"/>
              <w:left w:val="nil"/>
              <w:bottom w:val="single" w:sz="4" w:space="0" w:color="auto"/>
              <w:right w:val="single" w:sz="4" w:space="0" w:color="auto"/>
            </w:tcBorders>
            <w:shd w:val="clear" w:color="auto" w:fill="auto"/>
            <w:noWrap/>
            <w:vAlign w:val="center"/>
            <w:hideMark/>
          </w:tcPr>
          <w:p w14:paraId="144F0991"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6</w:t>
            </w:r>
          </w:p>
        </w:tc>
        <w:tc>
          <w:tcPr>
            <w:tcW w:w="1134" w:type="dxa"/>
            <w:tcBorders>
              <w:top w:val="nil"/>
              <w:left w:val="nil"/>
              <w:bottom w:val="single" w:sz="4" w:space="0" w:color="auto"/>
              <w:right w:val="single" w:sz="4" w:space="0" w:color="auto"/>
            </w:tcBorders>
            <w:shd w:val="clear" w:color="auto" w:fill="auto"/>
            <w:noWrap/>
            <w:vAlign w:val="center"/>
            <w:hideMark/>
          </w:tcPr>
          <w:p w14:paraId="372EB5ED"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7</w:t>
            </w:r>
          </w:p>
        </w:tc>
        <w:tc>
          <w:tcPr>
            <w:tcW w:w="992" w:type="dxa"/>
            <w:tcBorders>
              <w:top w:val="nil"/>
              <w:left w:val="nil"/>
              <w:bottom w:val="single" w:sz="4" w:space="0" w:color="auto"/>
              <w:right w:val="single" w:sz="4" w:space="0" w:color="auto"/>
            </w:tcBorders>
            <w:shd w:val="clear" w:color="auto" w:fill="auto"/>
            <w:noWrap/>
            <w:vAlign w:val="center"/>
            <w:hideMark/>
          </w:tcPr>
          <w:p w14:paraId="16060C0F"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8</w:t>
            </w:r>
          </w:p>
        </w:tc>
        <w:tc>
          <w:tcPr>
            <w:tcW w:w="966" w:type="dxa"/>
            <w:tcBorders>
              <w:top w:val="nil"/>
              <w:left w:val="nil"/>
              <w:bottom w:val="single" w:sz="4" w:space="0" w:color="auto"/>
              <w:right w:val="single" w:sz="4" w:space="0" w:color="auto"/>
            </w:tcBorders>
            <w:shd w:val="clear" w:color="auto" w:fill="auto"/>
            <w:noWrap/>
            <w:vAlign w:val="center"/>
            <w:hideMark/>
          </w:tcPr>
          <w:p w14:paraId="01094F74"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9</w:t>
            </w:r>
          </w:p>
        </w:tc>
        <w:tc>
          <w:tcPr>
            <w:tcW w:w="1233" w:type="dxa"/>
            <w:tcBorders>
              <w:top w:val="nil"/>
              <w:left w:val="nil"/>
              <w:bottom w:val="single" w:sz="4" w:space="0" w:color="auto"/>
              <w:right w:val="single" w:sz="4" w:space="0" w:color="auto"/>
            </w:tcBorders>
            <w:shd w:val="clear" w:color="auto" w:fill="auto"/>
            <w:noWrap/>
            <w:vAlign w:val="center"/>
            <w:hideMark/>
          </w:tcPr>
          <w:p w14:paraId="5D39CADD"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10</w:t>
            </w:r>
          </w:p>
        </w:tc>
      </w:tr>
      <w:tr w:rsidR="002C253E" w:rsidRPr="002C253E" w14:paraId="32277527" w14:textId="77777777" w:rsidTr="008415BC">
        <w:trPr>
          <w:trHeight w:val="405"/>
        </w:trPr>
        <w:tc>
          <w:tcPr>
            <w:tcW w:w="45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22B1C"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Valsts sociālā nodrošinājuma pabalsts</w:t>
            </w:r>
          </w:p>
        </w:tc>
        <w:tc>
          <w:tcPr>
            <w:tcW w:w="880" w:type="dxa"/>
            <w:tcBorders>
              <w:top w:val="nil"/>
              <w:left w:val="nil"/>
              <w:bottom w:val="single" w:sz="4" w:space="0" w:color="auto"/>
              <w:right w:val="nil"/>
            </w:tcBorders>
            <w:shd w:val="clear" w:color="000000" w:fill="FFFFFF"/>
            <w:noWrap/>
            <w:vAlign w:val="center"/>
            <w:hideMark/>
          </w:tcPr>
          <w:p w14:paraId="73ECC8FB"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238,15</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5DE73008"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22 531</w:t>
            </w:r>
          </w:p>
        </w:tc>
        <w:tc>
          <w:tcPr>
            <w:tcW w:w="1148" w:type="dxa"/>
            <w:tcBorders>
              <w:top w:val="nil"/>
              <w:left w:val="nil"/>
              <w:bottom w:val="single" w:sz="4" w:space="0" w:color="auto"/>
              <w:right w:val="single" w:sz="4" w:space="0" w:color="auto"/>
            </w:tcBorders>
            <w:shd w:val="clear" w:color="000000" w:fill="FFFFFF"/>
            <w:noWrap/>
            <w:vAlign w:val="center"/>
            <w:hideMark/>
          </w:tcPr>
          <w:p w14:paraId="092A7DA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64 389 329</w:t>
            </w:r>
          </w:p>
        </w:tc>
        <w:tc>
          <w:tcPr>
            <w:tcW w:w="1134" w:type="dxa"/>
            <w:tcBorders>
              <w:top w:val="nil"/>
              <w:left w:val="nil"/>
              <w:bottom w:val="single" w:sz="4" w:space="0" w:color="auto"/>
              <w:right w:val="single" w:sz="4" w:space="0" w:color="auto"/>
            </w:tcBorders>
            <w:shd w:val="clear" w:color="000000" w:fill="FFFFFF"/>
            <w:noWrap/>
            <w:vAlign w:val="center"/>
            <w:hideMark/>
          </w:tcPr>
          <w:p w14:paraId="3E22FB8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265,80</w:t>
            </w:r>
          </w:p>
        </w:tc>
        <w:tc>
          <w:tcPr>
            <w:tcW w:w="1276" w:type="dxa"/>
            <w:tcBorders>
              <w:top w:val="nil"/>
              <w:left w:val="nil"/>
              <w:bottom w:val="single" w:sz="4" w:space="0" w:color="auto"/>
              <w:right w:val="nil"/>
            </w:tcBorders>
            <w:shd w:val="clear" w:color="000000" w:fill="FFFFFF"/>
            <w:noWrap/>
            <w:vAlign w:val="center"/>
            <w:hideMark/>
          </w:tcPr>
          <w:p w14:paraId="5F17788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23 184</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14:paraId="2277A5C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73 947 081</w:t>
            </w:r>
          </w:p>
        </w:tc>
        <w:tc>
          <w:tcPr>
            <w:tcW w:w="992" w:type="dxa"/>
            <w:tcBorders>
              <w:top w:val="nil"/>
              <w:left w:val="nil"/>
              <w:bottom w:val="single" w:sz="4" w:space="0" w:color="auto"/>
              <w:right w:val="nil"/>
            </w:tcBorders>
            <w:shd w:val="clear" w:color="000000" w:fill="FFFFFF"/>
            <w:noWrap/>
            <w:vAlign w:val="center"/>
            <w:hideMark/>
          </w:tcPr>
          <w:p w14:paraId="631F180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288,18</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3AEAD8B5"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23 856</w:t>
            </w:r>
          </w:p>
        </w:tc>
        <w:tc>
          <w:tcPr>
            <w:tcW w:w="1233" w:type="dxa"/>
            <w:tcBorders>
              <w:top w:val="nil"/>
              <w:left w:val="nil"/>
              <w:bottom w:val="single" w:sz="4" w:space="0" w:color="auto"/>
              <w:right w:val="single" w:sz="4" w:space="0" w:color="auto"/>
            </w:tcBorders>
            <w:shd w:val="clear" w:color="000000" w:fill="FFFFFF"/>
            <w:noWrap/>
            <w:vAlign w:val="center"/>
            <w:hideMark/>
          </w:tcPr>
          <w:p w14:paraId="5E8868C0"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82 496 477</w:t>
            </w:r>
          </w:p>
        </w:tc>
      </w:tr>
      <w:tr w:rsidR="002C253E" w:rsidRPr="002C253E" w14:paraId="785AD914" w14:textId="77777777" w:rsidTr="008415BC">
        <w:trPr>
          <w:trHeight w:val="708"/>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2EC6261F"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Pabalsts transporta izdevumu kompensēšanai personām ar invaliditāti, kurām ir apgrūtināta pārvietošanās</w:t>
            </w:r>
          </w:p>
        </w:tc>
        <w:tc>
          <w:tcPr>
            <w:tcW w:w="880" w:type="dxa"/>
            <w:tcBorders>
              <w:top w:val="nil"/>
              <w:left w:val="nil"/>
              <w:bottom w:val="single" w:sz="4" w:space="0" w:color="auto"/>
              <w:right w:val="nil"/>
            </w:tcBorders>
            <w:shd w:val="clear" w:color="000000" w:fill="FFFFFF"/>
            <w:noWrap/>
            <w:vAlign w:val="center"/>
            <w:hideMark/>
          </w:tcPr>
          <w:p w14:paraId="02B13BA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105,01</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6449EE40"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43 800</w:t>
            </w:r>
          </w:p>
        </w:tc>
        <w:tc>
          <w:tcPr>
            <w:tcW w:w="1148" w:type="dxa"/>
            <w:tcBorders>
              <w:top w:val="nil"/>
              <w:left w:val="nil"/>
              <w:bottom w:val="single" w:sz="4" w:space="0" w:color="auto"/>
              <w:right w:val="single" w:sz="4" w:space="0" w:color="auto"/>
            </w:tcBorders>
            <w:shd w:val="clear" w:color="000000" w:fill="FFFFFF"/>
            <w:noWrap/>
            <w:vAlign w:val="center"/>
            <w:hideMark/>
          </w:tcPr>
          <w:p w14:paraId="0345E7C5"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9 198 876</w:t>
            </w:r>
          </w:p>
        </w:tc>
        <w:tc>
          <w:tcPr>
            <w:tcW w:w="1134" w:type="dxa"/>
            <w:tcBorders>
              <w:top w:val="nil"/>
              <w:left w:val="nil"/>
              <w:bottom w:val="single" w:sz="4" w:space="0" w:color="auto"/>
              <w:right w:val="single" w:sz="4" w:space="0" w:color="auto"/>
            </w:tcBorders>
            <w:shd w:val="clear" w:color="000000" w:fill="FFFFFF"/>
            <w:noWrap/>
            <w:vAlign w:val="center"/>
            <w:hideMark/>
          </w:tcPr>
          <w:p w14:paraId="2BD924DE"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105,01</w:t>
            </w:r>
          </w:p>
        </w:tc>
        <w:tc>
          <w:tcPr>
            <w:tcW w:w="1276" w:type="dxa"/>
            <w:tcBorders>
              <w:top w:val="nil"/>
              <w:left w:val="nil"/>
              <w:bottom w:val="single" w:sz="4" w:space="0" w:color="auto"/>
              <w:right w:val="single" w:sz="4" w:space="0" w:color="auto"/>
            </w:tcBorders>
            <w:shd w:val="clear" w:color="000000" w:fill="FFFFFF"/>
            <w:noWrap/>
            <w:vAlign w:val="center"/>
            <w:hideMark/>
          </w:tcPr>
          <w:p w14:paraId="44682A3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46 491</w:t>
            </w:r>
          </w:p>
        </w:tc>
        <w:tc>
          <w:tcPr>
            <w:tcW w:w="1134" w:type="dxa"/>
            <w:tcBorders>
              <w:top w:val="nil"/>
              <w:left w:val="nil"/>
              <w:bottom w:val="single" w:sz="4" w:space="0" w:color="auto"/>
              <w:right w:val="single" w:sz="4" w:space="0" w:color="auto"/>
            </w:tcBorders>
            <w:shd w:val="clear" w:color="000000" w:fill="FFFFFF"/>
            <w:noWrap/>
            <w:vAlign w:val="center"/>
            <w:hideMark/>
          </w:tcPr>
          <w:p w14:paraId="6B299C4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9 764 040</w:t>
            </w:r>
          </w:p>
        </w:tc>
        <w:tc>
          <w:tcPr>
            <w:tcW w:w="992" w:type="dxa"/>
            <w:tcBorders>
              <w:top w:val="nil"/>
              <w:left w:val="nil"/>
              <w:bottom w:val="single" w:sz="4" w:space="0" w:color="auto"/>
              <w:right w:val="nil"/>
            </w:tcBorders>
            <w:shd w:val="clear" w:color="000000" w:fill="FFFFFF"/>
            <w:noWrap/>
            <w:vAlign w:val="center"/>
            <w:hideMark/>
          </w:tcPr>
          <w:p w14:paraId="365E7258"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105,01</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6055665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49 331</w:t>
            </w:r>
          </w:p>
        </w:tc>
        <w:tc>
          <w:tcPr>
            <w:tcW w:w="1233" w:type="dxa"/>
            <w:tcBorders>
              <w:top w:val="nil"/>
              <w:left w:val="nil"/>
              <w:bottom w:val="single" w:sz="4" w:space="0" w:color="auto"/>
              <w:right w:val="single" w:sz="4" w:space="0" w:color="auto"/>
            </w:tcBorders>
            <w:shd w:val="clear" w:color="000000" w:fill="FFFFFF"/>
            <w:noWrap/>
            <w:vAlign w:val="center"/>
            <w:hideMark/>
          </w:tcPr>
          <w:p w14:paraId="4743352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10 360 497</w:t>
            </w:r>
          </w:p>
        </w:tc>
      </w:tr>
      <w:tr w:rsidR="002C253E" w:rsidRPr="002C253E" w14:paraId="356690DE" w14:textId="77777777" w:rsidTr="008415BC">
        <w:trPr>
          <w:trHeight w:val="905"/>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5046D225"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Valsts sociālais pabalsts Černobiļas AES avārijas seku likvidēšanas dalībniekiem un mirušo Černobiļas AES avārijas seku likvidēšanas dalībnieku ģimenēm</w:t>
            </w:r>
          </w:p>
        </w:tc>
        <w:tc>
          <w:tcPr>
            <w:tcW w:w="880" w:type="dxa"/>
            <w:tcBorders>
              <w:top w:val="nil"/>
              <w:left w:val="nil"/>
              <w:bottom w:val="single" w:sz="4" w:space="0" w:color="auto"/>
              <w:right w:val="nil"/>
            </w:tcBorders>
            <w:shd w:val="clear" w:color="000000" w:fill="FFFFFF"/>
            <w:noWrap/>
            <w:vAlign w:val="center"/>
            <w:hideMark/>
          </w:tcPr>
          <w:p w14:paraId="47F8B54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164,45</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2B4F247C"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2 621</w:t>
            </w:r>
          </w:p>
        </w:tc>
        <w:tc>
          <w:tcPr>
            <w:tcW w:w="1148" w:type="dxa"/>
            <w:tcBorders>
              <w:top w:val="nil"/>
              <w:left w:val="nil"/>
              <w:bottom w:val="single" w:sz="4" w:space="0" w:color="auto"/>
              <w:right w:val="single" w:sz="4" w:space="0" w:color="auto"/>
            </w:tcBorders>
            <w:shd w:val="clear" w:color="000000" w:fill="FFFFFF"/>
            <w:noWrap/>
            <w:vAlign w:val="center"/>
            <w:hideMark/>
          </w:tcPr>
          <w:p w14:paraId="16376BA9"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5 172 159</w:t>
            </w:r>
          </w:p>
        </w:tc>
        <w:tc>
          <w:tcPr>
            <w:tcW w:w="1134" w:type="dxa"/>
            <w:tcBorders>
              <w:top w:val="nil"/>
              <w:left w:val="nil"/>
              <w:bottom w:val="single" w:sz="4" w:space="0" w:color="auto"/>
              <w:right w:val="nil"/>
            </w:tcBorders>
            <w:shd w:val="clear" w:color="000000" w:fill="FFFFFF"/>
            <w:noWrap/>
            <w:vAlign w:val="center"/>
            <w:hideMark/>
          </w:tcPr>
          <w:p w14:paraId="6729F83A"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183,45</w:t>
            </w:r>
          </w:p>
        </w:tc>
        <w:tc>
          <w:tcPr>
            <w:tcW w:w="1276" w:type="dxa"/>
            <w:tcBorders>
              <w:top w:val="nil"/>
              <w:left w:val="single" w:sz="4" w:space="0" w:color="auto"/>
              <w:bottom w:val="single" w:sz="4" w:space="0" w:color="auto"/>
              <w:right w:val="nil"/>
            </w:tcBorders>
            <w:shd w:val="clear" w:color="000000" w:fill="FFFFFF"/>
            <w:noWrap/>
            <w:vAlign w:val="center"/>
            <w:hideMark/>
          </w:tcPr>
          <w:p w14:paraId="5024AE00"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2 554</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14:paraId="2A34032E"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5 622 250</w:t>
            </w:r>
          </w:p>
        </w:tc>
        <w:tc>
          <w:tcPr>
            <w:tcW w:w="992" w:type="dxa"/>
            <w:tcBorders>
              <w:top w:val="nil"/>
              <w:left w:val="nil"/>
              <w:bottom w:val="single" w:sz="4" w:space="0" w:color="auto"/>
              <w:right w:val="nil"/>
            </w:tcBorders>
            <w:shd w:val="clear" w:color="000000" w:fill="FFFFFF"/>
            <w:noWrap/>
            <w:vAlign w:val="center"/>
            <w:hideMark/>
          </w:tcPr>
          <w:p w14:paraId="286AB2A3"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196,39</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2053D02A"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2 490</w:t>
            </w:r>
          </w:p>
        </w:tc>
        <w:tc>
          <w:tcPr>
            <w:tcW w:w="1233" w:type="dxa"/>
            <w:tcBorders>
              <w:top w:val="nil"/>
              <w:left w:val="nil"/>
              <w:bottom w:val="single" w:sz="4" w:space="0" w:color="auto"/>
              <w:right w:val="single" w:sz="4" w:space="0" w:color="auto"/>
            </w:tcBorders>
            <w:shd w:val="clear" w:color="000000" w:fill="FFFFFF"/>
            <w:noWrap/>
            <w:vAlign w:val="center"/>
            <w:hideMark/>
          </w:tcPr>
          <w:p w14:paraId="4A659088"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5 868 004</w:t>
            </w:r>
          </w:p>
        </w:tc>
      </w:tr>
      <w:tr w:rsidR="002C253E" w:rsidRPr="002C253E" w14:paraId="0BA64341" w14:textId="77777777" w:rsidTr="008415BC">
        <w:trPr>
          <w:trHeight w:val="779"/>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3AD057DC"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Kaitējuma atlīdzība Černobiļas AES avārijas seku likvidēšanas dalībniekiem vai viņa nāves gadījumā – viņa apgādībā bijušajiem darbnespējīgajiem ģimenes locekļiem</w:t>
            </w:r>
          </w:p>
        </w:tc>
        <w:tc>
          <w:tcPr>
            <w:tcW w:w="880" w:type="dxa"/>
            <w:tcBorders>
              <w:top w:val="nil"/>
              <w:left w:val="nil"/>
              <w:bottom w:val="single" w:sz="4" w:space="0" w:color="auto"/>
              <w:right w:val="nil"/>
            </w:tcBorders>
            <w:shd w:val="clear" w:color="000000" w:fill="FFFFFF"/>
            <w:noWrap/>
            <w:vAlign w:val="center"/>
            <w:hideMark/>
          </w:tcPr>
          <w:p w14:paraId="65C76A2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343,41</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2E3FAB0A"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402</w:t>
            </w:r>
          </w:p>
        </w:tc>
        <w:tc>
          <w:tcPr>
            <w:tcW w:w="1148" w:type="dxa"/>
            <w:tcBorders>
              <w:top w:val="nil"/>
              <w:left w:val="nil"/>
              <w:bottom w:val="single" w:sz="4" w:space="0" w:color="auto"/>
              <w:right w:val="single" w:sz="4" w:space="0" w:color="auto"/>
            </w:tcBorders>
            <w:shd w:val="clear" w:color="000000" w:fill="FFFFFF"/>
            <w:noWrap/>
            <w:vAlign w:val="center"/>
            <w:hideMark/>
          </w:tcPr>
          <w:p w14:paraId="5B916ECE"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1 656 610</w:t>
            </w:r>
          </w:p>
        </w:tc>
        <w:tc>
          <w:tcPr>
            <w:tcW w:w="1134" w:type="dxa"/>
            <w:tcBorders>
              <w:top w:val="nil"/>
              <w:left w:val="nil"/>
              <w:bottom w:val="single" w:sz="4" w:space="0" w:color="auto"/>
              <w:right w:val="single" w:sz="4" w:space="0" w:color="auto"/>
            </w:tcBorders>
            <w:shd w:val="clear" w:color="000000" w:fill="FFFFFF"/>
            <w:noWrap/>
            <w:vAlign w:val="center"/>
            <w:hideMark/>
          </w:tcPr>
          <w:p w14:paraId="7554BC4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378,56</w:t>
            </w:r>
          </w:p>
        </w:tc>
        <w:tc>
          <w:tcPr>
            <w:tcW w:w="1276" w:type="dxa"/>
            <w:tcBorders>
              <w:top w:val="nil"/>
              <w:left w:val="nil"/>
              <w:bottom w:val="single" w:sz="4" w:space="0" w:color="auto"/>
              <w:right w:val="single" w:sz="4" w:space="0" w:color="auto"/>
            </w:tcBorders>
            <w:shd w:val="clear" w:color="000000" w:fill="FFFFFF"/>
            <w:noWrap/>
            <w:vAlign w:val="center"/>
            <w:hideMark/>
          </w:tcPr>
          <w:p w14:paraId="4EC91CFB"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402</w:t>
            </w:r>
          </w:p>
        </w:tc>
        <w:tc>
          <w:tcPr>
            <w:tcW w:w="1134" w:type="dxa"/>
            <w:tcBorders>
              <w:top w:val="nil"/>
              <w:left w:val="nil"/>
              <w:bottom w:val="single" w:sz="4" w:space="0" w:color="auto"/>
              <w:right w:val="single" w:sz="4" w:space="0" w:color="auto"/>
            </w:tcBorders>
            <w:shd w:val="clear" w:color="000000" w:fill="FFFFFF"/>
            <w:noWrap/>
            <w:vAlign w:val="center"/>
            <w:hideMark/>
          </w:tcPr>
          <w:p w14:paraId="1469B3C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1 826 173</w:t>
            </w:r>
          </w:p>
        </w:tc>
        <w:tc>
          <w:tcPr>
            <w:tcW w:w="992" w:type="dxa"/>
            <w:tcBorders>
              <w:top w:val="nil"/>
              <w:left w:val="nil"/>
              <w:bottom w:val="single" w:sz="4" w:space="0" w:color="auto"/>
              <w:right w:val="nil"/>
            </w:tcBorders>
            <w:shd w:val="clear" w:color="000000" w:fill="FFFFFF"/>
            <w:noWrap/>
            <w:vAlign w:val="center"/>
            <w:hideMark/>
          </w:tcPr>
          <w:p w14:paraId="3623D1E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404,67</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1737A219"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402</w:t>
            </w:r>
          </w:p>
        </w:tc>
        <w:tc>
          <w:tcPr>
            <w:tcW w:w="1233" w:type="dxa"/>
            <w:tcBorders>
              <w:top w:val="nil"/>
              <w:left w:val="nil"/>
              <w:bottom w:val="single" w:sz="4" w:space="0" w:color="auto"/>
              <w:right w:val="single" w:sz="4" w:space="0" w:color="auto"/>
            </w:tcBorders>
            <w:shd w:val="clear" w:color="000000" w:fill="FFFFFF"/>
            <w:noWrap/>
            <w:vAlign w:val="center"/>
            <w:hideMark/>
          </w:tcPr>
          <w:p w14:paraId="4C524823"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1 952 128</w:t>
            </w:r>
          </w:p>
        </w:tc>
      </w:tr>
      <w:tr w:rsidR="002C253E" w:rsidRPr="002C253E" w14:paraId="2728415F" w14:textId="77777777" w:rsidTr="008415BC">
        <w:trPr>
          <w:trHeight w:val="528"/>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046ED49B"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Pabalsts personai ar invaliditāti, kurai nepieciešama īpaša kopšana</w:t>
            </w:r>
          </w:p>
        </w:tc>
        <w:tc>
          <w:tcPr>
            <w:tcW w:w="880" w:type="dxa"/>
            <w:tcBorders>
              <w:top w:val="nil"/>
              <w:left w:val="nil"/>
              <w:bottom w:val="single" w:sz="4" w:space="0" w:color="auto"/>
              <w:right w:val="nil"/>
            </w:tcBorders>
            <w:shd w:val="clear" w:color="000000" w:fill="FFFFFF"/>
            <w:noWrap/>
            <w:vAlign w:val="center"/>
            <w:hideMark/>
          </w:tcPr>
          <w:p w14:paraId="2ADEF66E"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251,45</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46A0B5AC"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17 073</w:t>
            </w:r>
          </w:p>
        </w:tc>
        <w:tc>
          <w:tcPr>
            <w:tcW w:w="1148" w:type="dxa"/>
            <w:tcBorders>
              <w:top w:val="nil"/>
              <w:left w:val="nil"/>
              <w:bottom w:val="single" w:sz="4" w:space="0" w:color="auto"/>
              <w:right w:val="single" w:sz="4" w:space="0" w:color="auto"/>
            </w:tcBorders>
            <w:shd w:val="clear" w:color="000000" w:fill="FFFFFF"/>
            <w:noWrap/>
            <w:vAlign w:val="center"/>
            <w:hideMark/>
          </w:tcPr>
          <w:p w14:paraId="1E666DEA"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51 516 070</w:t>
            </w:r>
          </w:p>
        </w:tc>
        <w:tc>
          <w:tcPr>
            <w:tcW w:w="1134" w:type="dxa"/>
            <w:tcBorders>
              <w:top w:val="nil"/>
              <w:left w:val="nil"/>
              <w:bottom w:val="single" w:sz="4" w:space="0" w:color="auto"/>
              <w:right w:val="single" w:sz="4" w:space="0" w:color="auto"/>
            </w:tcBorders>
            <w:shd w:val="clear" w:color="000000" w:fill="FFFFFF"/>
            <w:noWrap/>
            <w:vAlign w:val="center"/>
            <w:hideMark/>
          </w:tcPr>
          <w:p w14:paraId="5A936919"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251,45</w:t>
            </w:r>
          </w:p>
        </w:tc>
        <w:tc>
          <w:tcPr>
            <w:tcW w:w="1276" w:type="dxa"/>
            <w:tcBorders>
              <w:top w:val="nil"/>
              <w:left w:val="nil"/>
              <w:bottom w:val="single" w:sz="4" w:space="0" w:color="auto"/>
              <w:right w:val="single" w:sz="4" w:space="0" w:color="auto"/>
            </w:tcBorders>
            <w:shd w:val="clear" w:color="000000" w:fill="FFFFFF"/>
            <w:noWrap/>
            <w:vAlign w:val="center"/>
            <w:hideMark/>
          </w:tcPr>
          <w:p w14:paraId="6433BBAC"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17 408</w:t>
            </w:r>
          </w:p>
        </w:tc>
        <w:tc>
          <w:tcPr>
            <w:tcW w:w="1134" w:type="dxa"/>
            <w:tcBorders>
              <w:top w:val="nil"/>
              <w:left w:val="nil"/>
              <w:bottom w:val="single" w:sz="4" w:space="0" w:color="auto"/>
              <w:right w:val="single" w:sz="4" w:space="0" w:color="auto"/>
            </w:tcBorders>
            <w:shd w:val="clear" w:color="000000" w:fill="FFFFFF"/>
            <w:noWrap/>
            <w:vAlign w:val="center"/>
            <w:hideMark/>
          </w:tcPr>
          <w:p w14:paraId="2FB39C4A"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52 526 899</w:t>
            </w:r>
          </w:p>
        </w:tc>
        <w:tc>
          <w:tcPr>
            <w:tcW w:w="992" w:type="dxa"/>
            <w:tcBorders>
              <w:top w:val="nil"/>
              <w:left w:val="nil"/>
              <w:bottom w:val="single" w:sz="4" w:space="0" w:color="auto"/>
              <w:right w:val="single" w:sz="4" w:space="0" w:color="auto"/>
            </w:tcBorders>
            <w:shd w:val="clear" w:color="000000" w:fill="FFFFFF"/>
            <w:noWrap/>
            <w:vAlign w:val="center"/>
            <w:hideMark/>
          </w:tcPr>
          <w:p w14:paraId="187F7E7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251,45</w:t>
            </w:r>
          </w:p>
        </w:tc>
        <w:tc>
          <w:tcPr>
            <w:tcW w:w="966" w:type="dxa"/>
            <w:tcBorders>
              <w:top w:val="nil"/>
              <w:left w:val="nil"/>
              <w:bottom w:val="single" w:sz="4" w:space="0" w:color="auto"/>
              <w:right w:val="single" w:sz="4" w:space="0" w:color="auto"/>
            </w:tcBorders>
            <w:shd w:val="clear" w:color="000000" w:fill="FFFFFF"/>
            <w:noWrap/>
            <w:vAlign w:val="center"/>
            <w:hideMark/>
          </w:tcPr>
          <w:p w14:paraId="6E22EB20"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17 758</w:t>
            </w:r>
          </w:p>
        </w:tc>
        <w:tc>
          <w:tcPr>
            <w:tcW w:w="1233" w:type="dxa"/>
            <w:tcBorders>
              <w:top w:val="nil"/>
              <w:left w:val="nil"/>
              <w:bottom w:val="single" w:sz="4" w:space="0" w:color="auto"/>
              <w:right w:val="single" w:sz="4" w:space="0" w:color="auto"/>
            </w:tcBorders>
            <w:shd w:val="clear" w:color="000000" w:fill="FFFFFF"/>
            <w:noWrap/>
            <w:vAlign w:val="center"/>
            <w:hideMark/>
          </w:tcPr>
          <w:p w14:paraId="4CA3134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53 582 989</w:t>
            </w:r>
          </w:p>
        </w:tc>
      </w:tr>
      <w:tr w:rsidR="002C253E" w:rsidRPr="002C253E" w14:paraId="66DFE748" w14:textId="77777777" w:rsidTr="008415BC">
        <w:trPr>
          <w:trHeight w:val="528"/>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4E60AF87"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Apbedīšanas pabalsts, ja miris valsts sociālā nodrošinājuma pabalsta saņēmējs</w:t>
            </w:r>
          </w:p>
        </w:tc>
        <w:tc>
          <w:tcPr>
            <w:tcW w:w="880" w:type="dxa"/>
            <w:tcBorders>
              <w:top w:val="nil"/>
              <w:left w:val="nil"/>
              <w:bottom w:val="single" w:sz="4" w:space="0" w:color="auto"/>
              <w:right w:val="nil"/>
            </w:tcBorders>
            <w:shd w:val="clear" w:color="000000" w:fill="FFFFFF"/>
            <w:noWrap/>
            <w:vAlign w:val="center"/>
            <w:hideMark/>
          </w:tcPr>
          <w:p w14:paraId="6E3ABBF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502,26</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5E49B81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46</w:t>
            </w:r>
          </w:p>
        </w:tc>
        <w:tc>
          <w:tcPr>
            <w:tcW w:w="1148" w:type="dxa"/>
            <w:tcBorders>
              <w:top w:val="nil"/>
              <w:left w:val="nil"/>
              <w:bottom w:val="single" w:sz="4" w:space="0" w:color="auto"/>
              <w:right w:val="single" w:sz="4" w:space="0" w:color="auto"/>
            </w:tcBorders>
            <w:shd w:val="clear" w:color="000000" w:fill="FFFFFF"/>
            <w:noWrap/>
            <w:vAlign w:val="center"/>
            <w:hideMark/>
          </w:tcPr>
          <w:p w14:paraId="4D29122B"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277 250</w:t>
            </w:r>
          </w:p>
        </w:tc>
        <w:tc>
          <w:tcPr>
            <w:tcW w:w="1134" w:type="dxa"/>
            <w:tcBorders>
              <w:top w:val="nil"/>
              <w:left w:val="nil"/>
              <w:bottom w:val="single" w:sz="4" w:space="0" w:color="auto"/>
              <w:right w:val="single" w:sz="4" w:space="0" w:color="auto"/>
            </w:tcBorders>
            <w:shd w:val="clear" w:color="000000" w:fill="FFFFFF"/>
            <w:noWrap/>
            <w:vAlign w:val="center"/>
            <w:hideMark/>
          </w:tcPr>
          <w:p w14:paraId="3BAAC919"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555,47</w:t>
            </w:r>
          </w:p>
        </w:tc>
        <w:tc>
          <w:tcPr>
            <w:tcW w:w="1276" w:type="dxa"/>
            <w:tcBorders>
              <w:top w:val="nil"/>
              <w:left w:val="nil"/>
              <w:bottom w:val="single" w:sz="4" w:space="0" w:color="auto"/>
              <w:right w:val="nil"/>
            </w:tcBorders>
            <w:shd w:val="clear" w:color="000000" w:fill="FFFFFF"/>
            <w:noWrap/>
            <w:vAlign w:val="center"/>
            <w:hideMark/>
          </w:tcPr>
          <w:p w14:paraId="21F196E1"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47</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14:paraId="4C360490"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313 284</w:t>
            </w:r>
          </w:p>
        </w:tc>
        <w:tc>
          <w:tcPr>
            <w:tcW w:w="992" w:type="dxa"/>
            <w:tcBorders>
              <w:top w:val="nil"/>
              <w:left w:val="nil"/>
              <w:bottom w:val="single" w:sz="4" w:space="0" w:color="auto"/>
              <w:right w:val="nil"/>
            </w:tcBorders>
            <w:shd w:val="clear" w:color="000000" w:fill="FFFFFF"/>
            <w:noWrap/>
            <w:vAlign w:val="center"/>
            <w:hideMark/>
          </w:tcPr>
          <w:p w14:paraId="4F59E573"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603,32</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46C43E26"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48</w:t>
            </w:r>
          </w:p>
        </w:tc>
        <w:tc>
          <w:tcPr>
            <w:tcW w:w="1233" w:type="dxa"/>
            <w:tcBorders>
              <w:top w:val="nil"/>
              <w:left w:val="nil"/>
              <w:bottom w:val="single" w:sz="4" w:space="0" w:color="auto"/>
              <w:right w:val="single" w:sz="4" w:space="0" w:color="auto"/>
            </w:tcBorders>
            <w:shd w:val="clear" w:color="000000" w:fill="FFFFFF"/>
            <w:noWrap/>
            <w:vAlign w:val="center"/>
            <w:hideMark/>
          </w:tcPr>
          <w:p w14:paraId="71911BAE"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347 511</w:t>
            </w:r>
          </w:p>
        </w:tc>
      </w:tr>
      <w:tr w:rsidR="002C253E" w:rsidRPr="002C253E" w14:paraId="3EC0007F" w14:textId="77777777" w:rsidTr="008415BC">
        <w:trPr>
          <w:trHeight w:val="528"/>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36B8A5C6"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Pabalsts par asistenta izmantošanu personām ar I grupas redzes invaliditāti</w:t>
            </w:r>
          </w:p>
        </w:tc>
        <w:tc>
          <w:tcPr>
            <w:tcW w:w="880" w:type="dxa"/>
            <w:tcBorders>
              <w:top w:val="nil"/>
              <w:left w:val="nil"/>
              <w:bottom w:val="single" w:sz="4" w:space="0" w:color="auto"/>
              <w:right w:val="nil"/>
            </w:tcBorders>
            <w:shd w:val="clear" w:color="000000" w:fill="FFFFFF"/>
            <w:noWrap/>
            <w:vAlign w:val="center"/>
            <w:hideMark/>
          </w:tcPr>
          <w:p w14:paraId="64BC76FE"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73,43</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2D2DD4DA"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1 671</w:t>
            </w:r>
          </w:p>
        </w:tc>
        <w:tc>
          <w:tcPr>
            <w:tcW w:w="1148" w:type="dxa"/>
            <w:tcBorders>
              <w:top w:val="nil"/>
              <w:left w:val="nil"/>
              <w:bottom w:val="single" w:sz="4" w:space="0" w:color="auto"/>
              <w:right w:val="single" w:sz="4" w:space="0" w:color="auto"/>
            </w:tcBorders>
            <w:shd w:val="clear" w:color="000000" w:fill="FFFFFF"/>
            <w:noWrap/>
            <w:vAlign w:val="center"/>
            <w:hideMark/>
          </w:tcPr>
          <w:p w14:paraId="524B7C39"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1 472 410</w:t>
            </w:r>
          </w:p>
        </w:tc>
        <w:tc>
          <w:tcPr>
            <w:tcW w:w="1134" w:type="dxa"/>
            <w:tcBorders>
              <w:top w:val="nil"/>
              <w:left w:val="nil"/>
              <w:bottom w:val="single" w:sz="4" w:space="0" w:color="auto"/>
              <w:right w:val="single" w:sz="4" w:space="0" w:color="auto"/>
            </w:tcBorders>
            <w:shd w:val="clear" w:color="000000" w:fill="FFFFFF"/>
            <w:noWrap/>
            <w:vAlign w:val="center"/>
            <w:hideMark/>
          </w:tcPr>
          <w:p w14:paraId="34E9660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73,43</w:t>
            </w:r>
          </w:p>
        </w:tc>
        <w:tc>
          <w:tcPr>
            <w:tcW w:w="1276" w:type="dxa"/>
            <w:tcBorders>
              <w:top w:val="nil"/>
              <w:left w:val="nil"/>
              <w:bottom w:val="nil"/>
              <w:right w:val="single" w:sz="4" w:space="0" w:color="auto"/>
            </w:tcBorders>
            <w:shd w:val="clear" w:color="000000" w:fill="FFFFFF"/>
            <w:noWrap/>
            <w:vAlign w:val="center"/>
            <w:hideMark/>
          </w:tcPr>
          <w:p w14:paraId="78FD0EA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1 630</w:t>
            </w:r>
          </w:p>
        </w:tc>
        <w:tc>
          <w:tcPr>
            <w:tcW w:w="1134" w:type="dxa"/>
            <w:tcBorders>
              <w:top w:val="nil"/>
              <w:left w:val="nil"/>
              <w:bottom w:val="nil"/>
              <w:right w:val="single" w:sz="4" w:space="0" w:color="auto"/>
            </w:tcBorders>
            <w:shd w:val="clear" w:color="000000" w:fill="FFFFFF"/>
            <w:noWrap/>
            <w:vAlign w:val="center"/>
            <w:hideMark/>
          </w:tcPr>
          <w:p w14:paraId="1F275E1B"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1 436 283</w:t>
            </w:r>
          </w:p>
        </w:tc>
        <w:tc>
          <w:tcPr>
            <w:tcW w:w="992" w:type="dxa"/>
            <w:tcBorders>
              <w:top w:val="nil"/>
              <w:left w:val="nil"/>
              <w:bottom w:val="single" w:sz="4" w:space="0" w:color="auto"/>
              <w:right w:val="single" w:sz="4" w:space="0" w:color="auto"/>
            </w:tcBorders>
            <w:shd w:val="clear" w:color="000000" w:fill="FFFFFF"/>
            <w:noWrap/>
            <w:vAlign w:val="center"/>
            <w:hideMark/>
          </w:tcPr>
          <w:p w14:paraId="4451F206"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73,43</w:t>
            </w:r>
          </w:p>
        </w:tc>
        <w:tc>
          <w:tcPr>
            <w:tcW w:w="966" w:type="dxa"/>
            <w:tcBorders>
              <w:top w:val="nil"/>
              <w:left w:val="nil"/>
              <w:bottom w:val="nil"/>
              <w:right w:val="single" w:sz="4" w:space="0" w:color="auto"/>
            </w:tcBorders>
            <w:shd w:val="clear" w:color="000000" w:fill="FFFFFF"/>
            <w:noWrap/>
            <w:vAlign w:val="center"/>
            <w:hideMark/>
          </w:tcPr>
          <w:p w14:paraId="16BE9D35"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1 605</w:t>
            </w:r>
          </w:p>
        </w:tc>
        <w:tc>
          <w:tcPr>
            <w:tcW w:w="1233" w:type="dxa"/>
            <w:tcBorders>
              <w:top w:val="nil"/>
              <w:left w:val="nil"/>
              <w:bottom w:val="nil"/>
              <w:right w:val="single" w:sz="4" w:space="0" w:color="auto"/>
            </w:tcBorders>
            <w:shd w:val="clear" w:color="000000" w:fill="FFFFFF"/>
            <w:noWrap/>
            <w:vAlign w:val="center"/>
            <w:hideMark/>
          </w:tcPr>
          <w:p w14:paraId="29A1C99B"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1 414 254</w:t>
            </w:r>
          </w:p>
        </w:tc>
      </w:tr>
      <w:tr w:rsidR="002C253E" w:rsidRPr="002C253E" w14:paraId="75C3113E"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66DFE306"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Valsts sociālie pabalsti ģimenēm ar bērniem - kopā</w:t>
            </w:r>
          </w:p>
        </w:tc>
        <w:tc>
          <w:tcPr>
            <w:tcW w:w="880" w:type="dxa"/>
            <w:tcBorders>
              <w:top w:val="nil"/>
              <w:left w:val="nil"/>
              <w:bottom w:val="single" w:sz="4" w:space="0" w:color="auto"/>
              <w:right w:val="single" w:sz="4" w:space="0" w:color="auto"/>
            </w:tcBorders>
            <w:shd w:val="clear" w:color="000000" w:fill="FFFFFF"/>
            <w:noWrap/>
            <w:vAlign w:val="center"/>
            <w:hideMark/>
          </w:tcPr>
          <w:p w14:paraId="361543A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x</w:t>
            </w:r>
          </w:p>
        </w:tc>
        <w:tc>
          <w:tcPr>
            <w:tcW w:w="980" w:type="dxa"/>
            <w:tcBorders>
              <w:top w:val="nil"/>
              <w:left w:val="nil"/>
              <w:bottom w:val="single" w:sz="4" w:space="0" w:color="auto"/>
              <w:right w:val="nil"/>
            </w:tcBorders>
            <w:shd w:val="clear" w:color="000000" w:fill="FFFFFF"/>
            <w:noWrap/>
            <w:vAlign w:val="center"/>
            <w:hideMark/>
          </w:tcPr>
          <w:p w14:paraId="68D256A1"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x</w:t>
            </w:r>
          </w:p>
        </w:tc>
        <w:tc>
          <w:tcPr>
            <w:tcW w:w="1148" w:type="dxa"/>
            <w:tcBorders>
              <w:top w:val="nil"/>
              <w:left w:val="single" w:sz="4" w:space="0" w:color="auto"/>
              <w:bottom w:val="single" w:sz="4" w:space="0" w:color="auto"/>
              <w:right w:val="single" w:sz="4" w:space="0" w:color="auto"/>
            </w:tcBorders>
            <w:shd w:val="clear" w:color="000000" w:fill="FFFFFF"/>
            <w:noWrap/>
            <w:vAlign w:val="center"/>
            <w:hideMark/>
          </w:tcPr>
          <w:p w14:paraId="6852585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290 797 173</w:t>
            </w:r>
          </w:p>
        </w:tc>
        <w:tc>
          <w:tcPr>
            <w:tcW w:w="1134" w:type="dxa"/>
            <w:tcBorders>
              <w:top w:val="nil"/>
              <w:left w:val="nil"/>
              <w:bottom w:val="single" w:sz="4" w:space="0" w:color="auto"/>
              <w:right w:val="single" w:sz="4" w:space="0" w:color="auto"/>
            </w:tcBorders>
            <w:shd w:val="clear" w:color="000000" w:fill="FFFFFF"/>
            <w:noWrap/>
            <w:vAlign w:val="center"/>
            <w:hideMark/>
          </w:tcPr>
          <w:p w14:paraId="3A1328F7"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x</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0C176A25"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x</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94FBBD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292 395 594</w:t>
            </w:r>
          </w:p>
        </w:tc>
        <w:tc>
          <w:tcPr>
            <w:tcW w:w="992" w:type="dxa"/>
            <w:tcBorders>
              <w:top w:val="nil"/>
              <w:left w:val="nil"/>
              <w:bottom w:val="single" w:sz="4" w:space="0" w:color="auto"/>
              <w:right w:val="single" w:sz="4" w:space="0" w:color="auto"/>
            </w:tcBorders>
            <w:shd w:val="clear" w:color="000000" w:fill="FFFFFF"/>
            <w:noWrap/>
            <w:vAlign w:val="center"/>
            <w:hideMark/>
          </w:tcPr>
          <w:p w14:paraId="02E551D7"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x</w:t>
            </w:r>
          </w:p>
        </w:tc>
        <w:tc>
          <w:tcPr>
            <w:tcW w:w="966" w:type="dxa"/>
            <w:tcBorders>
              <w:top w:val="single" w:sz="4" w:space="0" w:color="auto"/>
              <w:left w:val="nil"/>
              <w:bottom w:val="single" w:sz="4" w:space="0" w:color="auto"/>
              <w:right w:val="single" w:sz="4" w:space="0" w:color="auto"/>
            </w:tcBorders>
            <w:shd w:val="clear" w:color="000000" w:fill="FFFFFF"/>
            <w:noWrap/>
            <w:vAlign w:val="center"/>
            <w:hideMark/>
          </w:tcPr>
          <w:p w14:paraId="328163F9"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x</w:t>
            </w:r>
          </w:p>
        </w:tc>
        <w:tc>
          <w:tcPr>
            <w:tcW w:w="1233" w:type="dxa"/>
            <w:tcBorders>
              <w:top w:val="single" w:sz="4" w:space="0" w:color="auto"/>
              <w:left w:val="nil"/>
              <w:bottom w:val="single" w:sz="4" w:space="0" w:color="auto"/>
              <w:right w:val="single" w:sz="4" w:space="0" w:color="auto"/>
            </w:tcBorders>
            <w:shd w:val="clear" w:color="000000" w:fill="FFFFFF"/>
            <w:noWrap/>
            <w:vAlign w:val="center"/>
            <w:hideMark/>
          </w:tcPr>
          <w:p w14:paraId="28E50A26"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294 102 836</w:t>
            </w:r>
          </w:p>
        </w:tc>
      </w:tr>
      <w:tr w:rsidR="002C253E" w:rsidRPr="002C253E" w14:paraId="776CBBAA"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center"/>
            <w:hideMark/>
          </w:tcPr>
          <w:p w14:paraId="577975A0" w14:textId="77777777" w:rsidR="002C253E" w:rsidRPr="002C253E" w:rsidRDefault="002C253E" w:rsidP="008349F0">
            <w:pPr>
              <w:spacing w:after="0"/>
              <w:ind w:firstLine="0"/>
              <w:jc w:val="center"/>
              <w:rPr>
                <w:rFonts w:eastAsia="Times New Roman" w:cs="Times New Roman"/>
                <w:i/>
                <w:iCs/>
                <w:sz w:val="18"/>
                <w:szCs w:val="18"/>
                <w:highlight w:val="lightGray"/>
              </w:rPr>
            </w:pPr>
            <w:r w:rsidRPr="002C253E">
              <w:rPr>
                <w:rFonts w:eastAsia="Calibri" w:cs="Times New Roman"/>
                <w:i/>
                <w:iCs/>
                <w:sz w:val="18"/>
                <w:szCs w:val="18"/>
                <w:lang w:eastAsia="en-US"/>
              </w:rPr>
              <w:t>tajā skaitā:</w:t>
            </w:r>
          </w:p>
        </w:tc>
        <w:tc>
          <w:tcPr>
            <w:tcW w:w="880" w:type="dxa"/>
            <w:tcBorders>
              <w:top w:val="nil"/>
              <w:left w:val="nil"/>
              <w:bottom w:val="single" w:sz="4" w:space="0" w:color="auto"/>
              <w:right w:val="nil"/>
            </w:tcBorders>
            <w:shd w:val="clear" w:color="000000" w:fill="FFFFFF"/>
            <w:noWrap/>
            <w:vAlign w:val="center"/>
            <w:hideMark/>
          </w:tcPr>
          <w:p w14:paraId="69A26FF0" w14:textId="77777777" w:rsidR="002C253E" w:rsidRPr="002C253E" w:rsidRDefault="002C253E" w:rsidP="008349F0">
            <w:pPr>
              <w:spacing w:after="0"/>
              <w:ind w:firstLine="0"/>
              <w:jc w:val="center"/>
              <w:rPr>
                <w:rFonts w:eastAsia="Times New Roman" w:cs="Times New Roman"/>
                <w:sz w:val="18"/>
                <w:szCs w:val="18"/>
                <w:highlight w:val="lightGray"/>
              </w:rPr>
            </w:pPr>
          </w:p>
        </w:tc>
        <w:tc>
          <w:tcPr>
            <w:tcW w:w="980" w:type="dxa"/>
            <w:tcBorders>
              <w:top w:val="nil"/>
              <w:left w:val="single" w:sz="4" w:space="0" w:color="auto"/>
              <w:bottom w:val="single" w:sz="4" w:space="0" w:color="auto"/>
              <w:right w:val="single" w:sz="4" w:space="0" w:color="auto"/>
            </w:tcBorders>
            <w:shd w:val="clear" w:color="000000" w:fill="FFFFFF"/>
            <w:vAlign w:val="center"/>
            <w:hideMark/>
          </w:tcPr>
          <w:p w14:paraId="17AD2AD9" w14:textId="77777777" w:rsidR="002C253E" w:rsidRPr="002C253E" w:rsidRDefault="002C253E" w:rsidP="008349F0">
            <w:pPr>
              <w:spacing w:after="0"/>
              <w:ind w:firstLine="0"/>
              <w:jc w:val="center"/>
              <w:rPr>
                <w:rFonts w:eastAsia="Times New Roman" w:cs="Times New Roman"/>
                <w:sz w:val="18"/>
                <w:szCs w:val="18"/>
                <w:highlight w:val="lightGray"/>
              </w:rPr>
            </w:pPr>
          </w:p>
        </w:tc>
        <w:tc>
          <w:tcPr>
            <w:tcW w:w="1148" w:type="dxa"/>
            <w:tcBorders>
              <w:top w:val="nil"/>
              <w:left w:val="nil"/>
              <w:bottom w:val="single" w:sz="4" w:space="0" w:color="auto"/>
              <w:right w:val="single" w:sz="4" w:space="0" w:color="auto"/>
            </w:tcBorders>
            <w:shd w:val="clear" w:color="000000" w:fill="FFFFFF"/>
            <w:noWrap/>
            <w:vAlign w:val="center"/>
            <w:hideMark/>
          </w:tcPr>
          <w:p w14:paraId="69518672" w14:textId="77777777" w:rsidR="002C253E" w:rsidRPr="002C253E" w:rsidRDefault="002C253E" w:rsidP="008349F0">
            <w:pPr>
              <w:spacing w:after="0"/>
              <w:ind w:firstLine="0"/>
              <w:jc w:val="center"/>
              <w:rPr>
                <w:rFonts w:eastAsia="Times New Roman" w:cs="Times New Roman"/>
                <w:sz w:val="18"/>
                <w:szCs w:val="18"/>
                <w:highlight w:val="lightGray"/>
              </w:rPr>
            </w:pPr>
          </w:p>
        </w:tc>
        <w:tc>
          <w:tcPr>
            <w:tcW w:w="1134" w:type="dxa"/>
            <w:tcBorders>
              <w:top w:val="nil"/>
              <w:left w:val="nil"/>
              <w:bottom w:val="single" w:sz="4" w:space="0" w:color="auto"/>
              <w:right w:val="single" w:sz="4" w:space="0" w:color="auto"/>
            </w:tcBorders>
            <w:shd w:val="clear" w:color="000000" w:fill="FFFFFF"/>
            <w:noWrap/>
            <w:vAlign w:val="center"/>
            <w:hideMark/>
          </w:tcPr>
          <w:p w14:paraId="779FA56B" w14:textId="77777777" w:rsidR="002C253E" w:rsidRPr="002C253E" w:rsidRDefault="002C253E" w:rsidP="008349F0">
            <w:pPr>
              <w:spacing w:after="0"/>
              <w:ind w:firstLine="0"/>
              <w:jc w:val="center"/>
              <w:rPr>
                <w:rFonts w:eastAsia="Times New Roman" w:cs="Times New Roman"/>
                <w:sz w:val="18"/>
                <w:szCs w:val="18"/>
                <w:highlight w:val="lightGray"/>
              </w:rPr>
            </w:pPr>
          </w:p>
        </w:tc>
        <w:tc>
          <w:tcPr>
            <w:tcW w:w="1276" w:type="dxa"/>
            <w:tcBorders>
              <w:top w:val="nil"/>
              <w:left w:val="nil"/>
              <w:bottom w:val="single" w:sz="4" w:space="0" w:color="auto"/>
              <w:right w:val="single" w:sz="4" w:space="0" w:color="auto"/>
            </w:tcBorders>
            <w:shd w:val="clear" w:color="000000" w:fill="FFFFFF"/>
            <w:vAlign w:val="center"/>
            <w:hideMark/>
          </w:tcPr>
          <w:p w14:paraId="4299EA30" w14:textId="77777777" w:rsidR="002C253E" w:rsidRPr="002C253E" w:rsidRDefault="002C253E" w:rsidP="008349F0">
            <w:pPr>
              <w:spacing w:after="0"/>
              <w:ind w:firstLine="0"/>
              <w:jc w:val="center"/>
              <w:rPr>
                <w:rFonts w:eastAsia="Times New Roman" w:cs="Times New Roman"/>
                <w:sz w:val="18"/>
                <w:szCs w:val="18"/>
                <w:highlight w:val="lightGray"/>
              </w:rPr>
            </w:pPr>
          </w:p>
        </w:tc>
        <w:tc>
          <w:tcPr>
            <w:tcW w:w="1134" w:type="dxa"/>
            <w:tcBorders>
              <w:top w:val="nil"/>
              <w:left w:val="nil"/>
              <w:bottom w:val="single" w:sz="4" w:space="0" w:color="auto"/>
              <w:right w:val="single" w:sz="4" w:space="0" w:color="auto"/>
            </w:tcBorders>
            <w:shd w:val="clear" w:color="000000" w:fill="FFFFFF"/>
            <w:noWrap/>
            <w:vAlign w:val="center"/>
            <w:hideMark/>
          </w:tcPr>
          <w:p w14:paraId="25BA1811" w14:textId="77777777" w:rsidR="002C253E" w:rsidRPr="002C253E" w:rsidRDefault="002C253E" w:rsidP="008349F0">
            <w:pPr>
              <w:spacing w:after="0"/>
              <w:ind w:firstLine="0"/>
              <w:jc w:val="center"/>
              <w:rPr>
                <w:rFonts w:eastAsia="Times New Roman" w:cs="Times New Roman"/>
                <w:sz w:val="18"/>
                <w:szCs w:val="18"/>
                <w:highlight w:val="lightGray"/>
              </w:rPr>
            </w:pPr>
          </w:p>
        </w:tc>
        <w:tc>
          <w:tcPr>
            <w:tcW w:w="992" w:type="dxa"/>
            <w:tcBorders>
              <w:top w:val="nil"/>
              <w:left w:val="nil"/>
              <w:bottom w:val="single" w:sz="4" w:space="0" w:color="auto"/>
              <w:right w:val="single" w:sz="4" w:space="0" w:color="auto"/>
            </w:tcBorders>
            <w:shd w:val="clear" w:color="000000" w:fill="FFFFFF"/>
            <w:noWrap/>
            <w:vAlign w:val="center"/>
            <w:hideMark/>
          </w:tcPr>
          <w:p w14:paraId="6F3A1BD7" w14:textId="77777777" w:rsidR="002C253E" w:rsidRPr="002C253E" w:rsidRDefault="002C253E" w:rsidP="008349F0">
            <w:pPr>
              <w:spacing w:after="0"/>
              <w:ind w:firstLine="0"/>
              <w:jc w:val="center"/>
              <w:rPr>
                <w:rFonts w:eastAsia="Times New Roman" w:cs="Times New Roman"/>
                <w:sz w:val="18"/>
                <w:szCs w:val="18"/>
                <w:highlight w:val="lightGray"/>
              </w:rPr>
            </w:pPr>
          </w:p>
        </w:tc>
        <w:tc>
          <w:tcPr>
            <w:tcW w:w="966" w:type="dxa"/>
            <w:tcBorders>
              <w:top w:val="nil"/>
              <w:left w:val="nil"/>
              <w:bottom w:val="single" w:sz="4" w:space="0" w:color="auto"/>
              <w:right w:val="single" w:sz="4" w:space="0" w:color="auto"/>
            </w:tcBorders>
            <w:shd w:val="clear" w:color="000000" w:fill="FFFFFF"/>
            <w:vAlign w:val="center"/>
            <w:hideMark/>
          </w:tcPr>
          <w:p w14:paraId="234AF4E1" w14:textId="77777777" w:rsidR="002C253E" w:rsidRPr="002C253E" w:rsidRDefault="002C253E" w:rsidP="008349F0">
            <w:pPr>
              <w:spacing w:after="0"/>
              <w:ind w:firstLine="0"/>
              <w:jc w:val="center"/>
              <w:rPr>
                <w:rFonts w:eastAsia="Times New Roman" w:cs="Times New Roman"/>
                <w:sz w:val="18"/>
                <w:szCs w:val="18"/>
                <w:highlight w:val="lightGray"/>
              </w:rPr>
            </w:pPr>
          </w:p>
        </w:tc>
        <w:tc>
          <w:tcPr>
            <w:tcW w:w="1233" w:type="dxa"/>
            <w:tcBorders>
              <w:top w:val="nil"/>
              <w:left w:val="nil"/>
              <w:bottom w:val="single" w:sz="4" w:space="0" w:color="auto"/>
              <w:right w:val="single" w:sz="4" w:space="0" w:color="auto"/>
            </w:tcBorders>
            <w:shd w:val="clear" w:color="000000" w:fill="FFFFFF"/>
            <w:noWrap/>
            <w:vAlign w:val="center"/>
            <w:hideMark/>
          </w:tcPr>
          <w:p w14:paraId="0DA11343" w14:textId="77777777" w:rsidR="002C253E" w:rsidRPr="002C253E" w:rsidRDefault="002C253E" w:rsidP="008349F0">
            <w:pPr>
              <w:spacing w:after="0"/>
              <w:ind w:firstLine="0"/>
              <w:jc w:val="center"/>
              <w:rPr>
                <w:rFonts w:eastAsia="Times New Roman" w:cs="Times New Roman"/>
                <w:sz w:val="18"/>
                <w:szCs w:val="18"/>
                <w:highlight w:val="lightGray"/>
              </w:rPr>
            </w:pPr>
          </w:p>
        </w:tc>
      </w:tr>
      <w:tr w:rsidR="002C253E" w:rsidRPr="002C253E" w14:paraId="35DDA735"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center"/>
            <w:hideMark/>
          </w:tcPr>
          <w:p w14:paraId="21687028" w14:textId="77777777" w:rsidR="002C253E" w:rsidRPr="002C253E" w:rsidRDefault="002C253E" w:rsidP="008349F0">
            <w:pPr>
              <w:spacing w:after="0"/>
              <w:ind w:left="567" w:firstLine="0"/>
              <w:jc w:val="left"/>
              <w:rPr>
                <w:rFonts w:eastAsia="Times New Roman" w:cs="Times New Roman"/>
                <w:sz w:val="18"/>
                <w:szCs w:val="18"/>
                <w:highlight w:val="lightGray"/>
              </w:rPr>
            </w:pPr>
            <w:r w:rsidRPr="002C253E">
              <w:rPr>
                <w:rFonts w:eastAsia="Calibri" w:cs="Times New Roman"/>
                <w:sz w:val="18"/>
                <w:szCs w:val="18"/>
                <w:lang w:eastAsia="en-US"/>
              </w:rPr>
              <w:t>bērna piedzimšanas pabalsts</w:t>
            </w:r>
          </w:p>
        </w:tc>
        <w:tc>
          <w:tcPr>
            <w:tcW w:w="880" w:type="dxa"/>
            <w:tcBorders>
              <w:top w:val="nil"/>
              <w:left w:val="nil"/>
              <w:bottom w:val="single" w:sz="4" w:space="0" w:color="auto"/>
              <w:right w:val="nil"/>
            </w:tcBorders>
            <w:shd w:val="clear" w:color="000000" w:fill="FFFFFF"/>
            <w:noWrap/>
            <w:vAlign w:val="center"/>
            <w:hideMark/>
          </w:tcPr>
          <w:p w14:paraId="3EA36AB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421,20</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1E41296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1 188</w:t>
            </w:r>
          </w:p>
        </w:tc>
        <w:tc>
          <w:tcPr>
            <w:tcW w:w="1148" w:type="dxa"/>
            <w:tcBorders>
              <w:top w:val="nil"/>
              <w:left w:val="nil"/>
              <w:bottom w:val="single" w:sz="4" w:space="0" w:color="auto"/>
              <w:right w:val="single" w:sz="4" w:space="0" w:color="auto"/>
            </w:tcBorders>
            <w:shd w:val="clear" w:color="000000" w:fill="FFFFFF"/>
            <w:noWrap/>
            <w:vAlign w:val="center"/>
            <w:hideMark/>
          </w:tcPr>
          <w:p w14:paraId="44DDF5C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6 004 627</w:t>
            </w:r>
          </w:p>
        </w:tc>
        <w:tc>
          <w:tcPr>
            <w:tcW w:w="1134" w:type="dxa"/>
            <w:tcBorders>
              <w:top w:val="nil"/>
              <w:left w:val="nil"/>
              <w:bottom w:val="single" w:sz="4" w:space="0" w:color="auto"/>
              <w:right w:val="single" w:sz="4" w:space="0" w:color="auto"/>
            </w:tcBorders>
            <w:shd w:val="clear" w:color="000000" w:fill="FFFFFF"/>
            <w:noWrap/>
            <w:vAlign w:val="center"/>
            <w:hideMark/>
          </w:tcPr>
          <w:p w14:paraId="122A0D2A"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421,20</w:t>
            </w:r>
          </w:p>
        </w:tc>
        <w:tc>
          <w:tcPr>
            <w:tcW w:w="1276" w:type="dxa"/>
            <w:tcBorders>
              <w:top w:val="nil"/>
              <w:left w:val="nil"/>
              <w:bottom w:val="single" w:sz="4" w:space="0" w:color="auto"/>
              <w:right w:val="single" w:sz="4" w:space="0" w:color="auto"/>
            </w:tcBorders>
            <w:shd w:val="clear" w:color="000000" w:fill="FFFFFF"/>
            <w:noWrap/>
            <w:vAlign w:val="center"/>
            <w:hideMark/>
          </w:tcPr>
          <w:p w14:paraId="7247B72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1 188</w:t>
            </w:r>
          </w:p>
        </w:tc>
        <w:tc>
          <w:tcPr>
            <w:tcW w:w="1134" w:type="dxa"/>
            <w:tcBorders>
              <w:top w:val="nil"/>
              <w:left w:val="nil"/>
              <w:bottom w:val="single" w:sz="4" w:space="0" w:color="auto"/>
              <w:right w:val="single" w:sz="4" w:space="0" w:color="auto"/>
            </w:tcBorders>
            <w:shd w:val="clear" w:color="000000" w:fill="FFFFFF"/>
            <w:noWrap/>
            <w:vAlign w:val="center"/>
            <w:hideMark/>
          </w:tcPr>
          <w:p w14:paraId="44497A01"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6 004 627</w:t>
            </w:r>
          </w:p>
        </w:tc>
        <w:tc>
          <w:tcPr>
            <w:tcW w:w="992" w:type="dxa"/>
            <w:tcBorders>
              <w:top w:val="nil"/>
              <w:left w:val="nil"/>
              <w:bottom w:val="single" w:sz="4" w:space="0" w:color="auto"/>
              <w:right w:val="single" w:sz="4" w:space="0" w:color="auto"/>
            </w:tcBorders>
            <w:shd w:val="clear" w:color="000000" w:fill="FFFFFF"/>
            <w:noWrap/>
            <w:vAlign w:val="center"/>
            <w:hideMark/>
          </w:tcPr>
          <w:p w14:paraId="51DA4C8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421,20</w:t>
            </w:r>
          </w:p>
        </w:tc>
        <w:tc>
          <w:tcPr>
            <w:tcW w:w="966" w:type="dxa"/>
            <w:tcBorders>
              <w:top w:val="nil"/>
              <w:left w:val="nil"/>
              <w:bottom w:val="single" w:sz="4" w:space="0" w:color="auto"/>
              <w:right w:val="single" w:sz="4" w:space="0" w:color="auto"/>
            </w:tcBorders>
            <w:shd w:val="clear" w:color="000000" w:fill="FFFFFF"/>
            <w:noWrap/>
            <w:vAlign w:val="center"/>
            <w:hideMark/>
          </w:tcPr>
          <w:p w14:paraId="3EB5F06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1 188</w:t>
            </w:r>
          </w:p>
        </w:tc>
        <w:tc>
          <w:tcPr>
            <w:tcW w:w="1233" w:type="dxa"/>
            <w:tcBorders>
              <w:top w:val="nil"/>
              <w:left w:val="nil"/>
              <w:bottom w:val="single" w:sz="4" w:space="0" w:color="auto"/>
              <w:right w:val="single" w:sz="4" w:space="0" w:color="auto"/>
            </w:tcBorders>
            <w:shd w:val="clear" w:color="000000" w:fill="FFFFFF"/>
            <w:noWrap/>
            <w:vAlign w:val="center"/>
            <w:hideMark/>
          </w:tcPr>
          <w:p w14:paraId="64D40C0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6 004 627</w:t>
            </w:r>
          </w:p>
        </w:tc>
      </w:tr>
      <w:tr w:rsidR="002C253E" w:rsidRPr="002C253E" w14:paraId="568571BF" w14:textId="77777777" w:rsidTr="008415BC">
        <w:trPr>
          <w:trHeight w:val="792"/>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1364671C" w14:textId="77777777" w:rsidR="002C253E" w:rsidRPr="002C253E" w:rsidRDefault="002C253E" w:rsidP="008349F0">
            <w:pPr>
              <w:spacing w:after="0"/>
              <w:ind w:left="567" w:firstLine="0"/>
              <w:jc w:val="left"/>
              <w:rPr>
                <w:rFonts w:eastAsia="Times New Roman" w:cs="Times New Roman"/>
                <w:sz w:val="18"/>
                <w:szCs w:val="18"/>
                <w:highlight w:val="lightGray"/>
              </w:rPr>
            </w:pPr>
            <w:r w:rsidRPr="002C253E">
              <w:rPr>
                <w:rFonts w:eastAsia="Calibri" w:cs="Times New Roman"/>
                <w:sz w:val="18"/>
                <w:szCs w:val="18"/>
                <w:lang w:eastAsia="en-US"/>
              </w:rPr>
              <w:lastRenderedPageBreak/>
              <w:t>bērna kopšanas pabalsts un piemaksa pie bērna kopšanas pabalsta un vecāku pabalsta par dvīņiem vai vairākiem vienās dzemdībās dzimušiem bērniem</w:t>
            </w:r>
          </w:p>
        </w:tc>
        <w:tc>
          <w:tcPr>
            <w:tcW w:w="880" w:type="dxa"/>
            <w:tcBorders>
              <w:top w:val="nil"/>
              <w:left w:val="nil"/>
              <w:bottom w:val="single" w:sz="4" w:space="0" w:color="auto"/>
              <w:right w:val="single" w:sz="4" w:space="0" w:color="auto"/>
            </w:tcBorders>
            <w:shd w:val="clear" w:color="000000" w:fill="FFFFFF"/>
            <w:noWrap/>
            <w:vAlign w:val="center"/>
            <w:hideMark/>
          </w:tcPr>
          <w:p w14:paraId="0DD4624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132,00</w:t>
            </w:r>
          </w:p>
        </w:tc>
        <w:tc>
          <w:tcPr>
            <w:tcW w:w="980" w:type="dxa"/>
            <w:tcBorders>
              <w:top w:val="nil"/>
              <w:left w:val="nil"/>
              <w:bottom w:val="single" w:sz="4" w:space="0" w:color="auto"/>
              <w:right w:val="single" w:sz="4" w:space="0" w:color="auto"/>
            </w:tcBorders>
            <w:shd w:val="clear" w:color="000000" w:fill="FFFFFF"/>
            <w:noWrap/>
            <w:vAlign w:val="center"/>
            <w:hideMark/>
          </w:tcPr>
          <w:p w14:paraId="27CA439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27 321</w:t>
            </w:r>
          </w:p>
        </w:tc>
        <w:tc>
          <w:tcPr>
            <w:tcW w:w="1148" w:type="dxa"/>
            <w:tcBorders>
              <w:top w:val="nil"/>
              <w:left w:val="nil"/>
              <w:bottom w:val="single" w:sz="4" w:space="0" w:color="auto"/>
              <w:right w:val="single" w:sz="4" w:space="0" w:color="auto"/>
            </w:tcBorders>
            <w:shd w:val="clear" w:color="000000" w:fill="FFFFFF"/>
            <w:noWrap/>
            <w:vAlign w:val="center"/>
            <w:hideMark/>
          </w:tcPr>
          <w:p w14:paraId="158FA185"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43 276 974</w:t>
            </w:r>
          </w:p>
        </w:tc>
        <w:tc>
          <w:tcPr>
            <w:tcW w:w="1134" w:type="dxa"/>
            <w:tcBorders>
              <w:top w:val="nil"/>
              <w:left w:val="nil"/>
              <w:bottom w:val="single" w:sz="4" w:space="0" w:color="auto"/>
              <w:right w:val="single" w:sz="4" w:space="0" w:color="auto"/>
            </w:tcBorders>
            <w:shd w:val="clear" w:color="000000" w:fill="FFFFFF"/>
            <w:noWrap/>
            <w:vAlign w:val="center"/>
            <w:hideMark/>
          </w:tcPr>
          <w:p w14:paraId="42341E7E"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132,00</w:t>
            </w:r>
          </w:p>
        </w:tc>
        <w:tc>
          <w:tcPr>
            <w:tcW w:w="1276" w:type="dxa"/>
            <w:tcBorders>
              <w:top w:val="nil"/>
              <w:left w:val="nil"/>
              <w:bottom w:val="single" w:sz="4" w:space="0" w:color="auto"/>
              <w:right w:val="single" w:sz="4" w:space="0" w:color="auto"/>
            </w:tcBorders>
            <w:shd w:val="clear" w:color="000000" w:fill="FFFFFF"/>
            <w:noWrap/>
            <w:vAlign w:val="center"/>
            <w:hideMark/>
          </w:tcPr>
          <w:p w14:paraId="6482A3E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27 321</w:t>
            </w:r>
          </w:p>
        </w:tc>
        <w:tc>
          <w:tcPr>
            <w:tcW w:w="1134" w:type="dxa"/>
            <w:tcBorders>
              <w:top w:val="nil"/>
              <w:left w:val="nil"/>
              <w:bottom w:val="single" w:sz="4" w:space="0" w:color="auto"/>
              <w:right w:val="single" w:sz="4" w:space="0" w:color="auto"/>
            </w:tcBorders>
            <w:shd w:val="clear" w:color="000000" w:fill="FFFFFF"/>
            <w:noWrap/>
            <w:vAlign w:val="center"/>
            <w:hideMark/>
          </w:tcPr>
          <w:p w14:paraId="02D7F1B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43 276 974</w:t>
            </w:r>
          </w:p>
        </w:tc>
        <w:tc>
          <w:tcPr>
            <w:tcW w:w="992" w:type="dxa"/>
            <w:tcBorders>
              <w:top w:val="nil"/>
              <w:left w:val="nil"/>
              <w:bottom w:val="single" w:sz="4" w:space="0" w:color="auto"/>
              <w:right w:val="single" w:sz="4" w:space="0" w:color="auto"/>
            </w:tcBorders>
            <w:shd w:val="clear" w:color="000000" w:fill="FFFFFF"/>
            <w:noWrap/>
            <w:vAlign w:val="center"/>
            <w:hideMark/>
          </w:tcPr>
          <w:p w14:paraId="31602CC1"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132,00</w:t>
            </w:r>
          </w:p>
        </w:tc>
        <w:tc>
          <w:tcPr>
            <w:tcW w:w="966" w:type="dxa"/>
            <w:tcBorders>
              <w:top w:val="nil"/>
              <w:left w:val="nil"/>
              <w:bottom w:val="single" w:sz="4" w:space="0" w:color="auto"/>
              <w:right w:val="single" w:sz="4" w:space="0" w:color="auto"/>
            </w:tcBorders>
            <w:shd w:val="clear" w:color="000000" w:fill="FFFFFF"/>
            <w:noWrap/>
            <w:vAlign w:val="center"/>
            <w:hideMark/>
          </w:tcPr>
          <w:p w14:paraId="51A1C1F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27 321</w:t>
            </w:r>
          </w:p>
        </w:tc>
        <w:tc>
          <w:tcPr>
            <w:tcW w:w="1233" w:type="dxa"/>
            <w:tcBorders>
              <w:top w:val="nil"/>
              <w:left w:val="nil"/>
              <w:bottom w:val="single" w:sz="4" w:space="0" w:color="auto"/>
              <w:right w:val="single" w:sz="4" w:space="0" w:color="auto"/>
            </w:tcBorders>
            <w:shd w:val="clear" w:color="000000" w:fill="FFFFFF"/>
            <w:noWrap/>
            <w:vAlign w:val="center"/>
            <w:hideMark/>
          </w:tcPr>
          <w:p w14:paraId="459A9651"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43 276 974</w:t>
            </w:r>
          </w:p>
        </w:tc>
      </w:tr>
      <w:tr w:rsidR="002C253E" w:rsidRPr="002C253E" w14:paraId="4C9738C2"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center"/>
            <w:hideMark/>
          </w:tcPr>
          <w:p w14:paraId="5869A1CC" w14:textId="77777777" w:rsidR="002C253E" w:rsidRPr="002C253E" w:rsidRDefault="002C253E" w:rsidP="008349F0">
            <w:pPr>
              <w:spacing w:after="0"/>
              <w:ind w:left="567" w:firstLine="0"/>
              <w:jc w:val="left"/>
              <w:rPr>
                <w:rFonts w:eastAsia="Times New Roman" w:cs="Times New Roman"/>
                <w:sz w:val="18"/>
                <w:szCs w:val="18"/>
                <w:highlight w:val="lightGray"/>
              </w:rPr>
            </w:pPr>
            <w:r w:rsidRPr="002C253E">
              <w:rPr>
                <w:rFonts w:eastAsia="Calibri" w:cs="Times New Roman"/>
                <w:sz w:val="18"/>
                <w:szCs w:val="18"/>
                <w:lang w:eastAsia="en-US"/>
              </w:rPr>
              <w:t>bērna ar invaliditāti kopšanas pabalsts</w:t>
            </w:r>
          </w:p>
        </w:tc>
        <w:tc>
          <w:tcPr>
            <w:tcW w:w="880" w:type="dxa"/>
            <w:tcBorders>
              <w:top w:val="nil"/>
              <w:left w:val="nil"/>
              <w:bottom w:val="single" w:sz="4" w:space="0" w:color="auto"/>
              <w:right w:val="nil"/>
            </w:tcBorders>
            <w:shd w:val="clear" w:color="000000" w:fill="FFFFFF"/>
            <w:noWrap/>
            <w:vAlign w:val="center"/>
            <w:hideMark/>
          </w:tcPr>
          <w:p w14:paraId="6771012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317,61</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7545FA2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3 809</w:t>
            </w:r>
          </w:p>
        </w:tc>
        <w:tc>
          <w:tcPr>
            <w:tcW w:w="1148" w:type="dxa"/>
            <w:tcBorders>
              <w:top w:val="nil"/>
              <w:left w:val="nil"/>
              <w:bottom w:val="single" w:sz="4" w:space="0" w:color="auto"/>
              <w:right w:val="single" w:sz="4" w:space="0" w:color="auto"/>
            </w:tcBorders>
            <w:shd w:val="clear" w:color="000000" w:fill="FFFFFF"/>
            <w:noWrap/>
            <w:vAlign w:val="center"/>
            <w:hideMark/>
          </w:tcPr>
          <w:p w14:paraId="189B755B"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14 517 318</w:t>
            </w:r>
          </w:p>
        </w:tc>
        <w:tc>
          <w:tcPr>
            <w:tcW w:w="1134" w:type="dxa"/>
            <w:tcBorders>
              <w:top w:val="nil"/>
              <w:left w:val="nil"/>
              <w:bottom w:val="single" w:sz="4" w:space="0" w:color="auto"/>
              <w:right w:val="single" w:sz="4" w:space="0" w:color="auto"/>
            </w:tcBorders>
            <w:shd w:val="clear" w:color="000000" w:fill="FFFFFF"/>
            <w:noWrap/>
            <w:vAlign w:val="center"/>
            <w:hideMark/>
          </w:tcPr>
          <w:p w14:paraId="1EF1D1D8"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317,61</w:t>
            </w:r>
          </w:p>
        </w:tc>
        <w:tc>
          <w:tcPr>
            <w:tcW w:w="1276" w:type="dxa"/>
            <w:tcBorders>
              <w:top w:val="nil"/>
              <w:left w:val="nil"/>
              <w:bottom w:val="single" w:sz="4" w:space="0" w:color="auto"/>
              <w:right w:val="single" w:sz="4" w:space="0" w:color="auto"/>
            </w:tcBorders>
            <w:shd w:val="clear" w:color="000000" w:fill="FFFFFF"/>
            <w:noWrap/>
            <w:vAlign w:val="center"/>
            <w:hideMark/>
          </w:tcPr>
          <w:p w14:paraId="3E0BFE45"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4 113</w:t>
            </w:r>
          </w:p>
        </w:tc>
        <w:tc>
          <w:tcPr>
            <w:tcW w:w="1134" w:type="dxa"/>
            <w:tcBorders>
              <w:top w:val="nil"/>
              <w:left w:val="nil"/>
              <w:bottom w:val="single" w:sz="4" w:space="0" w:color="auto"/>
              <w:right w:val="single" w:sz="4" w:space="0" w:color="auto"/>
            </w:tcBorders>
            <w:shd w:val="clear" w:color="000000" w:fill="FFFFFF"/>
            <w:noWrap/>
            <w:vAlign w:val="center"/>
            <w:hideMark/>
          </w:tcPr>
          <w:p w14:paraId="6D267CB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15 675 959</w:t>
            </w:r>
          </w:p>
        </w:tc>
        <w:tc>
          <w:tcPr>
            <w:tcW w:w="992" w:type="dxa"/>
            <w:tcBorders>
              <w:top w:val="nil"/>
              <w:left w:val="nil"/>
              <w:bottom w:val="single" w:sz="4" w:space="0" w:color="auto"/>
              <w:right w:val="single" w:sz="4" w:space="0" w:color="auto"/>
            </w:tcBorders>
            <w:shd w:val="clear" w:color="000000" w:fill="FFFFFF"/>
            <w:noWrap/>
            <w:vAlign w:val="center"/>
            <w:hideMark/>
          </w:tcPr>
          <w:p w14:paraId="788CA9DD"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317,61</w:t>
            </w:r>
          </w:p>
        </w:tc>
        <w:tc>
          <w:tcPr>
            <w:tcW w:w="966" w:type="dxa"/>
            <w:tcBorders>
              <w:top w:val="nil"/>
              <w:left w:val="nil"/>
              <w:bottom w:val="single" w:sz="4" w:space="0" w:color="auto"/>
              <w:right w:val="single" w:sz="4" w:space="0" w:color="auto"/>
            </w:tcBorders>
            <w:shd w:val="clear" w:color="000000" w:fill="FFFFFF"/>
            <w:noWrap/>
            <w:vAlign w:val="center"/>
            <w:hideMark/>
          </w:tcPr>
          <w:p w14:paraId="475D7480"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4 443</w:t>
            </w:r>
          </w:p>
        </w:tc>
        <w:tc>
          <w:tcPr>
            <w:tcW w:w="1233" w:type="dxa"/>
            <w:tcBorders>
              <w:top w:val="nil"/>
              <w:left w:val="nil"/>
              <w:bottom w:val="single" w:sz="4" w:space="0" w:color="auto"/>
              <w:right w:val="single" w:sz="4" w:space="0" w:color="auto"/>
            </w:tcBorders>
            <w:shd w:val="clear" w:color="000000" w:fill="FFFFFF"/>
            <w:noWrap/>
            <w:vAlign w:val="center"/>
            <w:hideMark/>
          </w:tcPr>
          <w:p w14:paraId="674B3E05"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16 933 695</w:t>
            </w:r>
          </w:p>
        </w:tc>
      </w:tr>
      <w:tr w:rsidR="002C253E" w:rsidRPr="002C253E" w14:paraId="4F7287EB"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center"/>
            <w:hideMark/>
          </w:tcPr>
          <w:p w14:paraId="60693661" w14:textId="77777777" w:rsidR="002C253E" w:rsidRPr="002C253E" w:rsidRDefault="002C253E" w:rsidP="008349F0">
            <w:pPr>
              <w:spacing w:after="0"/>
              <w:ind w:left="567" w:firstLine="0"/>
              <w:jc w:val="left"/>
              <w:rPr>
                <w:rFonts w:eastAsia="Times New Roman" w:cs="Times New Roman"/>
                <w:sz w:val="18"/>
                <w:szCs w:val="18"/>
                <w:highlight w:val="lightGray"/>
              </w:rPr>
            </w:pPr>
            <w:r w:rsidRPr="002C253E">
              <w:rPr>
                <w:rFonts w:eastAsia="Calibri" w:cs="Times New Roman"/>
                <w:sz w:val="18"/>
                <w:szCs w:val="18"/>
                <w:lang w:eastAsia="en-US"/>
              </w:rPr>
              <w:t>ģimenes valsts pabalsts</w:t>
            </w:r>
          </w:p>
        </w:tc>
        <w:tc>
          <w:tcPr>
            <w:tcW w:w="880" w:type="dxa"/>
            <w:tcBorders>
              <w:top w:val="nil"/>
              <w:left w:val="nil"/>
              <w:bottom w:val="single" w:sz="4" w:space="0" w:color="auto"/>
              <w:right w:val="nil"/>
            </w:tcBorders>
            <w:shd w:val="clear" w:color="000000" w:fill="FFFFFF"/>
            <w:noWrap/>
            <w:vAlign w:val="center"/>
            <w:hideMark/>
          </w:tcPr>
          <w:p w14:paraId="3F580127"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82,00</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2E310DC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213 000</w:t>
            </w:r>
          </w:p>
        </w:tc>
        <w:tc>
          <w:tcPr>
            <w:tcW w:w="1148" w:type="dxa"/>
            <w:tcBorders>
              <w:top w:val="nil"/>
              <w:left w:val="nil"/>
              <w:bottom w:val="single" w:sz="4" w:space="0" w:color="auto"/>
              <w:right w:val="single" w:sz="4" w:space="0" w:color="auto"/>
            </w:tcBorders>
            <w:shd w:val="clear" w:color="000000" w:fill="FFFFFF"/>
            <w:noWrap/>
            <w:vAlign w:val="center"/>
            <w:hideMark/>
          </w:tcPr>
          <w:p w14:paraId="2AEB9378"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209 592 000</w:t>
            </w:r>
          </w:p>
        </w:tc>
        <w:tc>
          <w:tcPr>
            <w:tcW w:w="1134" w:type="dxa"/>
            <w:tcBorders>
              <w:top w:val="nil"/>
              <w:left w:val="nil"/>
              <w:bottom w:val="single" w:sz="4" w:space="0" w:color="auto"/>
              <w:right w:val="single" w:sz="4" w:space="0" w:color="auto"/>
            </w:tcBorders>
            <w:shd w:val="clear" w:color="000000" w:fill="FFFFFF"/>
            <w:noWrap/>
            <w:vAlign w:val="center"/>
            <w:hideMark/>
          </w:tcPr>
          <w:p w14:paraId="2A85313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82,00</w:t>
            </w:r>
          </w:p>
        </w:tc>
        <w:tc>
          <w:tcPr>
            <w:tcW w:w="1276" w:type="dxa"/>
            <w:tcBorders>
              <w:top w:val="nil"/>
              <w:left w:val="nil"/>
              <w:bottom w:val="single" w:sz="4" w:space="0" w:color="auto"/>
              <w:right w:val="single" w:sz="4" w:space="0" w:color="auto"/>
            </w:tcBorders>
            <w:shd w:val="clear" w:color="000000" w:fill="FFFFFF"/>
            <w:noWrap/>
            <w:vAlign w:val="center"/>
            <w:hideMark/>
          </w:tcPr>
          <w:p w14:paraId="52BD1365"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213 000</w:t>
            </w:r>
          </w:p>
        </w:tc>
        <w:tc>
          <w:tcPr>
            <w:tcW w:w="1134" w:type="dxa"/>
            <w:tcBorders>
              <w:top w:val="nil"/>
              <w:left w:val="nil"/>
              <w:bottom w:val="single" w:sz="4" w:space="0" w:color="auto"/>
              <w:right w:val="single" w:sz="4" w:space="0" w:color="auto"/>
            </w:tcBorders>
            <w:shd w:val="clear" w:color="000000" w:fill="FFFFFF"/>
            <w:noWrap/>
            <w:vAlign w:val="center"/>
            <w:hideMark/>
          </w:tcPr>
          <w:p w14:paraId="3A9DE76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209 592 000</w:t>
            </w:r>
          </w:p>
        </w:tc>
        <w:tc>
          <w:tcPr>
            <w:tcW w:w="992" w:type="dxa"/>
            <w:tcBorders>
              <w:top w:val="nil"/>
              <w:left w:val="nil"/>
              <w:bottom w:val="single" w:sz="4" w:space="0" w:color="auto"/>
              <w:right w:val="single" w:sz="4" w:space="0" w:color="auto"/>
            </w:tcBorders>
            <w:shd w:val="clear" w:color="000000" w:fill="FFFFFF"/>
            <w:noWrap/>
            <w:vAlign w:val="center"/>
            <w:hideMark/>
          </w:tcPr>
          <w:p w14:paraId="56C4235A"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82,00</w:t>
            </w:r>
          </w:p>
        </w:tc>
        <w:tc>
          <w:tcPr>
            <w:tcW w:w="966" w:type="dxa"/>
            <w:tcBorders>
              <w:top w:val="nil"/>
              <w:left w:val="nil"/>
              <w:bottom w:val="single" w:sz="4" w:space="0" w:color="auto"/>
              <w:right w:val="single" w:sz="4" w:space="0" w:color="auto"/>
            </w:tcBorders>
            <w:shd w:val="clear" w:color="000000" w:fill="FFFFFF"/>
            <w:noWrap/>
            <w:vAlign w:val="center"/>
            <w:hideMark/>
          </w:tcPr>
          <w:p w14:paraId="3D8D1CF8"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213 000</w:t>
            </w:r>
          </w:p>
        </w:tc>
        <w:tc>
          <w:tcPr>
            <w:tcW w:w="1233" w:type="dxa"/>
            <w:tcBorders>
              <w:top w:val="nil"/>
              <w:left w:val="nil"/>
              <w:bottom w:val="single" w:sz="4" w:space="0" w:color="auto"/>
              <w:right w:val="single" w:sz="4" w:space="0" w:color="auto"/>
            </w:tcBorders>
            <w:shd w:val="clear" w:color="000000" w:fill="FFFFFF"/>
            <w:noWrap/>
            <w:vAlign w:val="center"/>
            <w:hideMark/>
          </w:tcPr>
          <w:p w14:paraId="699D37CC"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209 592 000</w:t>
            </w:r>
          </w:p>
        </w:tc>
      </w:tr>
      <w:tr w:rsidR="002C253E" w:rsidRPr="002C253E" w14:paraId="7B9EE59A" w14:textId="77777777" w:rsidTr="008415BC">
        <w:trPr>
          <w:trHeight w:val="528"/>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77D5110B" w14:textId="77777777" w:rsidR="002C253E" w:rsidRPr="002C253E" w:rsidRDefault="002C253E" w:rsidP="008349F0">
            <w:pPr>
              <w:spacing w:after="0"/>
              <w:ind w:left="567" w:firstLine="0"/>
              <w:jc w:val="left"/>
              <w:rPr>
                <w:rFonts w:eastAsia="Times New Roman" w:cs="Times New Roman"/>
                <w:sz w:val="18"/>
                <w:szCs w:val="18"/>
                <w:highlight w:val="lightGray"/>
              </w:rPr>
            </w:pPr>
            <w:r w:rsidRPr="002C253E">
              <w:rPr>
                <w:rFonts w:eastAsia="Calibri" w:cs="Times New Roman"/>
                <w:sz w:val="18"/>
                <w:szCs w:val="18"/>
                <w:lang w:eastAsia="en-US"/>
              </w:rPr>
              <w:t>piemaksa pie ģimenes valsts pabalsta par bērnu ar invaliditāti</w:t>
            </w:r>
          </w:p>
        </w:tc>
        <w:tc>
          <w:tcPr>
            <w:tcW w:w="880" w:type="dxa"/>
            <w:tcBorders>
              <w:top w:val="nil"/>
              <w:left w:val="nil"/>
              <w:bottom w:val="single" w:sz="4" w:space="0" w:color="auto"/>
              <w:right w:val="nil"/>
            </w:tcBorders>
            <w:shd w:val="clear" w:color="000000" w:fill="FFFFFF"/>
            <w:noWrap/>
            <w:vAlign w:val="center"/>
            <w:hideMark/>
          </w:tcPr>
          <w:p w14:paraId="43FBC88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162,16</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2D49EFA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8 945</w:t>
            </w:r>
          </w:p>
        </w:tc>
        <w:tc>
          <w:tcPr>
            <w:tcW w:w="1148" w:type="dxa"/>
            <w:tcBorders>
              <w:top w:val="nil"/>
              <w:left w:val="nil"/>
              <w:bottom w:val="single" w:sz="4" w:space="0" w:color="auto"/>
              <w:right w:val="single" w:sz="4" w:space="0" w:color="auto"/>
            </w:tcBorders>
            <w:shd w:val="clear" w:color="000000" w:fill="FFFFFF"/>
            <w:noWrap/>
            <w:vAlign w:val="center"/>
            <w:hideMark/>
          </w:tcPr>
          <w:p w14:paraId="087B2A51"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17 406 254</w:t>
            </w:r>
          </w:p>
        </w:tc>
        <w:tc>
          <w:tcPr>
            <w:tcW w:w="1134" w:type="dxa"/>
            <w:tcBorders>
              <w:top w:val="nil"/>
              <w:left w:val="nil"/>
              <w:bottom w:val="single" w:sz="4" w:space="0" w:color="auto"/>
              <w:right w:val="single" w:sz="4" w:space="0" w:color="auto"/>
            </w:tcBorders>
            <w:shd w:val="clear" w:color="000000" w:fill="FFFFFF"/>
            <w:noWrap/>
            <w:vAlign w:val="center"/>
            <w:hideMark/>
          </w:tcPr>
          <w:p w14:paraId="781320B1"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162,16</w:t>
            </w:r>
          </w:p>
        </w:tc>
        <w:tc>
          <w:tcPr>
            <w:tcW w:w="1276" w:type="dxa"/>
            <w:tcBorders>
              <w:top w:val="nil"/>
              <w:left w:val="nil"/>
              <w:bottom w:val="single" w:sz="4" w:space="0" w:color="auto"/>
              <w:right w:val="single" w:sz="4" w:space="0" w:color="auto"/>
            </w:tcBorders>
            <w:shd w:val="clear" w:color="000000" w:fill="FFFFFF"/>
            <w:noWrap/>
            <w:vAlign w:val="center"/>
            <w:hideMark/>
          </w:tcPr>
          <w:p w14:paraId="10DA1A25"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9 171</w:t>
            </w:r>
          </w:p>
        </w:tc>
        <w:tc>
          <w:tcPr>
            <w:tcW w:w="1134" w:type="dxa"/>
            <w:tcBorders>
              <w:top w:val="nil"/>
              <w:left w:val="nil"/>
              <w:bottom w:val="single" w:sz="4" w:space="0" w:color="auto"/>
              <w:right w:val="single" w:sz="4" w:space="0" w:color="auto"/>
            </w:tcBorders>
            <w:shd w:val="clear" w:color="000000" w:fill="FFFFFF"/>
            <w:noWrap/>
            <w:vAlign w:val="center"/>
            <w:hideMark/>
          </w:tcPr>
          <w:p w14:paraId="1A29AA07"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17 846 034</w:t>
            </w:r>
          </w:p>
        </w:tc>
        <w:tc>
          <w:tcPr>
            <w:tcW w:w="992" w:type="dxa"/>
            <w:tcBorders>
              <w:top w:val="nil"/>
              <w:left w:val="nil"/>
              <w:bottom w:val="single" w:sz="4" w:space="0" w:color="auto"/>
              <w:right w:val="single" w:sz="4" w:space="0" w:color="auto"/>
            </w:tcBorders>
            <w:shd w:val="clear" w:color="000000" w:fill="FFFFFF"/>
            <w:noWrap/>
            <w:vAlign w:val="center"/>
            <w:hideMark/>
          </w:tcPr>
          <w:p w14:paraId="4B6C84F1"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162,16</w:t>
            </w:r>
          </w:p>
        </w:tc>
        <w:tc>
          <w:tcPr>
            <w:tcW w:w="966" w:type="dxa"/>
            <w:tcBorders>
              <w:top w:val="nil"/>
              <w:left w:val="nil"/>
              <w:bottom w:val="single" w:sz="4" w:space="0" w:color="auto"/>
              <w:right w:val="single" w:sz="4" w:space="0" w:color="auto"/>
            </w:tcBorders>
            <w:shd w:val="clear" w:color="000000" w:fill="FFFFFF"/>
            <w:noWrap/>
            <w:vAlign w:val="center"/>
            <w:hideMark/>
          </w:tcPr>
          <w:p w14:paraId="1D34E67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9 402</w:t>
            </w:r>
          </w:p>
        </w:tc>
        <w:tc>
          <w:tcPr>
            <w:tcW w:w="1233" w:type="dxa"/>
            <w:tcBorders>
              <w:top w:val="nil"/>
              <w:left w:val="nil"/>
              <w:bottom w:val="single" w:sz="4" w:space="0" w:color="auto"/>
              <w:right w:val="single" w:sz="4" w:space="0" w:color="auto"/>
            </w:tcBorders>
            <w:shd w:val="clear" w:color="000000" w:fill="FFFFFF"/>
            <w:noWrap/>
            <w:vAlign w:val="center"/>
            <w:hideMark/>
          </w:tcPr>
          <w:p w14:paraId="1179758A"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18 295 540</w:t>
            </w:r>
          </w:p>
        </w:tc>
      </w:tr>
      <w:tr w:rsidR="002C253E" w:rsidRPr="002C253E" w14:paraId="37FC75B2"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19DB472C"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Pabalsts aizbildnim par bērna uzturēšanu</w:t>
            </w:r>
          </w:p>
        </w:tc>
        <w:tc>
          <w:tcPr>
            <w:tcW w:w="880" w:type="dxa"/>
            <w:tcBorders>
              <w:top w:val="nil"/>
              <w:left w:val="nil"/>
              <w:bottom w:val="single" w:sz="4" w:space="0" w:color="auto"/>
              <w:right w:val="nil"/>
            </w:tcBorders>
            <w:shd w:val="clear" w:color="000000" w:fill="FFFFFF"/>
            <w:noWrap/>
            <w:vAlign w:val="center"/>
            <w:hideMark/>
          </w:tcPr>
          <w:p w14:paraId="0C46312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208,63</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7BD7D07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2 575</w:t>
            </w:r>
          </w:p>
        </w:tc>
        <w:tc>
          <w:tcPr>
            <w:tcW w:w="1148" w:type="dxa"/>
            <w:tcBorders>
              <w:top w:val="nil"/>
              <w:left w:val="nil"/>
              <w:bottom w:val="single" w:sz="4" w:space="0" w:color="auto"/>
              <w:right w:val="single" w:sz="4" w:space="0" w:color="auto"/>
            </w:tcBorders>
            <w:shd w:val="clear" w:color="000000" w:fill="FFFFFF"/>
            <w:noWrap/>
            <w:vAlign w:val="center"/>
            <w:hideMark/>
          </w:tcPr>
          <w:p w14:paraId="21668E9A"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6 446 667</w:t>
            </w:r>
          </w:p>
        </w:tc>
        <w:tc>
          <w:tcPr>
            <w:tcW w:w="1134" w:type="dxa"/>
            <w:tcBorders>
              <w:top w:val="nil"/>
              <w:left w:val="nil"/>
              <w:bottom w:val="single" w:sz="4" w:space="0" w:color="auto"/>
              <w:right w:val="single" w:sz="4" w:space="0" w:color="auto"/>
            </w:tcBorders>
            <w:shd w:val="clear" w:color="000000" w:fill="FFFFFF"/>
            <w:noWrap/>
            <w:vAlign w:val="center"/>
            <w:hideMark/>
          </w:tcPr>
          <w:p w14:paraId="76796429"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208,63</w:t>
            </w:r>
          </w:p>
        </w:tc>
        <w:tc>
          <w:tcPr>
            <w:tcW w:w="1276" w:type="dxa"/>
            <w:tcBorders>
              <w:top w:val="nil"/>
              <w:left w:val="nil"/>
              <w:bottom w:val="single" w:sz="4" w:space="0" w:color="auto"/>
              <w:right w:val="single" w:sz="4" w:space="0" w:color="auto"/>
            </w:tcBorders>
            <w:shd w:val="clear" w:color="000000" w:fill="FFFFFF"/>
            <w:noWrap/>
            <w:vAlign w:val="center"/>
            <w:hideMark/>
          </w:tcPr>
          <w:p w14:paraId="2A047E45"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2 600</w:t>
            </w:r>
          </w:p>
        </w:tc>
        <w:tc>
          <w:tcPr>
            <w:tcW w:w="1134" w:type="dxa"/>
            <w:tcBorders>
              <w:top w:val="nil"/>
              <w:left w:val="nil"/>
              <w:bottom w:val="single" w:sz="4" w:space="0" w:color="auto"/>
              <w:right w:val="single" w:sz="4" w:space="0" w:color="auto"/>
            </w:tcBorders>
            <w:shd w:val="clear" w:color="000000" w:fill="FFFFFF"/>
            <w:noWrap/>
            <w:vAlign w:val="center"/>
            <w:hideMark/>
          </w:tcPr>
          <w:p w14:paraId="096CDCD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6 509 256</w:t>
            </w:r>
          </w:p>
        </w:tc>
        <w:tc>
          <w:tcPr>
            <w:tcW w:w="992" w:type="dxa"/>
            <w:tcBorders>
              <w:top w:val="nil"/>
              <w:left w:val="nil"/>
              <w:bottom w:val="single" w:sz="4" w:space="0" w:color="auto"/>
              <w:right w:val="nil"/>
            </w:tcBorders>
            <w:shd w:val="clear" w:color="000000" w:fill="FFFFFF"/>
            <w:noWrap/>
            <w:vAlign w:val="center"/>
            <w:hideMark/>
          </w:tcPr>
          <w:p w14:paraId="3060A0F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208,63</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060BBF15"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2 625</w:t>
            </w:r>
          </w:p>
        </w:tc>
        <w:tc>
          <w:tcPr>
            <w:tcW w:w="1233" w:type="dxa"/>
            <w:tcBorders>
              <w:top w:val="nil"/>
              <w:left w:val="nil"/>
              <w:bottom w:val="single" w:sz="4" w:space="0" w:color="auto"/>
              <w:right w:val="single" w:sz="4" w:space="0" w:color="auto"/>
            </w:tcBorders>
            <w:shd w:val="clear" w:color="000000" w:fill="FFFFFF"/>
            <w:noWrap/>
            <w:vAlign w:val="center"/>
            <w:hideMark/>
          </w:tcPr>
          <w:p w14:paraId="0BAE479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6 571 845</w:t>
            </w:r>
          </w:p>
        </w:tc>
      </w:tr>
      <w:tr w:rsidR="002C253E" w:rsidRPr="002C253E" w14:paraId="5177C60F"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6B3BF658"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Atlīdzība par aizbildņa pienākumu pildīšanu</w:t>
            </w:r>
          </w:p>
        </w:tc>
        <w:tc>
          <w:tcPr>
            <w:tcW w:w="880" w:type="dxa"/>
            <w:tcBorders>
              <w:top w:val="nil"/>
              <w:left w:val="nil"/>
              <w:bottom w:val="single" w:sz="4" w:space="0" w:color="auto"/>
              <w:right w:val="nil"/>
            </w:tcBorders>
            <w:shd w:val="clear" w:color="000000" w:fill="FFFFFF"/>
            <w:noWrap/>
            <w:vAlign w:val="center"/>
            <w:hideMark/>
          </w:tcPr>
          <w:p w14:paraId="76666F2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54,35</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52C2F545"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2 432</w:t>
            </w:r>
          </w:p>
        </w:tc>
        <w:tc>
          <w:tcPr>
            <w:tcW w:w="1148" w:type="dxa"/>
            <w:tcBorders>
              <w:top w:val="nil"/>
              <w:left w:val="nil"/>
              <w:bottom w:val="single" w:sz="4" w:space="0" w:color="auto"/>
              <w:right w:val="single" w:sz="4" w:space="0" w:color="auto"/>
            </w:tcBorders>
            <w:shd w:val="clear" w:color="000000" w:fill="FFFFFF"/>
            <w:noWrap/>
            <w:vAlign w:val="center"/>
            <w:hideMark/>
          </w:tcPr>
          <w:p w14:paraId="1C484AA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1 586 150</w:t>
            </w:r>
          </w:p>
        </w:tc>
        <w:tc>
          <w:tcPr>
            <w:tcW w:w="1134" w:type="dxa"/>
            <w:tcBorders>
              <w:top w:val="nil"/>
              <w:left w:val="nil"/>
              <w:bottom w:val="single" w:sz="4" w:space="0" w:color="auto"/>
              <w:right w:val="single" w:sz="4" w:space="0" w:color="auto"/>
            </w:tcBorders>
            <w:shd w:val="clear" w:color="000000" w:fill="FFFFFF"/>
            <w:noWrap/>
            <w:vAlign w:val="center"/>
            <w:hideMark/>
          </w:tcPr>
          <w:p w14:paraId="1C63F847"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54,35</w:t>
            </w:r>
          </w:p>
        </w:tc>
        <w:tc>
          <w:tcPr>
            <w:tcW w:w="1276" w:type="dxa"/>
            <w:tcBorders>
              <w:top w:val="nil"/>
              <w:left w:val="nil"/>
              <w:bottom w:val="single" w:sz="4" w:space="0" w:color="auto"/>
              <w:right w:val="single" w:sz="4" w:space="0" w:color="auto"/>
            </w:tcBorders>
            <w:shd w:val="clear" w:color="000000" w:fill="FFFFFF"/>
            <w:noWrap/>
            <w:vAlign w:val="center"/>
            <w:hideMark/>
          </w:tcPr>
          <w:p w14:paraId="423883F3"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2 380</w:t>
            </w:r>
          </w:p>
        </w:tc>
        <w:tc>
          <w:tcPr>
            <w:tcW w:w="1134" w:type="dxa"/>
            <w:tcBorders>
              <w:top w:val="nil"/>
              <w:left w:val="nil"/>
              <w:bottom w:val="single" w:sz="4" w:space="0" w:color="auto"/>
              <w:right w:val="single" w:sz="4" w:space="0" w:color="auto"/>
            </w:tcBorders>
            <w:shd w:val="clear" w:color="000000" w:fill="FFFFFF"/>
            <w:noWrap/>
            <w:vAlign w:val="center"/>
            <w:hideMark/>
          </w:tcPr>
          <w:p w14:paraId="0D2AD80C"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1 552 236</w:t>
            </w:r>
          </w:p>
        </w:tc>
        <w:tc>
          <w:tcPr>
            <w:tcW w:w="992" w:type="dxa"/>
            <w:tcBorders>
              <w:top w:val="nil"/>
              <w:left w:val="nil"/>
              <w:bottom w:val="single" w:sz="4" w:space="0" w:color="auto"/>
              <w:right w:val="nil"/>
            </w:tcBorders>
            <w:shd w:val="clear" w:color="000000" w:fill="FFFFFF"/>
            <w:noWrap/>
            <w:vAlign w:val="center"/>
            <w:hideMark/>
          </w:tcPr>
          <w:p w14:paraId="3FAF04D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54,35</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385AC7EA"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2 353</w:t>
            </w:r>
          </w:p>
        </w:tc>
        <w:tc>
          <w:tcPr>
            <w:tcW w:w="1233" w:type="dxa"/>
            <w:tcBorders>
              <w:top w:val="nil"/>
              <w:left w:val="nil"/>
              <w:bottom w:val="single" w:sz="4" w:space="0" w:color="auto"/>
              <w:right w:val="single" w:sz="4" w:space="0" w:color="auto"/>
            </w:tcBorders>
            <w:shd w:val="clear" w:color="000000" w:fill="FFFFFF"/>
            <w:noWrap/>
            <w:vAlign w:val="center"/>
            <w:hideMark/>
          </w:tcPr>
          <w:p w14:paraId="0DB41AE0"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1 534 627</w:t>
            </w:r>
          </w:p>
        </w:tc>
      </w:tr>
      <w:tr w:rsidR="002C253E" w:rsidRPr="002C253E" w14:paraId="465F6A72"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7AF6209C"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 xml:space="preserve">Valsts atbalsts ar </w:t>
            </w:r>
            <w:proofErr w:type="spellStart"/>
            <w:r w:rsidRPr="002C253E">
              <w:rPr>
                <w:rFonts w:eastAsia="Calibri" w:cs="Times New Roman"/>
                <w:sz w:val="18"/>
                <w:szCs w:val="18"/>
                <w:lang w:eastAsia="en-US"/>
              </w:rPr>
              <w:t>celiakiju</w:t>
            </w:r>
            <w:proofErr w:type="spellEnd"/>
            <w:r w:rsidRPr="002C253E">
              <w:rPr>
                <w:rFonts w:eastAsia="Calibri" w:cs="Times New Roman"/>
                <w:sz w:val="18"/>
                <w:szCs w:val="18"/>
                <w:lang w:eastAsia="en-US"/>
              </w:rPr>
              <w:t xml:space="preserve"> slimiem bērniem</w:t>
            </w:r>
          </w:p>
        </w:tc>
        <w:tc>
          <w:tcPr>
            <w:tcW w:w="880" w:type="dxa"/>
            <w:tcBorders>
              <w:top w:val="nil"/>
              <w:left w:val="nil"/>
              <w:bottom w:val="single" w:sz="4" w:space="0" w:color="auto"/>
              <w:right w:val="nil"/>
            </w:tcBorders>
            <w:shd w:val="clear" w:color="000000" w:fill="FFFFFF"/>
            <w:noWrap/>
            <w:vAlign w:val="center"/>
            <w:hideMark/>
          </w:tcPr>
          <w:p w14:paraId="4F4E07D8"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161,33</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7F8FB70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495</w:t>
            </w:r>
          </w:p>
        </w:tc>
        <w:tc>
          <w:tcPr>
            <w:tcW w:w="1148" w:type="dxa"/>
            <w:tcBorders>
              <w:top w:val="nil"/>
              <w:left w:val="nil"/>
              <w:bottom w:val="single" w:sz="4" w:space="0" w:color="auto"/>
              <w:right w:val="single" w:sz="4" w:space="0" w:color="auto"/>
            </w:tcBorders>
            <w:shd w:val="clear" w:color="000000" w:fill="FFFFFF"/>
            <w:noWrap/>
            <w:vAlign w:val="center"/>
            <w:hideMark/>
          </w:tcPr>
          <w:p w14:paraId="476D1495"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958 300</w:t>
            </w:r>
          </w:p>
        </w:tc>
        <w:tc>
          <w:tcPr>
            <w:tcW w:w="1134" w:type="dxa"/>
            <w:tcBorders>
              <w:top w:val="nil"/>
              <w:left w:val="nil"/>
              <w:bottom w:val="single" w:sz="4" w:space="0" w:color="auto"/>
              <w:right w:val="single" w:sz="4" w:space="0" w:color="auto"/>
            </w:tcBorders>
            <w:shd w:val="clear" w:color="000000" w:fill="FFFFFF"/>
            <w:noWrap/>
            <w:vAlign w:val="center"/>
            <w:hideMark/>
          </w:tcPr>
          <w:p w14:paraId="3EBB62FC"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161,33</w:t>
            </w:r>
          </w:p>
        </w:tc>
        <w:tc>
          <w:tcPr>
            <w:tcW w:w="1276" w:type="dxa"/>
            <w:tcBorders>
              <w:top w:val="nil"/>
              <w:left w:val="nil"/>
              <w:bottom w:val="single" w:sz="4" w:space="0" w:color="auto"/>
              <w:right w:val="single" w:sz="4" w:space="0" w:color="auto"/>
            </w:tcBorders>
            <w:shd w:val="clear" w:color="000000" w:fill="FFFFFF"/>
            <w:noWrap/>
            <w:vAlign w:val="center"/>
            <w:hideMark/>
          </w:tcPr>
          <w:p w14:paraId="35D122A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490</w:t>
            </w:r>
          </w:p>
        </w:tc>
        <w:tc>
          <w:tcPr>
            <w:tcW w:w="1134" w:type="dxa"/>
            <w:tcBorders>
              <w:top w:val="nil"/>
              <w:left w:val="nil"/>
              <w:bottom w:val="single" w:sz="4" w:space="0" w:color="auto"/>
              <w:right w:val="single" w:sz="4" w:space="0" w:color="auto"/>
            </w:tcBorders>
            <w:shd w:val="clear" w:color="000000" w:fill="FFFFFF"/>
            <w:noWrap/>
            <w:vAlign w:val="center"/>
            <w:hideMark/>
          </w:tcPr>
          <w:p w14:paraId="332A6676"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948 620</w:t>
            </w:r>
          </w:p>
        </w:tc>
        <w:tc>
          <w:tcPr>
            <w:tcW w:w="992" w:type="dxa"/>
            <w:tcBorders>
              <w:top w:val="nil"/>
              <w:left w:val="nil"/>
              <w:bottom w:val="single" w:sz="4" w:space="0" w:color="auto"/>
              <w:right w:val="nil"/>
            </w:tcBorders>
            <w:shd w:val="clear" w:color="000000" w:fill="FFFFFF"/>
            <w:noWrap/>
            <w:vAlign w:val="center"/>
            <w:hideMark/>
          </w:tcPr>
          <w:p w14:paraId="7CA98CE3"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161,33</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0F8EE05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485</w:t>
            </w:r>
          </w:p>
        </w:tc>
        <w:tc>
          <w:tcPr>
            <w:tcW w:w="1233" w:type="dxa"/>
            <w:tcBorders>
              <w:top w:val="nil"/>
              <w:left w:val="nil"/>
              <w:bottom w:val="single" w:sz="4" w:space="0" w:color="auto"/>
              <w:right w:val="single" w:sz="4" w:space="0" w:color="auto"/>
            </w:tcBorders>
            <w:shd w:val="clear" w:color="000000" w:fill="FFFFFF"/>
            <w:noWrap/>
            <w:vAlign w:val="center"/>
            <w:hideMark/>
          </w:tcPr>
          <w:p w14:paraId="7742526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938 941</w:t>
            </w:r>
          </w:p>
        </w:tc>
      </w:tr>
      <w:tr w:rsidR="002C253E" w:rsidRPr="002C253E" w14:paraId="7FEA2C18" w14:textId="77777777" w:rsidTr="008415BC">
        <w:trPr>
          <w:trHeight w:val="276"/>
        </w:trPr>
        <w:tc>
          <w:tcPr>
            <w:tcW w:w="4500" w:type="dxa"/>
            <w:tcBorders>
              <w:top w:val="nil"/>
              <w:left w:val="single" w:sz="4" w:space="0" w:color="auto"/>
              <w:bottom w:val="nil"/>
              <w:right w:val="single" w:sz="4" w:space="0" w:color="auto"/>
            </w:tcBorders>
            <w:shd w:val="clear" w:color="000000" w:fill="FFFFFF"/>
            <w:vAlign w:val="center"/>
            <w:hideMark/>
          </w:tcPr>
          <w:p w14:paraId="5583602B"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Atlīdzība par audžuģimenes pienākumu pildīšanu</w:t>
            </w:r>
          </w:p>
        </w:tc>
        <w:tc>
          <w:tcPr>
            <w:tcW w:w="880" w:type="dxa"/>
            <w:tcBorders>
              <w:top w:val="nil"/>
              <w:left w:val="nil"/>
              <w:bottom w:val="single" w:sz="4" w:space="0" w:color="auto"/>
              <w:right w:val="nil"/>
            </w:tcBorders>
            <w:shd w:val="clear" w:color="000000" w:fill="FFFFFF"/>
            <w:noWrap/>
            <w:vAlign w:val="center"/>
            <w:hideMark/>
          </w:tcPr>
          <w:p w14:paraId="2C0D39C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222,80</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126E26D7"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502</w:t>
            </w:r>
          </w:p>
        </w:tc>
        <w:tc>
          <w:tcPr>
            <w:tcW w:w="1148" w:type="dxa"/>
            <w:tcBorders>
              <w:top w:val="nil"/>
              <w:left w:val="nil"/>
              <w:bottom w:val="single" w:sz="4" w:space="0" w:color="auto"/>
              <w:right w:val="single" w:sz="4" w:space="0" w:color="auto"/>
            </w:tcBorders>
            <w:shd w:val="clear" w:color="000000" w:fill="FFFFFF"/>
            <w:noWrap/>
            <w:vAlign w:val="center"/>
            <w:hideMark/>
          </w:tcPr>
          <w:p w14:paraId="26D4CBA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1 342 147</w:t>
            </w:r>
          </w:p>
        </w:tc>
        <w:tc>
          <w:tcPr>
            <w:tcW w:w="1134" w:type="dxa"/>
            <w:tcBorders>
              <w:top w:val="nil"/>
              <w:left w:val="nil"/>
              <w:bottom w:val="single" w:sz="4" w:space="0" w:color="auto"/>
              <w:right w:val="single" w:sz="4" w:space="0" w:color="auto"/>
            </w:tcBorders>
            <w:shd w:val="clear" w:color="000000" w:fill="FFFFFF"/>
            <w:noWrap/>
            <w:vAlign w:val="center"/>
            <w:hideMark/>
          </w:tcPr>
          <w:p w14:paraId="4C951BA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222,80</w:t>
            </w:r>
          </w:p>
        </w:tc>
        <w:tc>
          <w:tcPr>
            <w:tcW w:w="1276" w:type="dxa"/>
            <w:tcBorders>
              <w:top w:val="nil"/>
              <w:left w:val="nil"/>
              <w:bottom w:val="single" w:sz="4" w:space="0" w:color="auto"/>
              <w:right w:val="single" w:sz="4" w:space="0" w:color="auto"/>
            </w:tcBorders>
            <w:shd w:val="clear" w:color="000000" w:fill="FFFFFF"/>
            <w:noWrap/>
            <w:vAlign w:val="center"/>
            <w:hideMark/>
          </w:tcPr>
          <w:p w14:paraId="0F51F384"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497</w:t>
            </w:r>
          </w:p>
        </w:tc>
        <w:tc>
          <w:tcPr>
            <w:tcW w:w="1134" w:type="dxa"/>
            <w:tcBorders>
              <w:top w:val="nil"/>
              <w:left w:val="nil"/>
              <w:bottom w:val="single" w:sz="4" w:space="0" w:color="auto"/>
              <w:right w:val="single" w:sz="4" w:space="0" w:color="auto"/>
            </w:tcBorders>
            <w:shd w:val="clear" w:color="000000" w:fill="FFFFFF"/>
            <w:noWrap/>
            <w:vAlign w:val="center"/>
            <w:hideMark/>
          </w:tcPr>
          <w:p w14:paraId="55F7C460"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1 328 779</w:t>
            </w:r>
          </w:p>
        </w:tc>
        <w:tc>
          <w:tcPr>
            <w:tcW w:w="992" w:type="dxa"/>
            <w:tcBorders>
              <w:top w:val="nil"/>
              <w:left w:val="nil"/>
              <w:bottom w:val="single" w:sz="4" w:space="0" w:color="auto"/>
              <w:right w:val="nil"/>
            </w:tcBorders>
            <w:shd w:val="clear" w:color="000000" w:fill="FFFFFF"/>
            <w:noWrap/>
            <w:vAlign w:val="center"/>
            <w:hideMark/>
          </w:tcPr>
          <w:p w14:paraId="1D358446"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222,80</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29202C66"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492</w:t>
            </w:r>
          </w:p>
        </w:tc>
        <w:tc>
          <w:tcPr>
            <w:tcW w:w="1233" w:type="dxa"/>
            <w:tcBorders>
              <w:top w:val="nil"/>
              <w:left w:val="nil"/>
              <w:bottom w:val="single" w:sz="4" w:space="0" w:color="auto"/>
              <w:right w:val="single" w:sz="4" w:space="0" w:color="auto"/>
            </w:tcBorders>
            <w:shd w:val="clear" w:color="000000" w:fill="FFFFFF"/>
            <w:noWrap/>
            <w:vAlign w:val="center"/>
            <w:hideMark/>
          </w:tcPr>
          <w:p w14:paraId="52541D05"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1 315 411</w:t>
            </w:r>
          </w:p>
        </w:tc>
      </w:tr>
      <w:tr w:rsidR="002C253E" w:rsidRPr="002C253E" w14:paraId="7897539B" w14:textId="77777777" w:rsidTr="008415BC">
        <w:trPr>
          <w:trHeight w:val="276"/>
        </w:trPr>
        <w:tc>
          <w:tcPr>
            <w:tcW w:w="4500" w:type="dxa"/>
            <w:tcBorders>
              <w:top w:val="single" w:sz="4" w:space="0" w:color="auto"/>
              <w:left w:val="single" w:sz="4" w:space="0" w:color="auto"/>
              <w:bottom w:val="nil"/>
              <w:right w:val="single" w:sz="4" w:space="0" w:color="auto"/>
            </w:tcBorders>
            <w:shd w:val="clear" w:color="000000" w:fill="FFFFFF"/>
            <w:vAlign w:val="center"/>
            <w:hideMark/>
          </w:tcPr>
          <w:p w14:paraId="55AA8868"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Atlīdzība par adoptējamā bērna aprūpi</w:t>
            </w:r>
          </w:p>
        </w:tc>
        <w:tc>
          <w:tcPr>
            <w:tcW w:w="880" w:type="dxa"/>
            <w:tcBorders>
              <w:top w:val="nil"/>
              <w:left w:val="nil"/>
              <w:bottom w:val="single" w:sz="4" w:space="0" w:color="auto"/>
              <w:right w:val="nil"/>
            </w:tcBorders>
            <w:shd w:val="clear" w:color="000000" w:fill="FFFFFF"/>
            <w:noWrap/>
            <w:vAlign w:val="center"/>
            <w:hideMark/>
          </w:tcPr>
          <w:p w14:paraId="0A3FE90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511,91</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50DAA26E"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13</w:t>
            </w:r>
          </w:p>
        </w:tc>
        <w:tc>
          <w:tcPr>
            <w:tcW w:w="1148" w:type="dxa"/>
            <w:tcBorders>
              <w:top w:val="nil"/>
              <w:left w:val="nil"/>
              <w:bottom w:val="single" w:sz="4" w:space="0" w:color="auto"/>
              <w:right w:val="single" w:sz="4" w:space="0" w:color="auto"/>
            </w:tcBorders>
            <w:shd w:val="clear" w:color="000000" w:fill="FFFFFF"/>
            <w:noWrap/>
            <w:vAlign w:val="center"/>
            <w:hideMark/>
          </w:tcPr>
          <w:p w14:paraId="6E963258"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79 858</w:t>
            </w:r>
          </w:p>
        </w:tc>
        <w:tc>
          <w:tcPr>
            <w:tcW w:w="1134" w:type="dxa"/>
            <w:tcBorders>
              <w:top w:val="nil"/>
              <w:left w:val="nil"/>
              <w:bottom w:val="single" w:sz="4" w:space="0" w:color="auto"/>
              <w:right w:val="single" w:sz="4" w:space="0" w:color="auto"/>
            </w:tcBorders>
            <w:shd w:val="clear" w:color="000000" w:fill="FFFFFF"/>
            <w:noWrap/>
            <w:vAlign w:val="center"/>
            <w:hideMark/>
          </w:tcPr>
          <w:p w14:paraId="131658C0"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523,68</w:t>
            </w:r>
          </w:p>
        </w:tc>
        <w:tc>
          <w:tcPr>
            <w:tcW w:w="1276" w:type="dxa"/>
            <w:tcBorders>
              <w:top w:val="nil"/>
              <w:left w:val="nil"/>
              <w:bottom w:val="single" w:sz="4" w:space="0" w:color="auto"/>
              <w:right w:val="single" w:sz="4" w:space="0" w:color="auto"/>
            </w:tcBorders>
            <w:shd w:val="clear" w:color="000000" w:fill="FFFFFF"/>
            <w:noWrap/>
            <w:vAlign w:val="center"/>
            <w:hideMark/>
          </w:tcPr>
          <w:p w14:paraId="5B577E1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13</w:t>
            </w:r>
          </w:p>
        </w:tc>
        <w:tc>
          <w:tcPr>
            <w:tcW w:w="1134" w:type="dxa"/>
            <w:tcBorders>
              <w:top w:val="nil"/>
              <w:left w:val="nil"/>
              <w:bottom w:val="single" w:sz="4" w:space="0" w:color="auto"/>
              <w:right w:val="single" w:sz="4" w:space="0" w:color="auto"/>
            </w:tcBorders>
            <w:shd w:val="clear" w:color="000000" w:fill="FFFFFF"/>
            <w:noWrap/>
            <w:vAlign w:val="center"/>
            <w:hideMark/>
          </w:tcPr>
          <w:p w14:paraId="468DF97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81 694</w:t>
            </w:r>
          </w:p>
        </w:tc>
        <w:tc>
          <w:tcPr>
            <w:tcW w:w="992" w:type="dxa"/>
            <w:tcBorders>
              <w:top w:val="nil"/>
              <w:left w:val="nil"/>
              <w:bottom w:val="single" w:sz="4" w:space="0" w:color="auto"/>
              <w:right w:val="nil"/>
            </w:tcBorders>
            <w:shd w:val="clear" w:color="000000" w:fill="FFFFFF"/>
            <w:noWrap/>
            <w:vAlign w:val="center"/>
            <w:hideMark/>
          </w:tcPr>
          <w:p w14:paraId="4FA96A9B"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535,72</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316BA49C"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13</w:t>
            </w:r>
          </w:p>
        </w:tc>
        <w:tc>
          <w:tcPr>
            <w:tcW w:w="1233" w:type="dxa"/>
            <w:tcBorders>
              <w:top w:val="nil"/>
              <w:left w:val="nil"/>
              <w:bottom w:val="single" w:sz="4" w:space="0" w:color="auto"/>
              <w:right w:val="single" w:sz="4" w:space="0" w:color="auto"/>
            </w:tcBorders>
            <w:shd w:val="clear" w:color="000000" w:fill="FFFFFF"/>
            <w:noWrap/>
            <w:vAlign w:val="center"/>
            <w:hideMark/>
          </w:tcPr>
          <w:p w14:paraId="0996C885"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83 572</w:t>
            </w:r>
          </w:p>
        </w:tc>
      </w:tr>
      <w:tr w:rsidR="002C253E" w:rsidRPr="002C253E" w14:paraId="2503EDB1" w14:textId="77777777" w:rsidTr="008415BC">
        <w:trPr>
          <w:trHeight w:val="285"/>
        </w:trPr>
        <w:tc>
          <w:tcPr>
            <w:tcW w:w="45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06F5179"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Bērna adopcijas pabalsts</w:t>
            </w:r>
          </w:p>
        </w:tc>
        <w:tc>
          <w:tcPr>
            <w:tcW w:w="880" w:type="dxa"/>
            <w:tcBorders>
              <w:top w:val="nil"/>
              <w:left w:val="nil"/>
              <w:bottom w:val="single" w:sz="4" w:space="0" w:color="auto"/>
              <w:right w:val="nil"/>
            </w:tcBorders>
            <w:shd w:val="clear" w:color="000000" w:fill="FFFFFF"/>
            <w:noWrap/>
            <w:vAlign w:val="center"/>
            <w:hideMark/>
          </w:tcPr>
          <w:p w14:paraId="29958C0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124,28</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69292EF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1 224</w:t>
            </w:r>
          </w:p>
        </w:tc>
        <w:tc>
          <w:tcPr>
            <w:tcW w:w="1148" w:type="dxa"/>
            <w:tcBorders>
              <w:top w:val="nil"/>
              <w:left w:val="nil"/>
              <w:bottom w:val="single" w:sz="4" w:space="0" w:color="auto"/>
              <w:right w:val="single" w:sz="4" w:space="0" w:color="auto"/>
            </w:tcBorders>
            <w:shd w:val="clear" w:color="000000" w:fill="FFFFFF"/>
            <w:noWrap/>
            <w:vAlign w:val="center"/>
            <w:hideMark/>
          </w:tcPr>
          <w:p w14:paraId="6BFCD9A8"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1 825 425</w:t>
            </w:r>
          </w:p>
        </w:tc>
        <w:tc>
          <w:tcPr>
            <w:tcW w:w="1134" w:type="dxa"/>
            <w:tcBorders>
              <w:top w:val="nil"/>
              <w:left w:val="nil"/>
              <w:bottom w:val="single" w:sz="4" w:space="0" w:color="auto"/>
              <w:right w:val="single" w:sz="4" w:space="0" w:color="auto"/>
            </w:tcBorders>
            <w:shd w:val="clear" w:color="000000" w:fill="FFFFFF"/>
            <w:noWrap/>
            <w:vAlign w:val="center"/>
            <w:hideMark/>
          </w:tcPr>
          <w:p w14:paraId="5E36E6E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124,28</w:t>
            </w:r>
          </w:p>
        </w:tc>
        <w:tc>
          <w:tcPr>
            <w:tcW w:w="1276" w:type="dxa"/>
            <w:tcBorders>
              <w:top w:val="nil"/>
              <w:left w:val="nil"/>
              <w:bottom w:val="single" w:sz="4" w:space="0" w:color="auto"/>
              <w:right w:val="single" w:sz="4" w:space="0" w:color="auto"/>
            </w:tcBorders>
            <w:shd w:val="clear" w:color="000000" w:fill="FFFFFF"/>
            <w:noWrap/>
            <w:vAlign w:val="center"/>
            <w:hideMark/>
          </w:tcPr>
          <w:p w14:paraId="7B4458D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1 229</w:t>
            </w:r>
          </w:p>
        </w:tc>
        <w:tc>
          <w:tcPr>
            <w:tcW w:w="1134" w:type="dxa"/>
            <w:tcBorders>
              <w:top w:val="nil"/>
              <w:left w:val="nil"/>
              <w:bottom w:val="single" w:sz="4" w:space="0" w:color="auto"/>
              <w:right w:val="single" w:sz="4" w:space="0" w:color="auto"/>
            </w:tcBorders>
            <w:shd w:val="clear" w:color="000000" w:fill="FFFFFF"/>
            <w:noWrap/>
            <w:vAlign w:val="center"/>
            <w:hideMark/>
          </w:tcPr>
          <w:p w14:paraId="08105FA3"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1 832 881</w:t>
            </w:r>
          </w:p>
        </w:tc>
        <w:tc>
          <w:tcPr>
            <w:tcW w:w="992" w:type="dxa"/>
            <w:tcBorders>
              <w:top w:val="nil"/>
              <w:left w:val="nil"/>
              <w:bottom w:val="single" w:sz="4" w:space="0" w:color="auto"/>
              <w:right w:val="nil"/>
            </w:tcBorders>
            <w:shd w:val="clear" w:color="000000" w:fill="FFFFFF"/>
            <w:noWrap/>
            <w:vAlign w:val="center"/>
            <w:hideMark/>
          </w:tcPr>
          <w:p w14:paraId="7731A0B1"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124,28</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45EE9425"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1 234</w:t>
            </w:r>
          </w:p>
        </w:tc>
        <w:tc>
          <w:tcPr>
            <w:tcW w:w="1233" w:type="dxa"/>
            <w:tcBorders>
              <w:top w:val="nil"/>
              <w:left w:val="nil"/>
              <w:bottom w:val="single" w:sz="4" w:space="0" w:color="auto"/>
              <w:right w:val="single" w:sz="4" w:space="0" w:color="auto"/>
            </w:tcBorders>
            <w:shd w:val="clear" w:color="000000" w:fill="FFFFFF"/>
            <w:noWrap/>
            <w:vAlign w:val="center"/>
            <w:hideMark/>
          </w:tcPr>
          <w:p w14:paraId="6CB6345E"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1 840 338</w:t>
            </w:r>
          </w:p>
        </w:tc>
      </w:tr>
      <w:tr w:rsidR="002C253E" w:rsidRPr="002C253E" w14:paraId="49D3A236"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vAlign w:val="center"/>
            <w:hideMark/>
          </w:tcPr>
          <w:p w14:paraId="22C25660"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Atlīdzība par bērna adopciju</w:t>
            </w:r>
          </w:p>
        </w:tc>
        <w:tc>
          <w:tcPr>
            <w:tcW w:w="880" w:type="dxa"/>
            <w:tcBorders>
              <w:top w:val="nil"/>
              <w:left w:val="nil"/>
              <w:bottom w:val="single" w:sz="4" w:space="0" w:color="auto"/>
              <w:right w:val="nil"/>
            </w:tcBorders>
            <w:shd w:val="clear" w:color="000000" w:fill="FFFFFF"/>
            <w:noWrap/>
            <w:vAlign w:val="center"/>
            <w:hideMark/>
          </w:tcPr>
          <w:p w14:paraId="147867C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1 422,87</w:t>
            </w:r>
          </w:p>
        </w:tc>
        <w:tc>
          <w:tcPr>
            <w:tcW w:w="980" w:type="dxa"/>
            <w:tcBorders>
              <w:top w:val="nil"/>
              <w:left w:val="single" w:sz="4" w:space="0" w:color="auto"/>
              <w:bottom w:val="single" w:sz="4" w:space="0" w:color="auto"/>
              <w:right w:val="single" w:sz="4" w:space="0" w:color="auto"/>
            </w:tcBorders>
            <w:shd w:val="clear" w:color="000000" w:fill="FFFFFF"/>
            <w:noWrap/>
            <w:vAlign w:val="center"/>
            <w:hideMark/>
          </w:tcPr>
          <w:p w14:paraId="6A3150D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7</w:t>
            </w:r>
          </w:p>
        </w:tc>
        <w:tc>
          <w:tcPr>
            <w:tcW w:w="1148" w:type="dxa"/>
            <w:tcBorders>
              <w:top w:val="nil"/>
              <w:left w:val="nil"/>
              <w:bottom w:val="single" w:sz="4" w:space="0" w:color="auto"/>
              <w:right w:val="single" w:sz="4" w:space="0" w:color="auto"/>
            </w:tcBorders>
            <w:shd w:val="clear" w:color="000000" w:fill="FFFFFF"/>
            <w:noWrap/>
            <w:vAlign w:val="center"/>
            <w:hideMark/>
          </w:tcPr>
          <w:p w14:paraId="00F85B39"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119 521</w:t>
            </w:r>
          </w:p>
        </w:tc>
        <w:tc>
          <w:tcPr>
            <w:tcW w:w="1134" w:type="dxa"/>
            <w:tcBorders>
              <w:top w:val="nil"/>
              <w:left w:val="nil"/>
              <w:bottom w:val="single" w:sz="4" w:space="0" w:color="auto"/>
              <w:right w:val="single" w:sz="4" w:space="0" w:color="auto"/>
            </w:tcBorders>
            <w:shd w:val="clear" w:color="000000" w:fill="FFFFFF"/>
            <w:noWrap/>
            <w:vAlign w:val="center"/>
            <w:hideMark/>
          </w:tcPr>
          <w:p w14:paraId="52D055E0"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1 422,87</w:t>
            </w:r>
          </w:p>
        </w:tc>
        <w:tc>
          <w:tcPr>
            <w:tcW w:w="1276" w:type="dxa"/>
            <w:tcBorders>
              <w:top w:val="nil"/>
              <w:left w:val="nil"/>
              <w:bottom w:val="single" w:sz="4" w:space="0" w:color="auto"/>
              <w:right w:val="single" w:sz="4" w:space="0" w:color="auto"/>
            </w:tcBorders>
            <w:shd w:val="clear" w:color="000000" w:fill="FFFFFF"/>
            <w:noWrap/>
            <w:vAlign w:val="center"/>
            <w:hideMark/>
          </w:tcPr>
          <w:p w14:paraId="1D7B46B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7</w:t>
            </w:r>
          </w:p>
        </w:tc>
        <w:tc>
          <w:tcPr>
            <w:tcW w:w="1134" w:type="dxa"/>
            <w:tcBorders>
              <w:top w:val="nil"/>
              <w:left w:val="nil"/>
              <w:bottom w:val="single" w:sz="4" w:space="0" w:color="auto"/>
              <w:right w:val="single" w:sz="4" w:space="0" w:color="auto"/>
            </w:tcBorders>
            <w:shd w:val="clear" w:color="000000" w:fill="FFFFFF"/>
            <w:noWrap/>
            <w:vAlign w:val="center"/>
            <w:hideMark/>
          </w:tcPr>
          <w:p w14:paraId="1D55E08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119 521</w:t>
            </w:r>
          </w:p>
        </w:tc>
        <w:tc>
          <w:tcPr>
            <w:tcW w:w="992" w:type="dxa"/>
            <w:tcBorders>
              <w:top w:val="nil"/>
              <w:left w:val="nil"/>
              <w:bottom w:val="single" w:sz="4" w:space="0" w:color="auto"/>
              <w:right w:val="nil"/>
            </w:tcBorders>
            <w:shd w:val="clear" w:color="000000" w:fill="FFFFFF"/>
            <w:noWrap/>
            <w:vAlign w:val="center"/>
            <w:hideMark/>
          </w:tcPr>
          <w:p w14:paraId="0294994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1 422,87</w:t>
            </w:r>
          </w:p>
        </w:tc>
        <w:tc>
          <w:tcPr>
            <w:tcW w:w="966" w:type="dxa"/>
            <w:tcBorders>
              <w:top w:val="nil"/>
              <w:left w:val="single" w:sz="4" w:space="0" w:color="auto"/>
              <w:bottom w:val="single" w:sz="4" w:space="0" w:color="auto"/>
              <w:right w:val="single" w:sz="4" w:space="0" w:color="auto"/>
            </w:tcBorders>
            <w:shd w:val="clear" w:color="000000" w:fill="FFFFFF"/>
            <w:noWrap/>
            <w:vAlign w:val="center"/>
            <w:hideMark/>
          </w:tcPr>
          <w:p w14:paraId="19C81B26"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7</w:t>
            </w:r>
          </w:p>
        </w:tc>
        <w:tc>
          <w:tcPr>
            <w:tcW w:w="1233" w:type="dxa"/>
            <w:tcBorders>
              <w:top w:val="nil"/>
              <w:left w:val="nil"/>
              <w:bottom w:val="single" w:sz="4" w:space="0" w:color="auto"/>
              <w:right w:val="single" w:sz="4" w:space="0" w:color="auto"/>
            </w:tcBorders>
            <w:shd w:val="clear" w:color="000000" w:fill="FFFFFF"/>
            <w:noWrap/>
            <w:vAlign w:val="center"/>
            <w:hideMark/>
          </w:tcPr>
          <w:p w14:paraId="2CC62DB1"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119 521</w:t>
            </w:r>
          </w:p>
        </w:tc>
      </w:tr>
      <w:tr w:rsidR="002C253E" w:rsidRPr="002C253E" w14:paraId="38704E78"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center"/>
            <w:hideMark/>
          </w:tcPr>
          <w:p w14:paraId="5702D353" w14:textId="24F57459" w:rsidR="002C253E" w:rsidRPr="002C253E" w:rsidRDefault="002C253E" w:rsidP="008349F0">
            <w:pPr>
              <w:spacing w:after="0"/>
              <w:ind w:firstLine="0"/>
              <w:jc w:val="left"/>
              <w:rPr>
                <w:rFonts w:eastAsia="Times New Roman" w:cs="Times New Roman"/>
                <w:b/>
                <w:bCs/>
                <w:sz w:val="18"/>
                <w:szCs w:val="18"/>
                <w:highlight w:val="lightGray"/>
              </w:rPr>
            </w:pPr>
            <w:r w:rsidRPr="002C253E">
              <w:rPr>
                <w:rFonts w:eastAsia="Calibri" w:cs="Times New Roman"/>
                <w:sz w:val="18"/>
                <w:szCs w:val="18"/>
                <w:lang w:eastAsia="en-US"/>
              </w:rPr>
              <w:t>Bēgļu pabalsta saņēmēji</w:t>
            </w:r>
          </w:p>
        </w:tc>
        <w:tc>
          <w:tcPr>
            <w:tcW w:w="880" w:type="dxa"/>
            <w:tcBorders>
              <w:top w:val="nil"/>
              <w:left w:val="nil"/>
              <w:bottom w:val="nil"/>
              <w:right w:val="nil"/>
            </w:tcBorders>
            <w:shd w:val="clear" w:color="000000" w:fill="FFFFFF"/>
            <w:noWrap/>
            <w:vAlign w:val="center"/>
            <w:hideMark/>
          </w:tcPr>
          <w:p w14:paraId="2271EB99"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177,16</w:t>
            </w:r>
          </w:p>
        </w:tc>
        <w:tc>
          <w:tcPr>
            <w:tcW w:w="980" w:type="dxa"/>
            <w:tcBorders>
              <w:top w:val="nil"/>
              <w:left w:val="single" w:sz="4" w:space="0" w:color="auto"/>
              <w:bottom w:val="nil"/>
              <w:right w:val="single" w:sz="4" w:space="0" w:color="auto"/>
            </w:tcBorders>
            <w:shd w:val="clear" w:color="000000" w:fill="FFFFFF"/>
            <w:noWrap/>
            <w:vAlign w:val="center"/>
            <w:hideMark/>
          </w:tcPr>
          <w:p w14:paraId="07681B43"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70</w:t>
            </w:r>
          </w:p>
        </w:tc>
        <w:tc>
          <w:tcPr>
            <w:tcW w:w="1148" w:type="dxa"/>
            <w:tcBorders>
              <w:top w:val="nil"/>
              <w:left w:val="nil"/>
              <w:bottom w:val="nil"/>
              <w:right w:val="single" w:sz="4" w:space="0" w:color="auto"/>
            </w:tcBorders>
            <w:shd w:val="clear" w:color="000000" w:fill="FFFFFF"/>
            <w:noWrap/>
            <w:vAlign w:val="center"/>
            <w:hideMark/>
          </w:tcPr>
          <w:p w14:paraId="3FEA822D"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148 814</w:t>
            </w:r>
          </w:p>
        </w:tc>
        <w:tc>
          <w:tcPr>
            <w:tcW w:w="1134" w:type="dxa"/>
            <w:tcBorders>
              <w:top w:val="nil"/>
              <w:left w:val="nil"/>
              <w:bottom w:val="nil"/>
              <w:right w:val="single" w:sz="4" w:space="0" w:color="auto"/>
            </w:tcBorders>
            <w:shd w:val="clear" w:color="000000" w:fill="FFFFFF"/>
            <w:noWrap/>
            <w:vAlign w:val="center"/>
            <w:hideMark/>
          </w:tcPr>
          <w:p w14:paraId="2290D1F7"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177,16</w:t>
            </w:r>
          </w:p>
        </w:tc>
        <w:tc>
          <w:tcPr>
            <w:tcW w:w="1276" w:type="dxa"/>
            <w:tcBorders>
              <w:top w:val="nil"/>
              <w:left w:val="nil"/>
              <w:bottom w:val="nil"/>
              <w:right w:val="single" w:sz="4" w:space="0" w:color="auto"/>
            </w:tcBorders>
            <w:shd w:val="clear" w:color="000000" w:fill="FFFFFF"/>
            <w:noWrap/>
            <w:vAlign w:val="center"/>
            <w:hideMark/>
          </w:tcPr>
          <w:p w14:paraId="28D3AD80"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70</w:t>
            </w:r>
          </w:p>
        </w:tc>
        <w:tc>
          <w:tcPr>
            <w:tcW w:w="1134" w:type="dxa"/>
            <w:tcBorders>
              <w:top w:val="nil"/>
              <w:left w:val="nil"/>
              <w:bottom w:val="nil"/>
              <w:right w:val="single" w:sz="4" w:space="0" w:color="auto"/>
            </w:tcBorders>
            <w:shd w:val="clear" w:color="000000" w:fill="FFFFFF"/>
            <w:noWrap/>
            <w:vAlign w:val="center"/>
            <w:hideMark/>
          </w:tcPr>
          <w:p w14:paraId="5BB3C6E3"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148 814</w:t>
            </w:r>
          </w:p>
        </w:tc>
        <w:tc>
          <w:tcPr>
            <w:tcW w:w="992" w:type="dxa"/>
            <w:tcBorders>
              <w:top w:val="nil"/>
              <w:left w:val="nil"/>
              <w:bottom w:val="nil"/>
              <w:right w:val="single" w:sz="4" w:space="0" w:color="auto"/>
            </w:tcBorders>
            <w:shd w:val="clear" w:color="000000" w:fill="FFFFFF"/>
            <w:noWrap/>
            <w:vAlign w:val="center"/>
            <w:hideMark/>
          </w:tcPr>
          <w:p w14:paraId="1AE1E5E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177,16</w:t>
            </w:r>
          </w:p>
        </w:tc>
        <w:tc>
          <w:tcPr>
            <w:tcW w:w="966" w:type="dxa"/>
            <w:tcBorders>
              <w:top w:val="nil"/>
              <w:left w:val="nil"/>
              <w:bottom w:val="nil"/>
              <w:right w:val="single" w:sz="4" w:space="0" w:color="auto"/>
            </w:tcBorders>
            <w:shd w:val="clear" w:color="000000" w:fill="FFFFFF"/>
            <w:noWrap/>
            <w:vAlign w:val="center"/>
            <w:hideMark/>
          </w:tcPr>
          <w:p w14:paraId="673EB1C7"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70</w:t>
            </w:r>
          </w:p>
        </w:tc>
        <w:tc>
          <w:tcPr>
            <w:tcW w:w="1233" w:type="dxa"/>
            <w:tcBorders>
              <w:top w:val="nil"/>
              <w:left w:val="nil"/>
              <w:bottom w:val="nil"/>
              <w:right w:val="single" w:sz="4" w:space="0" w:color="auto"/>
            </w:tcBorders>
            <w:shd w:val="clear" w:color="000000" w:fill="FFFFFF"/>
            <w:noWrap/>
            <w:vAlign w:val="center"/>
            <w:hideMark/>
          </w:tcPr>
          <w:p w14:paraId="6B3702B8"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148 814</w:t>
            </w:r>
          </w:p>
        </w:tc>
      </w:tr>
      <w:tr w:rsidR="002C253E" w:rsidRPr="002C253E" w14:paraId="577E196B" w14:textId="77777777" w:rsidTr="008415BC">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center"/>
            <w:hideMark/>
          </w:tcPr>
          <w:p w14:paraId="477F34B9"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KOPĀ</w:t>
            </w:r>
          </w:p>
        </w:tc>
        <w:tc>
          <w:tcPr>
            <w:tcW w:w="880" w:type="dxa"/>
            <w:tcBorders>
              <w:top w:val="single" w:sz="4" w:space="0" w:color="auto"/>
              <w:left w:val="nil"/>
              <w:bottom w:val="single" w:sz="4" w:space="0" w:color="auto"/>
              <w:right w:val="single" w:sz="4" w:space="0" w:color="auto"/>
            </w:tcBorders>
            <w:shd w:val="clear" w:color="000000" w:fill="FFFFFF"/>
            <w:noWrap/>
            <w:vAlign w:val="center"/>
            <w:hideMark/>
          </w:tcPr>
          <w:p w14:paraId="761682F5"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980" w:type="dxa"/>
            <w:tcBorders>
              <w:top w:val="single" w:sz="4" w:space="0" w:color="auto"/>
              <w:left w:val="nil"/>
              <w:bottom w:val="single" w:sz="4" w:space="0" w:color="auto"/>
              <w:right w:val="single" w:sz="4" w:space="0" w:color="auto"/>
            </w:tcBorders>
            <w:shd w:val="clear" w:color="000000" w:fill="FFFFFF"/>
            <w:noWrap/>
            <w:vAlign w:val="center"/>
            <w:hideMark/>
          </w:tcPr>
          <w:p w14:paraId="58AAE478"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2F0BA5FD"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436 986 759</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CEB9EF1"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263D810F"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08CD985"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450 353 405</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6817837"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966" w:type="dxa"/>
            <w:tcBorders>
              <w:top w:val="single" w:sz="4" w:space="0" w:color="auto"/>
              <w:left w:val="nil"/>
              <w:bottom w:val="single" w:sz="4" w:space="0" w:color="auto"/>
              <w:right w:val="single" w:sz="4" w:space="0" w:color="auto"/>
            </w:tcBorders>
            <w:shd w:val="clear" w:color="000000" w:fill="FFFFFF"/>
            <w:noWrap/>
            <w:vAlign w:val="center"/>
            <w:hideMark/>
          </w:tcPr>
          <w:p w14:paraId="3FEDB8F6"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1233" w:type="dxa"/>
            <w:tcBorders>
              <w:top w:val="single" w:sz="4" w:space="0" w:color="auto"/>
              <w:left w:val="nil"/>
              <w:bottom w:val="single" w:sz="4" w:space="0" w:color="auto"/>
              <w:right w:val="single" w:sz="4" w:space="0" w:color="auto"/>
            </w:tcBorders>
            <w:shd w:val="clear" w:color="000000" w:fill="FFFFFF"/>
            <w:noWrap/>
            <w:vAlign w:val="center"/>
            <w:hideMark/>
          </w:tcPr>
          <w:p w14:paraId="1DDD8D30"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462 677 765</w:t>
            </w:r>
          </w:p>
        </w:tc>
      </w:tr>
    </w:tbl>
    <w:p w14:paraId="1BA1F371" w14:textId="77777777" w:rsidR="002C253E" w:rsidRPr="002C253E" w:rsidRDefault="002C253E" w:rsidP="008349F0">
      <w:pPr>
        <w:widowControl w:val="0"/>
        <w:spacing w:before="120"/>
        <w:ind w:firstLine="0"/>
        <w:rPr>
          <w:rFonts w:eastAsia="Calibri" w:cs="Times New Roman"/>
          <w:i/>
          <w:sz w:val="18"/>
          <w:szCs w:val="18"/>
        </w:rPr>
      </w:pPr>
      <w:r w:rsidRPr="002C253E">
        <w:rPr>
          <w:rFonts w:eastAsia="Calibri" w:cs="Times New Roman"/>
          <w:i/>
          <w:sz w:val="18"/>
          <w:szCs w:val="18"/>
        </w:rPr>
        <w:t>Datu avots: FM</w:t>
      </w:r>
    </w:p>
    <w:p w14:paraId="2F04FA29" w14:textId="77777777" w:rsidR="002C253E" w:rsidRPr="002C253E" w:rsidRDefault="002C253E" w:rsidP="008349F0">
      <w:pPr>
        <w:spacing w:after="160"/>
        <w:ind w:firstLine="0"/>
        <w:jc w:val="left"/>
        <w:rPr>
          <w:rFonts w:eastAsia="Times New Roman" w:cs="Times New Roman"/>
          <w:color w:val="000000"/>
          <w:sz w:val="18"/>
          <w:szCs w:val="18"/>
          <w:highlight w:val="lightGray"/>
        </w:rPr>
      </w:pPr>
      <w:r w:rsidRPr="002C253E">
        <w:rPr>
          <w:rFonts w:eastAsia="Times New Roman" w:cs="Times New Roman"/>
          <w:color w:val="000000"/>
          <w:sz w:val="18"/>
          <w:szCs w:val="18"/>
          <w:highlight w:val="lightGray"/>
        </w:rPr>
        <w:br w:type="page"/>
      </w:r>
    </w:p>
    <w:p w14:paraId="05A68AC5" w14:textId="77777777" w:rsidR="002C253E" w:rsidRDefault="002C253E" w:rsidP="008349F0">
      <w:pPr>
        <w:widowControl w:val="0"/>
        <w:spacing w:after="0"/>
        <w:ind w:right="113"/>
        <w:jc w:val="right"/>
        <w:rPr>
          <w:rFonts w:eastAsia="Times New Roman" w:cs="Times New Roman"/>
          <w:color w:val="000000"/>
        </w:rPr>
      </w:pPr>
    </w:p>
    <w:p w14:paraId="6CFDD501" w14:textId="4682092B" w:rsidR="002C253E" w:rsidRPr="002C253E" w:rsidRDefault="002C253E" w:rsidP="008349F0">
      <w:pPr>
        <w:widowControl w:val="0"/>
        <w:spacing w:after="240"/>
        <w:ind w:right="113"/>
        <w:jc w:val="right"/>
        <w:rPr>
          <w:rFonts w:eastAsia="Times New Roman" w:cs="Times New Roman"/>
          <w:color w:val="000000"/>
        </w:rPr>
      </w:pPr>
      <w:r w:rsidRPr="002C253E">
        <w:rPr>
          <w:rFonts w:eastAsia="Times New Roman" w:cs="Times New Roman"/>
          <w:color w:val="000000"/>
        </w:rPr>
        <w:t>6. pielikums</w:t>
      </w:r>
    </w:p>
    <w:p w14:paraId="60E16698" w14:textId="04B29810" w:rsidR="002C253E" w:rsidRPr="002C253E" w:rsidRDefault="002C253E" w:rsidP="008349F0">
      <w:pPr>
        <w:widowControl w:val="0"/>
        <w:spacing w:before="240" w:after="240"/>
        <w:ind w:right="-28"/>
        <w:jc w:val="right"/>
        <w:rPr>
          <w:rFonts w:eastAsia="Times New Roman" w:cs="Times New Roman"/>
          <w:b/>
          <w:color w:val="000000"/>
        </w:rPr>
      </w:pPr>
      <w:r w:rsidRPr="002C253E">
        <w:rPr>
          <w:rFonts w:eastAsia="Times New Roman" w:cs="Times New Roman"/>
          <w:b/>
          <w:color w:val="000000"/>
        </w:rPr>
        <w:t xml:space="preserve">Labklājības ministrijas pamatbudžeta </w:t>
      </w:r>
      <w:r w:rsidR="00AF0216">
        <w:rPr>
          <w:rFonts w:eastAsia="Times New Roman" w:cs="Times New Roman"/>
          <w:b/>
          <w:color w:val="000000"/>
        </w:rPr>
        <w:t>apakš</w:t>
      </w:r>
      <w:r w:rsidRPr="002C253E">
        <w:rPr>
          <w:rFonts w:eastAsia="Times New Roman" w:cs="Times New Roman"/>
          <w:b/>
          <w:color w:val="000000"/>
        </w:rPr>
        <w:t>programma 20.02.00 "Izdienas pensijas"</w:t>
      </w:r>
    </w:p>
    <w:tbl>
      <w:tblPr>
        <w:tblW w:w="14576" w:type="dxa"/>
        <w:jc w:val="center"/>
        <w:tblLook w:val="04A0" w:firstRow="1" w:lastRow="0" w:firstColumn="1" w:lastColumn="0" w:noHBand="0" w:noVBand="1"/>
      </w:tblPr>
      <w:tblGrid>
        <w:gridCol w:w="4111"/>
        <w:gridCol w:w="1308"/>
        <w:gridCol w:w="1097"/>
        <w:gridCol w:w="1276"/>
        <w:gridCol w:w="1275"/>
        <w:gridCol w:w="976"/>
        <w:gridCol w:w="1123"/>
        <w:gridCol w:w="1188"/>
        <w:gridCol w:w="966"/>
        <w:gridCol w:w="1256"/>
      </w:tblGrid>
      <w:tr w:rsidR="002C253E" w:rsidRPr="002C253E" w14:paraId="1710145B" w14:textId="77777777" w:rsidTr="008415BC">
        <w:trPr>
          <w:trHeight w:val="660"/>
          <w:jc w:val="center"/>
        </w:trPr>
        <w:tc>
          <w:tcPr>
            <w:tcW w:w="4111" w:type="dxa"/>
            <w:vMerge w:val="restart"/>
            <w:tcBorders>
              <w:top w:val="single" w:sz="4" w:space="0" w:color="auto"/>
              <w:left w:val="single" w:sz="4" w:space="0" w:color="auto"/>
              <w:right w:val="single" w:sz="4" w:space="0" w:color="auto"/>
            </w:tcBorders>
            <w:shd w:val="clear" w:color="auto" w:fill="9CC2E5"/>
            <w:noWrap/>
            <w:vAlign w:val="bottom"/>
            <w:hideMark/>
          </w:tcPr>
          <w:p w14:paraId="4229D053"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 </w:t>
            </w:r>
          </w:p>
          <w:p w14:paraId="5929EAB3"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Pabalsta veids</w:t>
            </w:r>
          </w:p>
        </w:tc>
        <w:tc>
          <w:tcPr>
            <w:tcW w:w="3681"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381DBA1B"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2025. gada projekts</w:t>
            </w:r>
          </w:p>
        </w:tc>
        <w:tc>
          <w:tcPr>
            <w:tcW w:w="3374"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677978EB"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2026. gada prognoze</w:t>
            </w:r>
          </w:p>
        </w:tc>
        <w:tc>
          <w:tcPr>
            <w:tcW w:w="3410"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3A20CAC7"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2027. gada prognoze</w:t>
            </w:r>
          </w:p>
        </w:tc>
      </w:tr>
      <w:tr w:rsidR="002C253E" w:rsidRPr="002C253E" w14:paraId="17A7FFBD" w14:textId="77777777" w:rsidTr="008415BC">
        <w:trPr>
          <w:trHeight w:val="450"/>
          <w:jc w:val="center"/>
        </w:trPr>
        <w:tc>
          <w:tcPr>
            <w:tcW w:w="4111" w:type="dxa"/>
            <w:vMerge/>
            <w:tcBorders>
              <w:left w:val="single" w:sz="4" w:space="0" w:color="auto"/>
              <w:right w:val="single" w:sz="4" w:space="0" w:color="auto"/>
            </w:tcBorders>
            <w:shd w:val="clear" w:color="auto" w:fill="9CC2E5"/>
            <w:noWrap/>
            <w:vAlign w:val="center"/>
            <w:hideMark/>
          </w:tcPr>
          <w:p w14:paraId="5EE9954A" w14:textId="77777777" w:rsidR="002C253E" w:rsidRPr="002C253E" w:rsidRDefault="002C253E" w:rsidP="008349F0">
            <w:pPr>
              <w:spacing w:after="0"/>
              <w:ind w:firstLine="0"/>
              <w:jc w:val="center"/>
              <w:rPr>
                <w:rFonts w:eastAsia="Times New Roman" w:cs="Times New Roman"/>
                <w:b/>
                <w:bCs/>
                <w:sz w:val="18"/>
                <w:szCs w:val="18"/>
              </w:rPr>
            </w:pPr>
          </w:p>
        </w:tc>
        <w:tc>
          <w:tcPr>
            <w:tcW w:w="1308" w:type="dxa"/>
            <w:vMerge w:val="restart"/>
            <w:tcBorders>
              <w:top w:val="nil"/>
              <w:left w:val="single" w:sz="4" w:space="0" w:color="auto"/>
              <w:bottom w:val="single" w:sz="4" w:space="0" w:color="000000"/>
              <w:right w:val="single" w:sz="4" w:space="0" w:color="auto"/>
            </w:tcBorders>
            <w:shd w:val="clear" w:color="auto" w:fill="DEEAF6"/>
            <w:vAlign w:val="center"/>
            <w:hideMark/>
          </w:tcPr>
          <w:p w14:paraId="4211147F" w14:textId="472D0DF2" w:rsidR="002C253E" w:rsidRPr="002C253E" w:rsidRDefault="00E578C6" w:rsidP="008349F0">
            <w:pPr>
              <w:spacing w:after="0"/>
              <w:ind w:firstLine="0"/>
              <w:jc w:val="center"/>
              <w:rPr>
                <w:rFonts w:eastAsia="Times New Roman" w:cs="Times New Roman"/>
                <w:sz w:val="18"/>
                <w:szCs w:val="18"/>
              </w:rPr>
            </w:pPr>
            <w:r>
              <w:rPr>
                <w:rFonts w:eastAsia="Times New Roman" w:cs="Times New Roman"/>
                <w:sz w:val="18"/>
                <w:szCs w:val="18"/>
              </w:rPr>
              <w:t>Pensijas/ p</w:t>
            </w:r>
            <w:r w:rsidR="002C253E" w:rsidRPr="002C253E">
              <w:rPr>
                <w:rFonts w:eastAsia="Times New Roman" w:cs="Times New Roman"/>
                <w:sz w:val="18"/>
                <w:szCs w:val="18"/>
              </w:rPr>
              <w:t>abalsta apmērs vidēji mēnesī (</w:t>
            </w:r>
            <w:proofErr w:type="spellStart"/>
            <w:r w:rsidR="002C253E" w:rsidRPr="002C253E">
              <w:rPr>
                <w:rFonts w:eastAsia="Times New Roman" w:cs="Times New Roman"/>
                <w:i/>
                <w:sz w:val="18"/>
                <w:szCs w:val="18"/>
              </w:rPr>
              <w:t>euro</w:t>
            </w:r>
            <w:proofErr w:type="spellEnd"/>
            <w:r w:rsidR="002C253E" w:rsidRPr="002C253E">
              <w:rPr>
                <w:rFonts w:eastAsia="Times New Roman" w:cs="Times New Roman"/>
                <w:sz w:val="18"/>
                <w:szCs w:val="18"/>
              </w:rPr>
              <w:t>)</w:t>
            </w:r>
          </w:p>
        </w:tc>
        <w:tc>
          <w:tcPr>
            <w:tcW w:w="1097" w:type="dxa"/>
            <w:vMerge w:val="restart"/>
            <w:tcBorders>
              <w:top w:val="nil"/>
              <w:left w:val="nil"/>
              <w:right w:val="single" w:sz="4" w:space="0" w:color="auto"/>
            </w:tcBorders>
            <w:shd w:val="clear" w:color="auto" w:fill="DEEAF6"/>
            <w:vAlign w:val="center"/>
            <w:hideMark/>
          </w:tcPr>
          <w:p w14:paraId="244C1319"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w:t>
            </w:r>
            <w:r w:rsidRPr="002C253E">
              <w:rPr>
                <w:rFonts w:eastAsia="Times New Roman" w:cs="Times New Roman"/>
                <w:sz w:val="18"/>
                <w:szCs w:val="18"/>
              </w:rPr>
              <w:br/>
              <w:t xml:space="preserve"> skaits</w:t>
            </w:r>
          </w:p>
          <w:p w14:paraId="15855A1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sz w:val="18"/>
                <w:szCs w:val="18"/>
              </w:rPr>
              <w:t>vid.mēn</w:t>
            </w:r>
            <w:proofErr w:type="spellEnd"/>
            <w:r w:rsidRPr="002C253E">
              <w:rPr>
                <w:rFonts w:eastAsia="Times New Roman" w:cs="Times New Roman"/>
                <w:sz w:val="18"/>
                <w:szCs w:val="18"/>
              </w:rPr>
              <w:t>.)</w:t>
            </w:r>
          </w:p>
        </w:tc>
        <w:tc>
          <w:tcPr>
            <w:tcW w:w="1276" w:type="dxa"/>
            <w:vMerge w:val="restart"/>
            <w:tcBorders>
              <w:top w:val="nil"/>
              <w:left w:val="nil"/>
              <w:right w:val="single" w:sz="4" w:space="0" w:color="auto"/>
            </w:tcBorders>
            <w:shd w:val="clear" w:color="auto" w:fill="DEEAF6"/>
            <w:vAlign w:val="center"/>
            <w:hideMark/>
          </w:tcPr>
          <w:p w14:paraId="37DDB3B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w:t>
            </w:r>
          </w:p>
          <w:p w14:paraId="4F445663"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1275" w:type="dxa"/>
            <w:vMerge w:val="restart"/>
            <w:tcBorders>
              <w:top w:val="nil"/>
              <w:left w:val="single" w:sz="4" w:space="0" w:color="auto"/>
              <w:bottom w:val="single" w:sz="4" w:space="0" w:color="000000"/>
              <w:right w:val="single" w:sz="4" w:space="0" w:color="auto"/>
            </w:tcBorders>
            <w:shd w:val="clear" w:color="auto" w:fill="DEEAF6"/>
            <w:vAlign w:val="center"/>
            <w:hideMark/>
          </w:tcPr>
          <w:p w14:paraId="0BB2E4D1" w14:textId="74E278A0"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P</w:t>
            </w:r>
            <w:r w:rsidR="00E578C6">
              <w:rPr>
                <w:rFonts w:eastAsia="Times New Roman" w:cs="Times New Roman"/>
                <w:sz w:val="18"/>
                <w:szCs w:val="18"/>
              </w:rPr>
              <w:t>ensijas/ p</w:t>
            </w:r>
            <w:r w:rsidRPr="002C253E">
              <w:rPr>
                <w:rFonts w:eastAsia="Times New Roman" w:cs="Times New Roman"/>
                <w:sz w:val="18"/>
                <w:szCs w:val="18"/>
              </w:rPr>
              <w:t>abalsta apmērs vidēji mēnesī (</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976" w:type="dxa"/>
            <w:vMerge w:val="restart"/>
            <w:tcBorders>
              <w:top w:val="nil"/>
              <w:left w:val="nil"/>
              <w:right w:val="single" w:sz="4" w:space="0" w:color="auto"/>
            </w:tcBorders>
            <w:shd w:val="clear" w:color="auto" w:fill="DEEAF6"/>
            <w:vAlign w:val="center"/>
            <w:hideMark/>
          </w:tcPr>
          <w:p w14:paraId="6900D90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w:t>
            </w:r>
            <w:r w:rsidRPr="002C253E">
              <w:rPr>
                <w:rFonts w:eastAsia="Times New Roman" w:cs="Times New Roman"/>
                <w:sz w:val="18"/>
                <w:szCs w:val="18"/>
              </w:rPr>
              <w:br/>
              <w:t xml:space="preserve"> skaits</w:t>
            </w:r>
          </w:p>
          <w:p w14:paraId="6092B6BC"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sz w:val="18"/>
                <w:szCs w:val="18"/>
              </w:rPr>
              <w:t>vid.mēn</w:t>
            </w:r>
            <w:proofErr w:type="spellEnd"/>
            <w:r w:rsidRPr="002C253E">
              <w:rPr>
                <w:rFonts w:eastAsia="Times New Roman" w:cs="Times New Roman"/>
                <w:sz w:val="18"/>
                <w:szCs w:val="18"/>
              </w:rPr>
              <w:t>.)</w:t>
            </w:r>
          </w:p>
        </w:tc>
        <w:tc>
          <w:tcPr>
            <w:tcW w:w="1123" w:type="dxa"/>
            <w:vMerge w:val="restart"/>
            <w:tcBorders>
              <w:top w:val="nil"/>
              <w:left w:val="nil"/>
              <w:right w:val="single" w:sz="4" w:space="0" w:color="auto"/>
            </w:tcBorders>
            <w:shd w:val="clear" w:color="auto" w:fill="DEEAF6"/>
            <w:vAlign w:val="center"/>
            <w:hideMark/>
          </w:tcPr>
          <w:p w14:paraId="7779384A"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w:t>
            </w:r>
          </w:p>
          <w:p w14:paraId="0071619A"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1188" w:type="dxa"/>
            <w:vMerge w:val="restart"/>
            <w:tcBorders>
              <w:top w:val="nil"/>
              <w:left w:val="single" w:sz="4" w:space="0" w:color="auto"/>
              <w:bottom w:val="single" w:sz="4" w:space="0" w:color="000000"/>
              <w:right w:val="single" w:sz="4" w:space="0" w:color="auto"/>
            </w:tcBorders>
            <w:shd w:val="clear" w:color="auto" w:fill="DEEAF6"/>
            <w:vAlign w:val="center"/>
            <w:hideMark/>
          </w:tcPr>
          <w:p w14:paraId="18BA0805" w14:textId="4AA51891"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P</w:t>
            </w:r>
            <w:r w:rsidR="00E578C6">
              <w:rPr>
                <w:rFonts w:eastAsia="Times New Roman" w:cs="Times New Roman"/>
                <w:sz w:val="18"/>
                <w:szCs w:val="18"/>
              </w:rPr>
              <w:t>ensijas/ p</w:t>
            </w:r>
            <w:r w:rsidRPr="002C253E">
              <w:rPr>
                <w:rFonts w:eastAsia="Times New Roman" w:cs="Times New Roman"/>
                <w:sz w:val="18"/>
                <w:szCs w:val="18"/>
              </w:rPr>
              <w:t>abalsta apmērs vidēji mēnesī (</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966" w:type="dxa"/>
            <w:vMerge w:val="restart"/>
            <w:tcBorders>
              <w:top w:val="nil"/>
              <w:left w:val="nil"/>
              <w:right w:val="single" w:sz="4" w:space="0" w:color="auto"/>
            </w:tcBorders>
            <w:shd w:val="clear" w:color="auto" w:fill="DEEAF6"/>
            <w:vAlign w:val="center"/>
            <w:hideMark/>
          </w:tcPr>
          <w:p w14:paraId="33D26EB3"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w:t>
            </w:r>
            <w:r w:rsidRPr="002C253E">
              <w:rPr>
                <w:rFonts w:eastAsia="Times New Roman" w:cs="Times New Roman"/>
                <w:sz w:val="18"/>
                <w:szCs w:val="18"/>
              </w:rPr>
              <w:br/>
              <w:t xml:space="preserve"> skaits</w:t>
            </w:r>
          </w:p>
          <w:p w14:paraId="2AEDA7ED"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sz w:val="18"/>
                <w:szCs w:val="18"/>
              </w:rPr>
              <w:t>vid.mēn</w:t>
            </w:r>
            <w:proofErr w:type="spellEnd"/>
            <w:r w:rsidRPr="002C253E">
              <w:rPr>
                <w:rFonts w:eastAsia="Times New Roman" w:cs="Times New Roman"/>
                <w:sz w:val="18"/>
                <w:szCs w:val="18"/>
              </w:rPr>
              <w:t>.)</w:t>
            </w:r>
          </w:p>
        </w:tc>
        <w:tc>
          <w:tcPr>
            <w:tcW w:w="1256" w:type="dxa"/>
            <w:vMerge w:val="restart"/>
            <w:tcBorders>
              <w:top w:val="nil"/>
              <w:left w:val="nil"/>
              <w:right w:val="single" w:sz="4" w:space="0" w:color="auto"/>
            </w:tcBorders>
            <w:shd w:val="clear" w:color="auto" w:fill="DEEAF6"/>
            <w:vAlign w:val="center"/>
            <w:hideMark/>
          </w:tcPr>
          <w:p w14:paraId="7A4FF79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w:t>
            </w:r>
          </w:p>
          <w:p w14:paraId="68DA3ECC"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r>
      <w:tr w:rsidR="002C253E" w:rsidRPr="002C253E" w14:paraId="1D1380BE" w14:textId="77777777" w:rsidTr="008415BC">
        <w:trPr>
          <w:trHeight w:val="765"/>
          <w:jc w:val="center"/>
        </w:trPr>
        <w:tc>
          <w:tcPr>
            <w:tcW w:w="4111" w:type="dxa"/>
            <w:tcBorders>
              <w:left w:val="single" w:sz="4" w:space="0" w:color="auto"/>
              <w:bottom w:val="single" w:sz="4" w:space="0" w:color="000000"/>
              <w:right w:val="single" w:sz="4" w:space="0" w:color="auto"/>
            </w:tcBorders>
            <w:shd w:val="clear" w:color="auto" w:fill="9CC2E5"/>
            <w:vAlign w:val="center"/>
            <w:hideMark/>
          </w:tcPr>
          <w:p w14:paraId="230AB128" w14:textId="77777777" w:rsidR="002C253E" w:rsidRPr="002C253E" w:rsidRDefault="002C253E" w:rsidP="008349F0">
            <w:pPr>
              <w:spacing w:after="0"/>
              <w:ind w:firstLine="0"/>
              <w:jc w:val="left"/>
              <w:rPr>
                <w:rFonts w:eastAsia="Times New Roman" w:cs="Times New Roman"/>
                <w:b/>
                <w:bCs/>
                <w:sz w:val="18"/>
                <w:szCs w:val="18"/>
              </w:rPr>
            </w:pPr>
          </w:p>
        </w:tc>
        <w:tc>
          <w:tcPr>
            <w:tcW w:w="1308" w:type="dxa"/>
            <w:vMerge/>
            <w:tcBorders>
              <w:top w:val="nil"/>
              <w:left w:val="single" w:sz="4" w:space="0" w:color="auto"/>
              <w:bottom w:val="single" w:sz="4" w:space="0" w:color="000000"/>
              <w:right w:val="single" w:sz="4" w:space="0" w:color="auto"/>
            </w:tcBorders>
            <w:shd w:val="clear" w:color="auto" w:fill="DEEAF6"/>
            <w:vAlign w:val="center"/>
            <w:hideMark/>
          </w:tcPr>
          <w:p w14:paraId="6C3B078C" w14:textId="77777777" w:rsidR="002C253E" w:rsidRPr="002C253E" w:rsidRDefault="002C253E" w:rsidP="008349F0">
            <w:pPr>
              <w:spacing w:after="0"/>
              <w:ind w:firstLine="0"/>
              <w:jc w:val="center"/>
              <w:rPr>
                <w:rFonts w:eastAsia="Times New Roman" w:cs="Times New Roman"/>
                <w:sz w:val="18"/>
                <w:szCs w:val="18"/>
              </w:rPr>
            </w:pPr>
          </w:p>
        </w:tc>
        <w:tc>
          <w:tcPr>
            <w:tcW w:w="1097" w:type="dxa"/>
            <w:vMerge/>
            <w:tcBorders>
              <w:left w:val="nil"/>
              <w:bottom w:val="single" w:sz="4" w:space="0" w:color="auto"/>
              <w:right w:val="single" w:sz="4" w:space="0" w:color="auto"/>
            </w:tcBorders>
            <w:shd w:val="clear" w:color="auto" w:fill="DEEAF6"/>
            <w:noWrap/>
            <w:vAlign w:val="center"/>
            <w:hideMark/>
          </w:tcPr>
          <w:p w14:paraId="2F9D72A8" w14:textId="77777777" w:rsidR="002C253E" w:rsidRPr="002C253E" w:rsidRDefault="002C253E" w:rsidP="008349F0">
            <w:pPr>
              <w:spacing w:after="0"/>
              <w:ind w:firstLine="0"/>
              <w:jc w:val="center"/>
              <w:rPr>
                <w:rFonts w:eastAsia="Times New Roman" w:cs="Times New Roman"/>
                <w:sz w:val="18"/>
                <w:szCs w:val="18"/>
              </w:rPr>
            </w:pPr>
          </w:p>
        </w:tc>
        <w:tc>
          <w:tcPr>
            <w:tcW w:w="1276" w:type="dxa"/>
            <w:vMerge/>
            <w:tcBorders>
              <w:left w:val="nil"/>
              <w:bottom w:val="single" w:sz="4" w:space="0" w:color="auto"/>
              <w:right w:val="single" w:sz="4" w:space="0" w:color="auto"/>
            </w:tcBorders>
            <w:shd w:val="clear" w:color="auto" w:fill="DEEAF6"/>
            <w:noWrap/>
            <w:vAlign w:val="center"/>
            <w:hideMark/>
          </w:tcPr>
          <w:p w14:paraId="464466FB" w14:textId="77777777" w:rsidR="002C253E" w:rsidRPr="002C253E" w:rsidRDefault="002C253E" w:rsidP="008349F0">
            <w:pPr>
              <w:spacing w:after="0"/>
              <w:ind w:firstLine="0"/>
              <w:jc w:val="center"/>
              <w:rPr>
                <w:rFonts w:eastAsia="Times New Roman" w:cs="Times New Roman"/>
                <w:sz w:val="18"/>
                <w:szCs w:val="18"/>
              </w:rPr>
            </w:pPr>
          </w:p>
        </w:tc>
        <w:tc>
          <w:tcPr>
            <w:tcW w:w="1275" w:type="dxa"/>
            <w:vMerge/>
            <w:tcBorders>
              <w:top w:val="nil"/>
              <w:left w:val="single" w:sz="4" w:space="0" w:color="auto"/>
              <w:bottom w:val="single" w:sz="4" w:space="0" w:color="000000"/>
              <w:right w:val="single" w:sz="4" w:space="0" w:color="auto"/>
            </w:tcBorders>
            <w:shd w:val="clear" w:color="auto" w:fill="DEEAF6"/>
            <w:vAlign w:val="center"/>
            <w:hideMark/>
          </w:tcPr>
          <w:p w14:paraId="492F7DC1" w14:textId="77777777" w:rsidR="002C253E" w:rsidRPr="002C253E" w:rsidRDefault="002C253E" w:rsidP="008349F0">
            <w:pPr>
              <w:spacing w:after="0"/>
              <w:ind w:firstLine="0"/>
              <w:jc w:val="center"/>
              <w:rPr>
                <w:rFonts w:eastAsia="Times New Roman" w:cs="Times New Roman"/>
                <w:sz w:val="18"/>
                <w:szCs w:val="18"/>
              </w:rPr>
            </w:pPr>
          </w:p>
        </w:tc>
        <w:tc>
          <w:tcPr>
            <w:tcW w:w="976" w:type="dxa"/>
            <w:vMerge/>
            <w:tcBorders>
              <w:left w:val="nil"/>
              <w:bottom w:val="single" w:sz="4" w:space="0" w:color="auto"/>
              <w:right w:val="single" w:sz="4" w:space="0" w:color="auto"/>
            </w:tcBorders>
            <w:shd w:val="clear" w:color="auto" w:fill="DEEAF6"/>
            <w:noWrap/>
            <w:vAlign w:val="center"/>
            <w:hideMark/>
          </w:tcPr>
          <w:p w14:paraId="3DF83566" w14:textId="77777777" w:rsidR="002C253E" w:rsidRPr="002C253E" w:rsidRDefault="002C253E" w:rsidP="008349F0">
            <w:pPr>
              <w:spacing w:after="0"/>
              <w:ind w:firstLine="0"/>
              <w:jc w:val="center"/>
              <w:rPr>
                <w:rFonts w:eastAsia="Times New Roman" w:cs="Times New Roman"/>
                <w:sz w:val="18"/>
                <w:szCs w:val="18"/>
              </w:rPr>
            </w:pPr>
          </w:p>
        </w:tc>
        <w:tc>
          <w:tcPr>
            <w:tcW w:w="1123" w:type="dxa"/>
            <w:vMerge/>
            <w:tcBorders>
              <w:left w:val="nil"/>
              <w:bottom w:val="single" w:sz="4" w:space="0" w:color="auto"/>
              <w:right w:val="single" w:sz="4" w:space="0" w:color="auto"/>
            </w:tcBorders>
            <w:shd w:val="clear" w:color="auto" w:fill="DEEAF6"/>
            <w:noWrap/>
            <w:vAlign w:val="center"/>
            <w:hideMark/>
          </w:tcPr>
          <w:p w14:paraId="76254D30" w14:textId="77777777" w:rsidR="002C253E" w:rsidRPr="002C253E" w:rsidRDefault="002C253E" w:rsidP="008349F0">
            <w:pPr>
              <w:spacing w:after="0"/>
              <w:ind w:firstLine="0"/>
              <w:jc w:val="center"/>
              <w:rPr>
                <w:rFonts w:eastAsia="Times New Roman" w:cs="Times New Roman"/>
                <w:sz w:val="18"/>
                <w:szCs w:val="18"/>
              </w:rPr>
            </w:pPr>
          </w:p>
        </w:tc>
        <w:tc>
          <w:tcPr>
            <w:tcW w:w="1188" w:type="dxa"/>
            <w:vMerge/>
            <w:tcBorders>
              <w:top w:val="nil"/>
              <w:left w:val="single" w:sz="4" w:space="0" w:color="auto"/>
              <w:bottom w:val="single" w:sz="4" w:space="0" w:color="000000"/>
              <w:right w:val="single" w:sz="4" w:space="0" w:color="auto"/>
            </w:tcBorders>
            <w:shd w:val="clear" w:color="auto" w:fill="DEEAF6"/>
            <w:vAlign w:val="center"/>
            <w:hideMark/>
          </w:tcPr>
          <w:p w14:paraId="100F210D" w14:textId="77777777" w:rsidR="002C253E" w:rsidRPr="002C253E" w:rsidRDefault="002C253E" w:rsidP="008349F0">
            <w:pPr>
              <w:spacing w:after="0"/>
              <w:ind w:firstLine="0"/>
              <w:jc w:val="center"/>
              <w:rPr>
                <w:rFonts w:eastAsia="Times New Roman" w:cs="Times New Roman"/>
                <w:sz w:val="18"/>
                <w:szCs w:val="18"/>
              </w:rPr>
            </w:pPr>
          </w:p>
        </w:tc>
        <w:tc>
          <w:tcPr>
            <w:tcW w:w="966" w:type="dxa"/>
            <w:vMerge/>
            <w:tcBorders>
              <w:left w:val="nil"/>
              <w:bottom w:val="single" w:sz="4" w:space="0" w:color="auto"/>
              <w:right w:val="single" w:sz="4" w:space="0" w:color="auto"/>
            </w:tcBorders>
            <w:shd w:val="clear" w:color="auto" w:fill="DEEAF6"/>
            <w:noWrap/>
            <w:vAlign w:val="center"/>
            <w:hideMark/>
          </w:tcPr>
          <w:p w14:paraId="2F73B7E1" w14:textId="77777777" w:rsidR="002C253E" w:rsidRPr="002C253E" w:rsidRDefault="002C253E" w:rsidP="008349F0">
            <w:pPr>
              <w:spacing w:after="0"/>
              <w:ind w:firstLine="0"/>
              <w:jc w:val="center"/>
              <w:rPr>
                <w:rFonts w:eastAsia="Times New Roman" w:cs="Times New Roman"/>
                <w:sz w:val="18"/>
                <w:szCs w:val="18"/>
              </w:rPr>
            </w:pPr>
          </w:p>
        </w:tc>
        <w:tc>
          <w:tcPr>
            <w:tcW w:w="1256" w:type="dxa"/>
            <w:vMerge/>
            <w:tcBorders>
              <w:left w:val="nil"/>
              <w:bottom w:val="single" w:sz="4" w:space="0" w:color="auto"/>
              <w:right w:val="single" w:sz="4" w:space="0" w:color="auto"/>
            </w:tcBorders>
            <w:shd w:val="clear" w:color="auto" w:fill="DEEAF6"/>
            <w:noWrap/>
            <w:vAlign w:val="center"/>
            <w:hideMark/>
          </w:tcPr>
          <w:p w14:paraId="05620982" w14:textId="77777777" w:rsidR="002C253E" w:rsidRPr="002C253E" w:rsidRDefault="002C253E" w:rsidP="008349F0">
            <w:pPr>
              <w:spacing w:after="0"/>
              <w:ind w:firstLine="0"/>
              <w:jc w:val="center"/>
              <w:rPr>
                <w:rFonts w:eastAsia="Times New Roman" w:cs="Times New Roman"/>
                <w:sz w:val="18"/>
                <w:szCs w:val="18"/>
              </w:rPr>
            </w:pPr>
          </w:p>
        </w:tc>
      </w:tr>
      <w:tr w:rsidR="002C253E" w:rsidRPr="002C253E" w14:paraId="25ACD777" w14:textId="77777777" w:rsidTr="008415BC">
        <w:trPr>
          <w:trHeight w:val="276"/>
          <w:jc w:val="center"/>
        </w:trPr>
        <w:tc>
          <w:tcPr>
            <w:tcW w:w="4111" w:type="dxa"/>
            <w:tcBorders>
              <w:top w:val="nil"/>
              <w:left w:val="single" w:sz="4" w:space="0" w:color="auto"/>
              <w:bottom w:val="single" w:sz="4" w:space="0" w:color="auto"/>
              <w:right w:val="single" w:sz="4" w:space="0" w:color="auto"/>
            </w:tcBorders>
            <w:shd w:val="clear" w:color="000000" w:fill="FFFFFF"/>
            <w:noWrap/>
            <w:vAlign w:val="center"/>
            <w:hideMark/>
          </w:tcPr>
          <w:p w14:paraId="103EBB90"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1</w:t>
            </w:r>
          </w:p>
        </w:tc>
        <w:tc>
          <w:tcPr>
            <w:tcW w:w="1308" w:type="dxa"/>
            <w:tcBorders>
              <w:top w:val="nil"/>
              <w:left w:val="nil"/>
              <w:bottom w:val="single" w:sz="4" w:space="0" w:color="auto"/>
              <w:right w:val="single" w:sz="4" w:space="0" w:color="auto"/>
            </w:tcBorders>
            <w:shd w:val="clear" w:color="auto" w:fill="auto"/>
            <w:noWrap/>
            <w:vAlign w:val="center"/>
            <w:hideMark/>
          </w:tcPr>
          <w:p w14:paraId="51AE422D"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2</w:t>
            </w:r>
          </w:p>
        </w:tc>
        <w:tc>
          <w:tcPr>
            <w:tcW w:w="1097" w:type="dxa"/>
            <w:tcBorders>
              <w:top w:val="nil"/>
              <w:left w:val="nil"/>
              <w:bottom w:val="single" w:sz="4" w:space="0" w:color="auto"/>
              <w:right w:val="single" w:sz="4" w:space="0" w:color="auto"/>
            </w:tcBorders>
            <w:shd w:val="clear" w:color="auto" w:fill="auto"/>
            <w:noWrap/>
            <w:vAlign w:val="center"/>
            <w:hideMark/>
          </w:tcPr>
          <w:p w14:paraId="252DA166"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3</w:t>
            </w:r>
          </w:p>
        </w:tc>
        <w:tc>
          <w:tcPr>
            <w:tcW w:w="1276" w:type="dxa"/>
            <w:tcBorders>
              <w:top w:val="nil"/>
              <w:left w:val="nil"/>
              <w:bottom w:val="single" w:sz="4" w:space="0" w:color="auto"/>
              <w:right w:val="single" w:sz="4" w:space="0" w:color="auto"/>
            </w:tcBorders>
            <w:shd w:val="clear" w:color="auto" w:fill="auto"/>
            <w:noWrap/>
            <w:vAlign w:val="center"/>
            <w:hideMark/>
          </w:tcPr>
          <w:p w14:paraId="629592DB"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4</w:t>
            </w:r>
          </w:p>
        </w:tc>
        <w:tc>
          <w:tcPr>
            <w:tcW w:w="1275" w:type="dxa"/>
            <w:tcBorders>
              <w:top w:val="nil"/>
              <w:left w:val="nil"/>
              <w:bottom w:val="single" w:sz="4" w:space="0" w:color="auto"/>
              <w:right w:val="single" w:sz="4" w:space="0" w:color="auto"/>
            </w:tcBorders>
            <w:shd w:val="clear" w:color="auto" w:fill="auto"/>
            <w:noWrap/>
            <w:vAlign w:val="center"/>
            <w:hideMark/>
          </w:tcPr>
          <w:p w14:paraId="1F2FBC5E"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5</w:t>
            </w:r>
          </w:p>
        </w:tc>
        <w:tc>
          <w:tcPr>
            <w:tcW w:w="976" w:type="dxa"/>
            <w:tcBorders>
              <w:top w:val="nil"/>
              <w:left w:val="nil"/>
              <w:bottom w:val="single" w:sz="4" w:space="0" w:color="auto"/>
              <w:right w:val="single" w:sz="4" w:space="0" w:color="auto"/>
            </w:tcBorders>
            <w:shd w:val="clear" w:color="auto" w:fill="auto"/>
            <w:noWrap/>
            <w:vAlign w:val="center"/>
            <w:hideMark/>
          </w:tcPr>
          <w:p w14:paraId="055A2FB4"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6</w:t>
            </w:r>
          </w:p>
        </w:tc>
        <w:tc>
          <w:tcPr>
            <w:tcW w:w="1123" w:type="dxa"/>
            <w:tcBorders>
              <w:top w:val="nil"/>
              <w:left w:val="nil"/>
              <w:bottom w:val="single" w:sz="4" w:space="0" w:color="auto"/>
              <w:right w:val="single" w:sz="4" w:space="0" w:color="auto"/>
            </w:tcBorders>
            <w:shd w:val="clear" w:color="auto" w:fill="auto"/>
            <w:noWrap/>
            <w:vAlign w:val="center"/>
            <w:hideMark/>
          </w:tcPr>
          <w:p w14:paraId="6FE4BFCA"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7</w:t>
            </w:r>
          </w:p>
        </w:tc>
        <w:tc>
          <w:tcPr>
            <w:tcW w:w="1188" w:type="dxa"/>
            <w:tcBorders>
              <w:top w:val="nil"/>
              <w:left w:val="nil"/>
              <w:bottom w:val="single" w:sz="4" w:space="0" w:color="auto"/>
              <w:right w:val="single" w:sz="4" w:space="0" w:color="auto"/>
            </w:tcBorders>
            <w:shd w:val="clear" w:color="auto" w:fill="auto"/>
            <w:noWrap/>
            <w:vAlign w:val="center"/>
            <w:hideMark/>
          </w:tcPr>
          <w:p w14:paraId="359E9973"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8</w:t>
            </w:r>
          </w:p>
        </w:tc>
        <w:tc>
          <w:tcPr>
            <w:tcW w:w="966" w:type="dxa"/>
            <w:tcBorders>
              <w:top w:val="nil"/>
              <w:left w:val="nil"/>
              <w:bottom w:val="single" w:sz="4" w:space="0" w:color="auto"/>
              <w:right w:val="single" w:sz="4" w:space="0" w:color="auto"/>
            </w:tcBorders>
            <w:shd w:val="clear" w:color="auto" w:fill="auto"/>
            <w:noWrap/>
            <w:vAlign w:val="center"/>
            <w:hideMark/>
          </w:tcPr>
          <w:p w14:paraId="2071AE5D"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9</w:t>
            </w:r>
          </w:p>
        </w:tc>
        <w:tc>
          <w:tcPr>
            <w:tcW w:w="1256" w:type="dxa"/>
            <w:tcBorders>
              <w:top w:val="nil"/>
              <w:left w:val="nil"/>
              <w:bottom w:val="single" w:sz="4" w:space="0" w:color="auto"/>
              <w:right w:val="single" w:sz="4" w:space="0" w:color="auto"/>
            </w:tcBorders>
            <w:shd w:val="clear" w:color="auto" w:fill="auto"/>
            <w:noWrap/>
            <w:vAlign w:val="center"/>
            <w:hideMark/>
          </w:tcPr>
          <w:p w14:paraId="443AFA9B"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10</w:t>
            </w:r>
          </w:p>
        </w:tc>
      </w:tr>
      <w:tr w:rsidR="002C253E" w:rsidRPr="002C253E" w14:paraId="249C7CA9" w14:textId="77777777" w:rsidTr="008415BC">
        <w:trPr>
          <w:trHeight w:val="276"/>
          <w:jc w:val="center"/>
        </w:trPr>
        <w:tc>
          <w:tcPr>
            <w:tcW w:w="41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2AAD2" w14:textId="77777777" w:rsidR="002C253E" w:rsidRPr="002C253E" w:rsidRDefault="002C253E" w:rsidP="008349F0">
            <w:pPr>
              <w:spacing w:after="0"/>
              <w:ind w:firstLine="0"/>
              <w:jc w:val="left"/>
              <w:rPr>
                <w:rFonts w:eastAsia="Times New Roman" w:cs="Times New Roman"/>
                <w:sz w:val="18"/>
                <w:szCs w:val="18"/>
              </w:rPr>
            </w:pPr>
            <w:r w:rsidRPr="002C253E">
              <w:rPr>
                <w:rFonts w:eastAsia="Calibri" w:cs="Times New Roman"/>
                <w:sz w:val="18"/>
                <w:szCs w:val="18"/>
                <w:lang w:eastAsia="en-US"/>
              </w:rPr>
              <w:t>Izdienas pensijas</w:t>
            </w:r>
          </w:p>
        </w:tc>
        <w:tc>
          <w:tcPr>
            <w:tcW w:w="1308" w:type="dxa"/>
            <w:tcBorders>
              <w:top w:val="single" w:sz="4" w:space="0" w:color="auto"/>
              <w:left w:val="nil"/>
              <w:bottom w:val="single" w:sz="4" w:space="0" w:color="auto"/>
              <w:right w:val="single" w:sz="4" w:space="0" w:color="auto"/>
            </w:tcBorders>
            <w:shd w:val="clear" w:color="000000" w:fill="FFFFFF"/>
            <w:noWrap/>
            <w:vAlign w:val="center"/>
            <w:hideMark/>
          </w:tcPr>
          <w:p w14:paraId="16F03C25"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833,08</w:t>
            </w:r>
          </w:p>
        </w:tc>
        <w:tc>
          <w:tcPr>
            <w:tcW w:w="1097" w:type="dxa"/>
            <w:tcBorders>
              <w:top w:val="single" w:sz="4" w:space="0" w:color="auto"/>
              <w:left w:val="nil"/>
              <w:bottom w:val="single" w:sz="4" w:space="0" w:color="auto"/>
              <w:right w:val="single" w:sz="4" w:space="0" w:color="auto"/>
            </w:tcBorders>
            <w:shd w:val="clear" w:color="000000" w:fill="FFFFFF"/>
            <w:noWrap/>
            <w:vAlign w:val="center"/>
            <w:hideMark/>
          </w:tcPr>
          <w:p w14:paraId="194002A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10 805</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47B37945"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108 016 786</w:t>
            </w:r>
          </w:p>
        </w:tc>
        <w:tc>
          <w:tcPr>
            <w:tcW w:w="1275" w:type="dxa"/>
            <w:tcBorders>
              <w:top w:val="single" w:sz="4" w:space="0" w:color="auto"/>
              <w:left w:val="nil"/>
              <w:bottom w:val="single" w:sz="4" w:space="0" w:color="auto"/>
              <w:right w:val="single" w:sz="4" w:space="0" w:color="auto"/>
            </w:tcBorders>
            <w:shd w:val="clear" w:color="000000" w:fill="FFFFFF"/>
            <w:noWrap/>
            <w:vAlign w:val="center"/>
            <w:hideMark/>
          </w:tcPr>
          <w:p w14:paraId="4B401E6A"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879,98</w:t>
            </w:r>
          </w:p>
        </w:tc>
        <w:tc>
          <w:tcPr>
            <w:tcW w:w="976" w:type="dxa"/>
            <w:tcBorders>
              <w:top w:val="single" w:sz="4" w:space="0" w:color="auto"/>
              <w:left w:val="nil"/>
              <w:bottom w:val="single" w:sz="4" w:space="0" w:color="auto"/>
              <w:right w:val="nil"/>
            </w:tcBorders>
            <w:shd w:val="clear" w:color="000000" w:fill="FFFFFF"/>
            <w:noWrap/>
            <w:vAlign w:val="center"/>
            <w:hideMark/>
          </w:tcPr>
          <w:p w14:paraId="75DB93E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11 231</w:t>
            </w:r>
          </w:p>
        </w:tc>
        <w:tc>
          <w:tcPr>
            <w:tcW w:w="1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C53AF8"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118 596 552</w:t>
            </w:r>
          </w:p>
        </w:tc>
        <w:tc>
          <w:tcPr>
            <w:tcW w:w="1188" w:type="dxa"/>
            <w:tcBorders>
              <w:top w:val="single" w:sz="4" w:space="0" w:color="auto"/>
              <w:left w:val="nil"/>
              <w:bottom w:val="single" w:sz="4" w:space="0" w:color="auto"/>
              <w:right w:val="single" w:sz="4" w:space="0" w:color="auto"/>
            </w:tcBorders>
            <w:shd w:val="clear" w:color="000000" w:fill="FFFFFF"/>
            <w:noWrap/>
            <w:vAlign w:val="center"/>
            <w:hideMark/>
          </w:tcPr>
          <w:p w14:paraId="4073E4EE"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917,99</w:t>
            </w:r>
          </w:p>
        </w:tc>
        <w:tc>
          <w:tcPr>
            <w:tcW w:w="966" w:type="dxa"/>
            <w:tcBorders>
              <w:top w:val="single" w:sz="4" w:space="0" w:color="auto"/>
              <w:left w:val="nil"/>
              <w:bottom w:val="single" w:sz="4" w:space="0" w:color="auto"/>
              <w:right w:val="single" w:sz="4" w:space="0" w:color="auto"/>
            </w:tcBorders>
            <w:shd w:val="clear" w:color="000000" w:fill="FFFFFF"/>
            <w:noWrap/>
            <w:vAlign w:val="center"/>
            <w:hideMark/>
          </w:tcPr>
          <w:p w14:paraId="3922581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11 717</w:t>
            </w:r>
          </w:p>
        </w:tc>
        <w:tc>
          <w:tcPr>
            <w:tcW w:w="1256" w:type="dxa"/>
            <w:tcBorders>
              <w:top w:val="single" w:sz="4" w:space="0" w:color="auto"/>
              <w:left w:val="nil"/>
              <w:bottom w:val="single" w:sz="4" w:space="0" w:color="auto"/>
              <w:right w:val="single" w:sz="4" w:space="0" w:color="auto"/>
            </w:tcBorders>
            <w:shd w:val="clear" w:color="000000" w:fill="FFFFFF"/>
            <w:noWrap/>
            <w:vAlign w:val="center"/>
            <w:hideMark/>
          </w:tcPr>
          <w:p w14:paraId="7599B408"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129 073 174</w:t>
            </w:r>
          </w:p>
        </w:tc>
      </w:tr>
      <w:tr w:rsidR="002C253E" w:rsidRPr="002C253E" w14:paraId="654AFC56" w14:textId="77777777" w:rsidTr="008415BC">
        <w:trPr>
          <w:trHeight w:val="276"/>
          <w:jc w:val="center"/>
        </w:trPr>
        <w:tc>
          <w:tcPr>
            <w:tcW w:w="4111" w:type="dxa"/>
            <w:tcBorders>
              <w:top w:val="nil"/>
              <w:left w:val="single" w:sz="4" w:space="0" w:color="auto"/>
              <w:bottom w:val="single" w:sz="4" w:space="0" w:color="auto"/>
              <w:right w:val="nil"/>
            </w:tcBorders>
            <w:shd w:val="clear" w:color="000000" w:fill="FFFFFF"/>
            <w:vAlign w:val="center"/>
            <w:hideMark/>
          </w:tcPr>
          <w:p w14:paraId="22672CA6"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Apbedīšanas pabalsts, ja miris izdienas pensijas saņēmējs</w:t>
            </w:r>
          </w:p>
        </w:tc>
        <w:tc>
          <w:tcPr>
            <w:tcW w:w="1308" w:type="dxa"/>
            <w:tcBorders>
              <w:top w:val="nil"/>
              <w:left w:val="single" w:sz="4" w:space="0" w:color="auto"/>
              <w:bottom w:val="single" w:sz="4" w:space="0" w:color="auto"/>
              <w:right w:val="single" w:sz="4" w:space="0" w:color="auto"/>
            </w:tcBorders>
            <w:shd w:val="clear" w:color="000000" w:fill="FFFFFF"/>
            <w:noWrap/>
            <w:vAlign w:val="center"/>
            <w:hideMark/>
          </w:tcPr>
          <w:p w14:paraId="6B289A31"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1 157,33</w:t>
            </w:r>
          </w:p>
        </w:tc>
        <w:tc>
          <w:tcPr>
            <w:tcW w:w="1097" w:type="dxa"/>
            <w:tcBorders>
              <w:top w:val="nil"/>
              <w:left w:val="nil"/>
              <w:bottom w:val="single" w:sz="4" w:space="0" w:color="auto"/>
              <w:right w:val="single" w:sz="4" w:space="0" w:color="auto"/>
            </w:tcBorders>
            <w:shd w:val="clear" w:color="000000" w:fill="FFFFFF"/>
            <w:noWrap/>
            <w:vAlign w:val="center"/>
            <w:hideMark/>
          </w:tcPr>
          <w:p w14:paraId="0FB04B5B"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w:t>
            </w:r>
          </w:p>
        </w:tc>
        <w:tc>
          <w:tcPr>
            <w:tcW w:w="1276" w:type="dxa"/>
            <w:tcBorders>
              <w:top w:val="nil"/>
              <w:left w:val="nil"/>
              <w:bottom w:val="single" w:sz="4" w:space="0" w:color="auto"/>
              <w:right w:val="single" w:sz="4" w:space="0" w:color="auto"/>
            </w:tcBorders>
            <w:shd w:val="clear" w:color="000000" w:fill="FFFFFF"/>
            <w:noWrap/>
            <w:vAlign w:val="center"/>
            <w:hideMark/>
          </w:tcPr>
          <w:p w14:paraId="794797C7"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69 440</w:t>
            </w:r>
          </w:p>
        </w:tc>
        <w:tc>
          <w:tcPr>
            <w:tcW w:w="1275" w:type="dxa"/>
            <w:tcBorders>
              <w:top w:val="nil"/>
              <w:left w:val="nil"/>
              <w:bottom w:val="single" w:sz="4" w:space="0" w:color="auto"/>
              <w:right w:val="single" w:sz="4" w:space="0" w:color="auto"/>
            </w:tcBorders>
            <w:shd w:val="clear" w:color="000000" w:fill="FFFFFF"/>
            <w:noWrap/>
            <w:vAlign w:val="center"/>
            <w:hideMark/>
          </w:tcPr>
          <w:p w14:paraId="4A96B690"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1 204,25</w:t>
            </w:r>
          </w:p>
        </w:tc>
        <w:tc>
          <w:tcPr>
            <w:tcW w:w="976" w:type="dxa"/>
            <w:tcBorders>
              <w:top w:val="nil"/>
              <w:left w:val="nil"/>
              <w:bottom w:val="single" w:sz="4" w:space="0" w:color="auto"/>
              <w:right w:val="single" w:sz="4" w:space="0" w:color="auto"/>
            </w:tcBorders>
            <w:shd w:val="clear" w:color="000000" w:fill="FFFFFF"/>
            <w:noWrap/>
            <w:vAlign w:val="center"/>
            <w:hideMark/>
          </w:tcPr>
          <w:p w14:paraId="12E6832A"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w:t>
            </w:r>
          </w:p>
        </w:tc>
        <w:tc>
          <w:tcPr>
            <w:tcW w:w="1123" w:type="dxa"/>
            <w:tcBorders>
              <w:top w:val="nil"/>
              <w:left w:val="nil"/>
              <w:bottom w:val="single" w:sz="4" w:space="0" w:color="auto"/>
              <w:right w:val="single" w:sz="4" w:space="0" w:color="auto"/>
            </w:tcBorders>
            <w:shd w:val="clear" w:color="000000" w:fill="FFFFFF"/>
            <w:noWrap/>
            <w:vAlign w:val="center"/>
            <w:hideMark/>
          </w:tcPr>
          <w:p w14:paraId="3042955C"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72 255</w:t>
            </w:r>
          </w:p>
        </w:tc>
        <w:tc>
          <w:tcPr>
            <w:tcW w:w="1188" w:type="dxa"/>
            <w:tcBorders>
              <w:top w:val="nil"/>
              <w:left w:val="nil"/>
              <w:bottom w:val="single" w:sz="4" w:space="0" w:color="auto"/>
              <w:right w:val="single" w:sz="4" w:space="0" w:color="auto"/>
            </w:tcBorders>
            <w:shd w:val="clear" w:color="000000" w:fill="FFFFFF"/>
            <w:noWrap/>
            <w:vAlign w:val="center"/>
            <w:hideMark/>
          </w:tcPr>
          <w:p w14:paraId="0568BF9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1 252,63</w:t>
            </w:r>
          </w:p>
        </w:tc>
        <w:tc>
          <w:tcPr>
            <w:tcW w:w="966" w:type="dxa"/>
            <w:tcBorders>
              <w:top w:val="nil"/>
              <w:left w:val="nil"/>
              <w:bottom w:val="single" w:sz="4" w:space="0" w:color="auto"/>
              <w:right w:val="single" w:sz="4" w:space="0" w:color="auto"/>
            </w:tcBorders>
            <w:shd w:val="clear" w:color="000000" w:fill="FFFFFF"/>
            <w:noWrap/>
            <w:vAlign w:val="center"/>
            <w:hideMark/>
          </w:tcPr>
          <w:p w14:paraId="1E8BD808"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w:t>
            </w:r>
          </w:p>
        </w:tc>
        <w:tc>
          <w:tcPr>
            <w:tcW w:w="1256" w:type="dxa"/>
            <w:tcBorders>
              <w:top w:val="nil"/>
              <w:left w:val="nil"/>
              <w:bottom w:val="single" w:sz="4" w:space="0" w:color="auto"/>
              <w:right w:val="single" w:sz="4" w:space="0" w:color="auto"/>
            </w:tcBorders>
            <w:shd w:val="clear" w:color="000000" w:fill="FFFFFF"/>
            <w:noWrap/>
            <w:vAlign w:val="center"/>
            <w:hideMark/>
          </w:tcPr>
          <w:p w14:paraId="75EB7741"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75 158</w:t>
            </w:r>
          </w:p>
        </w:tc>
      </w:tr>
      <w:tr w:rsidR="002C253E" w:rsidRPr="002C253E" w14:paraId="18345694" w14:textId="77777777" w:rsidTr="008415BC">
        <w:trPr>
          <w:trHeight w:val="528"/>
          <w:jc w:val="center"/>
        </w:trPr>
        <w:tc>
          <w:tcPr>
            <w:tcW w:w="4111" w:type="dxa"/>
            <w:tcBorders>
              <w:top w:val="nil"/>
              <w:left w:val="single" w:sz="4" w:space="0" w:color="auto"/>
              <w:bottom w:val="single" w:sz="4" w:space="0" w:color="auto"/>
              <w:right w:val="nil"/>
            </w:tcBorders>
            <w:shd w:val="clear" w:color="000000" w:fill="FFFFFF"/>
            <w:vAlign w:val="center"/>
            <w:hideMark/>
          </w:tcPr>
          <w:p w14:paraId="08BF55AC"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Pabalsts izdienas pensijas saņēmēja nāves gadījumā pārdzīvojušajam laulātajam</w:t>
            </w:r>
          </w:p>
        </w:tc>
        <w:tc>
          <w:tcPr>
            <w:tcW w:w="1308" w:type="dxa"/>
            <w:tcBorders>
              <w:top w:val="nil"/>
              <w:left w:val="single" w:sz="4" w:space="0" w:color="auto"/>
              <w:bottom w:val="single" w:sz="4" w:space="0" w:color="auto"/>
              <w:right w:val="single" w:sz="4" w:space="0" w:color="auto"/>
            </w:tcBorders>
            <w:shd w:val="clear" w:color="000000" w:fill="FFFFFF"/>
            <w:noWrap/>
            <w:vAlign w:val="center"/>
            <w:hideMark/>
          </w:tcPr>
          <w:p w14:paraId="2F46669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1 157,33</w:t>
            </w:r>
          </w:p>
        </w:tc>
        <w:tc>
          <w:tcPr>
            <w:tcW w:w="1097" w:type="dxa"/>
            <w:tcBorders>
              <w:top w:val="nil"/>
              <w:left w:val="nil"/>
              <w:bottom w:val="single" w:sz="4" w:space="0" w:color="auto"/>
              <w:right w:val="single" w:sz="4" w:space="0" w:color="auto"/>
            </w:tcBorders>
            <w:shd w:val="clear" w:color="000000" w:fill="FFFFFF"/>
            <w:noWrap/>
            <w:vAlign w:val="center"/>
            <w:hideMark/>
          </w:tcPr>
          <w:p w14:paraId="3AD9ECFF"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w:t>
            </w:r>
          </w:p>
        </w:tc>
        <w:tc>
          <w:tcPr>
            <w:tcW w:w="1276" w:type="dxa"/>
            <w:tcBorders>
              <w:top w:val="nil"/>
              <w:left w:val="nil"/>
              <w:bottom w:val="single" w:sz="4" w:space="0" w:color="auto"/>
              <w:right w:val="single" w:sz="4" w:space="0" w:color="auto"/>
            </w:tcBorders>
            <w:shd w:val="clear" w:color="000000" w:fill="FFFFFF"/>
            <w:noWrap/>
            <w:vAlign w:val="center"/>
            <w:hideMark/>
          </w:tcPr>
          <w:p w14:paraId="5565B31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13 888</w:t>
            </w:r>
          </w:p>
        </w:tc>
        <w:tc>
          <w:tcPr>
            <w:tcW w:w="1275" w:type="dxa"/>
            <w:tcBorders>
              <w:top w:val="nil"/>
              <w:left w:val="nil"/>
              <w:bottom w:val="single" w:sz="4" w:space="0" w:color="auto"/>
              <w:right w:val="single" w:sz="4" w:space="0" w:color="auto"/>
            </w:tcBorders>
            <w:shd w:val="clear" w:color="000000" w:fill="FFFFFF"/>
            <w:noWrap/>
            <w:vAlign w:val="center"/>
            <w:hideMark/>
          </w:tcPr>
          <w:p w14:paraId="3993C1D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1 204,25</w:t>
            </w:r>
          </w:p>
        </w:tc>
        <w:tc>
          <w:tcPr>
            <w:tcW w:w="976" w:type="dxa"/>
            <w:tcBorders>
              <w:top w:val="nil"/>
              <w:left w:val="nil"/>
              <w:bottom w:val="single" w:sz="4" w:space="0" w:color="auto"/>
              <w:right w:val="single" w:sz="4" w:space="0" w:color="auto"/>
            </w:tcBorders>
            <w:shd w:val="clear" w:color="000000" w:fill="FFFFFF"/>
            <w:noWrap/>
            <w:vAlign w:val="center"/>
            <w:hideMark/>
          </w:tcPr>
          <w:p w14:paraId="747FF1BA"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w:t>
            </w:r>
          </w:p>
        </w:tc>
        <w:tc>
          <w:tcPr>
            <w:tcW w:w="1123" w:type="dxa"/>
            <w:tcBorders>
              <w:top w:val="nil"/>
              <w:left w:val="nil"/>
              <w:bottom w:val="nil"/>
              <w:right w:val="single" w:sz="4" w:space="0" w:color="auto"/>
            </w:tcBorders>
            <w:shd w:val="clear" w:color="000000" w:fill="FFFFFF"/>
            <w:noWrap/>
            <w:vAlign w:val="center"/>
            <w:hideMark/>
          </w:tcPr>
          <w:p w14:paraId="6B69553E"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14 451</w:t>
            </w:r>
          </w:p>
        </w:tc>
        <w:tc>
          <w:tcPr>
            <w:tcW w:w="1188" w:type="dxa"/>
            <w:tcBorders>
              <w:top w:val="nil"/>
              <w:left w:val="nil"/>
              <w:bottom w:val="single" w:sz="4" w:space="0" w:color="auto"/>
              <w:right w:val="single" w:sz="4" w:space="0" w:color="auto"/>
            </w:tcBorders>
            <w:shd w:val="clear" w:color="000000" w:fill="FFFFFF"/>
            <w:noWrap/>
            <w:vAlign w:val="center"/>
            <w:hideMark/>
          </w:tcPr>
          <w:p w14:paraId="42F82249"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1 252,75</w:t>
            </w:r>
          </w:p>
        </w:tc>
        <w:tc>
          <w:tcPr>
            <w:tcW w:w="966" w:type="dxa"/>
            <w:tcBorders>
              <w:top w:val="nil"/>
              <w:left w:val="nil"/>
              <w:bottom w:val="single" w:sz="4" w:space="0" w:color="auto"/>
              <w:right w:val="single" w:sz="4" w:space="0" w:color="auto"/>
            </w:tcBorders>
            <w:shd w:val="clear" w:color="000000" w:fill="FFFFFF"/>
            <w:noWrap/>
            <w:vAlign w:val="center"/>
            <w:hideMark/>
          </w:tcPr>
          <w:p w14:paraId="4448209D"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w:t>
            </w:r>
          </w:p>
        </w:tc>
        <w:tc>
          <w:tcPr>
            <w:tcW w:w="1256" w:type="dxa"/>
            <w:tcBorders>
              <w:top w:val="nil"/>
              <w:left w:val="nil"/>
              <w:bottom w:val="single" w:sz="4" w:space="0" w:color="auto"/>
              <w:right w:val="single" w:sz="4" w:space="0" w:color="auto"/>
            </w:tcBorders>
            <w:shd w:val="clear" w:color="000000" w:fill="FFFFFF"/>
            <w:noWrap/>
            <w:vAlign w:val="center"/>
            <w:hideMark/>
          </w:tcPr>
          <w:p w14:paraId="1E17F590"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15 033</w:t>
            </w:r>
          </w:p>
        </w:tc>
      </w:tr>
      <w:tr w:rsidR="002C253E" w:rsidRPr="002C253E" w14:paraId="7BEE97D0" w14:textId="77777777" w:rsidTr="008415BC">
        <w:trPr>
          <w:trHeight w:val="1010"/>
          <w:jc w:val="center"/>
        </w:trPr>
        <w:tc>
          <w:tcPr>
            <w:tcW w:w="4111" w:type="dxa"/>
            <w:tcBorders>
              <w:top w:val="nil"/>
              <w:left w:val="single" w:sz="4" w:space="0" w:color="auto"/>
              <w:bottom w:val="single" w:sz="4" w:space="0" w:color="auto"/>
              <w:right w:val="nil"/>
            </w:tcBorders>
            <w:shd w:val="clear" w:color="000000" w:fill="FFFFFF"/>
            <w:vAlign w:val="center"/>
            <w:hideMark/>
          </w:tcPr>
          <w:p w14:paraId="2AEA2743" w14:textId="77777777" w:rsidR="002C253E" w:rsidRPr="002C253E" w:rsidRDefault="002C253E" w:rsidP="008349F0">
            <w:pPr>
              <w:spacing w:after="0"/>
              <w:ind w:firstLine="0"/>
              <w:jc w:val="left"/>
              <w:rPr>
                <w:rFonts w:eastAsia="Times New Roman" w:cs="Times New Roman"/>
                <w:sz w:val="18"/>
                <w:szCs w:val="18"/>
                <w:highlight w:val="lightGray"/>
              </w:rPr>
            </w:pPr>
            <w:r w:rsidRPr="002C253E">
              <w:rPr>
                <w:rFonts w:eastAsia="Calibri" w:cs="Times New Roman"/>
                <w:sz w:val="18"/>
                <w:szCs w:val="18"/>
                <w:lang w:eastAsia="en-US"/>
              </w:rPr>
              <w:t xml:space="preserve">Piemaksas pie vecuma pensijām, lai saglabātu piešķirto izdienas pensijas apmēru tām personām, kurām izdienas pensijas piešķirtas saskaņā ar nolikumu "Par </w:t>
            </w:r>
            <w:proofErr w:type="spellStart"/>
            <w:r w:rsidRPr="002C253E">
              <w:rPr>
                <w:rFonts w:eastAsia="Calibri" w:cs="Times New Roman"/>
                <w:sz w:val="18"/>
                <w:szCs w:val="18"/>
                <w:lang w:eastAsia="en-US"/>
              </w:rPr>
              <w:t>iekšlietu</w:t>
            </w:r>
            <w:proofErr w:type="spellEnd"/>
            <w:r w:rsidRPr="002C253E">
              <w:rPr>
                <w:rFonts w:eastAsia="Calibri" w:cs="Times New Roman"/>
                <w:sz w:val="18"/>
                <w:szCs w:val="18"/>
                <w:lang w:eastAsia="en-US"/>
              </w:rPr>
              <w:t xml:space="preserve"> iestāžu ierindas un komandējošā sastāva darbinieku pensijām (darba devēju pensijām)"</w:t>
            </w:r>
          </w:p>
        </w:tc>
        <w:tc>
          <w:tcPr>
            <w:tcW w:w="1308" w:type="dxa"/>
            <w:tcBorders>
              <w:top w:val="nil"/>
              <w:left w:val="single" w:sz="4" w:space="0" w:color="auto"/>
              <w:bottom w:val="single" w:sz="4" w:space="0" w:color="auto"/>
              <w:right w:val="single" w:sz="4" w:space="0" w:color="auto"/>
            </w:tcBorders>
            <w:shd w:val="clear" w:color="000000" w:fill="FFFFFF"/>
            <w:noWrap/>
            <w:vAlign w:val="center"/>
            <w:hideMark/>
          </w:tcPr>
          <w:p w14:paraId="73F0F15B"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168,92</w:t>
            </w:r>
          </w:p>
        </w:tc>
        <w:tc>
          <w:tcPr>
            <w:tcW w:w="1097" w:type="dxa"/>
            <w:tcBorders>
              <w:top w:val="nil"/>
              <w:left w:val="nil"/>
              <w:bottom w:val="single" w:sz="4" w:space="0" w:color="auto"/>
              <w:right w:val="single" w:sz="4" w:space="0" w:color="auto"/>
            </w:tcBorders>
            <w:shd w:val="clear" w:color="000000" w:fill="FFFFFF"/>
            <w:noWrap/>
            <w:vAlign w:val="center"/>
            <w:hideMark/>
          </w:tcPr>
          <w:p w14:paraId="7D681CDA"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22</w:t>
            </w:r>
          </w:p>
        </w:tc>
        <w:tc>
          <w:tcPr>
            <w:tcW w:w="1276" w:type="dxa"/>
            <w:tcBorders>
              <w:top w:val="nil"/>
              <w:left w:val="nil"/>
              <w:bottom w:val="single" w:sz="4" w:space="0" w:color="auto"/>
              <w:right w:val="single" w:sz="4" w:space="0" w:color="auto"/>
            </w:tcBorders>
            <w:shd w:val="clear" w:color="000000" w:fill="FFFFFF"/>
            <w:noWrap/>
            <w:vAlign w:val="center"/>
            <w:hideMark/>
          </w:tcPr>
          <w:p w14:paraId="1E27CD8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44 596</w:t>
            </w:r>
          </w:p>
        </w:tc>
        <w:tc>
          <w:tcPr>
            <w:tcW w:w="1275" w:type="dxa"/>
            <w:tcBorders>
              <w:top w:val="nil"/>
              <w:left w:val="nil"/>
              <w:bottom w:val="single" w:sz="4" w:space="0" w:color="auto"/>
              <w:right w:val="single" w:sz="4" w:space="0" w:color="auto"/>
            </w:tcBorders>
            <w:shd w:val="clear" w:color="000000" w:fill="FFFFFF"/>
            <w:noWrap/>
            <w:vAlign w:val="center"/>
            <w:hideMark/>
          </w:tcPr>
          <w:p w14:paraId="7803C6D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178,44</w:t>
            </w:r>
          </w:p>
        </w:tc>
        <w:tc>
          <w:tcPr>
            <w:tcW w:w="976" w:type="dxa"/>
            <w:tcBorders>
              <w:top w:val="nil"/>
              <w:left w:val="nil"/>
              <w:bottom w:val="single" w:sz="4" w:space="0" w:color="auto"/>
              <w:right w:val="single" w:sz="4" w:space="0" w:color="auto"/>
            </w:tcBorders>
            <w:shd w:val="clear" w:color="000000" w:fill="FFFFFF"/>
            <w:noWrap/>
            <w:vAlign w:val="center"/>
            <w:hideMark/>
          </w:tcPr>
          <w:p w14:paraId="43F14043"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22</w:t>
            </w:r>
          </w:p>
        </w:tc>
        <w:tc>
          <w:tcPr>
            <w:tcW w:w="1123" w:type="dxa"/>
            <w:tcBorders>
              <w:top w:val="single" w:sz="4" w:space="0" w:color="auto"/>
              <w:left w:val="nil"/>
              <w:bottom w:val="single" w:sz="4" w:space="0" w:color="auto"/>
              <w:right w:val="single" w:sz="4" w:space="0" w:color="auto"/>
            </w:tcBorders>
            <w:shd w:val="clear" w:color="000000" w:fill="FFFFFF"/>
            <w:noWrap/>
            <w:vAlign w:val="center"/>
            <w:hideMark/>
          </w:tcPr>
          <w:p w14:paraId="193B2FD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47 108</w:t>
            </w:r>
          </w:p>
        </w:tc>
        <w:tc>
          <w:tcPr>
            <w:tcW w:w="1188" w:type="dxa"/>
            <w:tcBorders>
              <w:top w:val="nil"/>
              <w:left w:val="nil"/>
              <w:bottom w:val="nil"/>
              <w:right w:val="single" w:sz="4" w:space="0" w:color="auto"/>
            </w:tcBorders>
            <w:shd w:val="clear" w:color="000000" w:fill="FFFFFF"/>
            <w:noWrap/>
            <w:vAlign w:val="center"/>
            <w:hideMark/>
          </w:tcPr>
          <w:p w14:paraId="0EA83636"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186,13</w:t>
            </w:r>
          </w:p>
        </w:tc>
        <w:tc>
          <w:tcPr>
            <w:tcW w:w="966" w:type="dxa"/>
            <w:tcBorders>
              <w:top w:val="nil"/>
              <w:left w:val="nil"/>
              <w:bottom w:val="nil"/>
              <w:right w:val="single" w:sz="4" w:space="0" w:color="auto"/>
            </w:tcBorders>
            <w:shd w:val="clear" w:color="000000" w:fill="FFFFFF"/>
            <w:noWrap/>
            <w:vAlign w:val="center"/>
            <w:hideMark/>
          </w:tcPr>
          <w:p w14:paraId="663471EF"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22</w:t>
            </w:r>
          </w:p>
        </w:tc>
        <w:tc>
          <w:tcPr>
            <w:tcW w:w="1256" w:type="dxa"/>
            <w:tcBorders>
              <w:top w:val="nil"/>
              <w:left w:val="nil"/>
              <w:bottom w:val="nil"/>
              <w:right w:val="single" w:sz="4" w:space="0" w:color="auto"/>
            </w:tcBorders>
            <w:shd w:val="clear" w:color="000000" w:fill="FFFFFF"/>
            <w:noWrap/>
            <w:vAlign w:val="center"/>
            <w:hideMark/>
          </w:tcPr>
          <w:p w14:paraId="0503C022" w14:textId="77777777" w:rsidR="002C253E" w:rsidRPr="002C253E" w:rsidRDefault="002C253E" w:rsidP="008349F0">
            <w:pPr>
              <w:spacing w:after="0"/>
              <w:ind w:firstLine="0"/>
              <w:jc w:val="center"/>
              <w:rPr>
                <w:rFonts w:eastAsia="Times New Roman" w:cs="Times New Roman"/>
                <w:sz w:val="18"/>
                <w:szCs w:val="18"/>
                <w:highlight w:val="lightGray"/>
              </w:rPr>
            </w:pPr>
            <w:r w:rsidRPr="002C253E">
              <w:rPr>
                <w:rFonts w:eastAsia="Calibri" w:cs="Times New Roman"/>
                <w:sz w:val="18"/>
                <w:szCs w:val="18"/>
                <w:lang w:eastAsia="en-US"/>
              </w:rPr>
              <w:t>49 138</w:t>
            </w:r>
          </w:p>
        </w:tc>
      </w:tr>
      <w:tr w:rsidR="002C253E" w:rsidRPr="002C253E" w14:paraId="1B609BDC" w14:textId="77777777" w:rsidTr="008415BC">
        <w:trPr>
          <w:trHeight w:val="276"/>
          <w:jc w:val="center"/>
        </w:trPr>
        <w:tc>
          <w:tcPr>
            <w:tcW w:w="411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30100"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KOPĀ</w:t>
            </w:r>
          </w:p>
        </w:tc>
        <w:tc>
          <w:tcPr>
            <w:tcW w:w="1308" w:type="dxa"/>
            <w:tcBorders>
              <w:top w:val="nil"/>
              <w:left w:val="nil"/>
              <w:bottom w:val="single" w:sz="4" w:space="0" w:color="auto"/>
              <w:right w:val="single" w:sz="4" w:space="0" w:color="auto"/>
            </w:tcBorders>
            <w:shd w:val="clear" w:color="000000" w:fill="FFFFFF"/>
            <w:noWrap/>
            <w:vAlign w:val="center"/>
            <w:hideMark/>
          </w:tcPr>
          <w:p w14:paraId="248A08FC"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1097" w:type="dxa"/>
            <w:tcBorders>
              <w:top w:val="nil"/>
              <w:left w:val="nil"/>
              <w:bottom w:val="single" w:sz="4" w:space="0" w:color="auto"/>
              <w:right w:val="single" w:sz="4" w:space="0" w:color="auto"/>
            </w:tcBorders>
            <w:shd w:val="clear" w:color="000000" w:fill="FFFFFF"/>
            <w:noWrap/>
            <w:vAlign w:val="center"/>
            <w:hideMark/>
          </w:tcPr>
          <w:p w14:paraId="5E8776EC"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1276" w:type="dxa"/>
            <w:tcBorders>
              <w:top w:val="nil"/>
              <w:left w:val="nil"/>
              <w:bottom w:val="single" w:sz="4" w:space="0" w:color="auto"/>
              <w:right w:val="single" w:sz="4" w:space="0" w:color="auto"/>
            </w:tcBorders>
            <w:shd w:val="clear" w:color="000000" w:fill="FFFFFF"/>
            <w:noWrap/>
            <w:vAlign w:val="center"/>
            <w:hideMark/>
          </w:tcPr>
          <w:p w14:paraId="0DEA319A"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108 144 710</w:t>
            </w:r>
          </w:p>
        </w:tc>
        <w:tc>
          <w:tcPr>
            <w:tcW w:w="1275" w:type="dxa"/>
            <w:tcBorders>
              <w:top w:val="nil"/>
              <w:left w:val="nil"/>
              <w:bottom w:val="single" w:sz="4" w:space="0" w:color="auto"/>
              <w:right w:val="single" w:sz="4" w:space="0" w:color="auto"/>
            </w:tcBorders>
            <w:shd w:val="clear" w:color="000000" w:fill="FFFFFF"/>
            <w:noWrap/>
            <w:vAlign w:val="center"/>
            <w:hideMark/>
          </w:tcPr>
          <w:p w14:paraId="6C7D89B4"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976" w:type="dxa"/>
            <w:tcBorders>
              <w:top w:val="nil"/>
              <w:left w:val="nil"/>
              <w:bottom w:val="single" w:sz="4" w:space="0" w:color="auto"/>
              <w:right w:val="single" w:sz="4" w:space="0" w:color="auto"/>
            </w:tcBorders>
            <w:shd w:val="clear" w:color="000000" w:fill="FFFFFF"/>
            <w:noWrap/>
            <w:vAlign w:val="center"/>
            <w:hideMark/>
          </w:tcPr>
          <w:p w14:paraId="2718B767"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1123" w:type="dxa"/>
            <w:tcBorders>
              <w:top w:val="nil"/>
              <w:left w:val="nil"/>
              <w:bottom w:val="single" w:sz="4" w:space="0" w:color="auto"/>
              <w:right w:val="single" w:sz="4" w:space="0" w:color="auto"/>
            </w:tcBorders>
            <w:shd w:val="clear" w:color="000000" w:fill="FFFFFF"/>
            <w:noWrap/>
            <w:vAlign w:val="center"/>
            <w:hideMark/>
          </w:tcPr>
          <w:p w14:paraId="7A40AB61"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118 730 366</w:t>
            </w:r>
          </w:p>
        </w:tc>
        <w:tc>
          <w:tcPr>
            <w:tcW w:w="1188" w:type="dxa"/>
            <w:tcBorders>
              <w:top w:val="single" w:sz="4" w:space="0" w:color="auto"/>
              <w:left w:val="nil"/>
              <w:bottom w:val="single" w:sz="4" w:space="0" w:color="auto"/>
              <w:right w:val="single" w:sz="4" w:space="0" w:color="auto"/>
            </w:tcBorders>
            <w:shd w:val="clear" w:color="000000" w:fill="FFFFFF"/>
            <w:noWrap/>
            <w:vAlign w:val="center"/>
            <w:hideMark/>
          </w:tcPr>
          <w:p w14:paraId="1DFB9496"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966" w:type="dxa"/>
            <w:tcBorders>
              <w:top w:val="single" w:sz="4" w:space="0" w:color="auto"/>
              <w:left w:val="nil"/>
              <w:bottom w:val="single" w:sz="4" w:space="0" w:color="auto"/>
              <w:right w:val="single" w:sz="4" w:space="0" w:color="auto"/>
            </w:tcBorders>
            <w:shd w:val="clear" w:color="000000" w:fill="FFFFFF"/>
            <w:noWrap/>
            <w:vAlign w:val="center"/>
            <w:hideMark/>
          </w:tcPr>
          <w:p w14:paraId="57800B25"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x</w:t>
            </w:r>
          </w:p>
        </w:tc>
        <w:tc>
          <w:tcPr>
            <w:tcW w:w="1256" w:type="dxa"/>
            <w:tcBorders>
              <w:top w:val="single" w:sz="4" w:space="0" w:color="auto"/>
              <w:left w:val="nil"/>
              <w:bottom w:val="single" w:sz="4" w:space="0" w:color="auto"/>
              <w:right w:val="single" w:sz="4" w:space="0" w:color="auto"/>
            </w:tcBorders>
            <w:shd w:val="clear" w:color="000000" w:fill="FFFFFF"/>
            <w:noWrap/>
            <w:vAlign w:val="center"/>
            <w:hideMark/>
          </w:tcPr>
          <w:p w14:paraId="66385D4F" w14:textId="77777777" w:rsidR="002C253E" w:rsidRPr="002C253E" w:rsidRDefault="002C253E" w:rsidP="008349F0">
            <w:pPr>
              <w:spacing w:after="0"/>
              <w:ind w:firstLine="0"/>
              <w:jc w:val="center"/>
              <w:rPr>
                <w:rFonts w:eastAsia="Times New Roman" w:cs="Times New Roman"/>
                <w:b/>
                <w:bCs/>
                <w:sz w:val="18"/>
                <w:szCs w:val="18"/>
                <w:highlight w:val="lightGray"/>
              </w:rPr>
            </w:pPr>
            <w:r w:rsidRPr="002C253E">
              <w:rPr>
                <w:rFonts w:eastAsia="Calibri" w:cs="Times New Roman"/>
                <w:b/>
                <w:bCs/>
                <w:sz w:val="18"/>
                <w:szCs w:val="18"/>
                <w:lang w:eastAsia="en-US"/>
              </w:rPr>
              <w:t>129 212 503</w:t>
            </w:r>
          </w:p>
        </w:tc>
      </w:tr>
    </w:tbl>
    <w:p w14:paraId="6447F992" w14:textId="77777777" w:rsidR="002C253E" w:rsidRPr="002C253E" w:rsidRDefault="002C253E" w:rsidP="008349F0">
      <w:pPr>
        <w:widowControl w:val="0"/>
        <w:spacing w:before="120"/>
        <w:ind w:firstLine="0"/>
        <w:rPr>
          <w:rFonts w:eastAsia="Calibri" w:cs="Times New Roman"/>
          <w:i/>
          <w:sz w:val="20"/>
        </w:rPr>
      </w:pPr>
      <w:r w:rsidRPr="002C253E">
        <w:rPr>
          <w:rFonts w:eastAsia="Calibri" w:cs="Times New Roman"/>
          <w:i/>
          <w:sz w:val="20"/>
        </w:rPr>
        <w:t>Datu avots: FM</w:t>
      </w:r>
    </w:p>
    <w:p w14:paraId="383E4E26" w14:textId="77777777" w:rsidR="002C253E" w:rsidRPr="002C253E" w:rsidRDefault="002C253E" w:rsidP="008349F0">
      <w:pPr>
        <w:widowControl w:val="0"/>
        <w:rPr>
          <w:rFonts w:eastAsia="Times New Roman" w:cs="Times New Roman"/>
          <w:b/>
          <w:color w:val="000000"/>
          <w:highlight w:val="lightGray"/>
        </w:rPr>
      </w:pPr>
    </w:p>
    <w:p w14:paraId="4948E82A" w14:textId="77777777" w:rsidR="002C253E" w:rsidRPr="002C253E" w:rsidRDefault="002C253E" w:rsidP="008349F0">
      <w:pPr>
        <w:spacing w:after="160"/>
        <w:ind w:firstLine="0"/>
        <w:jc w:val="left"/>
        <w:rPr>
          <w:rFonts w:eastAsia="Times New Roman" w:cs="Times New Roman"/>
          <w:b/>
          <w:color w:val="000000"/>
          <w:highlight w:val="lightGray"/>
        </w:rPr>
      </w:pPr>
      <w:r w:rsidRPr="002C253E">
        <w:rPr>
          <w:rFonts w:eastAsia="Times New Roman" w:cs="Times New Roman"/>
          <w:b/>
          <w:color w:val="000000"/>
          <w:highlight w:val="lightGray"/>
        </w:rPr>
        <w:br w:type="page"/>
      </w:r>
    </w:p>
    <w:p w14:paraId="58D66312" w14:textId="77777777" w:rsidR="002C253E" w:rsidRDefault="002C253E" w:rsidP="008349F0">
      <w:pPr>
        <w:widowControl w:val="0"/>
        <w:spacing w:after="0"/>
        <w:jc w:val="right"/>
        <w:rPr>
          <w:rFonts w:eastAsia="Times New Roman" w:cs="Times New Roman"/>
          <w:color w:val="000000"/>
        </w:rPr>
      </w:pPr>
    </w:p>
    <w:p w14:paraId="0CFF5D5E" w14:textId="676640F2" w:rsidR="002C253E" w:rsidRPr="002C253E" w:rsidRDefault="002C253E" w:rsidP="008349F0">
      <w:pPr>
        <w:widowControl w:val="0"/>
        <w:jc w:val="right"/>
        <w:rPr>
          <w:rFonts w:eastAsia="Times New Roman" w:cs="Times New Roman"/>
          <w:color w:val="000000"/>
        </w:rPr>
      </w:pPr>
      <w:r w:rsidRPr="002C253E">
        <w:rPr>
          <w:rFonts w:eastAsia="Times New Roman" w:cs="Times New Roman"/>
          <w:color w:val="000000"/>
        </w:rPr>
        <w:t>7. pielikums</w:t>
      </w:r>
    </w:p>
    <w:p w14:paraId="3BAD84EA" w14:textId="30499640" w:rsidR="002C253E" w:rsidRPr="002C253E" w:rsidRDefault="002C253E" w:rsidP="008349F0">
      <w:pPr>
        <w:widowControl w:val="0"/>
        <w:spacing w:before="240" w:after="240"/>
        <w:jc w:val="center"/>
        <w:rPr>
          <w:rFonts w:eastAsia="Times New Roman" w:cs="Times New Roman"/>
          <w:b/>
          <w:color w:val="000000"/>
        </w:rPr>
      </w:pPr>
      <w:r w:rsidRPr="002C253E">
        <w:rPr>
          <w:rFonts w:eastAsia="Times New Roman" w:cs="Times New Roman"/>
          <w:b/>
          <w:color w:val="000000"/>
        </w:rPr>
        <w:t>Labklājības ministrijas</w:t>
      </w:r>
      <w:r w:rsidR="005735FB">
        <w:rPr>
          <w:rFonts w:eastAsia="Times New Roman" w:cs="Times New Roman"/>
          <w:b/>
          <w:color w:val="000000"/>
        </w:rPr>
        <w:t xml:space="preserve"> </w:t>
      </w:r>
      <w:r w:rsidRPr="002C253E">
        <w:rPr>
          <w:rFonts w:eastAsia="Times New Roman" w:cs="Times New Roman"/>
          <w:b/>
          <w:color w:val="000000"/>
        </w:rPr>
        <w:t xml:space="preserve">pamatbudžeta </w:t>
      </w:r>
      <w:r w:rsidR="00AF0216">
        <w:rPr>
          <w:rFonts w:eastAsia="Times New Roman" w:cs="Times New Roman"/>
          <w:b/>
          <w:color w:val="000000"/>
        </w:rPr>
        <w:t>apakš</w:t>
      </w:r>
      <w:r w:rsidRPr="002C253E">
        <w:rPr>
          <w:rFonts w:eastAsia="Times New Roman" w:cs="Times New Roman"/>
          <w:b/>
          <w:color w:val="000000"/>
        </w:rPr>
        <w:t xml:space="preserve">programma 20.03.00 </w:t>
      </w:r>
      <w:r w:rsidR="00E578C6" w:rsidRPr="002C253E">
        <w:rPr>
          <w:rFonts w:eastAsia="Times New Roman" w:cs="Times New Roman"/>
          <w:b/>
          <w:color w:val="000000"/>
        </w:rPr>
        <w:t>"</w:t>
      </w:r>
      <w:r w:rsidRPr="002C253E">
        <w:rPr>
          <w:rFonts w:eastAsia="Times New Roman" w:cs="Times New Roman"/>
          <w:b/>
          <w:color w:val="000000"/>
        </w:rPr>
        <w:t>Piemaksas pie vecuma un invaliditātes pensijām</w:t>
      </w:r>
      <w:r w:rsidR="00E578C6" w:rsidRPr="002C253E">
        <w:rPr>
          <w:rFonts w:eastAsia="Times New Roman" w:cs="Times New Roman"/>
          <w:b/>
          <w:color w:val="000000"/>
        </w:rPr>
        <w:t>"</w:t>
      </w:r>
    </w:p>
    <w:tbl>
      <w:tblPr>
        <w:tblW w:w="13714" w:type="dxa"/>
        <w:jc w:val="center"/>
        <w:tblLook w:val="04A0" w:firstRow="1" w:lastRow="0" w:firstColumn="1" w:lastColumn="0" w:noHBand="0" w:noVBand="1"/>
      </w:tblPr>
      <w:tblGrid>
        <w:gridCol w:w="3686"/>
        <w:gridCol w:w="1036"/>
        <w:gridCol w:w="966"/>
        <w:gridCol w:w="1239"/>
        <w:gridCol w:w="1102"/>
        <w:gridCol w:w="1239"/>
        <w:gridCol w:w="1196"/>
        <w:gridCol w:w="976"/>
        <w:gridCol w:w="1136"/>
        <w:gridCol w:w="1238"/>
      </w:tblGrid>
      <w:tr w:rsidR="002C253E" w:rsidRPr="002C253E" w14:paraId="3832FD9B" w14:textId="77777777" w:rsidTr="002C253E">
        <w:trPr>
          <w:trHeight w:val="660"/>
          <w:jc w:val="center"/>
        </w:trPr>
        <w:tc>
          <w:tcPr>
            <w:tcW w:w="3686" w:type="dxa"/>
            <w:vMerge w:val="restart"/>
            <w:tcBorders>
              <w:top w:val="single" w:sz="4" w:space="0" w:color="auto"/>
              <w:left w:val="single" w:sz="4" w:space="0" w:color="auto"/>
              <w:right w:val="single" w:sz="4" w:space="0" w:color="auto"/>
            </w:tcBorders>
            <w:shd w:val="clear" w:color="auto" w:fill="9CC2E5"/>
            <w:noWrap/>
            <w:vAlign w:val="bottom"/>
            <w:hideMark/>
          </w:tcPr>
          <w:p w14:paraId="0AD0CD78"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 </w:t>
            </w:r>
          </w:p>
          <w:p w14:paraId="07671A83"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Pabalsta veids</w:t>
            </w:r>
          </w:p>
        </w:tc>
        <w:tc>
          <w:tcPr>
            <w:tcW w:w="3241"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1970C39F"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2025. gada projekts</w:t>
            </w:r>
          </w:p>
        </w:tc>
        <w:tc>
          <w:tcPr>
            <w:tcW w:w="3537"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160D6ECD"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2026. gada prognoze</w:t>
            </w:r>
          </w:p>
        </w:tc>
        <w:tc>
          <w:tcPr>
            <w:tcW w:w="3250"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1C605F41"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2027. gada prognoze</w:t>
            </w:r>
          </w:p>
        </w:tc>
      </w:tr>
      <w:tr w:rsidR="002C253E" w:rsidRPr="002C253E" w14:paraId="732D6BBF" w14:textId="77777777" w:rsidTr="002C253E">
        <w:trPr>
          <w:trHeight w:val="480"/>
          <w:jc w:val="center"/>
        </w:trPr>
        <w:tc>
          <w:tcPr>
            <w:tcW w:w="3686" w:type="dxa"/>
            <w:vMerge/>
            <w:tcBorders>
              <w:left w:val="single" w:sz="4" w:space="0" w:color="auto"/>
              <w:right w:val="single" w:sz="4" w:space="0" w:color="auto"/>
            </w:tcBorders>
            <w:shd w:val="clear" w:color="auto" w:fill="9CC2E5"/>
            <w:noWrap/>
            <w:vAlign w:val="center"/>
            <w:hideMark/>
          </w:tcPr>
          <w:p w14:paraId="1737F79B" w14:textId="77777777" w:rsidR="002C253E" w:rsidRPr="002C253E" w:rsidRDefault="002C253E" w:rsidP="008349F0">
            <w:pPr>
              <w:spacing w:after="0"/>
              <w:ind w:firstLine="0"/>
              <w:jc w:val="center"/>
              <w:rPr>
                <w:rFonts w:eastAsia="Times New Roman" w:cs="Times New Roman"/>
                <w:sz w:val="18"/>
                <w:szCs w:val="18"/>
              </w:rPr>
            </w:pPr>
          </w:p>
        </w:tc>
        <w:tc>
          <w:tcPr>
            <w:tcW w:w="1036" w:type="dxa"/>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5922B60C" w14:textId="1215F47D" w:rsidR="002C253E" w:rsidRPr="002C253E" w:rsidRDefault="00E578C6" w:rsidP="008349F0">
            <w:pPr>
              <w:spacing w:after="0"/>
              <w:ind w:firstLine="0"/>
              <w:jc w:val="center"/>
              <w:rPr>
                <w:rFonts w:eastAsia="Times New Roman" w:cs="Times New Roman"/>
                <w:sz w:val="18"/>
                <w:szCs w:val="18"/>
              </w:rPr>
            </w:pPr>
            <w:r w:rsidRPr="002C253E">
              <w:rPr>
                <w:rFonts w:eastAsia="Times New Roman" w:cs="Times New Roman"/>
                <w:sz w:val="18"/>
                <w:szCs w:val="18"/>
              </w:rPr>
              <w:t>P</w:t>
            </w:r>
            <w:r>
              <w:rPr>
                <w:rFonts w:eastAsia="Times New Roman" w:cs="Times New Roman"/>
                <w:sz w:val="18"/>
                <w:szCs w:val="18"/>
              </w:rPr>
              <w:t>iemaksas</w:t>
            </w:r>
            <w:r w:rsidRPr="002C253E">
              <w:rPr>
                <w:rFonts w:eastAsia="Times New Roman" w:cs="Times New Roman"/>
                <w:sz w:val="18"/>
                <w:szCs w:val="18"/>
              </w:rPr>
              <w:t xml:space="preserve"> </w:t>
            </w:r>
            <w:r w:rsidR="002C253E" w:rsidRPr="002C253E">
              <w:rPr>
                <w:rFonts w:eastAsia="Times New Roman" w:cs="Times New Roman"/>
                <w:sz w:val="18"/>
                <w:szCs w:val="18"/>
              </w:rPr>
              <w:t>apmērs vidēji mēnesī (</w:t>
            </w:r>
            <w:proofErr w:type="spellStart"/>
            <w:r w:rsidR="002C253E" w:rsidRPr="002C253E">
              <w:rPr>
                <w:rFonts w:eastAsia="Times New Roman" w:cs="Times New Roman"/>
                <w:i/>
                <w:sz w:val="18"/>
                <w:szCs w:val="18"/>
              </w:rPr>
              <w:t>euro</w:t>
            </w:r>
            <w:proofErr w:type="spellEnd"/>
            <w:r w:rsidR="002C253E" w:rsidRPr="002C253E">
              <w:rPr>
                <w:rFonts w:eastAsia="Times New Roman" w:cs="Times New Roman"/>
                <w:sz w:val="18"/>
                <w:szCs w:val="18"/>
              </w:rPr>
              <w:t>)</w:t>
            </w:r>
          </w:p>
        </w:tc>
        <w:tc>
          <w:tcPr>
            <w:tcW w:w="966" w:type="dxa"/>
            <w:tcBorders>
              <w:top w:val="single" w:sz="4" w:space="0" w:color="auto"/>
              <w:left w:val="nil"/>
              <w:bottom w:val="nil"/>
              <w:right w:val="single" w:sz="4" w:space="0" w:color="auto"/>
            </w:tcBorders>
            <w:shd w:val="clear" w:color="auto" w:fill="DEEAF6"/>
            <w:vAlign w:val="center"/>
            <w:hideMark/>
          </w:tcPr>
          <w:p w14:paraId="23AEC1CE" w14:textId="77777777" w:rsidR="002C253E" w:rsidRPr="002C253E" w:rsidRDefault="002C253E" w:rsidP="008349F0">
            <w:pPr>
              <w:spacing w:after="0"/>
              <w:ind w:firstLine="0"/>
              <w:jc w:val="center"/>
              <w:rPr>
                <w:rFonts w:eastAsia="Times New Roman" w:cs="Times New Roman"/>
                <w:sz w:val="18"/>
                <w:szCs w:val="18"/>
              </w:rPr>
            </w:pPr>
          </w:p>
          <w:p w14:paraId="024DAE5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w:t>
            </w:r>
            <w:r w:rsidRPr="002C253E">
              <w:rPr>
                <w:rFonts w:eastAsia="Times New Roman" w:cs="Times New Roman"/>
                <w:sz w:val="18"/>
                <w:szCs w:val="18"/>
              </w:rPr>
              <w:br/>
              <w:t xml:space="preserve"> skaits</w:t>
            </w:r>
          </w:p>
        </w:tc>
        <w:tc>
          <w:tcPr>
            <w:tcW w:w="1239" w:type="dxa"/>
            <w:tcBorders>
              <w:top w:val="single" w:sz="4" w:space="0" w:color="auto"/>
              <w:left w:val="nil"/>
              <w:bottom w:val="nil"/>
              <w:right w:val="single" w:sz="4" w:space="0" w:color="auto"/>
            </w:tcBorders>
            <w:shd w:val="clear" w:color="auto" w:fill="DEEAF6"/>
            <w:vAlign w:val="center"/>
            <w:hideMark/>
          </w:tcPr>
          <w:p w14:paraId="7926036A" w14:textId="77777777" w:rsidR="002C253E" w:rsidRPr="002C253E" w:rsidRDefault="002C253E" w:rsidP="008349F0">
            <w:pPr>
              <w:spacing w:after="0"/>
              <w:ind w:firstLine="0"/>
              <w:jc w:val="center"/>
              <w:rPr>
                <w:rFonts w:eastAsia="Times New Roman" w:cs="Times New Roman"/>
                <w:sz w:val="18"/>
                <w:szCs w:val="18"/>
              </w:rPr>
            </w:pPr>
          </w:p>
          <w:p w14:paraId="425DE21C"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w:t>
            </w:r>
          </w:p>
        </w:tc>
        <w:tc>
          <w:tcPr>
            <w:tcW w:w="1102" w:type="dxa"/>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26B82C9B" w14:textId="6788E63A" w:rsidR="002C253E" w:rsidRPr="002C253E" w:rsidRDefault="00E578C6" w:rsidP="008349F0">
            <w:pPr>
              <w:spacing w:after="0"/>
              <w:ind w:firstLine="0"/>
              <w:jc w:val="center"/>
              <w:rPr>
                <w:rFonts w:eastAsia="Times New Roman" w:cs="Times New Roman"/>
                <w:sz w:val="18"/>
                <w:szCs w:val="18"/>
              </w:rPr>
            </w:pPr>
            <w:r w:rsidRPr="002C253E">
              <w:rPr>
                <w:rFonts w:eastAsia="Times New Roman" w:cs="Times New Roman"/>
                <w:sz w:val="18"/>
                <w:szCs w:val="18"/>
              </w:rPr>
              <w:t>P</w:t>
            </w:r>
            <w:r>
              <w:rPr>
                <w:rFonts w:eastAsia="Times New Roman" w:cs="Times New Roman"/>
                <w:sz w:val="18"/>
                <w:szCs w:val="18"/>
              </w:rPr>
              <w:t>iemaksas</w:t>
            </w:r>
            <w:r w:rsidRPr="002C253E">
              <w:rPr>
                <w:rFonts w:eastAsia="Times New Roman" w:cs="Times New Roman"/>
                <w:sz w:val="18"/>
                <w:szCs w:val="18"/>
              </w:rPr>
              <w:t xml:space="preserve"> </w:t>
            </w:r>
            <w:r w:rsidR="002C253E" w:rsidRPr="002C253E">
              <w:rPr>
                <w:rFonts w:eastAsia="Times New Roman" w:cs="Times New Roman"/>
                <w:sz w:val="18"/>
                <w:szCs w:val="18"/>
              </w:rPr>
              <w:t>apmērs vidēji mēnesī (</w:t>
            </w:r>
            <w:proofErr w:type="spellStart"/>
            <w:r w:rsidR="002C253E" w:rsidRPr="002C253E">
              <w:rPr>
                <w:rFonts w:eastAsia="Times New Roman" w:cs="Times New Roman"/>
                <w:i/>
                <w:sz w:val="18"/>
                <w:szCs w:val="18"/>
              </w:rPr>
              <w:t>euro</w:t>
            </w:r>
            <w:proofErr w:type="spellEnd"/>
            <w:r w:rsidR="002C253E" w:rsidRPr="002C253E">
              <w:rPr>
                <w:rFonts w:eastAsia="Times New Roman" w:cs="Times New Roman"/>
                <w:sz w:val="18"/>
                <w:szCs w:val="18"/>
              </w:rPr>
              <w:t>)</w:t>
            </w:r>
          </w:p>
        </w:tc>
        <w:tc>
          <w:tcPr>
            <w:tcW w:w="1239" w:type="dxa"/>
            <w:tcBorders>
              <w:top w:val="single" w:sz="4" w:space="0" w:color="auto"/>
              <w:left w:val="nil"/>
              <w:bottom w:val="nil"/>
              <w:right w:val="single" w:sz="4" w:space="0" w:color="auto"/>
            </w:tcBorders>
            <w:shd w:val="clear" w:color="auto" w:fill="DEEAF6"/>
            <w:vAlign w:val="center"/>
            <w:hideMark/>
          </w:tcPr>
          <w:p w14:paraId="02940763" w14:textId="77777777" w:rsidR="002C253E" w:rsidRPr="002C253E" w:rsidRDefault="002C253E" w:rsidP="008349F0">
            <w:pPr>
              <w:spacing w:after="0"/>
              <w:ind w:firstLine="0"/>
              <w:jc w:val="center"/>
              <w:rPr>
                <w:rFonts w:eastAsia="Times New Roman" w:cs="Times New Roman"/>
                <w:sz w:val="18"/>
                <w:szCs w:val="18"/>
              </w:rPr>
            </w:pPr>
          </w:p>
          <w:p w14:paraId="03EC029D"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w:t>
            </w:r>
            <w:r w:rsidRPr="002C253E">
              <w:rPr>
                <w:rFonts w:eastAsia="Times New Roman" w:cs="Times New Roman"/>
                <w:sz w:val="18"/>
                <w:szCs w:val="18"/>
              </w:rPr>
              <w:br/>
              <w:t xml:space="preserve"> skaits</w:t>
            </w:r>
          </w:p>
        </w:tc>
        <w:tc>
          <w:tcPr>
            <w:tcW w:w="1196" w:type="dxa"/>
            <w:tcBorders>
              <w:top w:val="single" w:sz="4" w:space="0" w:color="auto"/>
              <w:left w:val="nil"/>
              <w:bottom w:val="nil"/>
              <w:right w:val="single" w:sz="4" w:space="0" w:color="auto"/>
            </w:tcBorders>
            <w:shd w:val="clear" w:color="auto" w:fill="DEEAF6"/>
            <w:vAlign w:val="center"/>
            <w:hideMark/>
          </w:tcPr>
          <w:p w14:paraId="102CE382" w14:textId="77777777" w:rsidR="002C253E" w:rsidRPr="002C253E" w:rsidRDefault="002C253E" w:rsidP="008349F0">
            <w:pPr>
              <w:spacing w:after="0"/>
              <w:ind w:firstLine="0"/>
              <w:jc w:val="center"/>
              <w:rPr>
                <w:rFonts w:eastAsia="Times New Roman" w:cs="Times New Roman"/>
                <w:sz w:val="18"/>
                <w:szCs w:val="18"/>
              </w:rPr>
            </w:pPr>
          </w:p>
          <w:p w14:paraId="2520AB9D"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w:t>
            </w:r>
          </w:p>
        </w:tc>
        <w:tc>
          <w:tcPr>
            <w:tcW w:w="876" w:type="dxa"/>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716475DE" w14:textId="65463032" w:rsidR="002C253E" w:rsidRPr="002C253E" w:rsidRDefault="00E578C6" w:rsidP="008349F0">
            <w:pPr>
              <w:spacing w:after="0"/>
              <w:ind w:firstLine="0"/>
              <w:jc w:val="center"/>
              <w:rPr>
                <w:rFonts w:eastAsia="Times New Roman" w:cs="Times New Roman"/>
                <w:sz w:val="18"/>
                <w:szCs w:val="18"/>
              </w:rPr>
            </w:pPr>
            <w:r w:rsidRPr="002C253E">
              <w:rPr>
                <w:rFonts w:eastAsia="Times New Roman" w:cs="Times New Roman"/>
                <w:sz w:val="18"/>
                <w:szCs w:val="18"/>
              </w:rPr>
              <w:t>P</w:t>
            </w:r>
            <w:r>
              <w:rPr>
                <w:rFonts w:eastAsia="Times New Roman" w:cs="Times New Roman"/>
                <w:sz w:val="18"/>
                <w:szCs w:val="18"/>
              </w:rPr>
              <w:t>iemaksas</w:t>
            </w:r>
            <w:r w:rsidRPr="002C253E">
              <w:rPr>
                <w:rFonts w:eastAsia="Times New Roman" w:cs="Times New Roman"/>
                <w:sz w:val="18"/>
                <w:szCs w:val="18"/>
              </w:rPr>
              <w:t xml:space="preserve"> </w:t>
            </w:r>
            <w:r w:rsidR="002C253E" w:rsidRPr="002C253E">
              <w:rPr>
                <w:rFonts w:eastAsia="Times New Roman" w:cs="Times New Roman"/>
                <w:sz w:val="18"/>
                <w:szCs w:val="18"/>
              </w:rPr>
              <w:t>apmērs vidēji mēnesī (</w:t>
            </w:r>
            <w:proofErr w:type="spellStart"/>
            <w:r w:rsidR="002C253E" w:rsidRPr="002C253E">
              <w:rPr>
                <w:rFonts w:eastAsia="Times New Roman" w:cs="Times New Roman"/>
                <w:i/>
                <w:sz w:val="18"/>
                <w:szCs w:val="18"/>
              </w:rPr>
              <w:t>euro</w:t>
            </w:r>
            <w:proofErr w:type="spellEnd"/>
            <w:r w:rsidR="002C253E" w:rsidRPr="002C253E">
              <w:rPr>
                <w:rFonts w:eastAsia="Times New Roman" w:cs="Times New Roman"/>
                <w:sz w:val="18"/>
                <w:szCs w:val="18"/>
              </w:rPr>
              <w:t>)</w:t>
            </w:r>
          </w:p>
        </w:tc>
        <w:tc>
          <w:tcPr>
            <w:tcW w:w="1136" w:type="dxa"/>
            <w:tcBorders>
              <w:top w:val="single" w:sz="4" w:space="0" w:color="auto"/>
              <w:left w:val="nil"/>
              <w:bottom w:val="nil"/>
              <w:right w:val="single" w:sz="4" w:space="0" w:color="auto"/>
            </w:tcBorders>
            <w:shd w:val="clear" w:color="auto" w:fill="DEEAF6"/>
            <w:vAlign w:val="center"/>
            <w:hideMark/>
          </w:tcPr>
          <w:p w14:paraId="360AC750" w14:textId="77777777" w:rsidR="002C253E" w:rsidRPr="002C253E" w:rsidRDefault="002C253E" w:rsidP="008349F0">
            <w:pPr>
              <w:spacing w:after="0"/>
              <w:ind w:firstLine="0"/>
              <w:jc w:val="center"/>
              <w:rPr>
                <w:rFonts w:eastAsia="Times New Roman" w:cs="Times New Roman"/>
                <w:sz w:val="18"/>
                <w:szCs w:val="18"/>
              </w:rPr>
            </w:pPr>
          </w:p>
          <w:p w14:paraId="568D1B7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w:t>
            </w:r>
            <w:r w:rsidRPr="002C253E">
              <w:rPr>
                <w:rFonts w:eastAsia="Times New Roman" w:cs="Times New Roman"/>
                <w:sz w:val="18"/>
                <w:szCs w:val="18"/>
              </w:rPr>
              <w:br/>
              <w:t xml:space="preserve"> skaits</w:t>
            </w:r>
          </w:p>
        </w:tc>
        <w:tc>
          <w:tcPr>
            <w:tcW w:w="1238" w:type="dxa"/>
            <w:tcBorders>
              <w:top w:val="single" w:sz="4" w:space="0" w:color="auto"/>
              <w:left w:val="nil"/>
              <w:bottom w:val="nil"/>
              <w:right w:val="single" w:sz="4" w:space="0" w:color="auto"/>
            </w:tcBorders>
            <w:shd w:val="clear" w:color="auto" w:fill="DEEAF6"/>
            <w:vAlign w:val="center"/>
            <w:hideMark/>
          </w:tcPr>
          <w:p w14:paraId="7E6337B5" w14:textId="77777777" w:rsidR="002C253E" w:rsidRPr="002C253E" w:rsidRDefault="002C253E" w:rsidP="008349F0">
            <w:pPr>
              <w:spacing w:after="0"/>
              <w:ind w:firstLine="0"/>
              <w:jc w:val="center"/>
              <w:rPr>
                <w:rFonts w:eastAsia="Times New Roman" w:cs="Times New Roman"/>
                <w:sz w:val="18"/>
                <w:szCs w:val="18"/>
              </w:rPr>
            </w:pPr>
          </w:p>
          <w:p w14:paraId="3F5D23A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w:t>
            </w:r>
          </w:p>
        </w:tc>
      </w:tr>
      <w:tr w:rsidR="002C253E" w:rsidRPr="002C253E" w14:paraId="569FB0BA" w14:textId="77777777" w:rsidTr="008415BC">
        <w:trPr>
          <w:trHeight w:val="591"/>
          <w:jc w:val="center"/>
        </w:trPr>
        <w:tc>
          <w:tcPr>
            <w:tcW w:w="3686" w:type="dxa"/>
            <w:tcBorders>
              <w:left w:val="single" w:sz="4" w:space="0" w:color="auto"/>
              <w:bottom w:val="single" w:sz="4" w:space="0" w:color="000000"/>
              <w:right w:val="single" w:sz="4" w:space="0" w:color="auto"/>
            </w:tcBorders>
            <w:shd w:val="clear" w:color="auto" w:fill="9CC2E5"/>
            <w:vAlign w:val="center"/>
            <w:hideMark/>
          </w:tcPr>
          <w:p w14:paraId="308B736D" w14:textId="77777777" w:rsidR="002C253E" w:rsidRPr="002C253E" w:rsidRDefault="002C253E" w:rsidP="008349F0">
            <w:pPr>
              <w:spacing w:after="0"/>
              <w:ind w:firstLine="0"/>
              <w:jc w:val="left"/>
              <w:rPr>
                <w:rFonts w:eastAsia="Times New Roman" w:cs="Times New Roman"/>
                <w:sz w:val="18"/>
                <w:szCs w:val="18"/>
              </w:rPr>
            </w:pPr>
          </w:p>
        </w:tc>
        <w:tc>
          <w:tcPr>
            <w:tcW w:w="1036" w:type="dxa"/>
            <w:vMerge/>
            <w:tcBorders>
              <w:top w:val="nil"/>
              <w:left w:val="single" w:sz="4" w:space="0" w:color="auto"/>
              <w:bottom w:val="single" w:sz="4" w:space="0" w:color="auto"/>
              <w:right w:val="single" w:sz="4" w:space="0" w:color="auto"/>
            </w:tcBorders>
            <w:shd w:val="clear" w:color="auto" w:fill="DEEAF6"/>
            <w:vAlign w:val="center"/>
            <w:hideMark/>
          </w:tcPr>
          <w:p w14:paraId="70D7EBF2" w14:textId="77777777" w:rsidR="002C253E" w:rsidRPr="002C253E" w:rsidRDefault="002C253E" w:rsidP="008349F0">
            <w:pPr>
              <w:spacing w:after="0"/>
              <w:ind w:firstLine="0"/>
              <w:jc w:val="left"/>
              <w:rPr>
                <w:rFonts w:eastAsia="Times New Roman" w:cs="Times New Roman"/>
                <w:sz w:val="18"/>
                <w:szCs w:val="18"/>
              </w:rPr>
            </w:pPr>
          </w:p>
        </w:tc>
        <w:tc>
          <w:tcPr>
            <w:tcW w:w="966" w:type="dxa"/>
            <w:tcBorders>
              <w:top w:val="nil"/>
              <w:left w:val="nil"/>
              <w:bottom w:val="single" w:sz="4" w:space="0" w:color="auto"/>
              <w:right w:val="single" w:sz="4" w:space="0" w:color="auto"/>
            </w:tcBorders>
            <w:shd w:val="clear" w:color="auto" w:fill="DEEAF6"/>
            <w:noWrap/>
            <w:hideMark/>
          </w:tcPr>
          <w:p w14:paraId="26838A78"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sz w:val="18"/>
                <w:szCs w:val="18"/>
              </w:rPr>
              <w:t>vid.mēn</w:t>
            </w:r>
            <w:proofErr w:type="spellEnd"/>
            <w:r w:rsidRPr="002C253E">
              <w:rPr>
                <w:rFonts w:eastAsia="Times New Roman" w:cs="Times New Roman"/>
                <w:sz w:val="18"/>
                <w:szCs w:val="18"/>
              </w:rPr>
              <w:t>.)</w:t>
            </w:r>
          </w:p>
        </w:tc>
        <w:tc>
          <w:tcPr>
            <w:tcW w:w="1239" w:type="dxa"/>
            <w:tcBorders>
              <w:top w:val="nil"/>
              <w:left w:val="nil"/>
              <w:bottom w:val="single" w:sz="4" w:space="0" w:color="auto"/>
              <w:right w:val="single" w:sz="4" w:space="0" w:color="auto"/>
            </w:tcBorders>
            <w:shd w:val="clear" w:color="auto" w:fill="DEEAF6"/>
            <w:noWrap/>
            <w:hideMark/>
          </w:tcPr>
          <w:p w14:paraId="1F63D24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1102" w:type="dxa"/>
            <w:vMerge/>
            <w:tcBorders>
              <w:top w:val="nil"/>
              <w:left w:val="single" w:sz="4" w:space="0" w:color="auto"/>
              <w:bottom w:val="single" w:sz="4" w:space="0" w:color="auto"/>
              <w:right w:val="single" w:sz="4" w:space="0" w:color="auto"/>
            </w:tcBorders>
            <w:shd w:val="clear" w:color="auto" w:fill="DEEAF6"/>
            <w:vAlign w:val="center"/>
            <w:hideMark/>
          </w:tcPr>
          <w:p w14:paraId="53866F24" w14:textId="77777777" w:rsidR="002C253E" w:rsidRPr="002C253E" w:rsidRDefault="002C253E" w:rsidP="008349F0">
            <w:pPr>
              <w:spacing w:after="0"/>
              <w:ind w:firstLine="0"/>
              <w:jc w:val="left"/>
              <w:rPr>
                <w:rFonts w:eastAsia="Times New Roman" w:cs="Times New Roman"/>
                <w:sz w:val="18"/>
                <w:szCs w:val="18"/>
              </w:rPr>
            </w:pPr>
          </w:p>
        </w:tc>
        <w:tc>
          <w:tcPr>
            <w:tcW w:w="1239" w:type="dxa"/>
            <w:tcBorders>
              <w:top w:val="nil"/>
              <w:left w:val="nil"/>
              <w:bottom w:val="single" w:sz="4" w:space="0" w:color="auto"/>
              <w:right w:val="single" w:sz="4" w:space="0" w:color="auto"/>
            </w:tcBorders>
            <w:shd w:val="clear" w:color="auto" w:fill="DEEAF6"/>
            <w:noWrap/>
            <w:hideMark/>
          </w:tcPr>
          <w:p w14:paraId="67629C41"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sz w:val="18"/>
                <w:szCs w:val="18"/>
              </w:rPr>
              <w:t>vid.mēn</w:t>
            </w:r>
            <w:proofErr w:type="spellEnd"/>
            <w:r w:rsidRPr="002C253E">
              <w:rPr>
                <w:rFonts w:eastAsia="Times New Roman" w:cs="Times New Roman"/>
                <w:sz w:val="18"/>
                <w:szCs w:val="18"/>
              </w:rPr>
              <w:t>.)</w:t>
            </w:r>
          </w:p>
        </w:tc>
        <w:tc>
          <w:tcPr>
            <w:tcW w:w="1196" w:type="dxa"/>
            <w:tcBorders>
              <w:top w:val="nil"/>
              <w:left w:val="nil"/>
              <w:bottom w:val="single" w:sz="4" w:space="0" w:color="auto"/>
              <w:right w:val="single" w:sz="4" w:space="0" w:color="auto"/>
            </w:tcBorders>
            <w:shd w:val="clear" w:color="auto" w:fill="DEEAF6"/>
            <w:noWrap/>
            <w:hideMark/>
          </w:tcPr>
          <w:p w14:paraId="4D11643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c>
          <w:tcPr>
            <w:tcW w:w="876" w:type="dxa"/>
            <w:vMerge/>
            <w:tcBorders>
              <w:top w:val="nil"/>
              <w:left w:val="single" w:sz="4" w:space="0" w:color="auto"/>
              <w:bottom w:val="single" w:sz="4" w:space="0" w:color="auto"/>
              <w:right w:val="single" w:sz="4" w:space="0" w:color="auto"/>
            </w:tcBorders>
            <w:shd w:val="clear" w:color="auto" w:fill="DEEAF6"/>
            <w:vAlign w:val="center"/>
            <w:hideMark/>
          </w:tcPr>
          <w:p w14:paraId="2F3DB24C" w14:textId="77777777" w:rsidR="002C253E" w:rsidRPr="002C253E" w:rsidRDefault="002C253E" w:rsidP="008349F0">
            <w:pPr>
              <w:spacing w:after="0"/>
              <w:ind w:firstLine="0"/>
              <w:jc w:val="left"/>
              <w:rPr>
                <w:rFonts w:eastAsia="Times New Roman" w:cs="Times New Roman"/>
                <w:sz w:val="18"/>
                <w:szCs w:val="18"/>
              </w:rPr>
            </w:pPr>
          </w:p>
        </w:tc>
        <w:tc>
          <w:tcPr>
            <w:tcW w:w="1136" w:type="dxa"/>
            <w:tcBorders>
              <w:top w:val="nil"/>
              <w:left w:val="nil"/>
              <w:bottom w:val="single" w:sz="4" w:space="0" w:color="auto"/>
              <w:right w:val="single" w:sz="4" w:space="0" w:color="auto"/>
            </w:tcBorders>
            <w:shd w:val="clear" w:color="auto" w:fill="DEEAF6"/>
            <w:noWrap/>
            <w:hideMark/>
          </w:tcPr>
          <w:p w14:paraId="6CEDE92B"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sz w:val="18"/>
                <w:szCs w:val="18"/>
              </w:rPr>
              <w:t>vid.mēn</w:t>
            </w:r>
            <w:proofErr w:type="spellEnd"/>
            <w:r w:rsidRPr="002C253E">
              <w:rPr>
                <w:rFonts w:eastAsia="Times New Roman" w:cs="Times New Roman"/>
                <w:sz w:val="18"/>
                <w:szCs w:val="18"/>
              </w:rPr>
              <w:t>.)</w:t>
            </w:r>
          </w:p>
        </w:tc>
        <w:tc>
          <w:tcPr>
            <w:tcW w:w="1238" w:type="dxa"/>
            <w:tcBorders>
              <w:top w:val="nil"/>
              <w:left w:val="nil"/>
              <w:bottom w:val="single" w:sz="4" w:space="0" w:color="auto"/>
              <w:right w:val="single" w:sz="4" w:space="0" w:color="auto"/>
            </w:tcBorders>
            <w:shd w:val="clear" w:color="auto" w:fill="DEEAF6"/>
            <w:noWrap/>
            <w:hideMark/>
          </w:tcPr>
          <w:p w14:paraId="7E171579"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w:t>
            </w:r>
            <w:proofErr w:type="spellStart"/>
            <w:r w:rsidRPr="002C253E">
              <w:rPr>
                <w:rFonts w:eastAsia="Times New Roman" w:cs="Times New Roman"/>
                <w:i/>
                <w:sz w:val="18"/>
                <w:szCs w:val="18"/>
              </w:rPr>
              <w:t>euro</w:t>
            </w:r>
            <w:proofErr w:type="spellEnd"/>
            <w:r w:rsidRPr="002C253E">
              <w:rPr>
                <w:rFonts w:eastAsia="Times New Roman" w:cs="Times New Roman"/>
                <w:sz w:val="18"/>
                <w:szCs w:val="18"/>
              </w:rPr>
              <w:t>)</w:t>
            </w:r>
          </w:p>
        </w:tc>
      </w:tr>
      <w:tr w:rsidR="002C253E" w:rsidRPr="002C253E" w14:paraId="151834AC" w14:textId="77777777" w:rsidTr="008415BC">
        <w:trPr>
          <w:trHeight w:val="276"/>
          <w:jc w:val="center"/>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14:paraId="474BAD75"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1</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14:paraId="3D4A2BD5"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14:paraId="61806B69"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3</w:t>
            </w:r>
          </w:p>
        </w:tc>
        <w:tc>
          <w:tcPr>
            <w:tcW w:w="1239" w:type="dxa"/>
            <w:tcBorders>
              <w:top w:val="single" w:sz="4" w:space="0" w:color="auto"/>
              <w:left w:val="nil"/>
              <w:bottom w:val="single" w:sz="4" w:space="0" w:color="auto"/>
              <w:right w:val="single" w:sz="4" w:space="0" w:color="auto"/>
            </w:tcBorders>
            <w:shd w:val="clear" w:color="auto" w:fill="auto"/>
            <w:noWrap/>
            <w:vAlign w:val="center"/>
            <w:hideMark/>
          </w:tcPr>
          <w:p w14:paraId="16A57D9A"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4</w:t>
            </w:r>
          </w:p>
        </w:tc>
        <w:tc>
          <w:tcPr>
            <w:tcW w:w="1102" w:type="dxa"/>
            <w:tcBorders>
              <w:top w:val="single" w:sz="4" w:space="0" w:color="auto"/>
              <w:left w:val="nil"/>
              <w:bottom w:val="single" w:sz="4" w:space="0" w:color="auto"/>
              <w:right w:val="single" w:sz="4" w:space="0" w:color="auto"/>
            </w:tcBorders>
            <w:shd w:val="clear" w:color="auto" w:fill="auto"/>
            <w:noWrap/>
            <w:vAlign w:val="center"/>
            <w:hideMark/>
          </w:tcPr>
          <w:p w14:paraId="65D04A58"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5</w:t>
            </w:r>
          </w:p>
        </w:tc>
        <w:tc>
          <w:tcPr>
            <w:tcW w:w="1239" w:type="dxa"/>
            <w:tcBorders>
              <w:top w:val="single" w:sz="4" w:space="0" w:color="auto"/>
              <w:left w:val="nil"/>
              <w:bottom w:val="single" w:sz="4" w:space="0" w:color="auto"/>
              <w:right w:val="single" w:sz="4" w:space="0" w:color="auto"/>
            </w:tcBorders>
            <w:shd w:val="clear" w:color="auto" w:fill="auto"/>
            <w:noWrap/>
            <w:vAlign w:val="center"/>
            <w:hideMark/>
          </w:tcPr>
          <w:p w14:paraId="02C1042A"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6</w:t>
            </w:r>
          </w:p>
        </w:tc>
        <w:tc>
          <w:tcPr>
            <w:tcW w:w="1196" w:type="dxa"/>
            <w:tcBorders>
              <w:top w:val="single" w:sz="4" w:space="0" w:color="auto"/>
              <w:left w:val="nil"/>
              <w:bottom w:val="single" w:sz="4" w:space="0" w:color="auto"/>
              <w:right w:val="single" w:sz="4" w:space="0" w:color="auto"/>
            </w:tcBorders>
            <w:shd w:val="clear" w:color="auto" w:fill="auto"/>
            <w:noWrap/>
            <w:vAlign w:val="center"/>
            <w:hideMark/>
          </w:tcPr>
          <w:p w14:paraId="41C96BD7"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7</w:t>
            </w:r>
          </w:p>
        </w:tc>
        <w:tc>
          <w:tcPr>
            <w:tcW w:w="876" w:type="dxa"/>
            <w:tcBorders>
              <w:top w:val="single" w:sz="4" w:space="0" w:color="auto"/>
              <w:left w:val="nil"/>
              <w:bottom w:val="single" w:sz="4" w:space="0" w:color="auto"/>
              <w:right w:val="single" w:sz="4" w:space="0" w:color="auto"/>
            </w:tcBorders>
            <w:shd w:val="clear" w:color="auto" w:fill="auto"/>
            <w:noWrap/>
            <w:vAlign w:val="center"/>
            <w:hideMark/>
          </w:tcPr>
          <w:p w14:paraId="673AF3DE"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8</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5BAA778B"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9</w:t>
            </w:r>
          </w:p>
        </w:tc>
        <w:tc>
          <w:tcPr>
            <w:tcW w:w="1238" w:type="dxa"/>
            <w:tcBorders>
              <w:top w:val="single" w:sz="4" w:space="0" w:color="auto"/>
              <w:left w:val="nil"/>
              <w:bottom w:val="single" w:sz="4" w:space="0" w:color="auto"/>
              <w:right w:val="single" w:sz="4" w:space="0" w:color="auto"/>
            </w:tcBorders>
            <w:shd w:val="clear" w:color="auto" w:fill="auto"/>
            <w:noWrap/>
            <w:vAlign w:val="center"/>
            <w:hideMark/>
          </w:tcPr>
          <w:p w14:paraId="35B8FEEA" w14:textId="77777777" w:rsidR="002C253E" w:rsidRPr="002C253E" w:rsidRDefault="002C253E" w:rsidP="008349F0">
            <w:pPr>
              <w:spacing w:after="0"/>
              <w:ind w:firstLine="0"/>
              <w:jc w:val="center"/>
              <w:rPr>
                <w:rFonts w:eastAsia="Times New Roman" w:cs="Times New Roman"/>
                <w:sz w:val="18"/>
                <w:szCs w:val="18"/>
              </w:rPr>
            </w:pPr>
            <w:r w:rsidRPr="002C253E">
              <w:rPr>
                <w:rFonts w:eastAsia="Calibri" w:cs="Times New Roman"/>
                <w:sz w:val="18"/>
                <w:szCs w:val="18"/>
                <w:lang w:eastAsia="en-US"/>
              </w:rPr>
              <w:t>10</w:t>
            </w:r>
          </w:p>
        </w:tc>
      </w:tr>
      <w:tr w:rsidR="002C253E" w:rsidRPr="002C253E" w14:paraId="419260E5" w14:textId="77777777" w:rsidTr="008415BC">
        <w:trPr>
          <w:trHeight w:val="276"/>
          <w:jc w:val="center"/>
        </w:trPr>
        <w:tc>
          <w:tcPr>
            <w:tcW w:w="368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95FE8" w14:textId="77777777" w:rsidR="002C253E" w:rsidRPr="002C253E" w:rsidRDefault="002C253E" w:rsidP="008349F0">
            <w:pPr>
              <w:spacing w:after="0"/>
              <w:ind w:firstLine="0"/>
              <w:jc w:val="left"/>
              <w:rPr>
                <w:rFonts w:eastAsia="Times New Roman" w:cs="Times New Roman"/>
                <w:sz w:val="18"/>
                <w:szCs w:val="18"/>
              </w:rPr>
            </w:pPr>
            <w:r w:rsidRPr="002C253E">
              <w:rPr>
                <w:rFonts w:eastAsia="Calibri" w:cs="Times New Roman"/>
                <w:sz w:val="18"/>
                <w:szCs w:val="18"/>
                <w:lang w:eastAsia="en-US"/>
              </w:rPr>
              <w:t>Piemaksas pie vecuma pensijām</w:t>
            </w:r>
          </w:p>
        </w:tc>
        <w:tc>
          <w:tcPr>
            <w:tcW w:w="1036" w:type="dxa"/>
            <w:tcBorders>
              <w:top w:val="single" w:sz="4" w:space="0" w:color="auto"/>
              <w:left w:val="nil"/>
              <w:bottom w:val="single" w:sz="4" w:space="0" w:color="auto"/>
              <w:right w:val="single" w:sz="4" w:space="0" w:color="auto"/>
            </w:tcBorders>
            <w:shd w:val="clear" w:color="000000" w:fill="FFFFFF"/>
            <w:noWrap/>
            <w:vAlign w:val="center"/>
            <w:hideMark/>
          </w:tcPr>
          <w:p w14:paraId="68D134A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51,68</w:t>
            </w:r>
          </w:p>
        </w:tc>
        <w:tc>
          <w:tcPr>
            <w:tcW w:w="966" w:type="dxa"/>
            <w:tcBorders>
              <w:top w:val="single" w:sz="4" w:space="0" w:color="auto"/>
              <w:left w:val="nil"/>
              <w:bottom w:val="single" w:sz="4" w:space="0" w:color="auto"/>
              <w:right w:val="single" w:sz="4" w:space="0" w:color="auto"/>
            </w:tcBorders>
            <w:shd w:val="clear" w:color="000000" w:fill="FFFFFF"/>
            <w:noWrap/>
            <w:vAlign w:val="center"/>
            <w:hideMark/>
          </w:tcPr>
          <w:p w14:paraId="3CDEB22E"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309 368</w:t>
            </w:r>
          </w:p>
        </w:tc>
        <w:tc>
          <w:tcPr>
            <w:tcW w:w="1239" w:type="dxa"/>
            <w:tcBorders>
              <w:top w:val="single" w:sz="4" w:space="0" w:color="auto"/>
              <w:left w:val="nil"/>
              <w:bottom w:val="single" w:sz="4" w:space="0" w:color="auto"/>
              <w:right w:val="single" w:sz="4" w:space="0" w:color="auto"/>
            </w:tcBorders>
            <w:shd w:val="clear" w:color="000000" w:fill="FFFFFF"/>
            <w:vAlign w:val="center"/>
            <w:hideMark/>
          </w:tcPr>
          <w:p w14:paraId="466666A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191 857 536</w:t>
            </w:r>
          </w:p>
        </w:tc>
        <w:tc>
          <w:tcPr>
            <w:tcW w:w="1102" w:type="dxa"/>
            <w:tcBorders>
              <w:top w:val="single" w:sz="4" w:space="0" w:color="auto"/>
              <w:left w:val="nil"/>
              <w:bottom w:val="single" w:sz="4" w:space="0" w:color="auto"/>
              <w:right w:val="single" w:sz="4" w:space="0" w:color="auto"/>
            </w:tcBorders>
            <w:shd w:val="clear" w:color="000000" w:fill="FFFFFF"/>
            <w:noWrap/>
            <w:vAlign w:val="center"/>
            <w:hideMark/>
          </w:tcPr>
          <w:p w14:paraId="617DDE20"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50,67</w:t>
            </w:r>
          </w:p>
        </w:tc>
        <w:tc>
          <w:tcPr>
            <w:tcW w:w="1239" w:type="dxa"/>
            <w:tcBorders>
              <w:top w:val="single" w:sz="4" w:space="0" w:color="auto"/>
              <w:left w:val="nil"/>
              <w:bottom w:val="single" w:sz="4" w:space="0" w:color="auto"/>
              <w:right w:val="single" w:sz="4" w:space="0" w:color="auto"/>
            </w:tcBorders>
            <w:shd w:val="clear" w:color="000000" w:fill="FFFFFF"/>
            <w:noWrap/>
            <w:vAlign w:val="center"/>
            <w:hideMark/>
          </w:tcPr>
          <w:p w14:paraId="34BF6551"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345 587</w:t>
            </w:r>
          </w:p>
        </w:tc>
        <w:tc>
          <w:tcPr>
            <w:tcW w:w="1196" w:type="dxa"/>
            <w:tcBorders>
              <w:top w:val="single" w:sz="4" w:space="0" w:color="auto"/>
              <w:left w:val="nil"/>
              <w:bottom w:val="single" w:sz="4" w:space="0" w:color="auto"/>
              <w:right w:val="single" w:sz="4" w:space="0" w:color="auto"/>
            </w:tcBorders>
            <w:shd w:val="clear" w:color="000000" w:fill="FFFFFF"/>
            <w:vAlign w:val="center"/>
            <w:hideMark/>
          </w:tcPr>
          <w:p w14:paraId="2D9E9949"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210 137 562</w:t>
            </w:r>
          </w:p>
        </w:tc>
        <w:tc>
          <w:tcPr>
            <w:tcW w:w="876" w:type="dxa"/>
            <w:tcBorders>
              <w:top w:val="single" w:sz="4" w:space="0" w:color="auto"/>
              <w:left w:val="nil"/>
              <w:bottom w:val="single" w:sz="4" w:space="0" w:color="auto"/>
              <w:right w:val="single" w:sz="4" w:space="0" w:color="auto"/>
            </w:tcBorders>
            <w:shd w:val="clear" w:color="000000" w:fill="FFFFFF"/>
            <w:noWrap/>
            <w:vAlign w:val="center"/>
            <w:hideMark/>
          </w:tcPr>
          <w:p w14:paraId="386B5C96"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50,13</w:t>
            </w:r>
          </w:p>
        </w:tc>
        <w:tc>
          <w:tcPr>
            <w:tcW w:w="1136" w:type="dxa"/>
            <w:tcBorders>
              <w:top w:val="single" w:sz="4" w:space="0" w:color="auto"/>
              <w:left w:val="nil"/>
              <w:bottom w:val="single" w:sz="4" w:space="0" w:color="auto"/>
              <w:right w:val="single" w:sz="4" w:space="0" w:color="auto"/>
            </w:tcBorders>
            <w:shd w:val="clear" w:color="000000" w:fill="FFFFFF"/>
            <w:noWrap/>
            <w:vAlign w:val="center"/>
            <w:hideMark/>
          </w:tcPr>
          <w:p w14:paraId="09CBC2E2"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385 482</w:t>
            </w:r>
          </w:p>
        </w:tc>
        <w:tc>
          <w:tcPr>
            <w:tcW w:w="1238" w:type="dxa"/>
            <w:tcBorders>
              <w:top w:val="single" w:sz="4" w:space="0" w:color="auto"/>
              <w:left w:val="nil"/>
              <w:bottom w:val="single" w:sz="4" w:space="0" w:color="auto"/>
              <w:right w:val="single" w:sz="4" w:space="0" w:color="auto"/>
            </w:tcBorders>
            <w:shd w:val="clear" w:color="000000" w:fill="FFFFFF"/>
            <w:vAlign w:val="center"/>
            <w:hideMark/>
          </w:tcPr>
          <w:p w14:paraId="69000A27"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231 902 935</w:t>
            </w:r>
          </w:p>
        </w:tc>
      </w:tr>
      <w:tr w:rsidR="002C253E" w:rsidRPr="002C253E" w14:paraId="45F6403C" w14:textId="77777777" w:rsidTr="008415BC">
        <w:trPr>
          <w:trHeight w:val="276"/>
          <w:jc w:val="center"/>
        </w:trPr>
        <w:tc>
          <w:tcPr>
            <w:tcW w:w="3686" w:type="dxa"/>
            <w:tcBorders>
              <w:top w:val="nil"/>
              <w:left w:val="single" w:sz="4" w:space="0" w:color="auto"/>
              <w:bottom w:val="single" w:sz="4" w:space="0" w:color="auto"/>
              <w:right w:val="single" w:sz="4" w:space="0" w:color="auto"/>
            </w:tcBorders>
            <w:shd w:val="clear" w:color="000000" w:fill="FFFFFF"/>
            <w:noWrap/>
            <w:vAlign w:val="center"/>
            <w:hideMark/>
          </w:tcPr>
          <w:p w14:paraId="279C0C28" w14:textId="77777777" w:rsidR="002C253E" w:rsidRPr="002C253E" w:rsidRDefault="002C253E" w:rsidP="008349F0">
            <w:pPr>
              <w:spacing w:after="0"/>
              <w:ind w:firstLine="0"/>
              <w:jc w:val="left"/>
              <w:rPr>
                <w:rFonts w:eastAsia="Times New Roman" w:cs="Times New Roman"/>
                <w:sz w:val="18"/>
                <w:szCs w:val="18"/>
              </w:rPr>
            </w:pPr>
            <w:r w:rsidRPr="002C253E">
              <w:rPr>
                <w:rFonts w:eastAsia="Calibri" w:cs="Times New Roman"/>
                <w:sz w:val="18"/>
                <w:szCs w:val="18"/>
                <w:lang w:eastAsia="en-US"/>
              </w:rPr>
              <w:t>Piemaksas pie invaliditātes pensijām</w:t>
            </w:r>
          </w:p>
        </w:tc>
        <w:tc>
          <w:tcPr>
            <w:tcW w:w="1036" w:type="dxa"/>
            <w:tcBorders>
              <w:top w:val="nil"/>
              <w:left w:val="nil"/>
              <w:bottom w:val="single" w:sz="4" w:space="0" w:color="auto"/>
              <w:right w:val="single" w:sz="4" w:space="0" w:color="auto"/>
            </w:tcBorders>
            <w:shd w:val="clear" w:color="000000" w:fill="FFFFFF"/>
            <w:noWrap/>
            <w:vAlign w:val="center"/>
            <w:hideMark/>
          </w:tcPr>
          <w:p w14:paraId="288B21A4"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15,26</w:t>
            </w:r>
          </w:p>
        </w:tc>
        <w:tc>
          <w:tcPr>
            <w:tcW w:w="966" w:type="dxa"/>
            <w:tcBorders>
              <w:top w:val="nil"/>
              <w:left w:val="nil"/>
              <w:bottom w:val="single" w:sz="4" w:space="0" w:color="auto"/>
              <w:right w:val="single" w:sz="4" w:space="0" w:color="auto"/>
            </w:tcBorders>
            <w:shd w:val="clear" w:color="000000" w:fill="FFFFFF"/>
            <w:noWrap/>
            <w:vAlign w:val="center"/>
            <w:hideMark/>
          </w:tcPr>
          <w:p w14:paraId="7C96528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33 111</w:t>
            </w:r>
          </w:p>
        </w:tc>
        <w:tc>
          <w:tcPr>
            <w:tcW w:w="1239" w:type="dxa"/>
            <w:tcBorders>
              <w:top w:val="nil"/>
              <w:left w:val="nil"/>
              <w:bottom w:val="single" w:sz="4" w:space="0" w:color="auto"/>
              <w:right w:val="single" w:sz="4" w:space="0" w:color="auto"/>
            </w:tcBorders>
            <w:shd w:val="clear" w:color="000000" w:fill="FFFFFF"/>
            <w:vAlign w:val="center"/>
            <w:hideMark/>
          </w:tcPr>
          <w:p w14:paraId="2DE865C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6 062 486</w:t>
            </w:r>
          </w:p>
        </w:tc>
        <w:tc>
          <w:tcPr>
            <w:tcW w:w="1102" w:type="dxa"/>
            <w:tcBorders>
              <w:top w:val="nil"/>
              <w:left w:val="nil"/>
              <w:bottom w:val="single" w:sz="4" w:space="0" w:color="auto"/>
              <w:right w:val="single" w:sz="4" w:space="0" w:color="auto"/>
            </w:tcBorders>
            <w:shd w:val="clear" w:color="000000" w:fill="FFFFFF"/>
            <w:noWrap/>
            <w:vAlign w:val="center"/>
            <w:hideMark/>
          </w:tcPr>
          <w:p w14:paraId="479626D7"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16,12</w:t>
            </w:r>
          </w:p>
        </w:tc>
        <w:tc>
          <w:tcPr>
            <w:tcW w:w="1239" w:type="dxa"/>
            <w:tcBorders>
              <w:top w:val="nil"/>
              <w:left w:val="nil"/>
              <w:bottom w:val="single" w:sz="4" w:space="0" w:color="auto"/>
              <w:right w:val="single" w:sz="4" w:space="0" w:color="auto"/>
            </w:tcBorders>
            <w:shd w:val="clear" w:color="000000" w:fill="FFFFFF"/>
            <w:noWrap/>
            <w:vAlign w:val="center"/>
            <w:hideMark/>
          </w:tcPr>
          <w:p w14:paraId="665CD6E0"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41 311</w:t>
            </w:r>
          </w:p>
        </w:tc>
        <w:tc>
          <w:tcPr>
            <w:tcW w:w="1196" w:type="dxa"/>
            <w:tcBorders>
              <w:top w:val="nil"/>
              <w:left w:val="nil"/>
              <w:bottom w:val="single" w:sz="4" w:space="0" w:color="auto"/>
              <w:right w:val="single" w:sz="4" w:space="0" w:color="auto"/>
            </w:tcBorders>
            <w:shd w:val="clear" w:color="000000" w:fill="FFFFFF"/>
            <w:vAlign w:val="center"/>
            <w:hideMark/>
          </w:tcPr>
          <w:p w14:paraId="12AC483D"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7 990 254</w:t>
            </w:r>
          </w:p>
        </w:tc>
        <w:tc>
          <w:tcPr>
            <w:tcW w:w="876" w:type="dxa"/>
            <w:tcBorders>
              <w:top w:val="nil"/>
              <w:left w:val="nil"/>
              <w:bottom w:val="single" w:sz="4" w:space="0" w:color="auto"/>
              <w:right w:val="single" w:sz="4" w:space="0" w:color="auto"/>
            </w:tcBorders>
            <w:shd w:val="clear" w:color="000000" w:fill="FFFFFF"/>
            <w:noWrap/>
            <w:vAlign w:val="center"/>
            <w:hideMark/>
          </w:tcPr>
          <w:p w14:paraId="765BFF1C"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17,35</w:t>
            </w:r>
          </w:p>
        </w:tc>
        <w:tc>
          <w:tcPr>
            <w:tcW w:w="1136" w:type="dxa"/>
            <w:tcBorders>
              <w:top w:val="nil"/>
              <w:left w:val="nil"/>
              <w:bottom w:val="single" w:sz="4" w:space="0" w:color="auto"/>
              <w:right w:val="single" w:sz="4" w:space="0" w:color="auto"/>
            </w:tcBorders>
            <w:shd w:val="clear" w:color="000000" w:fill="FFFFFF"/>
            <w:noWrap/>
            <w:vAlign w:val="center"/>
            <w:hideMark/>
          </w:tcPr>
          <w:p w14:paraId="4256C2CB"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51 948</w:t>
            </w:r>
          </w:p>
        </w:tc>
        <w:tc>
          <w:tcPr>
            <w:tcW w:w="1238" w:type="dxa"/>
            <w:tcBorders>
              <w:top w:val="nil"/>
              <w:left w:val="nil"/>
              <w:bottom w:val="single" w:sz="4" w:space="0" w:color="auto"/>
              <w:right w:val="single" w:sz="4" w:space="0" w:color="auto"/>
            </w:tcBorders>
            <w:shd w:val="clear" w:color="000000" w:fill="FFFFFF"/>
            <w:vAlign w:val="center"/>
            <w:hideMark/>
          </w:tcPr>
          <w:p w14:paraId="157BB5B3" w14:textId="77777777" w:rsidR="002C253E" w:rsidRPr="002C253E" w:rsidRDefault="002C253E" w:rsidP="008349F0">
            <w:pPr>
              <w:spacing w:after="0"/>
              <w:ind w:firstLine="0"/>
              <w:jc w:val="center"/>
              <w:rPr>
                <w:rFonts w:eastAsia="Times New Roman" w:cs="Times New Roman"/>
                <w:color w:val="000000"/>
                <w:sz w:val="18"/>
                <w:szCs w:val="18"/>
                <w:highlight w:val="lightGray"/>
              </w:rPr>
            </w:pPr>
            <w:r w:rsidRPr="002C253E">
              <w:rPr>
                <w:rFonts w:eastAsia="Calibri" w:cs="Times New Roman"/>
                <w:sz w:val="18"/>
                <w:szCs w:val="18"/>
                <w:lang w:eastAsia="en-US"/>
              </w:rPr>
              <w:t>10 816 082</w:t>
            </w:r>
          </w:p>
        </w:tc>
      </w:tr>
      <w:tr w:rsidR="002C253E" w:rsidRPr="002C253E" w14:paraId="6CAA7C17" w14:textId="77777777" w:rsidTr="008415BC">
        <w:trPr>
          <w:trHeight w:val="276"/>
          <w:jc w:val="center"/>
        </w:trPr>
        <w:tc>
          <w:tcPr>
            <w:tcW w:w="3686" w:type="dxa"/>
            <w:tcBorders>
              <w:top w:val="nil"/>
              <w:left w:val="single" w:sz="4" w:space="0" w:color="auto"/>
              <w:bottom w:val="single" w:sz="4" w:space="0" w:color="auto"/>
              <w:right w:val="single" w:sz="4" w:space="0" w:color="auto"/>
            </w:tcBorders>
            <w:shd w:val="clear" w:color="000000" w:fill="FFFFFF"/>
            <w:noWrap/>
            <w:vAlign w:val="center"/>
            <w:hideMark/>
          </w:tcPr>
          <w:p w14:paraId="130B1E15"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KOPĀ</w:t>
            </w:r>
          </w:p>
        </w:tc>
        <w:tc>
          <w:tcPr>
            <w:tcW w:w="1036" w:type="dxa"/>
            <w:tcBorders>
              <w:top w:val="nil"/>
              <w:left w:val="nil"/>
              <w:bottom w:val="single" w:sz="4" w:space="0" w:color="auto"/>
              <w:right w:val="single" w:sz="4" w:space="0" w:color="auto"/>
            </w:tcBorders>
            <w:shd w:val="clear" w:color="000000" w:fill="FFFFFF"/>
            <w:noWrap/>
            <w:vAlign w:val="center"/>
            <w:hideMark/>
          </w:tcPr>
          <w:p w14:paraId="2C8DCEC4"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x</w:t>
            </w:r>
          </w:p>
        </w:tc>
        <w:tc>
          <w:tcPr>
            <w:tcW w:w="966" w:type="dxa"/>
            <w:tcBorders>
              <w:top w:val="nil"/>
              <w:left w:val="nil"/>
              <w:bottom w:val="single" w:sz="4" w:space="0" w:color="auto"/>
              <w:right w:val="single" w:sz="4" w:space="0" w:color="auto"/>
            </w:tcBorders>
            <w:shd w:val="clear" w:color="000000" w:fill="FFFFFF"/>
            <w:noWrap/>
            <w:vAlign w:val="center"/>
            <w:hideMark/>
          </w:tcPr>
          <w:p w14:paraId="57420573"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x</w:t>
            </w:r>
          </w:p>
        </w:tc>
        <w:tc>
          <w:tcPr>
            <w:tcW w:w="1239" w:type="dxa"/>
            <w:tcBorders>
              <w:top w:val="nil"/>
              <w:left w:val="nil"/>
              <w:bottom w:val="single" w:sz="4" w:space="0" w:color="auto"/>
              <w:right w:val="single" w:sz="4" w:space="0" w:color="auto"/>
            </w:tcBorders>
            <w:shd w:val="clear" w:color="000000" w:fill="FFFFFF"/>
            <w:noWrap/>
            <w:vAlign w:val="center"/>
            <w:hideMark/>
          </w:tcPr>
          <w:p w14:paraId="1AD7FB39"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197 920 022</w:t>
            </w:r>
          </w:p>
        </w:tc>
        <w:tc>
          <w:tcPr>
            <w:tcW w:w="1102" w:type="dxa"/>
            <w:tcBorders>
              <w:top w:val="nil"/>
              <w:left w:val="nil"/>
              <w:bottom w:val="single" w:sz="4" w:space="0" w:color="auto"/>
              <w:right w:val="single" w:sz="4" w:space="0" w:color="auto"/>
            </w:tcBorders>
            <w:shd w:val="clear" w:color="000000" w:fill="FFFFFF"/>
            <w:noWrap/>
            <w:vAlign w:val="center"/>
            <w:hideMark/>
          </w:tcPr>
          <w:p w14:paraId="6ACD8981"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x</w:t>
            </w:r>
          </w:p>
        </w:tc>
        <w:tc>
          <w:tcPr>
            <w:tcW w:w="1239" w:type="dxa"/>
            <w:tcBorders>
              <w:top w:val="nil"/>
              <w:left w:val="nil"/>
              <w:bottom w:val="single" w:sz="4" w:space="0" w:color="auto"/>
              <w:right w:val="single" w:sz="4" w:space="0" w:color="auto"/>
            </w:tcBorders>
            <w:shd w:val="clear" w:color="000000" w:fill="FFFFFF"/>
            <w:noWrap/>
            <w:vAlign w:val="center"/>
            <w:hideMark/>
          </w:tcPr>
          <w:p w14:paraId="6A2104DC"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x</w:t>
            </w:r>
          </w:p>
        </w:tc>
        <w:tc>
          <w:tcPr>
            <w:tcW w:w="1196" w:type="dxa"/>
            <w:tcBorders>
              <w:top w:val="nil"/>
              <w:left w:val="nil"/>
              <w:bottom w:val="single" w:sz="4" w:space="0" w:color="auto"/>
              <w:right w:val="single" w:sz="4" w:space="0" w:color="auto"/>
            </w:tcBorders>
            <w:shd w:val="clear" w:color="000000" w:fill="FFFFFF"/>
            <w:noWrap/>
            <w:vAlign w:val="center"/>
            <w:hideMark/>
          </w:tcPr>
          <w:p w14:paraId="0FC45473"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218 127 816</w:t>
            </w:r>
          </w:p>
        </w:tc>
        <w:tc>
          <w:tcPr>
            <w:tcW w:w="876" w:type="dxa"/>
            <w:tcBorders>
              <w:top w:val="nil"/>
              <w:left w:val="nil"/>
              <w:bottom w:val="single" w:sz="4" w:space="0" w:color="auto"/>
              <w:right w:val="single" w:sz="4" w:space="0" w:color="auto"/>
            </w:tcBorders>
            <w:shd w:val="clear" w:color="000000" w:fill="FFFFFF"/>
            <w:noWrap/>
            <w:vAlign w:val="center"/>
            <w:hideMark/>
          </w:tcPr>
          <w:p w14:paraId="79E88229"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x</w:t>
            </w:r>
          </w:p>
        </w:tc>
        <w:tc>
          <w:tcPr>
            <w:tcW w:w="1136" w:type="dxa"/>
            <w:tcBorders>
              <w:top w:val="nil"/>
              <w:left w:val="nil"/>
              <w:bottom w:val="single" w:sz="4" w:space="0" w:color="auto"/>
              <w:right w:val="single" w:sz="4" w:space="0" w:color="auto"/>
            </w:tcBorders>
            <w:shd w:val="clear" w:color="000000" w:fill="FFFFFF"/>
            <w:noWrap/>
            <w:vAlign w:val="center"/>
            <w:hideMark/>
          </w:tcPr>
          <w:p w14:paraId="67D65C8C"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x</w:t>
            </w:r>
          </w:p>
        </w:tc>
        <w:tc>
          <w:tcPr>
            <w:tcW w:w="1238" w:type="dxa"/>
            <w:tcBorders>
              <w:top w:val="nil"/>
              <w:left w:val="nil"/>
              <w:bottom w:val="single" w:sz="4" w:space="0" w:color="auto"/>
              <w:right w:val="single" w:sz="4" w:space="0" w:color="auto"/>
            </w:tcBorders>
            <w:shd w:val="clear" w:color="000000" w:fill="FFFFFF"/>
            <w:noWrap/>
            <w:vAlign w:val="center"/>
            <w:hideMark/>
          </w:tcPr>
          <w:p w14:paraId="25A9583A"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Calibri" w:cs="Times New Roman"/>
                <w:b/>
                <w:bCs/>
                <w:sz w:val="18"/>
                <w:szCs w:val="18"/>
                <w:lang w:eastAsia="en-US"/>
              </w:rPr>
              <w:t>242 719 017</w:t>
            </w:r>
          </w:p>
        </w:tc>
      </w:tr>
    </w:tbl>
    <w:p w14:paraId="63676215" w14:textId="77777777" w:rsidR="002C253E" w:rsidRPr="002C253E" w:rsidRDefault="002C253E" w:rsidP="008349F0">
      <w:pPr>
        <w:widowControl w:val="0"/>
        <w:spacing w:before="120"/>
        <w:ind w:firstLine="0"/>
        <w:rPr>
          <w:rFonts w:eastAsia="Calibri" w:cs="Times New Roman"/>
          <w:i/>
          <w:sz w:val="20"/>
        </w:rPr>
      </w:pPr>
      <w:r w:rsidRPr="002C253E">
        <w:rPr>
          <w:rFonts w:eastAsia="Calibri" w:cs="Times New Roman"/>
          <w:i/>
          <w:sz w:val="20"/>
        </w:rPr>
        <w:t>Datu avots: FM</w:t>
      </w:r>
    </w:p>
    <w:p w14:paraId="102AB6D8" w14:textId="77777777" w:rsidR="002C253E" w:rsidRPr="002C253E" w:rsidRDefault="002C253E" w:rsidP="008349F0">
      <w:pPr>
        <w:spacing w:after="160"/>
        <w:ind w:firstLine="0"/>
        <w:jc w:val="left"/>
        <w:rPr>
          <w:rFonts w:eastAsia="Times New Roman" w:cs="Times New Roman"/>
          <w:b/>
          <w:color w:val="000000"/>
          <w:highlight w:val="lightGray"/>
        </w:rPr>
      </w:pPr>
      <w:r w:rsidRPr="002C253E">
        <w:rPr>
          <w:rFonts w:eastAsia="Times New Roman" w:cs="Times New Roman"/>
          <w:b/>
          <w:color w:val="000000"/>
          <w:highlight w:val="lightGray"/>
        </w:rPr>
        <w:br w:type="page"/>
      </w:r>
    </w:p>
    <w:p w14:paraId="51B52F92" w14:textId="77777777" w:rsidR="002C253E" w:rsidRPr="002C253E" w:rsidRDefault="002C253E" w:rsidP="008349F0">
      <w:pPr>
        <w:widowControl w:val="0"/>
        <w:ind w:right="111"/>
        <w:jc w:val="right"/>
        <w:rPr>
          <w:rFonts w:eastAsia="Times New Roman" w:cs="Times New Roman"/>
          <w:color w:val="000000"/>
        </w:rPr>
      </w:pPr>
      <w:r w:rsidRPr="002C253E">
        <w:rPr>
          <w:rFonts w:eastAsia="Times New Roman" w:cs="Times New Roman"/>
          <w:color w:val="000000"/>
        </w:rPr>
        <w:lastRenderedPageBreak/>
        <w:t>8. pielikums</w:t>
      </w:r>
    </w:p>
    <w:p w14:paraId="2EEEC93C" w14:textId="5CACA967" w:rsidR="002C253E" w:rsidRPr="002C253E" w:rsidRDefault="002C253E" w:rsidP="008349F0">
      <w:pPr>
        <w:widowControl w:val="0"/>
        <w:jc w:val="right"/>
        <w:rPr>
          <w:rFonts w:eastAsia="Times New Roman" w:cs="Times New Roman"/>
          <w:b/>
          <w:color w:val="000000"/>
        </w:rPr>
      </w:pPr>
      <w:r w:rsidRPr="002C253E">
        <w:rPr>
          <w:rFonts w:eastAsia="Times New Roman" w:cs="Times New Roman"/>
          <w:b/>
          <w:color w:val="000000"/>
        </w:rPr>
        <w:t>Valsts sociālās apdrošināšanas speciālā budžeta programma 04.00.00 "Sociālā apdrošināšana"</w:t>
      </w:r>
    </w:p>
    <w:tbl>
      <w:tblPr>
        <w:tblW w:w="0" w:type="auto"/>
        <w:jc w:val="center"/>
        <w:tblLook w:val="04A0" w:firstRow="1" w:lastRow="0" w:firstColumn="1" w:lastColumn="0" w:noHBand="0" w:noVBand="1"/>
      </w:tblPr>
      <w:tblGrid>
        <w:gridCol w:w="4494"/>
        <w:gridCol w:w="955"/>
        <w:gridCol w:w="949"/>
        <w:gridCol w:w="1259"/>
        <w:gridCol w:w="955"/>
        <w:gridCol w:w="949"/>
        <w:gridCol w:w="1259"/>
        <w:gridCol w:w="955"/>
        <w:gridCol w:w="949"/>
        <w:gridCol w:w="1259"/>
      </w:tblGrid>
      <w:tr w:rsidR="002C253E" w:rsidRPr="002C253E" w14:paraId="36CB961B" w14:textId="77777777" w:rsidTr="002C253E">
        <w:trPr>
          <w:trHeight w:val="20"/>
          <w:tblHeader/>
          <w:jc w:val="center"/>
        </w:trPr>
        <w:tc>
          <w:tcPr>
            <w:tcW w:w="0" w:type="auto"/>
            <w:vMerge w:val="restart"/>
            <w:tcBorders>
              <w:top w:val="single" w:sz="8" w:space="0" w:color="auto"/>
              <w:left w:val="single" w:sz="8" w:space="0" w:color="auto"/>
              <w:bottom w:val="single" w:sz="4" w:space="0" w:color="000000"/>
              <w:right w:val="single" w:sz="8" w:space="0" w:color="auto"/>
            </w:tcBorders>
            <w:shd w:val="clear" w:color="auto" w:fill="9CC2E5"/>
            <w:noWrap/>
            <w:vAlign w:val="center"/>
            <w:hideMark/>
          </w:tcPr>
          <w:p w14:paraId="19AACA6E"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Pabalsta veids</w:t>
            </w:r>
          </w:p>
        </w:tc>
        <w:tc>
          <w:tcPr>
            <w:tcW w:w="0" w:type="auto"/>
            <w:gridSpan w:val="3"/>
            <w:tcBorders>
              <w:top w:val="single" w:sz="8" w:space="0" w:color="auto"/>
              <w:left w:val="nil"/>
              <w:bottom w:val="single" w:sz="4" w:space="0" w:color="auto"/>
              <w:right w:val="single" w:sz="8" w:space="0" w:color="000000"/>
            </w:tcBorders>
            <w:shd w:val="clear" w:color="auto" w:fill="9CC2E5"/>
            <w:vAlign w:val="center"/>
            <w:hideMark/>
          </w:tcPr>
          <w:p w14:paraId="4824AA50"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2025. gada projekts</w:t>
            </w:r>
          </w:p>
        </w:tc>
        <w:tc>
          <w:tcPr>
            <w:tcW w:w="0" w:type="auto"/>
            <w:gridSpan w:val="3"/>
            <w:tcBorders>
              <w:top w:val="single" w:sz="8" w:space="0" w:color="auto"/>
              <w:left w:val="nil"/>
              <w:bottom w:val="single" w:sz="4" w:space="0" w:color="auto"/>
              <w:right w:val="single" w:sz="8" w:space="0" w:color="000000"/>
            </w:tcBorders>
            <w:shd w:val="clear" w:color="auto" w:fill="9CC2E5"/>
            <w:vAlign w:val="center"/>
            <w:hideMark/>
          </w:tcPr>
          <w:p w14:paraId="41A69C6C"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2026. gada prognoze</w:t>
            </w:r>
          </w:p>
        </w:tc>
        <w:tc>
          <w:tcPr>
            <w:tcW w:w="0" w:type="auto"/>
            <w:gridSpan w:val="3"/>
            <w:tcBorders>
              <w:top w:val="single" w:sz="8" w:space="0" w:color="auto"/>
              <w:left w:val="nil"/>
              <w:bottom w:val="single" w:sz="4" w:space="0" w:color="auto"/>
              <w:right w:val="single" w:sz="8" w:space="0" w:color="000000"/>
            </w:tcBorders>
            <w:shd w:val="clear" w:color="auto" w:fill="9CC2E5"/>
            <w:vAlign w:val="center"/>
            <w:hideMark/>
          </w:tcPr>
          <w:p w14:paraId="2FCBC183" w14:textId="77777777" w:rsidR="002C253E" w:rsidRPr="002C253E" w:rsidRDefault="002C253E" w:rsidP="008349F0">
            <w:pPr>
              <w:spacing w:after="0"/>
              <w:ind w:firstLine="0"/>
              <w:jc w:val="center"/>
              <w:rPr>
                <w:rFonts w:eastAsia="Times New Roman" w:cs="Times New Roman"/>
                <w:b/>
                <w:bCs/>
                <w:sz w:val="18"/>
                <w:szCs w:val="18"/>
              </w:rPr>
            </w:pPr>
            <w:r w:rsidRPr="002C253E">
              <w:rPr>
                <w:rFonts w:eastAsia="Times New Roman" w:cs="Times New Roman"/>
                <w:b/>
                <w:bCs/>
                <w:sz w:val="18"/>
                <w:szCs w:val="18"/>
              </w:rPr>
              <w:t>2027. gada prognoze</w:t>
            </w:r>
          </w:p>
        </w:tc>
      </w:tr>
      <w:tr w:rsidR="002C253E" w:rsidRPr="002C253E" w14:paraId="5F588C6A" w14:textId="77777777" w:rsidTr="002C253E">
        <w:trPr>
          <w:trHeight w:val="20"/>
          <w:tblHeader/>
          <w:jc w:val="center"/>
        </w:trPr>
        <w:tc>
          <w:tcPr>
            <w:tcW w:w="0" w:type="auto"/>
            <w:vMerge/>
            <w:tcBorders>
              <w:top w:val="single" w:sz="8" w:space="0" w:color="auto"/>
              <w:left w:val="single" w:sz="8" w:space="0" w:color="auto"/>
              <w:bottom w:val="single" w:sz="4" w:space="0" w:color="000000"/>
              <w:right w:val="single" w:sz="8" w:space="0" w:color="auto"/>
            </w:tcBorders>
            <w:shd w:val="clear" w:color="auto" w:fill="9CC2E5"/>
            <w:vAlign w:val="center"/>
            <w:hideMark/>
          </w:tcPr>
          <w:p w14:paraId="3B4A69A4" w14:textId="77777777" w:rsidR="002C253E" w:rsidRPr="002C253E" w:rsidRDefault="002C253E" w:rsidP="008349F0">
            <w:pPr>
              <w:spacing w:after="0"/>
              <w:ind w:firstLine="0"/>
              <w:jc w:val="left"/>
              <w:rPr>
                <w:rFonts w:eastAsia="Times New Roman" w:cs="Times New Roman"/>
                <w:sz w:val="18"/>
                <w:szCs w:val="18"/>
              </w:rPr>
            </w:pPr>
          </w:p>
        </w:tc>
        <w:tc>
          <w:tcPr>
            <w:tcW w:w="0" w:type="auto"/>
            <w:tcBorders>
              <w:top w:val="nil"/>
              <w:left w:val="nil"/>
              <w:bottom w:val="single" w:sz="4" w:space="0" w:color="auto"/>
              <w:right w:val="nil"/>
            </w:tcBorders>
            <w:shd w:val="clear" w:color="auto" w:fill="DEEAF6"/>
            <w:vAlign w:val="center"/>
            <w:hideMark/>
          </w:tcPr>
          <w:p w14:paraId="30C39EA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Pensijas/ pabalsta/ atlīdzības apmērs vidēji mēnesī (</w:t>
            </w:r>
            <w:proofErr w:type="spellStart"/>
            <w:r w:rsidRPr="002C253E">
              <w:rPr>
                <w:rFonts w:eastAsia="Times New Roman" w:cs="Times New Roman"/>
                <w:i/>
                <w:iCs/>
                <w:sz w:val="18"/>
                <w:szCs w:val="18"/>
              </w:rPr>
              <w:t>euro</w:t>
            </w:r>
            <w:proofErr w:type="spellEnd"/>
            <w:r w:rsidRPr="002C253E">
              <w:rPr>
                <w:rFonts w:eastAsia="Times New Roman" w:cs="Times New Roman"/>
                <w:sz w:val="18"/>
                <w:szCs w:val="18"/>
              </w:rPr>
              <w:t>)</w:t>
            </w:r>
          </w:p>
        </w:tc>
        <w:tc>
          <w:tcPr>
            <w:tcW w:w="0" w:type="auto"/>
            <w:tcBorders>
              <w:top w:val="nil"/>
              <w:left w:val="single" w:sz="4" w:space="0" w:color="auto"/>
              <w:bottom w:val="single" w:sz="4" w:space="0" w:color="auto"/>
              <w:right w:val="single" w:sz="4" w:space="0" w:color="auto"/>
            </w:tcBorders>
            <w:shd w:val="clear" w:color="auto" w:fill="DEEAF6"/>
            <w:vAlign w:val="center"/>
            <w:hideMark/>
          </w:tcPr>
          <w:p w14:paraId="5BA96F7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 skaits (vidēji mēnesī)</w:t>
            </w:r>
          </w:p>
        </w:tc>
        <w:tc>
          <w:tcPr>
            <w:tcW w:w="0" w:type="auto"/>
            <w:tcBorders>
              <w:top w:val="nil"/>
              <w:left w:val="nil"/>
              <w:bottom w:val="single" w:sz="4" w:space="0" w:color="auto"/>
              <w:right w:val="single" w:sz="8" w:space="0" w:color="auto"/>
            </w:tcBorders>
            <w:shd w:val="clear" w:color="auto" w:fill="DEEAF6"/>
            <w:vAlign w:val="center"/>
            <w:hideMark/>
          </w:tcPr>
          <w:p w14:paraId="0E25EE11"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 (</w:t>
            </w:r>
            <w:proofErr w:type="spellStart"/>
            <w:r w:rsidRPr="002C253E">
              <w:rPr>
                <w:rFonts w:eastAsia="Times New Roman" w:cs="Times New Roman"/>
                <w:i/>
                <w:iCs/>
                <w:sz w:val="18"/>
                <w:szCs w:val="18"/>
              </w:rPr>
              <w:t>euro</w:t>
            </w:r>
            <w:proofErr w:type="spellEnd"/>
            <w:r w:rsidRPr="002C253E">
              <w:rPr>
                <w:rFonts w:eastAsia="Times New Roman" w:cs="Times New Roman"/>
                <w:sz w:val="18"/>
                <w:szCs w:val="18"/>
              </w:rPr>
              <w:t>)</w:t>
            </w:r>
          </w:p>
        </w:tc>
        <w:tc>
          <w:tcPr>
            <w:tcW w:w="0" w:type="auto"/>
            <w:tcBorders>
              <w:top w:val="nil"/>
              <w:left w:val="nil"/>
              <w:bottom w:val="single" w:sz="4" w:space="0" w:color="auto"/>
              <w:right w:val="nil"/>
            </w:tcBorders>
            <w:shd w:val="clear" w:color="auto" w:fill="DEEAF6"/>
            <w:vAlign w:val="center"/>
            <w:hideMark/>
          </w:tcPr>
          <w:p w14:paraId="602AC0BD"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Pensijas/ pabalsta/ atlīdzības apmērs vidēji mēnesī (</w:t>
            </w:r>
            <w:proofErr w:type="spellStart"/>
            <w:r w:rsidRPr="002C253E">
              <w:rPr>
                <w:rFonts w:eastAsia="Times New Roman" w:cs="Times New Roman"/>
                <w:i/>
                <w:iCs/>
                <w:sz w:val="18"/>
                <w:szCs w:val="18"/>
              </w:rPr>
              <w:t>euro</w:t>
            </w:r>
            <w:proofErr w:type="spellEnd"/>
            <w:r w:rsidRPr="002C253E">
              <w:rPr>
                <w:rFonts w:eastAsia="Times New Roman" w:cs="Times New Roman"/>
                <w:sz w:val="18"/>
                <w:szCs w:val="18"/>
              </w:rPr>
              <w:t>)</w:t>
            </w:r>
          </w:p>
        </w:tc>
        <w:tc>
          <w:tcPr>
            <w:tcW w:w="0" w:type="auto"/>
            <w:tcBorders>
              <w:top w:val="nil"/>
              <w:left w:val="single" w:sz="4" w:space="0" w:color="auto"/>
              <w:bottom w:val="single" w:sz="4" w:space="0" w:color="auto"/>
              <w:right w:val="single" w:sz="4" w:space="0" w:color="auto"/>
            </w:tcBorders>
            <w:shd w:val="clear" w:color="auto" w:fill="DEEAF6"/>
            <w:vAlign w:val="center"/>
            <w:hideMark/>
          </w:tcPr>
          <w:p w14:paraId="63310633"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 skaits (vidēji mēnesī)</w:t>
            </w:r>
          </w:p>
        </w:tc>
        <w:tc>
          <w:tcPr>
            <w:tcW w:w="0" w:type="auto"/>
            <w:tcBorders>
              <w:top w:val="nil"/>
              <w:left w:val="nil"/>
              <w:bottom w:val="single" w:sz="4" w:space="0" w:color="auto"/>
              <w:right w:val="single" w:sz="8" w:space="0" w:color="auto"/>
            </w:tcBorders>
            <w:shd w:val="clear" w:color="auto" w:fill="DEEAF6"/>
            <w:vAlign w:val="center"/>
            <w:hideMark/>
          </w:tcPr>
          <w:p w14:paraId="6AC7AFD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 (</w:t>
            </w:r>
            <w:proofErr w:type="spellStart"/>
            <w:r w:rsidRPr="002C253E">
              <w:rPr>
                <w:rFonts w:eastAsia="Times New Roman" w:cs="Times New Roman"/>
                <w:i/>
                <w:iCs/>
                <w:sz w:val="18"/>
                <w:szCs w:val="18"/>
              </w:rPr>
              <w:t>euro</w:t>
            </w:r>
            <w:proofErr w:type="spellEnd"/>
            <w:r w:rsidRPr="002C253E">
              <w:rPr>
                <w:rFonts w:eastAsia="Times New Roman" w:cs="Times New Roman"/>
                <w:sz w:val="18"/>
                <w:szCs w:val="18"/>
              </w:rPr>
              <w:t>)</w:t>
            </w:r>
          </w:p>
        </w:tc>
        <w:tc>
          <w:tcPr>
            <w:tcW w:w="0" w:type="auto"/>
            <w:tcBorders>
              <w:top w:val="nil"/>
              <w:left w:val="nil"/>
              <w:bottom w:val="single" w:sz="4" w:space="0" w:color="auto"/>
              <w:right w:val="nil"/>
            </w:tcBorders>
            <w:shd w:val="clear" w:color="auto" w:fill="DEEAF6"/>
            <w:vAlign w:val="center"/>
            <w:hideMark/>
          </w:tcPr>
          <w:p w14:paraId="09B09DE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Pensijas/ pabalsta/ atlīdzības apmērs vidēji mēnesī (</w:t>
            </w:r>
            <w:proofErr w:type="spellStart"/>
            <w:r w:rsidRPr="002C253E">
              <w:rPr>
                <w:rFonts w:eastAsia="Times New Roman" w:cs="Times New Roman"/>
                <w:i/>
                <w:iCs/>
                <w:sz w:val="18"/>
                <w:szCs w:val="18"/>
              </w:rPr>
              <w:t>euro</w:t>
            </w:r>
            <w:proofErr w:type="spellEnd"/>
            <w:r w:rsidRPr="002C253E">
              <w:rPr>
                <w:rFonts w:eastAsia="Times New Roman" w:cs="Times New Roman"/>
                <w:sz w:val="18"/>
                <w:szCs w:val="18"/>
              </w:rPr>
              <w:t>)</w:t>
            </w:r>
          </w:p>
        </w:tc>
        <w:tc>
          <w:tcPr>
            <w:tcW w:w="0" w:type="auto"/>
            <w:tcBorders>
              <w:top w:val="nil"/>
              <w:left w:val="single" w:sz="4" w:space="0" w:color="auto"/>
              <w:bottom w:val="single" w:sz="4" w:space="0" w:color="auto"/>
              <w:right w:val="single" w:sz="4" w:space="0" w:color="auto"/>
            </w:tcBorders>
            <w:shd w:val="clear" w:color="auto" w:fill="DEEAF6"/>
            <w:vAlign w:val="center"/>
            <w:hideMark/>
          </w:tcPr>
          <w:p w14:paraId="57A54FA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Saņēmēju skaits (vidēji mēnesī)</w:t>
            </w:r>
          </w:p>
        </w:tc>
        <w:tc>
          <w:tcPr>
            <w:tcW w:w="0" w:type="auto"/>
            <w:tcBorders>
              <w:top w:val="nil"/>
              <w:left w:val="nil"/>
              <w:bottom w:val="single" w:sz="4" w:space="0" w:color="auto"/>
              <w:right w:val="single" w:sz="8" w:space="0" w:color="auto"/>
            </w:tcBorders>
            <w:shd w:val="clear" w:color="auto" w:fill="DEEAF6"/>
            <w:vAlign w:val="center"/>
            <w:hideMark/>
          </w:tcPr>
          <w:p w14:paraId="7BED72C3"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Izdevumi kopā (</w:t>
            </w:r>
            <w:proofErr w:type="spellStart"/>
            <w:r w:rsidRPr="002C253E">
              <w:rPr>
                <w:rFonts w:eastAsia="Times New Roman" w:cs="Times New Roman"/>
                <w:i/>
                <w:iCs/>
                <w:sz w:val="18"/>
                <w:szCs w:val="18"/>
              </w:rPr>
              <w:t>euro</w:t>
            </w:r>
            <w:proofErr w:type="spellEnd"/>
            <w:r w:rsidRPr="002C253E">
              <w:rPr>
                <w:rFonts w:eastAsia="Times New Roman" w:cs="Times New Roman"/>
                <w:sz w:val="18"/>
                <w:szCs w:val="18"/>
              </w:rPr>
              <w:t>)</w:t>
            </w:r>
          </w:p>
        </w:tc>
      </w:tr>
      <w:tr w:rsidR="002C253E" w:rsidRPr="002C253E" w14:paraId="2AAB7022"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30F95CC"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1</w:t>
            </w:r>
          </w:p>
        </w:tc>
        <w:tc>
          <w:tcPr>
            <w:tcW w:w="0" w:type="auto"/>
            <w:tcBorders>
              <w:top w:val="nil"/>
              <w:left w:val="nil"/>
              <w:bottom w:val="single" w:sz="4" w:space="0" w:color="auto"/>
              <w:right w:val="nil"/>
            </w:tcBorders>
            <w:shd w:val="clear" w:color="auto" w:fill="auto"/>
            <w:noWrap/>
            <w:vAlign w:val="bottom"/>
            <w:hideMark/>
          </w:tcPr>
          <w:p w14:paraId="67F2A46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99CF78"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3</w:t>
            </w:r>
          </w:p>
        </w:tc>
        <w:tc>
          <w:tcPr>
            <w:tcW w:w="0" w:type="auto"/>
            <w:tcBorders>
              <w:top w:val="nil"/>
              <w:left w:val="nil"/>
              <w:bottom w:val="single" w:sz="4" w:space="0" w:color="auto"/>
              <w:right w:val="single" w:sz="8" w:space="0" w:color="auto"/>
            </w:tcBorders>
            <w:shd w:val="clear" w:color="auto" w:fill="auto"/>
            <w:noWrap/>
            <w:vAlign w:val="bottom"/>
            <w:hideMark/>
          </w:tcPr>
          <w:p w14:paraId="41B9167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4</w:t>
            </w:r>
          </w:p>
        </w:tc>
        <w:tc>
          <w:tcPr>
            <w:tcW w:w="0" w:type="auto"/>
            <w:tcBorders>
              <w:top w:val="nil"/>
              <w:left w:val="nil"/>
              <w:bottom w:val="single" w:sz="4" w:space="0" w:color="auto"/>
              <w:right w:val="nil"/>
            </w:tcBorders>
            <w:shd w:val="clear" w:color="auto" w:fill="auto"/>
            <w:noWrap/>
            <w:vAlign w:val="bottom"/>
            <w:hideMark/>
          </w:tcPr>
          <w:p w14:paraId="749EE3CF"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96789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6</w:t>
            </w:r>
          </w:p>
        </w:tc>
        <w:tc>
          <w:tcPr>
            <w:tcW w:w="0" w:type="auto"/>
            <w:tcBorders>
              <w:top w:val="nil"/>
              <w:left w:val="nil"/>
              <w:bottom w:val="single" w:sz="4" w:space="0" w:color="auto"/>
              <w:right w:val="single" w:sz="8" w:space="0" w:color="auto"/>
            </w:tcBorders>
            <w:shd w:val="clear" w:color="auto" w:fill="auto"/>
            <w:noWrap/>
            <w:vAlign w:val="bottom"/>
            <w:hideMark/>
          </w:tcPr>
          <w:p w14:paraId="3D9CB3B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7</w:t>
            </w:r>
          </w:p>
        </w:tc>
        <w:tc>
          <w:tcPr>
            <w:tcW w:w="0" w:type="auto"/>
            <w:tcBorders>
              <w:top w:val="nil"/>
              <w:left w:val="nil"/>
              <w:bottom w:val="single" w:sz="4" w:space="0" w:color="auto"/>
              <w:right w:val="nil"/>
            </w:tcBorders>
            <w:shd w:val="clear" w:color="auto" w:fill="auto"/>
            <w:noWrap/>
            <w:vAlign w:val="bottom"/>
            <w:hideMark/>
          </w:tcPr>
          <w:p w14:paraId="3FA62C5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FF274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9</w:t>
            </w:r>
          </w:p>
        </w:tc>
        <w:tc>
          <w:tcPr>
            <w:tcW w:w="0" w:type="auto"/>
            <w:tcBorders>
              <w:top w:val="nil"/>
              <w:left w:val="nil"/>
              <w:bottom w:val="single" w:sz="4" w:space="0" w:color="auto"/>
              <w:right w:val="single" w:sz="8" w:space="0" w:color="auto"/>
            </w:tcBorders>
            <w:shd w:val="clear" w:color="auto" w:fill="auto"/>
            <w:noWrap/>
            <w:vAlign w:val="bottom"/>
            <w:hideMark/>
          </w:tcPr>
          <w:p w14:paraId="2B9267F8"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10</w:t>
            </w:r>
          </w:p>
        </w:tc>
      </w:tr>
      <w:tr w:rsidR="002C253E" w:rsidRPr="002C253E" w14:paraId="51AD5DFF"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DF9966E" w14:textId="77777777" w:rsidR="002C253E" w:rsidRPr="002C253E" w:rsidRDefault="002C253E" w:rsidP="008349F0">
            <w:pPr>
              <w:spacing w:after="0"/>
              <w:ind w:firstLine="0"/>
              <w:jc w:val="left"/>
              <w:rPr>
                <w:rFonts w:eastAsia="Times New Roman" w:cs="Times New Roman"/>
                <w:b/>
                <w:bCs/>
                <w:sz w:val="18"/>
                <w:szCs w:val="18"/>
              </w:rPr>
            </w:pPr>
            <w:r w:rsidRPr="002C253E">
              <w:rPr>
                <w:rFonts w:eastAsia="Times New Roman" w:cs="Times New Roman"/>
                <w:b/>
                <w:bCs/>
                <w:sz w:val="18"/>
                <w:szCs w:val="18"/>
              </w:rPr>
              <w:t>04.01.00 Valsts pensiju speciālais budžets</w:t>
            </w:r>
          </w:p>
        </w:tc>
        <w:tc>
          <w:tcPr>
            <w:tcW w:w="0" w:type="auto"/>
            <w:tcBorders>
              <w:top w:val="nil"/>
              <w:left w:val="nil"/>
              <w:bottom w:val="nil"/>
              <w:right w:val="nil"/>
            </w:tcBorders>
            <w:shd w:val="clear" w:color="auto" w:fill="auto"/>
            <w:noWrap/>
            <w:vAlign w:val="bottom"/>
            <w:hideMark/>
          </w:tcPr>
          <w:p w14:paraId="3B0CB7C7"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nil"/>
              <w:right w:val="single" w:sz="4" w:space="0" w:color="auto"/>
            </w:tcBorders>
            <w:shd w:val="clear" w:color="auto" w:fill="auto"/>
            <w:noWrap/>
            <w:vAlign w:val="bottom"/>
            <w:hideMark/>
          </w:tcPr>
          <w:p w14:paraId="71F32182"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nil"/>
              <w:right w:val="single" w:sz="8" w:space="0" w:color="auto"/>
            </w:tcBorders>
            <w:shd w:val="clear" w:color="auto" w:fill="auto"/>
            <w:noWrap/>
            <w:vAlign w:val="bottom"/>
            <w:hideMark/>
          </w:tcPr>
          <w:p w14:paraId="17597EBA"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3 456 185 447</w:t>
            </w:r>
          </w:p>
        </w:tc>
        <w:tc>
          <w:tcPr>
            <w:tcW w:w="0" w:type="auto"/>
            <w:tcBorders>
              <w:top w:val="nil"/>
              <w:left w:val="nil"/>
              <w:bottom w:val="nil"/>
              <w:right w:val="nil"/>
            </w:tcBorders>
            <w:shd w:val="clear" w:color="auto" w:fill="auto"/>
            <w:noWrap/>
            <w:vAlign w:val="bottom"/>
            <w:hideMark/>
          </w:tcPr>
          <w:p w14:paraId="5F5F5AD8"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nil"/>
              <w:right w:val="single" w:sz="4" w:space="0" w:color="auto"/>
            </w:tcBorders>
            <w:shd w:val="clear" w:color="auto" w:fill="auto"/>
            <w:noWrap/>
            <w:vAlign w:val="bottom"/>
            <w:hideMark/>
          </w:tcPr>
          <w:p w14:paraId="682CEFED"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nil"/>
              <w:right w:val="single" w:sz="8" w:space="0" w:color="auto"/>
            </w:tcBorders>
            <w:shd w:val="clear" w:color="auto" w:fill="auto"/>
            <w:noWrap/>
            <w:vAlign w:val="bottom"/>
            <w:hideMark/>
          </w:tcPr>
          <w:p w14:paraId="1EFD40AD"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3 771 687 336</w:t>
            </w:r>
          </w:p>
        </w:tc>
        <w:tc>
          <w:tcPr>
            <w:tcW w:w="0" w:type="auto"/>
            <w:tcBorders>
              <w:top w:val="nil"/>
              <w:left w:val="nil"/>
              <w:bottom w:val="nil"/>
              <w:right w:val="nil"/>
            </w:tcBorders>
            <w:shd w:val="clear" w:color="auto" w:fill="auto"/>
            <w:noWrap/>
            <w:vAlign w:val="bottom"/>
            <w:hideMark/>
          </w:tcPr>
          <w:p w14:paraId="74A6DDB3"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nil"/>
              <w:right w:val="single" w:sz="4" w:space="0" w:color="auto"/>
            </w:tcBorders>
            <w:shd w:val="clear" w:color="auto" w:fill="auto"/>
            <w:noWrap/>
            <w:vAlign w:val="bottom"/>
            <w:hideMark/>
          </w:tcPr>
          <w:p w14:paraId="4094065A"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nil"/>
              <w:right w:val="single" w:sz="8" w:space="0" w:color="auto"/>
            </w:tcBorders>
            <w:shd w:val="clear" w:color="auto" w:fill="auto"/>
            <w:noWrap/>
            <w:vAlign w:val="bottom"/>
            <w:hideMark/>
          </w:tcPr>
          <w:p w14:paraId="09C47AF2"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4 032 466 012</w:t>
            </w:r>
          </w:p>
        </w:tc>
      </w:tr>
      <w:tr w:rsidR="002C253E" w:rsidRPr="002C253E" w14:paraId="7ABA1471"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2FBCF70"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pensijas – kopā</w:t>
            </w:r>
          </w:p>
        </w:tc>
        <w:tc>
          <w:tcPr>
            <w:tcW w:w="0" w:type="auto"/>
            <w:tcBorders>
              <w:top w:val="single" w:sz="4" w:space="0" w:color="auto"/>
              <w:left w:val="nil"/>
              <w:bottom w:val="nil"/>
              <w:right w:val="nil"/>
            </w:tcBorders>
            <w:shd w:val="clear" w:color="auto" w:fill="auto"/>
            <w:noWrap/>
            <w:vAlign w:val="bottom"/>
            <w:hideMark/>
          </w:tcPr>
          <w:p w14:paraId="1151C053"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4BF25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single" w:sz="4" w:space="0" w:color="auto"/>
              <w:left w:val="nil"/>
              <w:bottom w:val="nil"/>
              <w:right w:val="single" w:sz="8" w:space="0" w:color="auto"/>
            </w:tcBorders>
            <w:shd w:val="clear" w:color="auto" w:fill="auto"/>
            <w:noWrap/>
            <w:vAlign w:val="bottom"/>
            <w:hideMark/>
          </w:tcPr>
          <w:p w14:paraId="649BE6D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3 407 217 328</w:t>
            </w:r>
          </w:p>
        </w:tc>
        <w:tc>
          <w:tcPr>
            <w:tcW w:w="0" w:type="auto"/>
            <w:tcBorders>
              <w:top w:val="single" w:sz="4" w:space="0" w:color="auto"/>
              <w:left w:val="nil"/>
              <w:bottom w:val="nil"/>
              <w:right w:val="nil"/>
            </w:tcBorders>
            <w:shd w:val="clear" w:color="auto" w:fill="auto"/>
            <w:noWrap/>
            <w:vAlign w:val="bottom"/>
            <w:hideMark/>
          </w:tcPr>
          <w:p w14:paraId="4BF2AE2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80FD9EC"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single" w:sz="4" w:space="0" w:color="auto"/>
              <w:left w:val="nil"/>
              <w:bottom w:val="nil"/>
              <w:right w:val="single" w:sz="8" w:space="0" w:color="auto"/>
            </w:tcBorders>
            <w:shd w:val="clear" w:color="auto" w:fill="auto"/>
            <w:noWrap/>
            <w:vAlign w:val="bottom"/>
            <w:hideMark/>
          </w:tcPr>
          <w:p w14:paraId="5327FEB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3 718 757 142</w:t>
            </w:r>
          </w:p>
        </w:tc>
        <w:tc>
          <w:tcPr>
            <w:tcW w:w="0" w:type="auto"/>
            <w:tcBorders>
              <w:top w:val="single" w:sz="4" w:space="0" w:color="auto"/>
              <w:left w:val="nil"/>
              <w:bottom w:val="nil"/>
              <w:right w:val="nil"/>
            </w:tcBorders>
            <w:shd w:val="clear" w:color="auto" w:fill="auto"/>
            <w:noWrap/>
            <w:vAlign w:val="bottom"/>
            <w:hideMark/>
          </w:tcPr>
          <w:p w14:paraId="40636D0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1596D8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single" w:sz="4" w:space="0" w:color="auto"/>
              <w:left w:val="nil"/>
              <w:bottom w:val="nil"/>
              <w:right w:val="single" w:sz="8" w:space="0" w:color="auto"/>
            </w:tcBorders>
            <w:shd w:val="clear" w:color="auto" w:fill="auto"/>
            <w:noWrap/>
            <w:vAlign w:val="bottom"/>
            <w:hideMark/>
          </w:tcPr>
          <w:p w14:paraId="1ECB5CF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3 976 352 741</w:t>
            </w:r>
          </w:p>
        </w:tc>
      </w:tr>
      <w:tr w:rsidR="002C253E" w:rsidRPr="002C253E" w14:paraId="1F46EBE1"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FAF3367" w14:textId="77777777"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t>tajā skaitā:</w:t>
            </w:r>
          </w:p>
        </w:tc>
        <w:tc>
          <w:tcPr>
            <w:tcW w:w="0" w:type="auto"/>
            <w:tcBorders>
              <w:top w:val="single" w:sz="4" w:space="0" w:color="auto"/>
              <w:left w:val="nil"/>
              <w:bottom w:val="single" w:sz="4" w:space="0" w:color="auto"/>
              <w:right w:val="nil"/>
            </w:tcBorders>
            <w:shd w:val="clear" w:color="auto" w:fill="auto"/>
            <w:noWrap/>
            <w:vAlign w:val="bottom"/>
            <w:hideMark/>
          </w:tcPr>
          <w:p w14:paraId="0F53D61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97B9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8" w:space="0" w:color="auto"/>
            </w:tcBorders>
            <w:shd w:val="clear" w:color="auto" w:fill="auto"/>
            <w:noWrap/>
            <w:vAlign w:val="bottom"/>
            <w:hideMark/>
          </w:tcPr>
          <w:p w14:paraId="04160E2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5D2A4CB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D815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8" w:space="0" w:color="auto"/>
            </w:tcBorders>
            <w:shd w:val="clear" w:color="auto" w:fill="auto"/>
            <w:noWrap/>
            <w:vAlign w:val="bottom"/>
            <w:hideMark/>
          </w:tcPr>
          <w:p w14:paraId="78E89CC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0ED48AB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DB50E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8" w:space="0" w:color="auto"/>
            </w:tcBorders>
            <w:shd w:val="clear" w:color="auto" w:fill="auto"/>
            <w:noWrap/>
            <w:vAlign w:val="bottom"/>
            <w:hideMark/>
          </w:tcPr>
          <w:p w14:paraId="1ABB520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0505E702"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ED3CA96"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Vecuma pensijas</w:t>
            </w:r>
          </w:p>
        </w:tc>
        <w:tc>
          <w:tcPr>
            <w:tcW w:w="0" w:type="auto"/>
            <w:tcBorders>
              <w:top w:val="nil"/>
              <w:left w:val="nil"/>
              <w:bottom w:val="single" w:sz="4" w:space="0" w:color="auto"/>
              <w:right w:val="nil"/>
            </w:tcBorders>
            <w:shd w:val="clear" w:color="auto" w:fill="auto"/>
            <w:noWrap/>
            <w:vAlign w:val="bottom"/>
            <w:hideMark/>
          </w:tcPr>
          <w:p w14:paraId="1E0FD10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651,44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D1FE9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425 375</w:t>
            </w:r>
          </w:p>
        </w:tc>
        <w:tc>
          <w:tcPr>
            <w:tcW w:w="0" w:type="auto"/>
            <w:tcBorders>
              <w:top w:val="nil"/>
              <w:left w:val="nil"/>
              <w:bottom w:val="single" w:sz="4" w:space="0" w:color="auto"/>
              <w:right w:val="single" w:sz="8" w:space="0" w:color="auto"/>
            </w:tcBorders>
            <w:shd w:val="clear" w:color="auto" w:fill="auto"/>
            <w:noWrap/>
            <w:vAlign w:val="bottom"/>
            <w:hideMark/>
          </w:tcPr>
          <w:p w14:paraId="1620979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3 325 273 194</w:t>
            </w:r>
          </w:p>
        </w:tc>
        <w:tc>
          <w:tcPr>
            <w:tcW w:w="0" w:type="auto"/>
            <w:tcBorders>
              <w:top w:val="nil"/>
              <w:left w:val="nil"/>
              <w:bottom w:val="single" w:sz="4" w:space="0" w:color="auto"/>
              <w:right w:val="nil"/>
            </w:tcBorders>
            <w:shd w:val="clear" w:color="auto" w:fill="auto"/>
            <w:noWrap/>
            <w:vAlign w:val="bottom"/>
            <w:hideMark/>
          </w:tcPr>
          <w:p w14:paraId="7B63255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706,12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9C2CA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428 171</w:t>
            </w:r>
          </w:p>
        </w:tc>
        <w:tc>
          <w:tcPr>
            <w:tcW w:w="0" w:type="auto"/>
            <w:tcBorders>
              <w:top w:val="nil"/>
              <w:left w:val="nil"/>
              <w:bottom w:val="single" w:sz="4" w:space="0" w:color="auto"/>
              <w:right w:val="single" w:sz="8" w:space="0" w:color="auto"/>
            </w:tcBorders>
            <w:shd w:val="clear" w:color="auto" w:fill="auto"/>
            <w:noWrap/>
            <w:vAlign w:val="bottom"/>
            <w:hideMark/>
          </w:tcPr>
          <w:p w14:paraId="736A0FC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3 628 102 294</w:t>
            </w:r>
          </w:p>
        </w:tc>
        <w:tc>
          <w:tcPr>
            <w:tcW w:w="0" w:type="auto"/>
            <w:tcBorders>
              <w:top w:val="nil"/>
              <w:left w:val="nil"/>
              <w:bottom w:val="single" w:sz="4" w:space="0" w:color="auto"/>
              <w:right w:val="nil"/>
            </w:tcBorders>
            <w:shd w:val="clear" w:color="auto" w:fill="auto"/>
            <w:noWrap/>
            <w:vAlign w:val="bottom"/>
            <w:hideMark/>
          </w:tcPr>
          <w:p w14:paraId="46EB607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750,30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DF964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430 757</w:t>
            </w:r>
          </w:p>
        </w:tc>
        <w:tc>
          <w:tcPr>
            <w:tcW w:w="0" w:type="auto"/>
            <w:tcBorders>
              <w:top w:val="nil"/>
              <w:left w:val="nil"/>
              <w:bottom w:val="single" w:sz="4" w:space="0" w:color="auto"/>
              <w:right w:val="single" w:sz="8" w:space="0" w:color="auto"/>
            </w:tcBorders>
            <w:shd w:val="clear" w:color="auto" w:fill="auto"/>
            <w:noWrap/>
            <w:vAlign w:val="bottom"/>
            <w:hideMark/>
          </w:tcPr>
          <w:p w14:paraId="7296249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3 878 375 493</w:t>
            </w:r>
          </w:p>
        </w:tc>
      </w:tr>
      <w:tr w:rsidR="002C253E" w:rsidRPr="002C253E" w14:paraId="1BA151F8"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E7BF5D7"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Pensijas apgādnieka zaudējuma gadījumā</w:t>
            </w:r>
          </w:p>
        </w:tc>
        <w:tc>
          <w:tcPr>
            <w:tcW w:w="0" w:type="auto"/>
            <w:tcBorders>
              <w:top w:val="nil"/>
              <w:left w:val="nil"/>
              <w:bottom w:val="single" w:sz="4" w:space="0" w:color="auto"/>
              <w:right w:val="nil"/>
            </w:tcBorders>
            <w:shd w:val="clear" w:color="auto" w:fill="auto"/>
            <w:noWrap/>
            <w:vAlign w:val="bottom"/>
            <w:hideMark/>
          </w:tcPr>
          <w:p w14:paraId="0493293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381,90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A0592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14 972</w:t>
            </w:r>
          </w:p>
        </w:tc>
        <w:tc>
          <w:tcPr>
            <w:tcW w:w="0" w:type="auto"/>
            <w:tcBorders>
              <w:top w:val="nil"/>
              <w:left w:val="nil"/>
              <w:bottom w:val="single" w:sz="4" w:space="0" w:color="auto"/>
              <w:right w:val="single" w:sz="8" w:space="0" w:color="auto"/>
            </w:tcBorders>
            <w:shd w:val="clear" w:color="auto" w:fill="auto"/>
            <w:noWrap/>
            <w:vAlign w:val="bottom"/>
            <w:hideMark/>
          </w:tcPr>
          <w:p w14:paraId="4E89F06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68 613 425</w:t>
            </w:r>
          </w:p>
        </w:tc>
        <w:tc>
          <w:tcPr>
            <w:tcW w:w="0" w:type="auto"/>
            <w:tcBorders>
              <w:top w:val="nil"/>
              <w:left w:val="nil"/>
              <w:bottom w:val="single" w:sz="4" w:space="0" w:color="auto"/>
              <w:right w:val="nil"/>
            </w:tcBorders>
            <w:shd w:val="clear" w:color="auto" w:fill="auto"/>
            <w:noWrap/>
            <w:vAlign w:val="bottom"/>
            <w:hideMark/>
          </w:tcPr>
          <w:p w14:paraId="1CD8B68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430,70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E000D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14 972</w:t>
            </w:r>
          </w:p>
        </w:tc>
        <w:tc>
          <w:tcPr>
            <w:tcW w:w="0" w:type="auto"/>
            <w:tcBorders>
              <w:top w:val="nil"/>
              <w:left w:val="nil"/>
              <w:bottom w:val="single" w:sz="4" w:space="0" w:color="auto"/>
              <w:right w:val="single" w:sz="8" w:space="0" w:color="auto"/>
            </w:tcBorders>
            <w:shd w:val="clear" w:color="auto" w:fill="auto"/>
            <w:noWrap/>
            <w:vAlign w:val="bottom"/>
            <w:hideMark/>
          </w:tcPr>
          <w:p w14:paraId="6C8DD64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77 380 687</w:t>
            </w:r>
          </w:p>
        </w:tc>
        <w:tc>
          <w:tcPr>
            <w:tcW w:w="0" w:type="auto"/>
            <w:tcBorders>
              <w:top w:val="nil"/>
              <w:left w:val="nil"/>
              <w:bottom w:val="single" w:sz="4" w:space="0" w:color="auto"/>
              <w:right w:val="nil"/>
            </w:tcBorders>
            <w:shd w:val="clear" w:color="auto" w:fill="auto"/>
            <w:noWrap/>
            <w:vAlign w:val="bottom"/>
            <w:hideMark/>
          </w:tcPr>
          <w:p w14:paraId="18616FC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472,64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09079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14 972</w:t>
            </w:r>
          </w:p>
        </w:tc>
        <w:tc>
          <w:tcPr>
            <w:tcW w:w="0" w:type="auto"/>
            <w:tcBorders>
              <w:top w:val="nil"/>
              <w:left w:val="nil"/>
              <w:bottom w:val="single" w:sz="4" w:space="0" w:color="auto"/>
              <w:right w:val="single" w:sz="8" w:space="0" w:color="auto"/>
            </w:tcBorders>
            <w:shd w:val="clear" w:color="auto" w:fill="auto"/>
            <w:noWrap/>
            <w:vAlign w:val="bottom"/>
            <w:hideMark/>
          </w:tcPr>
          <w:p w14:paraId="0E74385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84 915 741</w:t>
            </w:r>
          </w:p>
        </w:tc>
      </w:tr>
      <w:tr w:rsidR="002C253E" w:rsidRPr="002C253E" w14:paraId="4CFEF838"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6D26911"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Augstākās padomes deputātu pensijas</w:t>
            </w:r>
          </w:p>
        </w:tc>
        <w:tc>
          <w:tcPr>
            <w:tcW w:w="0" w:type="auto"/>
            <w:tcBorders>
              <w:top w:val="nil"/>
              <w:left w:val="nil"/>
              <w:bottom w:val="single" w:sz="4" w:space="0" w:color="auto"/>
              <w:right w:val="nil"/>
            </w:tcBorders>
            <w:shd w:val="clear" w:color="auto" w:fill="auto"/>
            <w:noWrap/>
            <w:vAlign w:val="bottom"/>
            <w:hideMark/>
          </w:tcPr>
          <w:p w14:paraId="2115801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3 376,00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DF3D0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90</w:t>
            </w:r>
          </w:p>
        </w:tc>
        <w:tc>
          <w:tcPr>
            <w:tcW w:w="0" w:type="auto"/>
            <w:tcBorders>
              <w:top w:val="nil"/>
              <w:left w:val="nil"/>
              <w:bottom w:val="single" w:sz="4" w:space="0" w:color="auto"/>
              <w:right w:val="single" w:sz="8" w:space="0" w:color="auto"/>
            </w:tcBorders>
            <w:shd w:val="clear" w:color="auto" w:fill="auto"/>
            <w:noWrap/>
            <w:vAlign w:val="bottom"/>
            <w:hideMark/>
          </w:tcPr>
          <w:p w14:paraId="1F3442F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3 646 080</w:t>
            </w:r>
          </w:p>
        </w:tc>
        <w:tc>
          <w:tcPr>
            <w:tcW w:w="0" w:type="auto"/>
            <w:tcBorders>
              <w:top w:val="nil"/>
              <w:left w:val="nil"/>
              <w:bottom w:val="single" w:sz="4" w:space="0" w:color="auto"/>
              <w:right w:val="nil"/>
            </w:tcBorders>
            <w:shd w:val="clear" w:color="auto" w:fill="auto"/>
            <w:noWrap/>
            <w:vAlign w:val="bottom"/>
            <w:hideMark/>
          </w:tcPr>
          <w:p w14:paraId="32FA551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3 376,00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9E951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90</w:t>
            </w:r>
          </w:p>
        </w:tc>
        <w:tc>
          <w:tcPr>
            <w:tcW w:w="0" w:type="auto"/>
            <w:tcBorders>
              <w:top w:val="nil"/>
              <w:left w:val="nil"/>
              <w:bottom w:val="single" w:sz="4" w:space="0" w:color="auto"/>
              <w:right w:val="single" w:sz="8" w:space="0" w:color="auto"/>
            </w:tcBorders>
            <w:shd w:val="clear" w:color="auto" w:fill="auto"/>
            <w:noWrap/>
            <w:vAlign w:val="bottom"/>
            <w:hideMark/>
          </w:tcPr>
          <w:p w14:paraId="06CA6F5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3 646 080</w:t>
            </w:r>
          </w:p>
        </w:tc>
        <w:tc>
          <w:tcPr>
            <w:tcW w:w="0" w:type="auto"/>
            <w:tcBorders>
              <w:top w:val="nil"/>
              <w:left w:val="nil"/>
              <w:bottom w:val="single" w:sz="4" w:space="0" w:color="auto"/>
              <w:right w:val="nil"/>
            </w:tcBorders>
            <w:shd w:val="clear" w:color="auto" w:fill="auto"/>
            <w:noWrap/>
            <w:vAlign w:val="bottom"/>
            <w:hideMark/>
          </w:tcPr>
          <w:p w14:paraId="1F1F451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3 376,00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AA31F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90</w:t>
            </w:r>
          </w:p>
        </w:tc>
        <w:tc>
          <w:tcPr>
            <w:tcW w:w="0" w:type="auto"/>
            <w:tcBorders>
              <w:top w:val="nil"/>
              <w:left w:val="nil"/>
              <w:bottom w:val="single" w:sz="4" w:space="0" w:color="auto"/>
              <w:right w:val="single" w:sz="8" w:space="0" w:color="auto"/>
            </w:tcBorders>
            <w:shd w:val="clear" w:color="auto" w:fill="auto"/>
            <w:noWrap/>
            <w:vAlign w:val="bottom"/>
            <w:hideMark/>
          </w:tcPr>
          <w:p w14:paraId="554B837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3 646 080</w:t>
            </w:r>
          </w:p>
        </w:tc>
      </w:tr>
      <w:tr w:rsidR="002C253E" w:rsidRPr="002C253E" w14:paraId="425B8D16"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C855894"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 xml:space="preserve">Izdienas pensijas </w:t>
            </w:r>
          </w:p>
        </w:tc>
        <w:tc>
          <w:tcPr>
            <w:tcW w:w="0" w:type="auto"/>
            <w:tcBorders>
              <w:top w:val="nil"/>
              <w:left w:val="nil"/>
              <w:bottom w:val="single" w:sz="4" w:space="0" w:color="auto"/>
              <w:right w:val="nil"/>
            </w:tcBorders>
            <w:shd w:val="clear" w:color="auto" w:fill="auto"/>
            <w:noWrap/>
            <w:vAlign w:val="bottom"/>
            <w:hideMark/>
          </w:tcPr>
          <w:p w14:paraId="52A4169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726,42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04276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1 111</w:t>
            </w:r>
          </w:p>
        </w:tc>
        <w:tc>
          <w:tcPr>
            <w:tcW w:w="0" w:type="auto"/>
            <w:tcBorders>
              <w:top w:val="nil"/>
              <w:left w:val="nil"/>
              <w:bottom w:val="single" w:sz="4" w:space="0" w:color="auto"/>
              <w:right w:val="single" w:sz="8" w:space="0" w:color="auto"/>
            </w:tcBorders>
            <w:shd w:val="clear" w:color="auto" w:fill="auto"/>
            <w:noWrap/>
            <w:vAlign w:val="bottom"/>
            <w:hideMark/>
          </w:tcPr>
          <w:p w14:paraId="466968B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9 684 629</w:t>
            </w:r>
          </w:p>
        </w:tc>
        <w:tc>
          <w:tcPr>
            <w:tcW w:w="0" w:type="auto"/>
            <w:tcBorders>
              <w:top w:val="nil"/>
              <w:left w:val="nil"/>
              <w:bottom w:val="single" w:sz="4" w:space="0" w:color="auto"/>
              <w:right w:val="nil"/>
            </w:tcBorders>
            <w:shd w:val="clear" w:color="auto" w:fill="auto"/>
            <w:noWrap/>
            <w:vAlign w:val="bottom"/>
            <w:hideMark/>
          </w:tcPr>
          <w:p w14:paraId="54E453C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785,07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6FFFA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1 022</w:t>
            </w:r>
          </w:p>
        </w:tc>
        <w:tc>
          <w:tcPr>
            <w:tcW w:w="0" w:type="auto"/>
            <w:tcBorders>
              <w:top w:val="nil"/>
              <w:left w:val="nil"/>
              <w:bottom w:val="single" w:sz="4" w:space="0" w:color="auto"/>
              <w:right w:val="single" w:sz="8" w:space="0" w:color="auto"/>
            </w:tcBorders>
            <w:shd w:val="clear" w:color="auto" w:fill="auto"/>
            <w:noWrap/>
            <w:vAlign w:val="bottom"/>
            <w:hideMark/>
          </w:tcPr>
          <w:p w14:paraId="21B02A4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9 628 081</w:t>
            </w:r>
          </w:p>
        </w:tc>
        <w:tc>
          <w:tcPr>
            <w:tcW w:w="0" w:type="auto"/>
            <w:tcBorders>
              <w:top w:val="nil"/>
              <w:left w:val="nil"/>
              <w:bottom w:val="single" w:sz="4" w:space="0" w:color="auto"/>
              <w:right w:val="nil"/>
            </w:tcBorders>
            <w:shd w:val="clear" w:color="auto" w:fill="auto"/>
            <w:noWrap/>
            <w:vAlign w:val="bottom"/>
            <w:hideMark/>
          </w:tcPr>
          <w:p w14:paraId="7E53840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834,70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FC888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940</w:t>
            </w:r>
          </w:p>
        </w:tc>
        <w:tc>
          <w:tcPr>
            <w:tcW w:w="0" w:type="auto"/>
            <w:tcBorders>
              <w:top w:val="nil"/>
              <w:left w:val="nil"/>
              <w:bottom w:val="single" w:sz="4" w:space="0" w:color="auto"/>
              <w:right w:val="single" w:sz="8" w:space="0" w:color="auto"/>
            </w:tcBorders>
            <w:shd w:val="clear" w:color="auto" w:fill="auto"/>
            <w:noWrap/>
            <w:vAlign w:val="bottom"/>
            <w:hideMark/>
          </w:tcPr>
          <w:p w14:paraId="470FC09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9 415 427</w:t>
            </w:r>
          </w:p>
        </w:tc>
      </w:tr>
      <w:tr w:rsidR="002C253E" w:rsidRPr="002C253E" w14:paraId="693938FC"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D405BFC"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sociālās apdrošināšanas pabalsti naudā – kopā</w:t>
            </w:r>
          </w:p>
        </w:tc>
        <w:tc>
          <w:tcPr>
            <w:tcW w:w="0" w:type="auto"/>
            <w:tcBorders>
              <w:top w:val="nil"/>
              <w:left w:val="nil"/>
              <w:bottom w:val="nil"/>
              <w:right w:val="nil"/>
            </w:tcBorders>
            <w:shd w:val="clear" w:color="auto" w:fill="auto"/>
            <w:noWrap/>
            <w:vAlign w:val="bottom"/>
            <w:hideMark/>
          </w:tcPr>
          <w:p w14:paraId="3915A7F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0ED98B4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4AC0960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47 689 266</w:t>
            </w:r>
          </w:p>
        </w:tc>
        <w:tc>
          <w:tcPr>
            <w:tcW w:w="0" w:type="auto"/>
            <w:tcBorders>
              <w:top w:val="nil"/>
              <w:left w:val="nil"/>
              <w:bottom w:val="nil"/>
              <w:right w:val="nil"/>
            </w:tcBorders>
            <w:shd w:val="clear" w:color="auto" w:fill="auto"/>
            <w:noWrap/>
            <w:vAlign w:val="bottom"/>
            <w:hideMark/>
          </w:tcPr>
          <w:p w14:paraId="5949759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72303DC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3FBDD52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51 649 308</w:t>
            </w:r>
          </w:p>
        </w:tc>
        <w:tc>
          <w:tcPr>
            <w:tcW w:w="0" w:type="auto"/>
            <w:tcBorders>
              <w:top w:val="nil"/>
              <w:left w:val="nil"/>
              <w:bottom w:val="nil"/>
              <w:right w:val="nil"/>
            </w:tcBorders>
            <w:shd w:val="clear" w:color="auto" w:fill="auto"/>
            <w:noWrap/>
            <w:vAlign w:val="bottom"/>
            <w:hideMark/>
          </w:tcPr>
          <w:p w14:paraId="70A804DF"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78CFE3EE"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5A682AA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54 831 315</w:t>
            </w:r>
          </w:p>
        </w:tc>
      </w:tr>
      <w:tr w:rsidR="002C253E" w:rsidRPr="002C253E" w14:paraId="79436179"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34C001A" w14:textId="77777777"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t>tajā skaitā:</w:t>
            </w:r>
          </w:p>
        </w:tc>
        <w:tc>
          <w:tcPr>
            <w:tcW w:w="0" w:type="auto"/>
            <w:tcBorders>
              <w:top w:val="single" w:sz="4" w:space="0" w:color="auto"/>
              <w:left w:val="nil"/>
              <w:bottom w:val="single" w:sz="4" w:space="0" w:color="auto"/>
              <w:right w:val="nil"/>
            </w:tcBorders>
            <w:shd w:val="clear" w:color="auto" w:fill="auto"/>
            <w:noWrap/>
            <w:vAlign w:val="bottom"/>
            <w:hideMark/>
          </w:tcPr>
          <w:p w14:paraId="25ACB62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D474F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0A982B8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0ACAC75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4F152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14EB2EE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1D72C3B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CBD42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649668E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1C990AED"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8FF4CF4"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Apbedīšanas pabalsts</w:t>
            </w:r>
          </w:p>
        </w:tc>
        <w:tc>
          <w:tcPr>
            <w:tcW w:w="0" w:type="auto"/>
            <w:tcBorders>
              <w:top w:val="nil"/>
              <w:left w:val="nil"/>
              <w:bottom w:val="single" w:sz="4" w:space="0" w:color="auto"/>
              <w:right w:val="nil"/>
            </w:tcBorders>
            <w:shd w:val="clear" w:color="auto" w:fill="auto"/>
            <w:noWrap/>
            <w:vAlign w:val="bottom"/>
            <w:hideMark/>
          </w:tcPr>
          <w:p w14:paraId="6537F8F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1 088,10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5805A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2 000</w:t>
            </w:r>
          </w:p>
        </w:tc>
        <w:tc>
          <w:tcPr>
            <w:tcW w:w="0" w:type="auto"/>
            <w:tcBorders>
              <w:top w:val="nil"/>
              <w:left w:val="nil"/>
              <w:bottom w:val="single" w:sz="4" w:space="0" w:color="auto"/>
              <w:right w:val="single" w:sz="8" w:space="0" w:color="auto"/>
            </w:tcBorders>
            <w:shd w:val="clear" w:color="auto" w:fill="auto"/>
            <w:noWrap/>
            <w:vAlign w:val="bottom"/>
            <w:hideMark/>
          </w:tcPr>
          <w:p w14:paraId="5EDCFE2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26 114 414</w:t>
            </w:r>
          </w:p>
        </w:tc>
        <w:tc>
          <w:tcPr>
            <w:tcW w:w="0" w:type="auto"/>
            <w:tcBorders>
              <w:top w:val="nil"/>
              <w:left w:val="nil"/>
              <w:bottom w:val="single" w:sz="4" w:space="0" w:color="auto"/>
              <w:right w:val="nil"/>
            </w:tcBorders>
            <w:shd w:val="clear" w:color="auto" w:fill="auto"/>
            <w:noWrap/>
            <w:vAlign w:val="bottom"/>
            <w:hideMark/>
          </w:tcPr>
          <w:p w14:paraId="5F0E0F8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1 170,91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75A7B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2 000</w:t>
            </w:r>
          </w:p>
        </w:tc>
        <w:tc>
          <w:tcPr>
            <w:tcW w:w="0" w:type="auto"/>
            <w:tcBorders>
              <w:top w:val="nil"/>
              <w:left w:val="nil"/>
              <w:bottom w:val="single" w:sz="4" w:space="0" w:color="auto"/>
              <w:right w:val="single" w:sz="8" w:space="0" w:color="auto"/>
            </w:tcBorders>
            <w:shd w:val="clear" w:color="auto" w:fill="auto"/>
            <w:noWrap/>
            <w:vAlign w:val="bottom"/>
            <w:hideMark/>
          </w:tcPr>
          <w:p w14:paraId="71AF3DB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28 101 917</w:t>
            </w:r>
          </w:p>
        </w:tc>
        <w:tc>
          <w:tcPr>
            <w:tcW w:w="0" w:type="auto"/>
            <w:tcBorders>
              <w:top w:val="nil"/>
              <w:left w:val="nil"/>
              <w:bottom w:val="single" w:sz="4" w:space="0" w:color="auto"/>
              <w:right w:val="nil"/>
            </w:tcBorders>
            <w:shd w:val="clear" w:color="auto" w:fill="auto"/>
            <w:noWrap/>
            <w:vAlign w:val="bottom"/>
            <w:hideMark/>
          </w:tcPr>
          <w:p w14:paraId="6ADF7E7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1 238,53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03146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2 000</w:t>
            </w:r>
          </w:p>
        </w:tc>
        <w:tc>
          <w:tcPr>
            <w:tcW w:w="0" w:type="auto"/>
            <w:tcBorders>
              <w:top w:val="nil"/>
              <w:left w:val="nil"/>
              <w:bottom w:val="single" w:sz="4" w:space="0" w:color="auto"/>
              <w:right w:val="single" w:sz="8" w:space="0" w:color="auto"/>
            </w:tcBorders>
            <w:shd w:val="clear" w:color="auto" w:fill="auto"/>
            <w:noWrap/>
            <w:vAlign w:val="bottom"/>
            <w:hideMark/>
          </w:tcPr>
          <w:p w14:paraId="6032EC1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29 724 696</w:t>
            </w:r>
          </w:p>
        </w:tc>
      </w:tr>
      <w:tr w:rsidR="002C253E" w:rsidRPr="002C253E" w14:paraId="20E1AD1B"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hideMark/>
          </w:tcPr>
          <w:p w14:paraId="3644D946"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Kaitējuma atlīdzība Černobiļas AES avārijas rezultātā cietušajām personām</w:t>
            </w:r>
          </w:p>
        </w:tc>
        <w:tc>
          <w:tcPr>
            <w:tcW w:w="0" w:type="auto"/>
            <w:tcBorders>
              <w:top w:val="nil"/>
              <w:left w:val="nil"/>
              <w:bottom w:val="single" w:sz="4" w:space="0" w:color="auto"/>
              <w:right w:val="nil"/>
            </w:tcBorders>
            <w:shd w:val="clear" w:color="auto" w:fill="auto"/>
            <w:noWrap/>
            <w:vAlign w:val="bottom"/>
            <w:hideMark/>
          </w:tcPr>
          <w:p w14:paraId="0A502E9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581,73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1840B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24</w:t>
            </w:r>
          </w:p>
        </w:tc>
        <w:tc>
          <w:tcPr>
            <w:tcW w:w="0" w:type="auto"/>
            <w:tcBorders>
              <w:top w:val="nil"/>
              <w:left w:val="nil"/>
              <w:bottom w:val="single" w:sz="4" w:space="0" w:color="auto"/>
              <w:right w:val="single" w:sz="8" w:space="0" w:color="auto"/>
            </w:tcBorders>
            <w:shd w:val="clear" w:color="auto" w:fill="auto"/>
            <w:noWrap/>
            <w:vAlign w:val="bottom"/>
            <w:hideMark/>
          </w:tcPr>
          <w:p w14:paraId="5A7812A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167 538</w:t>
            </w:r>
          </w:p>
        </w:tc>
        <w:tc>
          <w:tcPr>
            <w:tcW w:w="0" w:type="auto"/>
            <w:tcBorders>
              <w:top w:val="nil"/>
              <w:left w:val="nil"/>
              <w:bottom w:val="single" w:sz="4" w:space="0" w:color="auto"/>
              <w:right w:val="nil"/>
            </w:tcBorders>
            <w:shd w:val="clear" w:color="auto" w:fill="auto"/>
            <w:noWrap/>
            <w:vAlign w:val="bottom"/>
            <w:hideMark/>
          </w:tcPr>
          <w:p w14:paraId="4B70B73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626,34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324A7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24</w:t>
            </w:r>
          </w:p>
        </w:tc>
        <w:tc>
          <w:tcPr>
            <w:tcW w:w="0" w:type="auto"/>
            <w:tcBorders>
              <w:top w:val="nil"/>
              <w:left w:val="nil"/>
              <w:bottom w:val="single" w:sz="4" w:space="0" w:color="auto"/>
              <w:right w:val="single" w:sz="8" w:space="0" w:color="auto"/>
            </w:tcBorders>
            <w:shd w:val="clear" w:color="auto" w:fill="auto"/>
            <w:noWrap/>
            <w:vAlign w:val="bottom"/>
            <w:hideMark/>
          </w:tcPr>
          <w:p w14:paraId="2A5FB6F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180 386</w:t>
            </w:r>
          </w:p>
        </w:tc>
        <w:tc>
          <w:tcPr>
            <w:tcW w:w="0" w:type="auto"/>
            <w:tcBorders>
              <w:top w:val="nil"/>
              <w:left w:val="nil"/>
              <w:bottom w:val="single" w:sz="4" w:space="0" w:color="auto"/>
              <w:right w:val="nil"/>
            </w:tcBorders>
            <w:shd w:val="clear" w:color="auto" w:fill="auto"/>
            <w:noWrap/>
            <w:vAlign w:val="bottom"/>
            <w:hideMark/>
          </w:tcPr>
          <w:p w14:paraId="34FBAFC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664,01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930AA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24</w:t>
            </w:r>
          </w:p>
        </w:tc>
        <w:tc>
          <w:tcPr>
            <w:tcW w:w="0" w:type="auto"/>
            <w:tcBorders>
              <w:top w:val="nil"/>
              <w:left w:val="nil"/>
              <w:bottom w:val="single" w:sz="4" w:space="0" w:color="auto"/>
              <w:right w:val="single" w:sz="8" w:space="0" w:color="auto"/>
            </w:tcBorders>
            <w:shd w:val="clear" w:color="auto" w:fill="auto"/>
            <w:noWrap/>
            <w:vAlign w:val="bottom"/>
            <w:hideMark/>
          </w:tcPr>
          <w:p w14:paraId="420DA78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191 235</w:t>
            </w:r>
          </w:p>
        </w:tc>
      </w:tr>
      <w:tr w:rsidR="002C253E" w:rsidRPr="002C253E" w14:paraId="7C713F24"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hideMark/>
          </w:tcPr>
          <w:p w14:paraId="0CBAB955"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Pabalsts pensijas saņēmēja nāves gadījumā pārdzīvojušam laulātajam</w:t>
            </w:r>
          </w:p>
        </w:tc>
        <w:tc>
          <w:tcPr>
            <w:tcW w:w="0" w:type="auto"/>
            <w:tcBorders>
              <w:top w:val="nil"/>
              <w:left w:val="nil"/>
              <w:bottom w:val="single" w:sz="4" w:space="0" w:color="auto"/>
              <w:right w:val="nil"/>
            </w:tcBorders>
            <w:shd w:val="clear" w:color="auto" w:fill="auto"/>
            <w:noWrap/>
            <w:vAlign w:val="bottom"/>
            <w:hideMark/>
          </w:tcPr>
          <w:p w14:paraId="7264A12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297,32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876CF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6 000</w:t>
            </w:r>
          </w:p>
        </w:tc>
        <w:tc>
          <w:tcPr>
            <w:tcW w:w="0" w:type="auto"/>
            <w:tcBorders>
              <w:top w:val="nil"/>
              <w:left w:val="nil"/>
              <w:bottom w:val="single" w:sz="4" w:space="0" w:color="auto"/>
              <w:right w:val="single" w:sz="8" w:space="0" w:color="auto"/>
            </w:tcBorders>
            <w:shd w:val="clear" w:color="auto" w:fill="auto"/>
            <w:noWrap/>
            <w:vAlign w:val="bottom"/>
            <w:hideMark/>
          </w:tcPr>
          <w:p w14:paraId="7B6C669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21 407 314</w:t>
            </w:r>
          </w:p>
        </w:tc>
        <w:tc>
          <w:tcPr>
            <w:tcW w:w="0" w:type="auto"/>
            <w:tcBorders>
              <w:top w:val="nil"/>
              <w:left w:val="nil"/>
              <w:bottom w:val="single" w:sz="4" w:space="0" w:color="auto"/>
              <w:right w:val="nil"/>
            </w:tcBorders>
            <w:shd w:val="clear" w:color="auto" w:fill="auto"/>
            <w:noWrap/>
            <w:vAlign w:val="bottom"/>
            <w:hideMark/>
          </w:tcPr>
          <w:p w14:paraId="08A8C2C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324,54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44A24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6 000</w:t>
            </w:r>
          </w:p>
        </w:tc>
        <w:tc>
          <w:tcPr>
            <w:tcW w:w="0" w:type="auto"/>
            <w:tcBorders>
              <w:top w:val="nil"/>
              <w:left w:val="nil"/>
              <w:bottom w:val="single" w:sz="4" w:space="0" w:color="auto"/>
              <w:right w:val="single" w:sz="8" w:space="0" w:color="auto"/>
            </w:tcBorders>
            <w:shd w:val="clear" w:color="auto" w:fill="auto"/>
            <w:noWrap/>
            <w:vAlign w:val="bottom"/>
            <w:hideMark/>
          </w:tcPr>
          <w:p w14:paraId="5D119BA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23 367 005</w:t>
            </w:r>
          </w:p>
        </w:tc>
        <w:tc>
          <w:tcPr>
            <w:tcW w:w="0" w:type="auto"/>
            <w:tcBorders>
              <w:top w:val="nil"/>
              <w:left w:val="nil"/>
              <w:bottom w:val="single" w:sz="4" w:space="0" w:color="auto"/>
              <w:right w:val="nil"/>
            </w:tcBorders>
            <w:shd w:val="clear" w:color="auto" w:fill="auto"/>
            <w:noWrap/>
            <w:vAlign w:val="bottom"/>
            <w:hideMark/>
          </w:tcPr>
          <w:p w14:paraId="078C980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346,05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B0256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6 000</w:t>
            </w:r>
          </w:p>
        </w:tc>
        <w:tc>
          <w:tcPr>
            <w:tcW w:w="0" w:type="auto"/>
            <w:tcBorders>
              <w:top w:val="nil"/>
              <w:left w:val="nil"/>
              <w:bottom w:val="single" w:sz="4" w:space="0" w:color="auto"/>
              <w:right w:val="single" w:sz="8" w:space="0" w:color="auto"/>
            </w:tcBorders>
            <w:shd w:val="clear" w:color="auto" w:fill="auto"/>
            <w:noWrap/>
            <w:vAlign w:val="bottom"/>
            <w:hideMark/>
          </w:tcPr>
          <w:p w14:paraId="7B97750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24 915 384</w:t>
            </w:r>
          </w:p>
        </w:tc>
      </w:tr>
      <w:tr w:rsidR="002C253E" w:rsidRPr="002C253E" w14:paraId="79D4EF79"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hideMark/>
          </w:tcPr>
          <w:p w14:paraId="1F9051E0"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budžeta maksājumi - kopā</w:t>
            </w:r>
          </w:p>
        </w:tc>
        <w:tc>
          <w:tcPr>
            <w:tcW w:w="0" w:type="auto"/>
            <w:tcBorders>
              <w:top w:val="nil"/>
              <w:left w:val="nil"/>
              <w:bottom w:val="nil"/>
              <w:right w:val="nil"/>
            </w:tcBorders>
            <w:shd w:val="clear" w:color="auto" w:fill="auto"/>
            <w:noWrap/>
            <w:vAlign w:val="bottom"/>
            <w:hideMark/>
          </w:tcPr>
          <w:p w14:paraId="7EA1B359"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1C6A4748"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343D690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1 278 853</w:t>
            </w:r>
          </w:p>
        </w:tc>
        <w:tc>
          <w:tcPr>
            <w:tcW w:w="0" w:type="auto"/>
            <w:tcBorders>
              <w:top w:val="nil"/>
              <w:left w:val="nil"/>
              <w:bottom w:val="nil"/>
              <w:right w:val="nil"/>
            </w:tcBorders>
            <w:shd w:val="clear" w:color="auto" w:fill="auto"/>
            <w:noWrap/>
            <w:vAlign w:val="bottom"/>
            <w:hideMark/>
          </w:tcPr>
          <w:p w14:paraId="32F208A8"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0A42DED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426B8E5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1 280 886</w:t>
            </w:r>
          </w:p>
        </w:tc>
        <w:tc>
          <w:tcPr>
            <w:tcW w:w="0" w:type="auto"/>
            <w:tcBorders>
              <w:top w:val="nil"/>
              <w:left w:val="nil"/>
              <w:bottom w:val="nil"/>
              <w:right w:val="nil"/>
            </w:tcBorders>
            <w:shd w:val="clear" w:color="auto" w:fill="auto"/>
            <w:noWrap/>
            <w:vAlign w:val="bottom"/>
            <w:hideMark/>
          </w:tcPr>
          <w:p w14:paraId="3341385D"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681C129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180102C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1 281 956</w:t>
            </w:r>
          </w:p>
        </w:tc>
      </w:tr>
      <w:tr w:rsidR="002C253E" w:rsidRPr="002C253E" w14:paraId="1B187000"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8F3EAF7" w14:textId="77777777"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t>tajā skaitā:</w:t>
            </w:r>
          </w:p>
        </w:tc>
        <w:tc>
          <w:tcPr>
            <w:tcW w:w="0" w:type="auto"/>
            <w:tcBorders>
              <w:top w:val="single" w:sz="4" w:space="0" w:color="auto"/>
              <w:left w:val="nil"/>
              <w:bottom w:val="single" w:sz="4" w:space="0" w:color="auto"/>
              <w:right w:val="nil"/>
            </w:tcBorders>
            <w:shd w:val="clear" w:color="auto" w:fill="auto"/>
            <w:noWrap/>
            <w:vAlign w:val="bottom"/>
            <w:hideMark/>
          </w:tcPr>
          <w:p w14:paraId="408A093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90EDE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7502BB9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04E3441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B7A45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9282E6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0588802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AA33F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7C992B2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30BEE7E9"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38D6FC4" w14:textId="59289634" w:rsidR="002C253E" w:rsidRPr="002C253E" w:rsidRDefault="002C253E" w:rsidP="008349F0">
            <w:pPr>
              <w:spacing w:after="0"/>
              <w:ind w:firstLineChars="100" w:firstLine="180"/>
              <w:jc w:val="left"/>
              <w:rPr>
                <w:rFonts w:eastAsia="Times New Roman" w:cs="Times New Roman"/>
                <w:sz w:val="18"/>
                <w:szCs w:val="18"/>
              </w:rPr>
            </w:pPr>
            <w:r w:rsidRPr="002C253E">
              <w:rPr>
                <w:rFonts w:eastAsia="Times New Roman" w:cs="Times New Roman"/>
                <w:sz w:val="18"/>
                <w:szCs w:val="18"/>
              </w:rPr>
              <w:t xml:space="preserve">    Pārmaksāto sociālās apdrošināšanas iemaksu atmaksa</w:t>
            </w:r>
          </w:p>
        </w:tc>
        <w:tc>
          <w:tcPr>
            <w:tcW w:w="0" w:type="auto"/>
            <w:tcBorders>
              <w:top w:val="nil"/>
              <w:left w:val="nil"/>
              <w:bottom w:val="single" w:sz="4" w:space="0" w:color="auto"/>
              <w:right w:val="nil"/>
            </w:tcBorders>
            <w:shd w:val="clear" w:color="auto" w:fill="auto"/>
            <w:noWrap/>
            <w:vAlign w:val="bottom"/>
            <w:hideMark/>
          </w:tcPr>
          <w:p w14:paraId="34057BC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6A8FB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vAlign w:val="bottom"/>
            <w:hideMark/>
          </w:tcPr>
          <w:p w14:paraId="0018DE3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727 900</w:t>
            </w:r>
          </w:p>
        </w:tc>
        <w:tc>
          <w:tcPr>
            <w:tcW w:w="0" w:type="auto"/>
            <w:tcBorders>
              <w:top w:val="nil"/>
              <w:left w:val="nil"/>
              <w:bottom w:val="single" w:sz="4" w:space="0" w:color="auto"/>
              <w:right w:val="nil"/>
            </w:tcBorders>
            <w:shd w:val="clear" w:color="auto" w:fill="auto"/>
            <w:noWrap/>
            <w:vAlign w:val="bottom"/>
            <w:hideMark/>
          </w:tcPr>
          <w:p w14:paraId="551293D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4BD819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3522062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729 800</w:t>
            </w:r>
          </w:p>
        </w:tc>
        <w:tc>
          <w:tcPr>
            <w:tcW w:w="0" w:type="auto"/>
            <w:tcBorders>
              <w:top w:val="nil"/>
              <w:left w:val="nil"/>
              <w:bottom w:val="single" w:sz="4" w:space="0" w:color="auto"/>
              <w:right w:val="nil"/>
            </w:tcBorders>
            <w:shd w:val="clear" w:color="auto" w:fill="auto"/>
            <w:noWrap/>
            <w:vAlign w:val="bottom"/>
            <w:hideMark/>
          </w:tcPr>
          <w:p w14:paraId="7551EC4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E1C31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0A065A3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730 800</w:t>
            </w:r>
          </w:p>
        </w:tc>
      </w:tr>
      <w:tr w:rsidR="002C253E" w:rsidRPr="002C253E" w14:paraId="151A0124"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vAlign w:val="bottom"/>
            <w:hideMark/>
          </w:tcPr>
          <w:p w14:paraId="26D3B4E1" w14:textId="566F0D13"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xml:space="preserve">       </w:t>
            </w:r>
            <w:r w:rsidR="00422E4A">
              <w:rPr>
                <w:rFonts w:eastAsia="Times New Roman" w:cs="Times New Roman"/>
                <w:sz w:val="18"/>
                <w:szCs w:val="18"/>
              </w:rPr>
              <w:t>ES</w:t>
            </w:r>
            <w:r w:rsidRPr="002C253E">
              <w:rPr>
                <w:rFonts w:eastAsia="Times New Roman" w:cs="Times New Roman"/>
                <w:sz w:val="18"/>
                <w:szCs w:val="18"/>
              </w:rPr>
              <w:t xml:space="preserve"> pensiju shēmai pārskaitītais pensijas kapitāls</w:t>
            </w:r>
          </w:p>
        </w:tc>
        <w:tc>
          <w:tcPr>
            <w:tcW w:w="0" w:type="auto"/>
            <w:tcBorders>
              <w:top w:val="nil"/>
              <w:left w:val="nil"/>
              <w:bottom w:val="single" w:sz="4" w:space="0" w:color="auto"/>
              <w:right w:val="nil"/>
            </w:tcBorders>
            <w:shd w:val="clear" w:color="auto" w:fill="auto"/>
            <w:vAlign w:val="bottom"/>
            <w:hideMark/>
          </w:tcPr>
          <w:p w14:paraId="22CEF06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77E9A95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vAlign w:val="bottom"/>
            <w:hideMark/>
          </w:tcPr>
          <w:p w14:paraId="5A13179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550 953</w:t>
            </w:r>
          </w:p>
        </w:tc>
        <w:tc>
          <w:tcPr>
            <w:tcW w:w="0" w:type="auto"/>
            <w:tcBorders>
              <w:top w:val="nil"/>
              <w:left w:val="nil"/>
              <w:bottom w:val="single" w:sz="4" w:space="0" w:color="auto"/>
              <w:right w:val="nil"/>
            </w:tcBorders>
            <w:shd w:val="clear" w:color="auto" w:fill="auto"/>
            <w:vAlign w:val="bottom"/>
            <w:hideMark/>
          </w:tcPr>
          <w:p w14:paraId="297E098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633F4C1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vAlign w:val="bottom"/>
            <w:hideMark/>
          </w:tcPr>
          <w:p w14:paraId="0E55F67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551 086</w:t>
            </w:r>
          </w:p>
        </w:tc>
        <w:tc>
          <w:tcPr>
            <w:tcW w:w="0" w:type="auto"/>
            <w:tcBorders>
              <w:top w:val="nil"/>
              <w:left w:val="nil"/>
              <w:bottom w:val="single" w:sz="4" w:space="0" w:color="auto"/>
              <w:right w:val="nil"/>
            </w:tcBorders>
            <w:shd w:val="clear" w:color="auto" w:fill="auto"/>
            <w:vAlign w:val="bottom"/>
            <w:hideMark/>
          </w:tcPr>
          <w:p w14:paraId="12DD790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557962D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vAlign w:val="bottom"/>
            <w:hideMark/>
          </w:tcPr>
          <w:p w14:paraId="2CD2267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551 156</w:t>
            </w:r>
          </w:p>
        </w:tc>
      </w:tr>
      <w:tr w:rsidR="002C253E" w:rsidRPr="002C253E" w14:paraId="7EC13A30"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1AA831E" w14:textId="77777777" w:rsidR="002C253E" w:rsidRPr="002C253E" w:rsidRDefault="002C253E" w:rsidP="008349F0">
            <w:pPr>
              <w:spacing w:after="0"/>
              <w:ind w:firstLine="0"/>
              <w:jc w:val="left"/>
              <w:rPr>
                <w:rFonts w:eastAsia="Times New Roman" w:cs="Times New Roman"/>
                <w:b/>
                <w:bCs/>
                <w:sz w:val="18"/>
                <w:szCs w:val="18"/>
              </w:rPr>
            </w:pPr>
            <w:r w:rsidRPr="002C253E">
              <w:rPr>
                <w:rFonts w:eastAsia="Times New Roman" w:cs="Times New Roman"/>
                <w:b/>
                <w:bCs/>
                <w:sz w:val="18"/>
                <w:szCs w:val="18"/>
              </w:rPr>
              <w:t>04.02.00 Nodarbinātības speciālais budžets</w:t>
            </w:r>
          </w:p>
        </w:tc>
        <w:tc>
          <w:tcPr>
            <w:tcW w:w="0" w:type="auto"/>
            <w:tcBorders>
              <w:top w:val="nil"/>
              <w:left w:val="nil"/>
              <w:bottom w:val="single" w:sz="4" w:space="0" w:color="auto"/>
              <w:right w:val="nil"/>
            </w:tcBorders>
            <w:shd w:val="clear" w:color="auto" w:fill="auto"/>
            <w:noWrap/>
            <w:vAlign w:val="bottom"/>
            <w:hideMark/>
          </w:tcPr>
          <w:p w14:paraId="2574E2DA"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2F8D94"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0B572C14"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195 812 082</w:t>
            </w:r>
          </w:p>
        </w:tc>
        <w:tc>
          <w:tcPr>
            <w:tcW w:w="0" w:type="auto"/>
            <w:tcBorders>
              <w:top w:val="nil"/>
              <w:left w:val="nil"/>
              <w:bottom w:val="single" w:sz="4" w:space="0" w:color="auto"/>
              <w:right w:val="nil"/>
            </w:tcBorders>
            <w:shd w:val="clear" w:color="auto" w:fill="auto"/>
            <w:noWrap/>
            <w:vAlign w:val="bottom"/>
            <w:hideMark/>
          </w:tcPr>
          <w:p w14:paraId="2A42AF6B"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505F88"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356DBF12"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208 094 941</w:t>
            </w:r>
          </w:p>
        </w:tc>
        <w:tc>
          <w:tcPr>
            <w:tcW w:w="0" w:type="auto"/>
            <w:tcBorders>
              <w:top w:val="nil"/>
              <w:left w:val="nil"/>
              <w:bottom w:val="single" w:sz="4" w:space="0" w:color="auto"/>
              <w:right w:val="nil"/>
            </w:tcBorders>
            <w:shd w:val="clear" w:color="auto" w:fill="auto"/>
            <w:noWrap/>
            <w:vAlign w:val="bottom"/>
            <w:hideMark/>
          </w:tcPr>
          <w:p w14:paraId="4E47E723"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7AFC23"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04279D11"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207 528 516</w:t>
            </w:r>
          </w:p>
        </w:tc>
      </w:tr>
      <w:tr w:rsidR="002C253E" w:rsidRPr="002C253E" w14:paraId="443386BB"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55E2394C"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sociālās apdrošināšanas pabalsti naudā – kopā</w:t>
            </w:r>
          </w:p>
        </w:tc>
        <w:tc>
          <w:tcPr>
            <w:tcW w:w="0" w:type="auto"/>
            <w:tcBorders>
              <w:top w:val="nil"/>
              <w:left w:val="nil"/>
              <w:bottom w:val="nil"/>
              <w:right w:val="nil"/>
            </w:tcBorders>
            <w:shd w:val="clear" w:color="auto" w:fill="auto"/>
            <w:noWrap/>
            <w:vAlign w:val="bottom"/>
            <w:hideMark/>
          </w:tcPr>
          <w:p w14:paraId="62BD0E2C"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09D5879A"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5FBFDBB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71 712</w:t>
            </w:r>
          </w:p>
        </w:tc>
        <w:tc>
          <w:tcPr>
            <w:tcW w:w="0" w:type="auto"/>
            <w:tcBorders>
              <w:top w:val="nil"/>
              <w:left w:val="nil"/>
              <w:bottom w:val="nil"/>
              <w:right w:val="nil"/>
            </w:tcBorders>
            <w:shd w:val="clear" w:color="auto" w:fill="auto"/>
            <w:noWrap/>
            <w:vAlign w:val="bottom"/>
            <w:hideMark/>
          </w:tcPr>
          <w:p w14:paraId="5E5CBADE"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2679CA1D"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294B90D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80 352</w:t>
            </w:r>
          </w:p>
        </w:tc>
        <w:tc>
          <w:tcPr>
            <w:tcW w:w="0" w:type="auto"/>
            <w:tcBorders>
              <w:top w:val="nil"/>
              <w:left w:val="nil"/>
              <w:bottom w:val="nil"/>
              <w:right w:val="nil"/>
            </w:tcBorders>
            <w:shd w:val="clear" w:color="auto" w:fill="auto"/>
            <w:noWrap/>
            <w:vAlign w:val="bottom"/>
            <w:hideMark/>
          </w:tcPr>
          <w:p w14:paraId="5300DEA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63697B63"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60AF67F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86 400</w:t>
            </w:r>
          </w:p>
        </w:tc>
      </w:tr>
      <w:tr w:rsidR="002C253E" w:rsidRPr="002C253E" w14:paraId="265B86AE"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7C48948" w14:textId="77777777"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t>tajā skaitā:</w:t>
            </w:r>
          </w:p>
        </w:tc>
        <w:tc>
          <w:tcPr>
            <w:tcW w:w="0" w:type="auto"/>
            <w:tcBorders>
              <w:top w:val="single" w:sz="4" w:space="0" w:color="auto"/>
              <w:left w:val="nil"/>
              <w:bottom w:val="single" w:sz="4" w:space="0" w:color="auto"/>
              <w:right w:val="nil"/>
            </w:tcBorders>
            <w:shd w:val="clear" w:color="auto" w:fill="auto"/>
            <w:noWrap/>
            <w:vAlign w:val="bottom"/>
            <w:hideMark/>
          </w:tcPr>
          <w:p w14:paraId="19D33E5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0C39E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6815E44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2AE43D3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0CEEE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3836B75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2623614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57221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47C331D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3B143296"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04A93EF"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Apbedīšanas pabalsts, ja miris bezdarbnieks</w:t>
            </w:r>
          </w:p>
        </w:tc>
        <w:tc>
          <w:tcPr>
            <w:tcW w:w="0" w:type="auto"/>
            <w:tcBorders>
              <w:top w:val="nil"/>
              <w:left w:val="nil"/>
              <w:bottom w:val="single" w:sz="4" w:space="0" w:color="auto"/>
              <w:right w:val="nil"/>
            </w:tcBorders>
            <w:shd w:val="clear" w:color="auto" w:fill="auto"/>
            <w:noWrap/>
            <w:vAlign w:val="bottom"/>
            <w:hideMark/>
          </w:tcPr>
          <w:p w14:paraId="6819FFA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498,00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72977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12</w:t>
            </w:r>
          </w:p>
        </w:tc>
        <w:tc>
          <w:tcPr>
            <w:tcW w:w="0" w:type="auto"/>
            <w:tcBorders>
              <w:top w:val="nil"/>
              <w:left w:val="nil"/>
              <w:bottom w:val="single" w:sz="4" w:space="0" w:color="auto"/>
              <w:right w:val="single" w:sz="8" w:space="0" w:color="auto"/>
            </w:tcBorders>
            <w:shd w:val="clear" w:color="auto" w:fill="auto"/>
            <w:noWrap/>
            <w:vAlign w:val="bottom"/>
            <w:hideMark/>
          </w:tcPr>
          <w:p w14:paraId="6F29A79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71 712</w:t>
            </w:r>
          </w:p>
        </w:tc>
        <w:tc>
          <w:tcPr>
            <w:tcW w:w="0" w:type="auto"/>
            <w:tcBorders>
              <w:top w:val="nil"/>
              <w:left w:val="nil"/>
              <w:bottom w:val="single" w:sz="4" w:space="0" w:color="auto"/>
              <w:right w:val="nil"/>
            </w:tcBorders>
            <w:shd w:val="clear" w:color="auto" w:fill="auto"/>
            <w:noWrap/>
            <w:vAlign w:val="bottom"/>
            <w:hideMark/>
          </w:tcPr>
          <w:p w14:paraId="2C0F334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558,00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2E37E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12</w:t>
            </w:r>
          </w:p>
        </w:tc>
        <w:tc>
          <w:tcPr>
            <w:tcW w:w="0" w:type="auto"/>
            <w:tcBorders>
              <w:top w:val="nil"/>
              <w:left w:val="nil"/>
              <w:bottom w:val="single" w:sz="4" w:space="0" w:color="auto"/>
              <w:right w:val="single" w:sz="8" w:space="0" w:color="auto"/>
            </w:tcBorders>
            <w:shd w:val="clear" w:color="auto" w:fill="auto"/>
            <w:noWrap/>
            <w:vAlign w:val="bottom"/>
            <w:hideMark/>
          </w:tcPr>
          <w:p w14:paraId="2E246DD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80 352</w:t>
            </w:r>
          </w:p>
        </w:tc>
        <w:tc>
          <w:tcPr>
            <w:tcW w:w="0" w:type="auto"/>
            <w:tcBorders>
              <w:top w:val="nil"/>
              <w:left w:val="nil"/>
              <w:bottom w:val="single" w:sz="4" w:space="0" w:color="auto"/>
              <w:right w:val="nil"/>
            </w:tcBorders>
            <w:shd w:val="clear" w:color="auto" w:fill="auto"/>
            <w:noWrap/>
            <w:vAlign w:val="bottom"/>
            <w:hideMark/>
          </w:tcPr>
          <w:p w14:paraId="4696BCC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600,00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D4F8C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12</w:t>
            </w:r>
          </w:p>
        </w:tc>
        <w:tc>
          <w:tcPr>
            <w:tcW w:w="0" w:type="auto"/>
            <w:tcBorders>
              <w:top w:val="nil"/>
              <w:left w:val="nil"/>
              <w:bottom w:val="single" w:sz="4" w:space="0" w:color="auto"/>
              <w:right w:val="single" w:sz="8" w:space="0" w:color="auto"/>
            </w:tcBorders>
            <w:shd w:val="clear" w:color="auto" w:fill="auto"/>
            <w:noWrap/>
            <w:vAlign w:val="bottom"/>
            <w:hideMark/>
          </w:tcPr>
          <w:p w14:paraId="4859E0D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86 400</w:t>
            </w:r>
          </w:p>
        </w:tc>
      </w:tr>
      <w:tr w:rsidR="002C253E" w:rsidRPr="002C253E" w14:paraId="0F168C07"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0E57618"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nodarbinātības pabalsti naudā – kopā</w:t>
            </w:r>
          </w:p>
        </w:tc>
        <w:tc>
          <w:tcPr>
            <w:tcW w:w="0" w:type="auto"/>
            <w:tcBorders>
              <w:top w:val="nil"/>
              <w:left w:val="nil"/>
              <w:bottom w:val="nil"/>
              <w:right w:val="nil"/>
            </w:tcBorders>
            <w:shd w:val="clear" w:color="auto" w:fill="auto"/>
            <w:noWrap/>
            <w:vAlign w:val="bottom"/>
            <w:hideMark/>
          </w:tcPr>
          <w:p w14:paraId="4DF022C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1072FEA4"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269FA4F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194 766 843</w:t>
            </w:r>
          </w:p>
        </w:tc>
        <w:tc>
          <w:tcPr>
            <w:tcW w:w="0" w:type="auto"/>
            <w:tcBorders>
              <w:top w:val="nil"/>
              <w:left w:val="nil"/>
              <w:bottom w:val="nil"/>
              <w:right w:val="nil"/>
            </w:tcBorders>
            <w:shd w:val="clear" w:color="auto" w:fill="auto"/>
            <w:noWrap/>
            <w:vAlign w:val="bottom"/>
            <w:hideMark/>
          </w:tcPr>
          <w:p w14:paraId="55881A8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616D95FC"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441FDD8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207 041 597</w:t>
            </w:r>
          </w:p>
        </w:tc>
        <w:tc>
          <w:tcPr>
            <w:tcW w:w="0" w:type="auto"/>
            <w:tcBorders>
              <w:top w:val="nil"/>
              <w:left w:val="nil"/>
              <w:bottom w:val="nil"/>
              <w:right w:val="nil"/>
            </w:tcBorders>
            <w:shd w:val="clear" w:color="auto" w:fill="auto"/>
            <w:noWrap/>
            <w:vAlign w:val="bottom"/>
            <w:hideMark/>
          </w:tcPr>
          <w:p w14:paraId="158377D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6F99321E"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63249FE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206 471 692</w:t>
            </w:r>
          </w:p>
        </w:tc>
      </w:tr>
      <w:tr w:rsidR="002C253E" w:rsidRPr="002C253E" w14:paraId="60A82D0B"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F06A3BC"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Bezdarbnieka pabalsts</w:t>
            </w:r>
          </w:p>
        </w:tc>
        <w:tc>
          <w:tcPr>
            <w:tcW w:w="0" w:type="auto"/>
            <w:tcBorders>
              <w:top w:val="single" w:sz="4" w:space="0" w:color="auto"/>
              <w:left w:val="nil"/>
              <w:bottom w:val="single" w:sz="4" w:space="0" w:color="auto"/>
              <w:right w:val="nil"/>
            </w:tcBorders>
            <w:shd w:val="clear" w:color="auto" w:fill="auto"/>
            <w:noWrap/>
            <w:vAlign w:val="bottom"/>
            <w:hideMark/>
          </w:tcPr>
          <w:p w14:paraId="6CC4502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506,56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44589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32 040</w:t>
            </w:r>
          </w:p>
        </w:tc>
        <w:tc>
          <w:tcPr>
            <w:tcW w:w="0" w:type="auto"/>
            <w:tcBorders>
              <w:top w:val="nil"/>
              <w:left w:val="nil"/>
              <w:bottom w:val="single" w:sz="4" w:space="0" w:color="auto"/>
              <w:right w:val="single" w:sz="8" w:space="0" w:color="auto"/>
            </w:tcBorders>
            <w:shd w:val="clear" w:color="auto" w:fill="auto"/>
            <w:noWrap/>
            <w:vAlign w:val="bottom"/>
            <w:hideMark/>
          </w:tcPr>
          <w:p w14:paraId="5308548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194 763 843</w:t>
            </w:r>
          </w:p>
        </w:tc>
        <w:tc>
          <w:tcPr>
            <w:tcW w:w="0" w:type="auto"/>
            <w:tcBorders>
              <w:top w:val="single" w:sz="4" w:space="0" w:color="auto"/>
              <w:left w:val="nil"/>
              <w:bottom w:val="single" w:sz="4" w:space="0" w:color="auto"/>
              <w:right w:val="nil"/>
            </w:tcBorders>
            <w:shd w:val="clear" w:color="auto" w:fill="auto"/>
            <w:noWrap/>
            <w:vAlign w:val="bottom"/>
            <w:hideMark/>
          </w:tcPr>
          <w:p w14:paraId="019FA28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538,49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2BB71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32 040</w:t>
            </w:r>
          </w:p>
        </w:tc>
        <w:tc>
          <w:tcPr>
            <w:tcW w:w="0" w:type="auto"/>
            <w:tcBorders>
              <w:top w:val="nil"/>
              <w:left w:val="nil"/>
              <w:bottom w:val="single" w:sz="4" w:space="0" w:color="auto"/>
              <w:right w:val="single" w:sz="8" w:space="0" w:color="auto"/>
            </w:tcBorders>
            <w:shd w:val="clear" w:color="auto" w:fill="auto"/>
            <w:noWrap/>
            <w:vAlign w:val="bottom"/>
            <w:hideMark/>
          </w:tcPr>
          <w:p w14:paraId="7C1BCC3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207 038 597</w:t>
            </w:r>
          </w:p>
        </w:tc>
        <w:tc>
          <w:tcPr>
            <w:tcW w:w="0" w:type="auto"/>
            <w:tcBorders>
              <w:top w:val="single" w:sz="4" w:space="0" w:color="auto"/>
              <w:left w:val="nil"/>
              <w:bottom w:val="single" w:sz="4" w:space="0" w:color="auto"/>
              <w:right w:val="nil"/>
            </w:tcBorders>
            <w:shd w:val="clear" w:color="auto" w:fill="auto"/>
            <w:noWrap/>
            <w:vAlign w:val="bottom"/>
            <w:hideMark/>
          </w:tcPr>
          <w:p w14:paraId="51763DA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570,25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27602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30 172</w:t>
            </w:r>
          </w:p>
        </w:tc>
        <w:tc>
          <w:tcPr>
            <w:tcW w:w="0" w:type="auto"/>
            <w:tcBorders>
              <w:top w:val="nil"/>
              <w:left w:val="nil"/>
              <w:bottom w:val="single" w:sz="4" w:space="0" w:color="auto"/>
              <w:right w:val="single" w:sz="8" w:space="0" w:color="auto"/>
            </w:tcBorders>
            <w:shd w:val="clear" w:color="auto" w:fill="auto"/>
            <w:noWrap/>
            <w:vAlign w:val="bottom"/>
            <w:hideMark/>
          </w:tcPr>
          <w:p w14:paraId="41A1362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206 468 692</w:t>
            </w:r>
          </w:p>
        </w:tc>
      </w:tr>
      <w:tr w:rsidR="002C253E" w:rsidRPr="002C253E" w14:paraId="3FB0FAA5"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ED4F0E3"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Bezdarbnieka stipendija</w:t>
            </w:r>
          </w:p>
        </w:tc>
        <w:tc>
          <w:tcPr>
            <w:tcW w:w="0" w:type="auto"/>
            <w:tcBorders>
              <w:top w:val="nil"/>
              <w:left w:val="nil"/>
              <w:bottom w:val="single" w:sz="4" w:space="0" w:color="auto"/>
              <w:right w:val="nil"/>
            </w:tcBorders>
            <w:shd w:val="clear" w:color="auto" w:fill="auto"/>
            <w:noWrap/>
            <w:vAlign w:val="bottom"/>
            <w:hideMark/>
          </w:tcPr>
          <w:p w14:paraId="3A2A11E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150,00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FD91C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w:t>
            </w:r>
          </w:p>
        </w:tc>
        <w:tc>
          <w:tcPr>
            <w:tcW w:w="0" w:type="auto"/>
            <w:tcBorders>
              <w:top w:val="nil"/>
              <w:left w:val="nil"/>
              <w:bottom w:val="single" w:sz="4" w:space="0" w:color="auto"/>
              <w:right w:val="single" w:sz="8" w:space="0" w:color="auto"/>
            </w:tcBorders>
            <w:shd w:val="clear" w:color="auto" w:fill="auto"/>
            <w:noWrap/>
            <w:vAlign w:val="bottom"/>
            <w:hideMark/>
          </w:tcPr>
          <w:p w14:paraId="6CCF38D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3 000</w:t>
            </w:r>
          </w:p>
        </w:tc>
        <w:tc>
          <w:tcPr>
            <w:tcW w:w="0" w:type="auto"/>
            <w:tcBorders>
              <w:top w:val="nil"/>
              <w:left w:val="nil"/>
              <w:bottom w:val="single" w:sz="4" w:space="0" w:color="auto"/>
              <w:right w:val="nil"/>
            </w:tcBorders>
            <w:shd w:val="clear" w:color="auto" w:fill="auto"/>
            <w:noWrap/>
            <w:vAlign w:val="bottom"/>
            <w:hideMark/>
          </w:tcPr>
          <w:p w14:paraId="64C57CE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150,00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56A00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w:t>
            </w:r>
          </w:p>
        </w:tc>
        <w:tc>
          <w:tcPr>
            <w:tcW w:w="0" w:type="auto"/>
            <w:tcBorders>
              <w:top w:val="nil"/>
              <w:left w:val="nil"/>
              <w:bottom w:val="single" w:sz="4" w:space="0" w:color="auto"/>
              <w:right w:val="single" w:sz="8" w:space="0" w:color="auto"/>
            </w:tcBorders>
            <w:shd w:val="clear" w:color="auto" w:fill="auto"/>
            <w:noWrap/>
            <w:vAlign w:val="bottom"/>
            <w:hideMark/>
          </w:tcPr>
          <w:p w14:paraId="2146507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3 000</w:t>
            </w:r>
          </w:p>
        </w:tc>
        <w:tc>
          <w:tcPr>
            <w:tcW w:w="0" w:type="auto"/>
            <w:tcBorders>
              <w:top w:val="nil"/>
              <w:left w:val="nil"/>
              <w:bottom w:val="single" w:sz="4" w:space="0" w:color="auto"/>
              <w:right w:val="nil"/>
            </w:tcBorders>
            <w:shd w:val="clear" w:color="auto" w:fill="auto"/>
            <w:noWrap/>
            <w:vAlign w:val="bottom"/>
            <w:hideMark/>
          </w:tcPr>
          <w:p w14:paraId="218A8F5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150,00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AAFFA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w:t>
            </w:r>
          </w:p>
        </w:tc>
        <w:tc>
          <w:tcPr>
            <w:tcW w:w="0" w:type="auto"/>
            <w:tcBorders>
              <w:top w:val="nil"/>
              <w:left w:val="nil"/>
              <w:bottom w:val="single" w:sz="4" w:space="0" w:color="auto"/>
              <w:right w:val="single" w:sz="8" w:space="0" w:color="auto"/>
            </w:tcBorders>
            <w:shd w:val="clear" w:color="auto" w:fill="auto"/>
            <w:noWrap/>
            <w:vAlign w:val="bottom"/>
            <w:hideMark/>
          </w:tcPr>
          <w:p w14:paraId="4A1FC40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3 000</w:t>
            </w:r>
          </w:p>
        </w:tc>
      </w:tr>
      <w:tr w:rsidR="002C253E" w:rsidRPr="002C253E" w14:paraId="70164EB4"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hideMark/>
          </w:tcPr>
          <w:p w14:paraId="038C5035"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budžeta maksājumi - kopā</w:t>
            </w:r>
          </w:p>
        </w:tc>
        <w:tc>
          <w:tcPr>
            <w:tcW w:w="0" w:type="auto"/>
            <w:tcBorders>
              <w:top w:val="nil"/>
              <w:left w:val="nil"/>
              <w:bottom w:val="nil"/>
              <w:right w:val="nil"/>
            </w:tcBorders>
            <w:shd w:val="clear" w:color="auto" w:fill="auto"/>
            <w:noWrap/>
            <w:vAlign w:val="bottom"/>
            <w:hideMark/>
          </w:tcPr>
          <w:p w14:paraId="38EDA093"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0F35FE6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256D3E1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973 527</w:t>
            </w:r>
          </w:p>
        </w:tc>
        <w:tc>
          <w:tcPr>
            <w:tcW w:w="0" w:type="auto"/>
            <w:tcBorders>
              <w:top w:val="nil"/>
              <w:left w:val="nil"/>
              <w:bottom w:val="nil"/>
              <w:right w:val="nil"/>
            </w:tcBorders>
            <w:shd w:val="clear" w:color="auto" w:fill="auto"/>
            <w:noWrap/>
            <w:vAlign w:val="bottom"/>
            <w:hideMark/>
          </w:tcPr>
          <w:p w14:paraId="6AF494B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43F9CA1B"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60CB4C7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972 992</w:t>
            </w:r>
          </w:p>
        </w:tc>
        <w:tc>
          <w:tcPr>
            <w:tcW w:w="0" w:type="auto"/>
            <w:tcBorders>
              <w:top w:val="nil"/>
              <w:left w:val="nil"/>
              <w:bottom w:val="nil"/>
              <w:right w:val="nil"/>
            </w:tcBorders>
            <w:shd w:val="clear" w:color="auto" w:fill="auto"/>
            <w:noWrap/>
            <w:vAlign w:val="bottom"/>
            <w:hideMark/>
          </w:tcPr>
          <w:p w14:paraId="724074B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2DC9D53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33055EE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970 424</w:t>
            </w:r>
          </w:p>
        </w:tc>
      </w:tr>
      <w:tr w:rsidR="002C253E" w:rsidRPr="002C253E" w14:paraId="50881EE8"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2D65597" w14:textId="77777777"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t>tajā skaitā:</w:t>
            </w:r>
          </w:p>
        </w:tc>
        <w:tc>
          <w:tcPr>
            <w:tcW w:w="0" w:type="auto"/>
            <w:tcBorders>
              <w:top w:val="single" w:sz="4" w:space="0" w:color="auto"/>
              <w:left w:val="nil"/>
              <w:bottom w:val="single" w:sz="4" w:space="0" w:color="auto"/>
              <w:right w:val="nil"/>
            </w:tcBorders>
            <w:shd w:val="clear" w:color="auto" w:fill="auto"/>
            <w:noWrap/>
            <w:vAlign w:val="bottom"/>
            <w:hideMark/>
          </w:tcPr>
          <w:p w14:paraId="139E419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83A5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2F303A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5FE10F8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1D049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6C469D5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6C0F66E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A8FD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329D1DA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20592E74"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11698CE" w14:textId="5DA35887" w:rsidR="002C253E" w:rsidRPr="002C253E" w:rsidRDefault="002C253E" w:rsidP="008349F0">
            <w:pPr>
              <w:spacing w:after="0"/>
              <w:ind w:firstLineChars="100" w:firstLine="180"/>
              <w:jc w:val="left"/>
              <w:rPr>
                <w:rFonts w:eastAsia="Times New Roman" w:cs="Times New Roman"/>
                <w:sz w:val="18"/>
                <w:szCs w:val="18"/>
              </w:rPr>
            </w:pPr>
            <w:r w:rsidRPr="002C253E">
              <w:rPr>
                <w:rFonts w:eastAsia="Times New Roman" w:cs="Times New Roman"/>
                <w:sz w:val="18"/>
                <w:szCs w:val="18"/>
              </w:rPr>
              <w:t xml:space="preserve">    Pārmaksāto sociālās apdrošināšanas iemaksu atmaksa</w:t>
            </w:r>
          </w:p>
        </w:tc>
        <w:tc>
          <w:tcPr>
            <w:tcW w:w="0" w:type="auto"/>
            <w:tcBorders>
              <w:top w:val="nil"/>
              <w:left w:val="nil"/>
              <w:bottom w:val="single" w:sz="4" w:space="0" w:color="auto"/>
              <w:right w:val="nil"/>
            </w:tcBorders>
            <w:shd w:val="clear" w:color="auto" w:fill="auto"/>
            <w:noWrap/>
            <w:vAlign w:val="bottom"/>
            <w:hideMark/>
          </w:tcPr>
          <w:p w14:paraId="2AF0C73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18560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AA9802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44 500</w:t>
            </w:r>
          </w:p>
        </w:tc>
        <w:tc>
          <w:tcPr>
            <w:tcW w:w="0" w:type="auto"/>
            <w:tcBorders>
              <w:top w:val="nil"/>
              <w:left w:val="nil"/>
              <w:bottom w:val="single" w:sz="4" w:space="0" w:color="auto"/>
              <w:right w:val="nil"/>
            </w:tcBorders>
            <w:shd w:val="clear" w:color="auto" w:fill="auto"/>
            <w:noWrap/>
            <w:vAlign w:val="bottom"/>
            <w:hideMark/>
          </w:tcPr>
          <w:p w14:paraId="43A6D6D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8D2BE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CD949E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44 000</w:t>
            </w:r>
          </w:p>
        </w:tc>
        <w:tc>
          <w:tcPr>
            <w:tcW w:w="0" w:type="auto"/>
            <w:tcBorders>
              <w:top w:val="nil"/>
              <w:left w:val="nil"/>
              <w:bottom w:val="single" w:sz="4" w:space="0" w:color="auto"/>
              <w:right w:val="nil"/>
            </w:tcBorders>
            <w:shd w:val="clear" w:color="auto" w:fill="auto"/>
            <w:noWrap/>
            <w:vAlign w:val="bottom"/>
            <w:hideMark/>
          </w:tcPr>
          <w:p w14:paraId="26F503C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9FA3F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7631CE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41 600</w:t>
            </w:r>
          </w:p>
        </w:tc>
      </w:tr>
      <w:tr w:rsidR="002C253E" w:rsidRPr="002C253E" w14:paraId="26D3FEF3"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vAlign w:val="bottom"/>
            <w:hideMark/>
          </w:tcPr>
          <w:p w14:paraId="1857CBC5" w14:textId="67336B34"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xml:space="preserve">       </w:t>
            </w:r>
            <w:r w:rsidR="00422E4A">
              <w:rPr>
                <w:rFonts w:eastAsia="Times New Roman" w:cs="Times New Roman"/>
                <w:sz w:val="18"/>
                <w:szCs w:val="18"/>
              </w:rPr>
              <w:t>ES</w:t>
            </w:r>
            <w:r w:rsidRPr="002C253E">
              <w:rPr>
                <w:rFonts w:eastAsia="Times New Roman" w:cs="Times New Roman"/>
                <w:sz w:val="18"/>
                <w:szCs w:val="18"/>
              </w:rPr>
              <w:t xml:space="preserve"> pensiju shēmai pārskaitītais pensijas kapitāls</w:t>
            </w:r>
          </w:p>
        </w:tc>
        <w:tc>
          <w:tcPr>
            <w:tcW w:w="0" w:type="auto"/>
            <w:tcBorders>
              <w:top w:val="nil"/>
              <w:left w:val="nil"/>
              <w:bottom w:val="single" w:sz="4" w:space="0" w:color="auto"/>
              <w:right w:val="nil"/>
            </w:tcBorders>
            <w:shd w:val="clear" w:color="auto" w:fill="auto"/>
            <w:noWrap/>
            <w:vAlign w:val="bottom"/>
            <w:hideMark/>
          </w:tcPr>
          <w:p w14:paraId="7B30FDC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85E5B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8CA462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3 115</w:t>
            </w:r>
          </w:p>
        </w:tc>
        <w:tc>
          <w:tcPr>
            <w:tcW w:w="0" w:type="auto"/>
            <w:tcBorders>
              <w:top w:val="nil"/>
              <w:left w:val="nil"/>
              <w:bottom w:val="single" w:sz="4" w:space="0" w:color="auto"/>
              <w:right w:val="nil"/>
            </w:tcBorders>
            <w:shd w:val="clear" w:color="auto" w:fill="auto"/>
            <w:noWrap/>
            <w:vAlign w:val="bottom"/>
            <w:hideMark/>
          </w:tcPr>
          <w:p w14:paraId="72F2AB4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A26DF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0C621B4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3 080</w:t>
            </w:r>
          </w:p>
        </w:tc>
        <w:tc>
          <w:tcPr>
            <w:tcW w:w="0" w:type="auto"/>
            <w:tcBorders>
              <w:top w:val="nil"/>
              <w:left w:val="nil"/>
              <w:bottom w:val="single" w:sz="4" w:space="0" w:color="auto"/>
              <w:right w:val="nil"/>
            </w:tcBorders>
            <w:shd w:val="clear" w:color="auto" w:fill="auto"/>
            <w:noWrap/>
            <w:vAlign w:val="bottom"/>
            <w:hideMark/>
          </w:tcPr>
          <w:p w14:paraId="2ABCB47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639B3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1C453A2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2 912</w:t>
            </w:r>
          </w:p>
        </w:tc>
      </w:tr>
      <w:tr w:rsidR="002C253E" w:rsidRPr="002C253E" w14:paraId="1C471432"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hideMark/>
          </w:tcPr>
          <w:p w14:paraId="2DE86687" w14:textId="2F2B63D1"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lastRenderedPageBreak/>
              <w:t xml:space="preserve">Pārējie klasifikācijā neminētie no valsts un pašvaldību budžeta veiktie maksājumi iedzīvotājiem naudā  </w:t>
            </w:r>
          </w:p>
        </w:tc>
        <w:tc>
          <w:tcPr>
            <w:tcW w:w="0" w:type="auto"/>
            <w:tcBorders>
              <w:top w:val="nil"/>
              <w:left w:val="nil"/>
              <w:bottom w:val="single" w:sz="4" w:space="0" w:color="auto"/>
              <w:right w:val="nil"/>
            </w:tcBorders>
            <w:shd w:val="clear" w:color="auto" w:fill="auto"/>
            <w:noWrap/>
            <w:vAlign w:val="bottom"/>
            <w:hideMark/>
          </w:tcPr>
          <w:p w14:paraId="47B2100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154,32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1CAA5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500</w:t>
            </w:r>
          </w:p>
        </w:tc>
        <w:tc>
          <w:tcPr>
            <w:tcW w:w="0" w:type="auto"/>
            <w:tcBorders>
              <w:top w:val="nil"/>
              <w:left w:val="nil"/>
              <w:bottom w:val="single" w:sz="4" w:space="0" w:color="auto"/>
              <w:right w:val="single" w:sz="8" w:space="0" w:color="auto"/>
            </w:tcBorders>
            <w:shd w:val="clear" w:color="auto" w:fill="auto"/>
            <w:noWrap/>
            <w:vAlign w:val="bottom"/>
            <w:hideMark/>
          </w:tcPr>
          <w:p w14:paraId="07C08DE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925 912</w:t>
            </w:r>
          </w:p>
        </w:tc>
        <w:tc>
          <w:tcPr>
            <w:tcW w:w="0" w:type="auto"/>
            <w:tcBorders>
              <w:top w:val="nil"/>
              <w:left w:val="nil"/>
              <w:bottom w:val="single" w:sz="4" w:space="0" w:color="auto"/>
              <w:right w:val="nil"/>
            </w:tcBorders>
            <w:shd w:val="clear" w:color="auto" w:fill="auto"/>
            <w:noWrap/>
            <w:vAlign w:val="bottom"/>
            <w:hideMark/>
          </w:tcPr>
          <w:p w14:paraId="010F86E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154,32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B7B63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500</w:t>
            </w:r>
          </w:p>
        </w:tc>
        <w:tc>
          <w:tcPr>
            <w:tcW w:w="0" w:type="auto"/>
            <w:tcBorders>
              <w:top w:val="nil"/>
              <w:left w:val="nil"/>
              <w:bottom w:val="single" w:sz="4" w:space="0" w:color="auto"/>
              <w:right w:val="single" w:sz="8" w:space="0" w:color="auto"/>
            </w:tcBorders>
            <w:shd w:val="clear" w:color="auto" w:fill="auto"/>
            <w:noWrap/>
            <w:vAlign w:val="bottom"/>
            <w:hideMark/>
          </w:tcPr>
          <w:p w14:paraId="61D65BC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925 912</w:t>
            </w:r>
          </w:p>
        </w:tc>
        <w:tc>
          <w:tcPr>
            <w:tcW w:w="0" w:type="auto"/>
            <w:tcBorders>
              <w:top w:val="nil"/>
              <w:left w:val="nil"/>
              <w:bottom w:val="single" w:sz="4" w:space="0" w:color="auto"/>
              <w:right w:val="nil"/>
            </w:tcBorders>
            <w:shd w:val="clear" w:color="auto" w:fill="auto"/>
            <w:noWrap/>
            <w:vAlign w:val="bottom"/>
            <w:hideMark/>
          </w:tcPr>
          <w:p w14:paraId="778CF4D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154,32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9A5B8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500</w:t>
            </w:r>
          </w:p>
        </w:tc>
        <w:tc>
          <w:tcPr>
            <w:tcW w:w="0" w:type="auto"/>
            <w:tcBorders>
              <w:top w:val="nil"/>
              <w:left w:val="nil"/>
              <w:bottom w:val="single" w:sz="4" w:space="0" w:color="auto"/>
              <w:right w:val="single" w:sz="8" w:space="0" w:color="auto"/>
            </w:tcBorders>
            <w:shd w:val="clear" w:color="auto" w:fill="auto"/>
            <w:noWrap/>
            <w:vAlign w:val="bottom"/>
            <w:hideMark/>
          </w:tcPr>
          <w:p w14:paraId="3DB678D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925 912</w:t>
            </w:r>
          </w:p>
        </w:tc>
      </w:tr>
      <w:tr w:rsidR="002C253E" w:rsidRPr="002C253E" w14:paraId="7D5496F6"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DDE8333" w14:textId="77777777" w:rsidR="002C253E" w:rsidRPr="002C253E" w:rsidRDefault="002C253E" w:rsidP="008349F0">
            <w:pPr>
              <w:spacing w:after="0"/>
              <w:ind w:firstLine="0"/>
              <w:jc w:val="left"/>
              <w:rPr>
                <w:rFonts w:eastAsia="Times New Roman" w:cs="Times New Roman"/>
                <w:b/>
                <w:bCs/>
                <w:sz w:val="18"/>
                <w:szCs w:val="18"/>
              </w:rPr>
            </w:pPr>
            <w:r w:rsidRPr="002C253E">
              <w:rPr>
                <w:rFonts w:eastAsia="Times New Roman" w:cs="Times New Roman"/>
                <w:b/>
                <w:bCs/>
                <w:sz w:val="18"/>
                <w:szCs w:val="18"/>
              </w:rPr>
              <w:t>04.03.00 Darba negadījumu speciālais budžets</w:t>
            </w:r>
          </w:p>
        </w:tc>
        <w:tc>
          <w:tcPr>
            <w:tcW w:w="0" w:type="auto"/>
            <w:tcBorders>
              <w:top w:val="nil"/>
              <w:left w:val="nil"/>
              <w:bottom w:val="single" w:sz="4" w:space="0" w:color="auto"/>
              <w:right w:val="nil"/>
            </w:tcBorders>
            <w:shd w:val="clear" w:color="auto" w:fill="auto"/>
            <w:noWrap/>
            <w:vAlign w:val="bottom"/>
            <w:hideMark/>
          </w:tcPr>
          <w:p w14:paraId="0C5C2ED8"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7DDCED"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42913C60"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109 250 734</w:t>
            </w:r>
          </w:p>
        </w:tc>
        <w:tc>
          <w:tcPr>
            <w:tcW w:w="0" w:type="auto"/>
            <w:tcBorders>
              <w:top w:val="nil"/>
              <w:left w:val="nil"/>
              <w:bottom w:val="single" w:sz="4" w:space="0" w:color="auto"/>
              <w:right w:val="nil"/>
            </w:tcBorders>
            <w:shd w:val="clear" w:color="auto" w:fill="auto"/>
            <w:noWrap/>
            <w:vAlign w:val="bottom"/>
            <w:hideMark/>
          </w:tcPr>
          <w:p w14:paraId="58C60544"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C4EC1A"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00A27897"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122 547 900</w:t>
            </w:r>
          </w:p>
        </w:tc>
        <w:tc>
          <w:tcPr>
            <w:tcW w:w="0" w:type="auto"/>
            <w:tcBorders>
              <w:top w:val="nil"/>
              <w:left w:val="nil"/>
              <w:bottom w:val="single" w:sz="4" w:space="0" w:color="auto"/>
              <w:right w:val="nil"/>
            </w:tcBorders>
            <w:shd w:val="clear" w:color="auto" w:fill="auto"/>
            <w:noWrap/>
            <w:vAlign w:val="bottom"/>
            <w:hideMark/>
          </w:tcPr>
          <w:p w14:paraId="73F8F5D8"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0FC5A21"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5C1A7057"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136 938 613</w:t>
            </w:r>
          </w:p>
        </w:tc>
      </w:tr>
      <w:tr w:rsidR="002C253E" w:rsidRPr="002C253E" w14:paraId="53AC3044"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1306802"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sociālās apdrošināšanas pabalsti naudā – kopā</w:t>
            </w:r>
          </w:p>
        </w:tc>
        <w:tc>
          <w:tcPr>
            <w:tcW w:w="0" w:type="auto"/>
            <w:tcBorders>
              <w:top w:val="nil"/>
              <w:left w:val="nil"/>
              <w:bottom w:val="nil"/>
              <w:right w:val="nil"/>
            </w:tcBorders>
            <w:shd w:val="clear" w:color="auto" w:fill="auto"/>
            <w:noWrap/>
            <w:vAlign w:val="bottom"/>
            <w:hideMark/>
          </w:tcPr>
          <w:p w14:paraId="2912EC5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5600C63A"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76C1810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109 227 622</w:t>
            </w:r>
          </w:p>
        </w:tc>
        <w:tc>
          <w:tcPr>
            <w:tcW w:w="0" w:type="auto"/>
            <w:tcBorders>
              <w:top w:val="nil"/>
              <w:left w:val="nil"/>
              <w:bottom w:val="nil"/>
              <w:right w:val="nil"/>
            </w:tcBorders>
            <w:shd w:val="clear" w:color="auto" w:fill="auto"/>
            <w:noWrap/>
            <w:vAlign w:val="bottom"/>
            <w:hideMark/>
          </w:tcPr>
          <w:p w14:paraId="787EC659"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328C2D28"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46AD35D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122 523 825</w:t>
            </w:r>
          </w:p>
        </w:tc>
        <w:tc>
          <w:tcPr>
            <w:tcW w:w="0" w:type="auto"/>
            <w:tcBorders>
              <w:top w:val="nil"/>
              <w:left w:val="nil"/>
              <w:bottom w:val="nil"/>
              <w:right w:val="nil"/>
            </w:tcBorders>
            <w:shd w:val="clear" w:color="auto" w:fill="auto"/>
            <w:noWrap/>
            <w:vAlign w:val="bottom"/>
            <w:hideMark/>
          </w:tcPr>
          <w:p w14:paraId="7DF8536C"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3AA544E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715136B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136 913 254</w:t>
            </w:r>
          </w:p>
        </w:tc>
      </w:tr>
      <w:tr w:rsidR="002C253E" w:rsidRPr="002C253E" w14:paraId="2797283D"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FC4863C" w14:textId="77777777"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t>tajā skaitā:</w:t>
            </w:r>
          </w:p>
        </w:tc>
        <w:tc>
          <w:tcPr>
            <w:tcW w:w="0" w:type="auto"/>
            <w:tcBorders>
              <w:top w:val="single" w:sz="4" w:space="0" w:color="auto"/>
              <w:left w:val="nil"/>
              <w:bottom w:val="single" w:sz="4" w:space="0" w:color="auto"/>
              <w:right w:val="nil"/>
            </w:tcBorders>
            <w:shd w:val="clear" w:color="auto" w:fill="auto"/>
            <w:noWrap/>
            <w:vAlign w:val="bottom"/>
            <w:hideMark/>
          </w:tcPr>
          <w:p w14:paraId="015E63F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2EE9F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BD217F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35ED903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C37D3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67A8861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472D272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3D43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0732168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343E274A"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CEF74EA"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Slimības pabalsts</w:t>
            </w:r>
          </w:p>
        </w:tc>
        <w:tc>
          <w:tcPr>
            <w:tcW w:w="0" w:type="auto"/>
            <w:tcBorders>
              <w:top w:val="nil"/>
              <w:left w:val="nil"/>
              <w:bottom w:val="single" w:sz="4" w:space="0" w:color="auto"/>
              <w:right w:val="nil"/>
            </w:tcBorders>
            <w:shd w:val="clear" w:color="auto" w:fill="auto"/>
            <w:noWrap/>
            <w:vAlign w:val="bottom"/>
            <w:hideMark/>
          </w:tcPr>
          <w:p w14:paraId="39651D2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2 322,51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1C73F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620</w:t>
            </w:r>
          </w:p>
        </w:tc>
        <w:tc>
          <w:tcPr>
            <w:tcW w:w="0" w:type="auto"/>
            <w:tcBorders>
              <w:top w:val="nil"/>
              <w:left w:val="nil"/>
              <w:bottom w:val="single" w:sz="4" w:space="0" w:color="auto"/>
              <w:right w:val="single" w:sz="8" w:space="0" w:color="auto"/>
            </w:tcBorders>
            <w:shd w:val="clear" w:color="auto" w:fill="auto"/>
            <w:noWrap/>
            <w:vAlign w:val="bottom"/>
            <w:hideMark/>
          </w:tcPr>
          <w:p w14:paraId="19992B1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17 279 474</w:t>
            </w:r>
          </w:p>
        </w:tc>
        <w:tc>
          <w:tcPr>
            <w:tcW w:w="0" w:type="auto"/>
            <w:tcBorders>
              <w:top w:val="nil"/>
              <w:left w:val="nil"/>
              <w:bottom w:val="single" w:sz="4" w:space="0" w:color="auto"/>
              <w:right w:val="nil"/>
            </w:tcBorders>
            <w:shd w:val="clear" w:color="auto" w:fill="auto"/>
            <w:noWrap/>
            <w:vAlign w:val="bottom"/>
            <w:hideMark/>
          </w:tcPr>
          <w:p w14:paraId="2417B88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2 470,84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0DCC7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652</w:t>
            </w:r>
          </w:p>
        </w:tc>
        <w:tc>
          <w:tcPr>
            <w:tcW w:w="0" w:type="auto"/>
            <w:tcBorders>
              <w:top w:val="nil"/>
              <w:left w:val="nil"/>
              <w:bottom w:val="single" w:sz="4" w:space="0" w:color="auto"/>
              <w:right w:val="single" w:sz="8" w:space="0" w:color="auto"/>
            </w:tcBorders>
            <w:shd w:val="clear" w:color="auto" w:fill="auto"/>
            <w:noWrap/>
            <w:vAlign w:val="bottom"/>
            <w:hideMark/>
          </w:tcPr>
          <w:p w14:paraId="556A7D8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19 331 852</w:t>
            </w:r>
          </w:p>
        </w:tc>
        <w:tc>
          <w:tcPr>
            <w:tcW w:w="0" w:type="auto"/>
            <w:tcBorders>
              <w:top w:val="nil"/>
              <w:left w:val="nil"/>
              <w:bottom w:val="single" w:sz="4" w:space="0" w:color="auto"/>
              <w:right w:val="nil"/>
            </w:tcBorders>
            <w:shd w:val="clear" w:color="auto" w:fill="auto"/>
            <w:noWrap/>
            <w:vAlign w:val="bottom"/>
            <w:hideMark/>
          </w:tcPr>
          <w:p w14:paraId="715F4F2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2 601,62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6C8F9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686</w:t>
            </w:r>
          </w:p>
        </w:tc>
        <w:tc>
          <w:tcPr>
            <w:tcW w:w="0" w:type="auto"/>
            <w:tcBorders>
              <w:top w:val="nil"/>
              <w:left w:val="nil"/>
              <w:bottom w:val="single" w:sz="4" w:space="0" w:color="auto"/>
              <w:right w:val="single" w:sz="8" w:space="0" w:color="auto"/>
            </w:tcBorders>
            <w:shd w:val="clear" w:color="auto" w:fill="auto"/>
            <w:noWrap/>
            <w:vAlign w:val="bottom"/>
            <w:hideMark/>
          </w:tcPr>
          <w:p w14:paraId="0FCC860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21 416 536</w:t>
            </w:r>
          </w:p>
        </w:tc>
      </w:tr>
      <w:tr w:rsidR="002C253E" w:rsidRPr="002C253E" w14:paraId="42863755"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F760192"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Atlīdzība par darbspēju zaudējumu</w:t>
            </w:r>
          </w:p>
        </w:tc>
        <w:tc>
          <w:tcPr>
            <w:tcW w:w="0" w:type="auto"/>
            <w:tcBorders>
              <w:top w:val="nil"/>
              <w:left w:val="nil"/>
              <w:bottom w:val="single" w:sz="4" w:space="0" w:color="auto"/>
              <w:right w:val="nil"/>
            </w:tcBorders>
            <w:shd w:val="clear" w:color="auto" w:fill="auto"/>
            <w:noWrap/>
            <w:vAlign w:val="bottom"/>
            <w:hideMark/>
          </w:tcPr>
          <w:p w14:paraId="7D27270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533,18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108A4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14 032</w:t>
            </w:r>
          </w:p>
        </w:tc>
        <w:tc>
          <w:tcPr>
            <w:tcW w:w="0" w:type="auto"/>
            <w:tcBorders>
              <w:top w:val="nil"/>
              <w:left w:val="nil"/>
              <w:bottom w:val="single" w:sz="4" w:space="0" w:color="auto"/>
              <w:right w:val="single" w:sz="8" w:space="0" w:color="auto"/>
            </w:tcBorders>
            <w:shd w:val="clear" w:color="auto" w:fill="auto"/>
            <w:noWrap/>
            <w:vAlign w:val="bottom"/>
            <w:hideMark/>
          </w:tcPr>
          <w:p w14:paraId="2F95F77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89 778 972</w:t>
            </w:r>
          </w:p>
        </w:tc>
        <w:tc>
          <w:tcPr>
            <w:tcW w:w="0" w:type="auto"/>
            <w:tcBorders>
              <w:top w:val="nil"/>
              <w:left w:val="nil"/>
              <w:bottom w:val="single" w:sz="4" w:space="0" w:color="auto"/>
              <w:right w:val="nil"/>
            </w:tcBorders>
            <w:shd w:val="clear" w:color="auto" w:fill="auto"/>
            <w:noWrap/>
            <w:vAlign w:val="bottom"/>
            <w:hideMark/>
          </w:tcPr>
          <w:p w14:paraId="2742C3F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567,47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444E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14 803</w:t>
            </w:r>
          </w:p>
        </w:tc>
        <w:tc>
          <w:tcPr>
            <w:tcW w:w="0" w:type="auto"/>
            <w:tcBorders>
              <w:top w:val="nil"/>
              <w:left w:val="nil"/>
              <w:bottom w:val="single" w:sz="4" w:space="0" w:color="auto"/>
              <w:right w:val="single" w:sz="8" w:space="0" w:color="auto"/>
            </w:tcBorders>
            <w:shd w:val="clear" w:color="auto" w:fill="auto"/>
            <w:noWrap/>
            <w:vAlign w:val="bottom"/>
            <w:hideMark/>
          </w:tcPr>
          <w:p w14:paraId="6CB5176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100 802 390</w:t>
            </w:r>
          </w:p>
        </w:tc>
        <w:tc>
          <w:tcPr>
            <w:tcW w:w="0" w:type="auto"/>
            <w:tcBorders>
              <w:top w:val="nil"/>
              <w:left w:val="nil"/>
              <w:bottom w:val="single" w:sz="4" w:space="0" w:color="auto"/>
              <w:right w:val="nil"/>
            </w:tcBorders>
            <w:shd w:val="clear" w:color="auto" w:fill="auto"/>
            <w:noWrap/>
            <w:vAlign w:val="bottom"/>
            <w:hideMark/>
          </w:tcPr>
          <w:p w14:paraId="7A4FCC6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602,27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62046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15 617</w:t>
            </w:r>
          </w:p>
        </w:tc>
        <w:tc>
          <w:tcPr>
            <w:tcW w:w="0" w:type="auto"/>
            <w:tcBorders>
              <w:top w:val="nil"/>
              <w:left w:val="nil"/>
              <w:bottom w:val="single" w:sz="4" w:space="0" w:color="auto"/>
              <w:right w:val="single" w:sz="8" w:space="0" w:color="auto"/>
            </w:tcBorders>
            <w:shd w:val="clear" w:color="auto" w:fill="auto"/>
            <w:noWrap/>
            <w:vAlign w:val="bottom"/>
            <w:hideMark/>
          </w:tcPr>
          <w:p w14:paraId="654FD40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112 867 247</w:t>
            </w:r>
          </w:p>
        </w:tc>
      </w:tr>
      <w:tr w:rsidR="002C253E" w:rsidRPr="002C253E" w14:paraId="3F96D25A"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2059E75"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Atlīdzība par apgādnieka zaudējumu</w:t>
            </w:r>
          </w:p>
        </w:tc>
        <w:tc>
          <w:tcPr>
            <w:tcW w:w="0" w:type="auto"/>
            <w:tcBorders>
              <w:top w:val="nil"/>
              <w:left w:val="nil"/>
              <w:bottom w:val="single" w:sz="4" w:space="0" w:color="auto"/>
              <w:right w:val="nil"/>
            </w:tcBorders>
            <w:shd w:val="clear" w:color="auto" w:fill="auto"/>
            <w:noWrap/>
            <w:vAlign w:val="bottom"/>
            <w:hideMark/>
          </w:tcPr>
          <w:p w14:paraId="1C9CBB8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527,38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D31FC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55</w:t>
            </w:r>
          </w:p>
        </w:tc>
        <w:tc>
          <w:tcPr>
            <w:tcW w:w="0" w:type="auto"/>
            <w:tcBorders>
              <w:top w:val="nil"/>
              <w:left w:val="nil"/>
              <w:bottom w:val="single" w:sz="4" w:space="0" w:color="auto"/>
              <w:right w:val="single" w:sz="8" w:space="0" w:color="auto"/>
            </w:tcBorders>
            <w:shd w:val="clear" w:color="auto" w:fill="auto"/>
            <w:noWrap/>
            <w:vAlign w:val="bottom"/>
            <w:hideMark/>
          </w:tcPr>
          <w:p w14:paraId="157616A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348 069</w:t>
            </w:r>
          </w:p>
        </w:tc>
        <w:tc>
          <w:tcPr>
            <w:tcW w:w="0" w:type="auto"/>
            <w:tcBorders>
              <w:top w:val="nil"/>
              <w:left w:val="nil"/>
              <w:bottom w:val="single" w:sz="4" w:space="0" w:color="auto"/>
              <w:right w:val="nil"/>
            </w:tcBorders>
            <w:shd w:val="clear" w:color="auto" w:fill="auto"/>
            <w:noWrap/>
            <w:vAlign w:val="bottom"/>
            <w:hideMark/>
          </w:tcPr>
          <w:p w14:paraId="6E5052A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564,85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7F6A7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57</w:t>
            </w:r>
          </w:p>
        </w:tc>
        <w:tc>
          <w:tcPr>
            <w:tcW w:w="0" w:type="auto"/>
            <w:tcBorders>
              <w:top w:val="nil"/>
              <w:left w:val="nil"/>
              <w:bottom w:val="single" w:sz="4" w:space="0" w:color="auto"/>
              <w:right w:val="single" w:sz="8" w:space="0" w:color="auto"/>
            </w:tcBorders>
            <w:shd w:val="clear" w:color="auto" w:fill="auto"/>
            <w:noWrap/>
            <w:vAlign w:val="bottom"/>
            <w:hideMark/>
          </w:tcPr>
          <w:p w14:paraId="25235D7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386 359</w:t>
            </w:r>
          </w:p>
        </w:tc>
        <w:tc>
          <w:tcPr>
            <w:tcW w:w="0" w:type="auto"/>
            <w:tcBorders>
              <w:top w:val="nil"/>
              <w:left w:val="nil"/>
              <w:bottom w:val="single" w:sz="4" w:space="0" w:color="auto"/>
              <w:right w:val="nil"/>
            </w:tcBorders>
            <w:shd w:val="clear" w:color="auto" w:fill="auto"/>
            <w:noWrap/>
            <w:vAlign w:val="bottom"/>
            <w:hideMark/>
          </w:tcPr>
          <w:p w14:paraId="58C5BE6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604,30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2742C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59</w:t>
            </w:r>
          </w:p>
        </w:tc>
        <w:tc>
          <w:tcPr>
            <w:tcW w:w="0" w:type="auto"/>
            <w:tcBorders>
              <w:top w:val="nil"/>
              <w:left w:val="nil"/>
              <w:bottom w:val="single" w:sz="4" w:space="0" w:color="auto"/>
              <w:right w:val="single" w:sz="8" w:space="0" w:color="auto"/>
            </w:tcBorders>
            <w:shd w:val="clear" w:color="auto" w:fill="auto"/>
            <w:noWrap/>
            <w:vAlign w:val="bottom"/>
            <w:hideMark/>
          </w:tcPr>
          <w:p w14:paraId="3E39845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427 843</w:t>
            </w:r>
          </w:p>
        </w:tc>
      </w:tr>
      <w:tr w:rsidR="002C253E" w:rsidRPr="002C253E" w14:paraId="7E4F5346"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8108AE2"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Apbedīšanas pabalsts</w:t>
            </w:r>
          </w:p>
        </w:tc>
        <w:tc>
          <w:tcPr>
            <w:tcW w:w="0" w:type="auto"/>
            <w:tcBorders>
              <w:top w:val="nil"/>
              <w:left w:val="nil"/>
              <w:bottom w:val="single" w:sz="4" w:space="0" w:color="auto"/>
              <w:right w:val="nil"/>
            </w:tcBorders>
            <w:shd w:val="clear" w:color="auto" w:fill="auto"/>
            <w:noWrap/>
            <w:vAlign w:val="bottom"/>
            <w:hideMark/>
          </w:tcPr>
          <w:p w14:paraId="4DACBED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1 763,49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21330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w:t>
            </w:r>
          </w:p>
        </w:tc>
        <w:tc>
          <w:tcPr>
            <w:tcW w:w="0" w:type="auto"/>
            <w:tcBorders>
              <w:top w:val="nil"/>
              <w:left w:val="nil"/>
              <w:bottom w:val="single" w:sz="4" w:space="0" w:color="auto"/>
              <w:right w:val="single" w:sz="8" w:space="0" w:color="auto"/>
            </w:tcBorders>
            <w:shd w:val="clear" w:color="auto" w:fill="auto"/>
            <w:noWrap/>
            <w:vAlign w:val="bottom"/>
            <w:hideMark/>
          </w:tcPr>
          <w:p w14:paraId="4FAFDBA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126 971</w:t>
            </w:r>
          </w:p>
        </w:tc>
        <w:tc>
          <w:tcPr>
            <w:tcW w:w="0" w:type="auto"/>
            <w:tcBorders>
              <w:top w:val="nil"/>
              <w:left w:val="nil"/>
              <w:bottom w:val="single" w:sz="4" w:space="0" w:color="auto"/>
              <w:right w:val="nil"/>
            </w:tcBorders>
            <w:shd w:val="clear" w:color="auto" w:fill="auto"/>
            <w:noWrap/>
            <w:vAlign w:val="bottom"/>
            <w:hideMark/>
          </w:tcPr>
          <w:p w14:paraId="288B5BF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1 986,00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5487C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w:t>
            </w:r>
          </w:p>
        </w:tc>
        <w:tc>
          <w:tcPr>
            <w:tcW w:w="0" w:type="auto"/>
            <w:tcBorders>
              <w:top w:val="nil"/>
              <w:left w:val="nil"/>
              <w:bottom w:val="single" w:sz="4" w:space="0" w:color="auto"/>
              <w:right w:val="single" w:sz="8" w:space="0" w:color="auto"/>
            </w:tcBorders>
            <w:shd w:val="clear" w:color="auto" w:fill="auto"/>
            <w:noWrap/>
            <w:vAlign w:val="bottom"/>
            <w:hideMark/>
          </w:tcPr>
          <w:p w14:paraId="16E882E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142 992</w:t>
            </w:r>
          </w:p>
        </w:tc>
        <w:tc>
          <w:tcPr>
            <w:tcW w:w="0" w:type="auto"/>
            <w:tcBorders>
              <w:top w:val="nil"/>
              <w:left w:val="nil"/>
              <w:bottom w:val="single" w:sz="4" w:space="0" w:color="auto"/>
              <w:right w:val="nil"/>
            </w:tcBorders>
            <w:shd w:val="clear" w:color="auto" w:fill="auto"/>
            <w:noWrap/>
            <w:vAlign w:val="bottom"/>
            <w:hideMark/>
          </w:tcPr>
          <w:p w14:paraId="70F1B91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2 235,35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55BE6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w:t>
            </w:r>
          </w:p>
        </w:tc>
        <w:tc>
          <w:tcPr>
            <w:tcW w:w="0" w:type="auto"/>
            <w:tcBorders>
              <w:top w:val="nil"/>
              <w:left w:val="nil"/>
              <w:bottom w:val="single" w:sz="4" w:space="0" w:color="auto"/>
              <w:right w:val="single" w:sz="8" w:space="0" w:color="auto"/>
            </w:tcBorders>
            <w:shd w:val="clear" w:color="auto" w:fill="auto"/>
            <w:noWrap/>
            <w:vAlign w:val="bottom"/>
            <w:hideMark/>
          </w:tcPr>
          <w:p w14:paraId="68757D2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160 945</w:t>
            </w:r>
          </w:p>
        </w:tc>
      </w:tr>
      <w:tr w:rsidR="002C253E" w:rsidRPr="002C253E" w14:paraId="27CD8C60"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43AAC46"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Pārējie pabalsti</w:t>
            </w:r>
          </w:p>
        </w:tc>
        <w:tc>
          <w:tcPr>
            <w:tcW w:w="0" w:type="auto"/>
            <w:tcBorders>
              <w:top w:val="nil"/>
              <w:left w:val="nil"/>
              <w:bottom w:val="single" w:sz="4" w:space="0" w:color="auto"/>
              <w:right w:val="nil"/>
            </w:tcBorders>
            <w:shd w:val="clear" w:color="auto" w:fill="auto"/>
            <w:noWrap/>
            <w:vAlign w:val="bottom"/>
            <w:hideMark/>
          </w:tcPr>
          <w:p w14:paraId="19EFDF6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291,69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5A7AC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484</w:t>
            </w:r>
          </w:p>
        </w:tc>
        <w:tc>
          <w:tcPr>
            <w:tcW w:w="0" w:type="auto"/>
            <w:tcBorders>
              <w:top w:val="nil"/>
              <w:left w:val="nil"/>
              <w:bottom w:val="single" w:sz="4" w:space="0" w:color="auto"/>
              <w:right w:val="single" w:sz="8" w:space="0" w:color="auto"/>
            </w:tcBorders>
            <w:shd w:val="clear" w:color="auto" w:fill="auto"/>
            <w:noWrap/>
            <w:vAlign w:val="bottom"/>
            <w:hideMark/>
          </w:tcPr>
          <w:p w14:paraId="0425615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1 694 136</w:t>
            </w:r>
          </w:p>
        </w:tc>
        <w:tc>
          <w:tcPr>
            <w:tcW w:w="0" w:type="auto"/>
            <w:tcBorders>
              <w:top w:val="nil"/>
              <w:left w:val="nil"/>
              <w:bottom w:val="single" w:sz="4" w:space="0" w:color="auto"/>
              <w:right w:val="nil"/>
            </w:tcBorders>
            <w:shd w:val="clear" w:color="auto" w:fill="auto"/>
            <w:noWrap/>
            <w:vAlign w:val="bottom"/>
            <w:hideMark/>
          </w:tcPr>
          <w:p w14:paraId="291404C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310,66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08D6D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499</w:t>
            </w:r>
          </w:p>
        </w:tc>
        <w:tc>
          <w:tcPr>
            <w:tcW w:w="0" w:type="auto"/>
            <w:tcBorders>
              <w:top w:val="nil"/>
              <w:left w:val="nil"/>
              <w:bottom w:val="single" w:sz="4" w:space="0" w:color="auto"/>
              <w:right w:val="single" w:sz="8" w:space="0" w:color="auto"/>
            </w:tcBorders>
            <w:shd w:val="clear" w:color="auto" w:fill="auto"/>
            <w:noWrap/>
            <w:vAlign w:val="bottom"/>
            <w:hideMark/>
          </w:tcPr>
          <w:p w14:paraId="6E258EB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1 860 232</w:t>
            </w:r>
          </w:p>
        </w:tc>
        <w:tc>
          <w:tcPr>
            <w:tcW w:w="0" w:type="auto"/>
            <w:tcBorders>
              <w:top w:val="nil"/>
              <w:left w:val="nil"/>
              <w:bottom w:val="single" w:sz="4" w:space="0" w:color="auto"/>
              <w:right w:val="nil"/>
            </w:tcBorders>
            <w:shd w:val="clear" w:color="auto" w:fill="auto"/>
            <w:noWrap/>
            <w:vAlign w:val="bottom"/>
            <w:hideMark/>
          </w:tcPr>
          <w:p w14:paraId="31E1530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330,85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3A485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514</w:t>
            </w:r>
          </w:p>
        </w:tc>
        <w:tc>
          <w:tcPr>
            <w:tcW w:w="0" w:type="auto"/>
            <w:tcBorders>
              <w:top w:val="nil"/>
              <w:left w:val="nil"/>
              <w:bottom w:val="single" w:sz="4" w:space="0" w:color="auto"/>
              <w:right w:val="single" w:sz="8" w:space="0" w:color="auto"/>
            </w:tcBorders>
            <w:shd w:val="clear" w:color="auto" w:fill="auto"/>
            <w:noWrap/>
            <w:vAlign w:val="bottom"/>
            <w:hideMark/>
          </w:tcPr>
          <w:p w14:paraId="52F54E6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2 040 683</w:t>
            </w:r>
          </w:p>
        </w:tc>
      </w:tr>
      <w:tr w:rsidR="002C253E" w:rsidRPr="002C253E" w14:paraId="4D7A694E"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hideMark/>
          </w:tcPr>
          <w:p w14:paraId="138F193E"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budžeta maksājumi - kopā</w:t>
            </w:r>
          </w:p>
        </w:tc>
        <w:tc>
          <w:tcPr>
            <w:tcW w:w="0" w:type="auto"/>
            <w:tcBorders>
              <w:top w:val="nil"/>
              <w:left w:val="nil"/>
              <w:bottom w:val="nil"/>
              <w:right w:val="nil"/>
            </w:tcBorders>
            <w:shd w:val="clear" w:color="auto" w:fill="auto"/>
            <w:noWrap/>
            <w:vAlign w:val="bottom"/>
            <w:hideMark/>
          </w:tcPr>
          <w:p w14:paraId="73C8153F"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5DE3F4CA"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0D32E09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23 112</w:t>
            </w:r>
          </w:p>
        </w:tc>
        <w:tc>
          <w:tcPr>
            <w:tcW w:w="0" w:type="auto"/>
            <w:tcBorders>
              <w:top w:val="nil"/>
              <w:left w:val="nil"/>
              <w:bottom w:val="nil"/>
              <w:right w:val="nil"/>
            </w:tcBorders>
            <w:shd w:val="clear" w:color="auto" w:fill="auto"/>
            <w:noWrap/>
            <w:vAlign w:val="bottom"/>
            <w:hideMark/>
          </w:tcPr>
          <w:p w14:paraId="73DF00AE"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4D2A0EC4"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6185634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24 075</w:t>
            </w:r>
          </w:p>
        </w:tc>
        <w:tc>
          <w:tcPr>
            <w:tcW w:w="0" w:type="auto"/>
            <w:tcBorders>
              <w:top w:val="nil"/>
              <w:left w:val="nil"/>
              <w:bottom w:val="nil"/>
              <w:right w:val="nil"/>
            </w:tcBorders>
            <w:shd w:val="clear" w:color="auto" w:fill="auto"/>
            <w:noWrap/>
            <w:vAlign w:val="bottom"/>
            <w:hideMark/>
          </w:tcPr>
          <w:p w14:paraId="553E47C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515369FD"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0815F59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25 359</w:t>
            </w:r>
          </w:p>
        </w:tc>
      </w:tr>
      <w:tr w:rsidR="002C253E" w:rsidRPr="002C253E" w14:paraId="379C7859"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C26C6ED" w14:textId="77777777"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t>tajā skaitā:</w:t>
            </w:r>
          </w:p>
        </w:tc>
        <w:tc>
          <w:tcPr>
            <w:tcW w:w="0" w:type="auto"/>
            <w:tcBorders>
              <w:top w:val="single" w:sz="4" w:space="0" w:color="auto"/>
              <w:left w:val="nil"/>
              <w:bottom w:val="single" w:sz="4" w:space="0" w:color="auto"/>
              <w:right w:val="nil"/>
            </w:tcBorders>
            <w:shd w:val="clear" w:color="auto" w:fill="auto"/>
            <w:noWrap/>
            <w:vAlign w:val="bottom"/>
            <w:hideMark/>
          </w:tcPr>
          <w:p w14:paraId="26AA5A0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4C6F9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3F62FFA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53F5877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5A16F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542F4FC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3613730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30E48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5BBFB1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310B7CE4"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8C1C3C1" w14:textId="72A09A56" w:rsidR="002C253E" w:rsidRPr="002C253E" w:rsidRDefault="002C253E" w:rsidP="008349F0">
            <w:pPr>
              <w:spacing w:after="0"/>
              <w:ind w:firstLineChars="100" w:firstLine="180"/>
              <w:jc w:val="left"/>
              <w:rPr>
                <w:rFonts w:eastAsia="Times New Roman" w:cs="Times New Roman"/>
                <w:sz w:val="18"/>
                <w:szCs w:val="18"/>
              </w:rPr>
            </w:pPr>
            <w:r w:rsidRPr="002C253E">
              <w:rPr>
                <w:rFonts w:eastAsia="Times New Roman" w:cs="Times New Roman"/>
                <w:sz w:val="18"/>
                <w:szCs w:val="18"/>
              </w:rPr>
              <w:t xml:space="preserve">    Pārmaksāto sociālās apdrošināšanas iemaksu atmaksa</w:t>
            </w:r>
          </w:p>
        </w:tc>
        <w:tc>
          <w:tcPr>
            <w:tcW w:w="0" w:type="auto"/>
            <w:tcBorders>
              <w:top w:val="nil"/>
              <w:left w:val="nil"/>
              <w:bottom w:val="nil"/>
              <w:right w:val="nil"/>
            </w:tcBorders>
            <w:shd w:val="clear" w:color="auto" w:fill="auto"/>
            <w:vAlign w:val="bottom"/>
            <w:hideMark/>
          </w:tcPr>
          <w:p w14:paraId="0C7F794A"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nil"/>
              <w:right w:val="single" w:sz="4" w:space="0" w:color="auto"/>
            </w:tcBorders>
            <w:shd w:val="clear" w:color="auto" w:fill="auto"/>
            <w:vAlign w:val="bottom"/>
            <w:hideMark/>
          </w:tcPr>
          <w:p w14:paraId="115CCBE0"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3006087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21 600</w:t>
            </w:r>
          </w:p>
        </w:tc>
        <w:tc>
          <w:tcPr>
            <w:tcW w:w="0" w:type="auto"/>
            <w:tcBorders>
              <w:top w:val="nil"/>
              <w:left w:val="nil"/>
              <w:bottom w:val="nil"/>
              <w:right w:val="nil"/>
            </w:tcBorders>
            <w:shd w:val="clear" w:color="auto" w:fill="auto"/>
            <w:vAlign w:val="bottom"/>
            <w:hideMark/>
          </w:tcPr>
          <w:p w14:paraId="7280CBD9"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nil"/>
              <w:right w:val="single" w:sz="4" w:space="0" w:color="auto"/>
            </w:tcBorders>
            <w:shd w:val="clear" w:color="auto" w:fill="auto"/>
            <w:vAlign w:val="bottom"/>
            <w:hideMark/>
          </w:tcPr>
          <w:p w14:paraId="52192A42"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nil"/>
              <w:right w:val="single" w:sz="8" w:space="0" w:color="auto"/>
            </w:tcBorders>
            <w:shd w:val="clear" w:color="auto" w:fill="auto"/>
            <w:vAlign w:val="bottom"/>
            <w:hideMark/>
          </w:tcPr>
          <w:p w14:paraId="2A770B8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22 500</w:t>
            </w:r>
          </w:p>
        </w:tc>
        <w:tc>
          <w:tcPr>
            <w:tcW w:w="0" w:type="auto"/>
            <w:tcBorders>
              <w:top w:val="nil"/>
              <w:left w:val="nil"/>
              <w:bottom w:val="nil"/>
              <w:right w:val="nil"/>
            </w:tcBorders>
            <w:shd w:val="clear" w:color="auto" w:fill="auto"/>
            <w:vAlign w:val="bottom"/>
            <w:hideMark/>
          </w:tcPr>
          <w:p w14:paraId="3401326D"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w:t>
            </w:r>
          </w:p>
        </w:tc>
        <w:tc>
          <w:tcPr>
            <w:tcW w:w="0" w:type="auto"/>
            <w:tcBorders>
              <w:top w:val="nil"/>
              <w:left w:val="single" w:sz="4" w:space="0" w:color="auto"/>
              <w:bottom w:val="nil"/>
              <w:right w:val="single" w:sz="4" w:space="0" w:color="auto"/>
            </w:tcBorders>
            <w:shd w:val="clear" w:color="auto" w:fill="auto"/>
            <w:vAlign w:val="bottom"/>
            <w:hideMark/>
          </w:tcPr>
          <w:p w14:paraId="2CF83BEB"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nil"/>
              <w:right w:val="single" w:sz="8" w:space="0" w:color="auto"/>
            </w:tcBorders>
            <w:shd w:val="clear" w:color="auto" w:fill="auto"/>
            <w:vAlign w:val="bottom"/>
            <w:hideMark/>
          </w:tcPr>
          <w:p w14:paraId="4A1F625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23 700</w:t>
            </w:r>
          </w:p>
        </w:tc>
      </w:tr>
      <w:tr w:rsidR="002C253E" w:rsidRPr="002C253E" w14:paraId="4D8DAC80"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vAlign w:val="bottom"/>
            <w:hideMark/>
          </w:tcPr>
          <w:p w14:paraId="20C30AE6" w14:textId="3FAC9C8A"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xml:space="preserve">       </w:t>
            </w:r>
            <w:r w:rsidR="00422E4A">
              <w:rPr>
                <w:rFonts w:eastAsia="Times New Roman" w:cs="Times New Roman"/>
                <w:sz w:val="18"/>
                <w:szCs w:val="18"/>
              </w:rPr>
              <w:t xml:space="preserve"> ES</w:t>
            </w:r>
            <w:r w:rsidRPr="002C253E">
              <w:rPr>
                <w:rFonts w:eastAsia="Times New Roman" w:cs="Times New Roman"/>
                <w:sz w:val="18"/>
                <w:szCs w:val="18"/>
              </w:rPr>
              <w:t xml:space="preserve"> pensiju shēmai pārskaitītais pensijas kapitāls</w:t>
            </w:r>
          </w:p>
        </w:tc>
        <w:tc>
          <w:tcPr>
            <w:tcW w:w="0" w:type="auto"/>
            <w:tcBorders>
              <w:top w:val="single" w:sz="4" w:space="0" w:color="auto"/>
              <w:left w:val="nil"/>
              <w:bottom w:val="single" w:sz="4" w:space="0" w:color="auto"/>
              <w:right w:val="nil"/>
            </w:tcBorders>
            <w:shd w:val="clear" w:color="auto" w:fill="auto"/>
            <w:noWrap/>
            <w:vAlign w:val="bottom"/>
            <w:hideMark/>
          </w:tcPr>
          <w:p w14:paraId="7585EBC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B2088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1FF075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1 512</w:t>
            </w:r>
          </w:p>
        </w:tc>
        <w:tc>
          <w:tcPr>
            <w:tcW w:w="0" w:type="auto"/>
            <w:tcBorders>
              <w:top w:val="single" w:sz="4" w:space="0" w:color="auto"/>
              <w:left w:val="nil"/>
              <w:bottom w:val="single" w:sz="4" w:space="0" w:color="auto"/>
              <w:right w:val="nil"/>
            </w:tcBorders>
            <w:shd w:val="clear" w:color="auto" w:fill="auto"/>
            <w:noWrap/>
            <w:vAlign w:val="bottom"/>
            <w:hideMark/>
          </w:tcPr>
          <w:p w14:paraId="4FC8EFE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A7D78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8" w:space="0" w:color="auto"/>
            </w:tcBorders>
            <w:shd w:val="clear" w:color="auto" w:fill="auto"/>
            <w:noWrap/>
            <w:vAlign w:val="bottom"/>
            <w:hideMark/>
          </w:tcPr>
          <w:p w14:paraId="4403CD0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1 575</w:t>
            </w:r>
          </w:p>
        </w:tc>
        <w:tc>
          <w:tcPr>
            <w:tcW w:w="0" w:type="auto"/>
            <w:tcBorders>
              <w:top w:val="single" w:sz="4" w:space="0" w:color="auto"/>
              <w:left w:val="nil"/>
              <w:bottom w:val="single" w:sz="4" w:space="0" w:color="auto"/>
              <w:right w:val="nil"/>
            </w:tcBorders>
            <w:shd w:val="clear" w:color="auto" w:fill="auto"/>
            <w:noWrap/>
            <w:vAlign w:val="bottom"/>
            <w:hideMark/>
          </w:tcPr>
          <w:p w14:paraId="60DE4D5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4A698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8" w:space="0" w:color="auto"/>
            </w:tcBorders>
            <w:shd w:val="clear" w:color="auto" w:fill="auto"/>
            <w:noWrap/>
            <w:vAlign w:val="bottom"/>
            <w:hideMark/>
          </w:tcPr>
          <w:p w14:paraId="00BF7F9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1 659</w:t>
            </w:r>
          </w:p>
        </w:tc>
      </w:tr>
      <w:tr w:rsidR="002C253E" w:rsidRPr="002C253E" w14:paraId="2E7A20D4"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vAlign w:val="bottom"/>
            <w:hideMark/>
          </w:tcPr>
          <w:p w14:paraId="4F1F87A3" w14:textId="77777777" w:rsidR="002C253E" w:rsidRPr="002C253E" w:rsidRDefault="002C253E" w:rsidP="008349F0">
            <w:pPr>
              <w:spacing w:after="0"/>
              <w:ind w:firstLine="0"/>
              <w:jc w:val="left"/>
              <w:rPr>
                <w:rFonts w:eastAsia="Times New Roman" w:cs="Times New Roman"/>
                <w:b/>
                <w:bCs/>
                <w:sz w:val="18"/>
                <w:szCs w:val="18"/>
              </w:rPr>
            </w:pPr>
            <w:r w:rsidRPr="002C253E">
              <w:rPr>
                <w:rFonts w:eastAsia="Times New Roman" w:cs="Times New Roman"/>
                <w:b/>
                <w:bCs/>
                <w:sz w:val="18"/>
                <w:szCs w:val="18"/>
              </w:rPr>
              <w:t>04.04.00 Invaliditātes, maternitātes un slimības speciālais budžets</w:t>
            </w:r>
          </w:p>
        </w:tc>
        <w:tc>
          <w:tcPr>
            <w:tcW w:w="0" w:type="auto"/>
            <w:tcBorders>
              <w:top w:val="nil"/>
              <w:left w:val="nil"/>
              <w:bottom w:val="single" w:sz="4" w:space="0" w:color="auto"/>
              <w:right w:val="nil"/>
            </w:tcBorders>
            <w:shd w:val="clear" w:color="auto" w:fill="auto"/>
            <w:noWrap/>
            <w:vAlign w:val="bottom"/>
            <w:hideMark/>
          </w:tcPr>
          <w:p w14:paraId="07A3550E"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02AF96"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2216DB7F"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944 509 990</w:t>
            </w:r>
          </w:p>
        </w:tc>
        <w:tc>
          <w:tcPr>
            <w:tcW w:w="0" w:type="auto"/>
            <w:tcBorders>
              <w:top w:val="nil"/>
              <w:left w:val="nil"/>
              <w:bottom w:val="single" w:sz="4" w:space="0" w:color="auto"/>
              <w:right w:val="nil"/>
            </w:tcBorders>
            <w:shd w:val="clear" w:color="auto" w:fill="auto"/>
            <w:noWrap/>
            <w:vAlign w:val="bottom"/>
            <w:hideMark/>
          </w:tcPr>
          <w:p w14:paraId="61EF4DFC"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8F94E3"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034FA83A"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1 014 652 348</w:t>
            </w:r>
          </w:p>
        </w:tc>
        <w:tc>
          <w:tcPr>
            <w:tcW w:w="0" w:type="auto"/>
            <w:tcBorders>
              <w:top w:val="nil"/>
              <w:left w:val="nil"/>
              <w:bottom w:val="single" w:sz="4" w:space="0" w:color="auto"/>
              <w:right w:val="nil"/>
            </w:tcBorders>
            <w:shd w:val="clear" w:color="auto" w:fill="auto"/>
            <w:noWrap/>
            <w:vAlign w:val="bottom"/>
            <w:hideMark/>
          </w:tcPr>
          <w:p w14:paraId="21F571CB"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1B3F7B"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105F2E26" w14:textId="77777777" w:rsidR="002C253E" w:rsidRPr="002C253E" w:rsidRDefault="002C253E" w:rsidP="008349F0">
            <w:pPr>
              <w:spacing w:after="0"/>
              <w:ind w:firstLine="0"/>
              <w:jc w:val="right"/>
              <w:rPr>
                <w:rFonts w:eastAsia="Times New Roman" w:cs="Times New Roman"/>
                <w:b/>
                <w:bCs/>
                <w:sz w:val="18"/>
                <w:szCs w:val="18"/>
              </w:rPr>
            </w:pPr>
            <w:r w:rsidRPr="002C253E">
              <w:rPr>
                <w:rFonts w:eastAsia="Times New Roman" w:cs="Times New Roman"/>
                <w:b/>
                <w:bCs/>
                <w:sz w:val="18"/>
                <w:szCs w:val="18"/>
              </w:rPr>
              <w:t>1 084 380 477</w:t>
            </w:r>
          </w:p>
        </w:tc>
      </w:tr>
      <w:tr w:rsidR="002C253E" w:rsidRPr="002C253E" w14:paraId="20A63E56"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E4A2143"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pensijas – kopā</w:t>
            </w:r>
          </w:p>
        </w:tc>
        <w:tc>
          <w:tcPr>
            <w:tcW w:w="0" w:type="auto"/>
            <w:tcBorders>
              <w:top w:val="nil"/>
              <w:left w:val="nil"/>
              <w:bottom w:val="nil"/>
              <w:right w:val="nil"/>
            </w:tcBorders>
            <w:shd w:val="clear" w:color="auto" w:fill="auto"/>
            <w:noWrap/>
            <w:vAlign w:val="bottom"/>
            <w:hideMark/>
          </w:tcPr>
          <w:p w14:paraId="1CEABC51"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7447330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6A7CCDC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316 881 764</w:t>
            </w:r>
          </w:p>
        </w:tc>
        <w:tc>
          <w:tcPr>
            <w:tcW w:w="0" w:type="auto"/>
            <w:tcBorders>
              <w:top w:val="nil"/>
              <w:left w:val="nil"/>
              <w:bottom w:val="nil"/>
              <w:right w:val="nil"/>
            </w:tcBorders>
            <w:shd w:val="clear" w:color="auto" w:fill="auto"/>
            <w:noWrap/>
            <w:vAlign w:val="bottom"/>
            <w:hideMark/>
          </w:tcPr>
          <w:p w14:paraId="50EF6DD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0C549D9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252E088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352 657 550</w:t>
            </w:r>
          </w:p>
        </w:tc>
        <w:tc>
          <w:tcPr>
            <w:tcW w:w="0" w:type="auto"/>
            <w:tcBorders>
              <w:top w:val="nil"/>
              <w:left w:val="nil"/>
              <w:bottom w:val="nil"/>
              <w:right w:val="nil"/>
            </w:tcBorders>
            <w:shd w:val="clear" w:color="auto" w:fill="auto"/>
            <w:noWrap/>
            <w:vAlign w:val="bottom"/>
            <w:hideMark/>
          </w:tcPr>
          <w:p w14:paraId="720969F2"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6E325961"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1C9BD0C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382 438 839</w:t>
            </w:r>
          </w:p>
        </w:tc>
      </w:tr>
      <w:tr w:rsidR="002C253E" w:rsidRPr="002C253E" w14:paraId="78B99664"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24B2385E" w14:textId="77777777"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t>tajā skaitā:</w:t>
            </w:r>
          </w:p>
        </w:tc>
        <w:tc>
          <w:tcPr>
            <w:tcW w:w="0" w:type="auto"/>
            <w:tcBorders>
              <w:top w:val="single" w:sz="4" w:space="0" w:color="auto"/>
              <w:left w:val="nil"/>
              <w:bottom w:val="single" w:sz="4" w:space="0" w:color="auto"/>
              <w:right w:val="nil"/>
            </w:tcBorders>
            <w:shd w:val="clear" w:color="auto" w:fill="auto"/>
            <w:noWrap/>
            <w:vAlign w:val="bottom"/>
            <w:hideMark/>
          </w:tcPr>
          <w:p w14:paraId="642940C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A7930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40BF260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0022381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CE1BD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6D0E4F3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59019F8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5136C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7CAFA0D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72E5B1A5"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2CB6F25"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Invaliditātes pensijas</w:t>
            </w:r>
          </w:p>
        </w:tc>
        <w:tc>
          <w:tcPr>
            <w:tcW w:w="0" w:type="auto"/>
            <w:tcBorders>
              <w:top w:val="nil"/>
              <w:left w:val="nil"/>
              <w:bottom w:val="single" w:sz="4" w:space="0" w:color="auto"/>
              <w:right w:val="nil"/>
            </w:tcBorders>
            <w:shd w:val="clear" w:color="auto" w:fill="auto"/>
            <w:noWrap/>
            <w:vAlign w:val="bottom"/>
            <w:hideMark/>
          </w:tcPr>
          <w:p w14:paraId="517398C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350,50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BA2A2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75 216</w:t>
            </w:r>
          </w:p>
        </w:tc>
        <w:tc>
          <w:tcPr>
            <w:tcW w:w="0" w:type="auto"/>
            <w:tcBorders>
              <w:top w:val="nil"/>
              <w:left w:val="nil"/>
              <w:bottom w:val="single" w:sz="4" w:space="0" w:color="auto"/>
              <w:right w:val="single" w:sz="8" w:space="0" w:color="auto"/>
            </w:tcBorders>
            <w:shd w:val="clear" w:color="auto" w:fill="auto"/>
            <w:noWrap/>
            <w:vAlign w:val="bottom"/>
            <w:hideMark/>
          </w:tcPr>
          <w:p w14:paraId="32EFC25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316 354 364</w:t>
            </w:r>
          </w:p>
        </w:tc>
        <w:tc>
          <w:tcPr>
            <w:tcW w:w="0" w:type="auto"/>
            <w:tcBorders>
              <w:top w:val="nil"/>
              <w:left w:val="nil"/>
              <w:bottom w:val="single" w:sz="4" w:space="0" w:color="auto"/>
              <w:right w:val="nil"/>
            </w:tcBorders>
            <w:shd w:val="clear" w:color="auto" w:fill="auto"/>
            <w:noWrap/>
            <w:vAlign w:val="bottom"/>
            <w:hideMark/>
          </w:tcPr>
          <w:p w14:paraId="32FEF82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388,63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825EE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75 517</w:t>
            </w:r>
          </w:p>
        </w:tc>
        <w:tc>
          <w:tcPr>
            <w:tcW w:w="0" w:type="auto"/>
            <w:tcBorders>
              <w:top w:val="nil"/>
              <w:left w:val="nil"/>
              <w:bottom w:val="single" w:sz="4" w:space="0" w:color="auto"/>
              <w:right w:val="single" w:sz="8" w:space="0" w:color="auto"/>
            </w:tcBorders>
            <w:shd w:val="clear" w:color="auto" w:fill="auto"/>
            <w:noWrap/>
            <w:vAlign w:val="bottom"/>
            <w:hideMark/>
          </w:tcPr>
          <w:p w14:paraId="7680D93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352 182 361</w:t>
            </w:r>
          </w:p>
        </w:tc>
        <w:tc>
          <w:tcPr>
            <w:tcW w:w="0" w:type="auto"/>
            <w:tcBorders>
              <w:top w:val="nil"/>
              <w:left w:val="nil"/>
              <w:bottom w:val="single" w:sz="4" w:space="0" w:color="auto"/>
              <w:right w:val="nil"/>
            </w:tcBorders>
            <w:shd w:val="clear" w:color="auto" w:fill="auto"/>
            <w:noWrap/>
            <w:vAlign w:val="bottom"/>
            <w:hideMark/>
          </w:tcPr>
          <w:p w14:paraId="48198CC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419,88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39EBD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75 819</w:t>
            </w:r>
          </w:p>
        </w:tc>
        <w:tc>
          <w:tcPr>
            <w:tcW w:w="0" w:type="auto"/>
            <w:tcBorders>
              <w:top w:val="nil"/>
              <w:left w:val="nil"/>
              <w:bottom w:val="single" w:sz="4" w:space="0" w:color="auto"/>
              <w:right w:val="single" w:sz="8" w:space="0" w:color="auto"/>
            </w:tcBorders>
            <w:shd w:val="clear" w:color="auto" w:fill="auto"/>
            <w:noWrap/>
            <w:vAlign w:val="bottom"/>
            <w:hideMark/>
          </w:tcPr>
          <w:p w14:paraId="24191FC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382 014 532</w:t>
            </w:r>
          </w:p>
        </w:tc>
      </w:tr>
      <w:tr w:rsidR="002C253E" w:rsidRPr="002C253E" w14:paraId="31ECE3A5"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70DCED4A"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Pensijas saskaņā ar speciāliem lēmumiem</w:t>
            </w:r>
          </w:p>
        </w:tc>
        <w:tc>
          <w:tcPr>
            <w:tcW w:w="0" w:type="auto"/>
            <w:tcBorders>
              <w:top w:val="nil"/>
              <w:left w:val="nil"/>
              <w:bottom w:val="single" w:sz="4" w:space="0" w:color="auto"/>
              <w:right w:val="nil"/>
            </w:tcBorders>
            <w:shd w:val="clear" w:color="auto" w:fill="auto"/>
            <w:noWrap/>
            <w:vAlign w:val="bottom"/>
            <w:hideMark/>
          </w:tcPr>
          <w:p w14:paraId="668834E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71,00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61857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619</w:t>
            </w:r>
          </w:p>
        </w:tc>
        <w:tc>
          <w:tcPr>
            <w:tcW w:w="0" w:type="auto"/>
            <w:tcBorders>
              <w:top w:val="nil"/>
              <w:left w:val="nil"/>
              <w:bottom w:val="single" w:sz="4" w:space="0" w:color="auto"/>
              <w:right w:val="single" w:sz="8" w:space="0" w:color="auto"/>
            </w:tcBorders>
            <w:shd w:val="clear" w:color="auto" w:fill="auto"/>
            <w:noWrap/>
            <w:vAlign w:val="bottom"/>
            <w:hideMark/>
          </w:tcPr>
          <w:p w14:paraId="4249E50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527 400</w:t>
            </w:r>
          </w:p>
        </w:tc>
        <w:tc>
          <w:tcPr>
            <w:tcW w:w="0" w:type="auto"/>
            <w:tcBorders>
              <w:top w:val="nil"/>
              <w:left w:val="nil"/>
              <w:bottom w:val="single" w:sz="4" w:space="0" w:color="auto"/>
              <w:right w:val="nil"/>
            </w:tcBorders>
            <w:shd w:val="clear" w:color="auto" w:fill="auto"/>
            <w:noWrap/>
            <w:vAlign w:val="bottom"/>
            <w:hideMark/>
          </w:tcPr>
          <w:p w14:paraId="27E3D2E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74,43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1E927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532</w:t>
            </w:r>
          </w:p>
        </w:tc>
        <w:tc>
          <w:tcPr>
            <w:tcW w:w="0" w:type="auto"/>
            <w:tcBorders>
              <w:top w:val="nil"/>
              <w:left w:val="nil"/>
              <w:bottom w:val="single" w:sz="4" w:space="0" w:color="auto"/>
              <w:right w:val="single" w:sz="8" w:space="0" w:color="auto"/>
            </w:tcBorders>
            <w:shd w:val="clear" w:color="auto" w:fill="auto"/>
            <w:noWrap/>
            <w:vAlign w:val="bottom"/>
            <w:hideMark/>
          </w:tcPr>
          <w:p w14:paraId="31E632C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475 189</w:t>
            </w:r>
          </w:p>
        </w:tc>
        <w:tc>
          <w:tcPr>
            <w:tcW w:w="0" w:type="auto"/>
            <w:tcBorders>
              <w:top w:val="nil"/>
              <w:left w:val="nil"/>
              <w:bottom w:val="single" w:sz="4" w:space="0" w:color="auto"/>
              <w:right w:val="nil"/>
            </w:tcBorders>
            <w:shd w:val="clear" w:color="auto" w:fill="auto"/>
            <w:noWrap/>
            <w:vAlign w:val="bottom"/>
            <w:hideMark/>
          </w:tcPr>
          <w:p w14:paraId="6735E72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77,20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F2E47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458</w:t>
            </w:r>
          </w:p>
        </w:tc>
        <w:tc>
          <w:tcPr>
            <w:tcW w:w="0" w:type="auto"/>
            <w:tcBorders>
              <w:top w:val="nil"/>
              <w:left w:val="nil"/>
              <w:bottom w:val="single" w:sz="4" w:space="0" w:color="auto"/>
              <w:right w:val="single" w:sz="8" w:space="0" w:color="auto"/>
            </w:tcBorders>
            <w:shd w:val="clear" w:color="auto" w:fill="auto"/>
            <w:noWrap/>
            <w:vAlign w:val="bottom"/>
            <w:hideMark/>
          </w:tcPr>
          <w:p w14:paraId="1632B23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424 307</w:t>
            </w:r>
          </w:p>
        </w:tc>
      </w:tr>
      <w:tr w:rsidR="002C253E" w:rsidRPr="002C253E" w14:paraId="08ABB40E"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7E5F2BA"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sociālās apdrošināšanas pabalsti naudā – kopā</w:t>
            </w:r>
          </w:p>
        </w:tc>
        <w:tc>
          <w:tcPr>
            <w:tcW w:w="0" w:type="auto"/>
            <w:tcBorders>
              <w:top w:val="nil"/>
              <w:left w:val="nil"/>
              <w:bottom w:val="nil"/>
              <w:right w:val="nil"/>
            </w:tcBorders>
            <w:shd w:val="clear" w:color="auto" w:fill="auto"/>
            <w:noWrap/>
            <w:vAlign w:val="bottom"/>
            <w:hideMark/>
          </w:tcPr>
          <w:p w14:paraId="7B9DB5D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6C55E50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363F206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627 407 806</w:t>
            </w:r>
          </w:p>
        </w:tc>
        <w:tc>
          <w:tcPr>
            <w:tcW w:w="0" w:type="auto"/>
            <w:tcBorders>
              <w:top w:val="nil"/>
              <w:left w:val="nil"/>
              <w:bottom w:val="nil"/>
              <w:right w:val="nil"/>
            </w:tcBorders>
            <w:shd w:val="clear" w:color="auto" w:fill="auto"/>
            <w:noWrap/>
            <w:vAlign w:val="bottom"/>
            <w:hideMark/>
          </w:tcPr>
          <w:p w14:paraId="2ECB869C"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50F7CB1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4D360E1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661 776 839</w:t>
            </w:r>
          </w:p>
        </w:tc>
        <w:tc>
          <w:tcPr>
            <w:tcW w:w="0" w:type="auto"/>
            <w:tcBorders>
              <w:top w:val="nil"/>
              <w:left w:val="nil"/>
              <w:bottom w:val="nil"/>
              <w:right w:val="nil"/>
            </w:tcBorders>
            <w:shd w:val="clear" w:color="auto" w:fill="auto"/>
            <w:noWrap/>
            <w:vAlign w:val="bottom"/>
            <w:hideMark/>
          </w:tcPr>
          <w:p w14:paraId="2DC743B3"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507CFE79"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single" w:sz="4" w:space="0" w:color="auto"/>
              <w:right w:val="single" w:sz="8" w:space="0" w:color="auto"/>
            </w:tcBorders>
            <w:shd w:val="clear" w:color="auto" w:fill="auto"/>
            <w:noWrap/>
            <w:vAlign w:val="bottom"/>
            <w:hideMark/>
          </w:tcPr>
          <w:p w14:paraId="663B36A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701 723 465</w:t>
            </w:r>
          </w:p>
        </w:tc>
      </w:tr>
      <w:tr w:rsidR="002C253E" w:rsidRPr="002C253E" w14:paraId="6D1E9261"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3E273056" w14:textId="77777777"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t>tajā skaitā:</w:t>
            </w:r>
          </w:p>
        </w:tc>
        <w:tc>
          <w:tcPr>
            <w:tcW w:w="0" w:type="auto"/>
            <w:tcBorders>
              <w:top w:val="single" w:sz="4" w:space="0" w:color="auto"/>
              <w:left w:val="nil"/>
              <w:bottom w:val="single" w:sz="4" w:space="0" w:color="auto"/>
              <w:right w:val="nil"/>
            </w:tcBorders>
            <w:shd w:val="clear" w:color="auto" w:fill="auto"/>
            <w:noWrap/>
            <w:vAlign w:val="bottom"/>
            <w:hideMark/>
          </w:tcPr>
          <w:p w14:paraId="0076366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0C04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67ACBDC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68FA699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B2ADC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06C2CF1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7A90817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C3D50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nil"/>
              <w:left w:val="nil"/>
              <w:bottom w:val="single" w:sz="4" w:space="0" w:color="auto"/>
              <w:right w:val="single" w:sz="8" w:space="0" w:color="auto"/>
            </w:tcBorders>
            <w:shd w:val="clear" w:color="auto" w:fill="auto"/>
            <w:noWrap/>
            <w:vAlign w:val="bottom"/>
            <w:hideMark/>
          </w:tcPr>
          <w:p w14:paraId="37D1225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3AFCA822"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48E29756"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Slimības pabalsts</w:t>
            </w:r>
          </w:p>
        </w:tc>
        <w:tc>
          <w:tcPr>
            <w:tcW w:w="0" w:type="auto"/>
            <w:tcBorders>
              <w:top w:val="nil"/>
              <w:left w:val="nil"/>
              <w:bottom w:val="single" w:sz="4" w:space="0" w:color="auto"/>
              <w:right w:val="nil"/>
            </w:tcBorders>
            <w:shd w:val="clear" w:color="auto" w:fill="auto"/>
            <w:noWrap/>
            <w:vAlign w:val="bottom"/>
            <w:hideMark/>
          </w:tcPr>
          <w:p w14:paraId="37D4A11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1 609,64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341FC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19 768</w:t>
            </w:r>
          </w:p>
        </w:tc>
        <w:tc>
          <w:tcPr>
            <w:tcW w:w="0" w:type="auto"/>
            <w:tcBorders>
              <w:top w:val="nil"/>
              <w:left w:val="nil"/>
              <w:bottom w:val="single" w:sz="4" w:space="0" w:color="auto"/>
              <w:right w:val="single" w:sz="8" w:space="0" w:color="auto"/>
            </w:tcBorders>
            <w:shd w:val="clear" w:color="auto" w:fill="auto"/>
            <w:noWrap/>
            <w:vAlign w:val="bottom"/>
            <w:hideMark/>
          </w:tcPr>
          <w:p w14:paraId="31B4193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381 832 362</w:t>
            </w:r>
          </w:p>
        </w:tc>
        <w:tc>
          <w:tcPr>
            <w:tcW w:w="0" w:type="auto"/>
            <w:tcBorders>
              <w:top w:val="nil"/>
              <w:left w:val="nil"/>
              <w:bottom w:val="single" w:sz="4" w:space="0" w:color="auto"/>
              <w:right w:val="nil"/>
            </w:tcBorders>
            <w:shd w:val="clear" w:color="auto" w:fill="auto"/>
            <w:noWrap/>
            <w:vAlign w:val="bottom"/>
            <w:hideMark/>
          </w:tcPr>
          <w:p w14:paraId="6539346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1 711,05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9CBEF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19 768</w:t>
            </w:r>
          </w:p>
        </w:tc>
        <w:tc>
          <w:tcPr>
            <w:tcW w:w="0" w:type="auto"/>
            <w:tcBorders>
              <w:top w:val="nil"/>
              <w:left w:val="nil"/>
              <w:bottom w:val="single" w:sz="4" w:space="0" w:color="auto"/>
              <w:right w:val="single" w:sz="8" w:space="0" w:color="auto"/>
            </w:tcBorders>
            <w:shd w:val="clear" w:color="auto" w:fill="auto"/>
            <w:noWrap/>
            <w:vAlign w:val="bottom"/>
            <w:hideMark/>
          </w:tcPr>
          <w:p w14:paraId="3E57F31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405 888 437</w:t>
            </w:r>
          </w:p>
        </w:tc>
        <w:tc>
          <w:tcPr>
            <w:tcW w:w="0" w:type="auto"/>
            <w:tcBorders>
              <w:top w:val="nil"/>
              <w:left w:val="nil"/>
              <w:bottom w:val="single" w:sz="4" w:space="0" w:color="auto"/>
              <w:right w:val="nil"/>
            </w:tcBorders>
            <w:shd w:val="clear" w:color="auto" w:fill="auto"/>
            <w:noWrap/>
            <w:vAlign w:val="bottom"/>
            <w:hideMark/>
          </w:tcPr>
          <w:p w14:paraId="4F16550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1 812,00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C9084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19 768</w:t>
            </w:r>
          </w:p>
        </w:tc>
        <w:tc>
          <w:tcPr>
            <w:tcW w:w="0" w:type="auto"/>
            <w:tcBorders>
              <w:top w:val="nil"/>
              <w:left w:val="nil"/>
              <w:bottom w:val="single" w:sz="4" w:space="0" w:color="auto"/>
              <w:right w:val="single" w:sz="8" w:space="0" w:color="auto"/>
            </w:tcBorders>
            <w:shd w:val="clear" w:color="auto" w:fill="auto"/>
            <w:noWrap/>
            <w:vAlign w:val="bottom"/>
            <w:hideMark/>
          </w:tcPr>
          <w:p w14:paraId="094F1C4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429 835 392</w:t>
            </w:r>
          </w:p>
        </w:tc>
      </w:tr>
      <w:tr w:rsidR="002C253E" w:rsidRPr="002C253E" w14:paraId="3950E36C"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09CB001D"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Maternitātes pabalsts</w:t>
            </w:r>
          </w:p>
        </w:tc>
        <w:tc>
          <w:tcPr>
            <w:tcW w:w="0" w:type="auto"/>
            <w:tcBorders>
              <w:top w:val="nil"/>
              <w:left w:val="nil"/>
              <w:bottom w:val="single" w:sz="4" w:space="0" w:color="auto"/>
              <w:right w:val="nil"/>
            </w:tcBorders>
            <w:shd w:val="clear" w:color="auto" w:fill="auto"/>
            <w:noWrap/>
            <w:vAlign w:val="bottom"/>
            <w:hideMark/>
          </w:tcPr>
          <w:p w14:paraId="4BD0114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5 115,70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32D7B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991</w:t>
            </w:r>
          </w:p>
        </w:tc>
        <w:tc>
          <w:tcPr>
            <w:tcW w:w="0" w:type="auto"/>
            <w:tcBorders>
              <w:top w:val="nil"/>
              <w:left w:val="nil"/>
              <w:bottom w:val="single" w:sz="4" w:space="0" w:color="auto"/>
              <w:right w:val="single" w:sz="8" w:space="0" w:color="auto"/>
            </w:tcBorders>
            <w:shd w:val="clear" w:color="auto" w:fill="auto"/>
            <w:noWrap/>
            <w:vAlign w:val="bottom"/>
            <w:hideMark/>
          </w:tcPr>
          <w:p w14:paraId="218A269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60 835 904</w:t>
            </w:r>
          </w:p>
        </w:tc>
        <w:tc>
          <w:tcPr>
            <w:tcW w:w="0" w:type="auto"/>
            <w:tcBorders>
              <w:top w:val="nil"/>
              <w:left w:val="nil"/>
              <w:bottom w:val="single" w:sz="4" w:space="0" w:color="auto"/>
              <w:right w:val="nil"/>
            </w:tcBorders>
            <w:shd w:val="clear" w:color="auto" w:fill="auto"/>
            <w:noWrap/>
            <w:vAlign w:val="bottom"/>
            <w:hideMark/>
          </w:tcPr>
          <w:p w14:paraId="4BF6BDD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5 448,22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DE35F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991</w:t>
            </w:r>
          </w:p>
        </w:tc>
        <w:tc>
          <w:tcPr>
            <w:tcW w:w="0" w:type="auto"/>
            <w:tcBorders>
              <w:top w:val="nil"/>
              <w:left w:val="nil"/>
              <w:bottom w:val="single" w:sz="4" w:space="0" w:color="auto"/>
              <w:right w:val="single" w:sz="8" w:space="0" w:color="auto"/>
            </w:tcBorders>
            <w:shd w:val="clear" w:color="auto" w:fill="auto"/>
            <w:noWrap/>
            <w:vAlign w:val="bottom"/>
            <w:hideMark/>
          </w:tcPr>
          <w:p w14:paraId="0EC9933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64 790 232</w:t>
            </w:r>
          </w:p>
        </w:tc>
        <w:tc>
          <w:tcPr>
            <w:tcW w:w="0" w:type="auto"/>
            <w:tcBorders>
              <w:top w:val="nil"/>
              <w:left w:val="nil"/>
              <w:bottom w:val="single" w:sz="4" w:space="0" w:color="auto"/>
              <w:right w:val="nil"/>
            </w:tcBorders>
            <w:shd w:val="clear" w:color="auto" w:fill="auto"/>
            <w:noWrap/>
            <w:vAlign w:val="bottom"/>
            <w:hideMark/>
          </w:tcPr>
          <w:p w14:paraId="66222F5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5 780,56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7F5F4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991</w:t>
            </w:r>
          </w:p>
        </w:tc>
        <w:tc>
          <w:tcPr>
            <w:tcW w:w="0" w:type="auto"/>
            <w:tcBorders>
              <w:top w:val="nil"/>
              <w:left w:val="nil"/>
              <w:bottom w:val="single" w:sz="4" w:space="0" w:color="auto"/>
              <w:right w:val="single" w:sz="8" w:space="0" w:color="auto"/>
            </w:tcBorders>
            <w:shd w:val="clear" w:color="auto" w:fill="auto"/>
            <w:noWrap/>
            <w:vAlign w:val="bottom"/>
            <w:hideMark/>
          </w:tcPr>
          <w:p w14:paraId="5976B02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68 742 420</w:t>
            </w:r>
          </w:p>
        </w:tc>
      </w:tr>
      <w:tr w:rsidR="002C253E" w:rsidRPr="002C253E" w14:paraId="0BBA9D37"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6F31677F"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Apbedīšanas pabalsts</w:t>
            </w:r>
          </w:p>
        </w:tc>
        <w:tc>
          <w:tcPr>
            <w:tcW w:w="0" w:type="auto"/>
            <w:tcBorders>
              <w:top w:val="nil"/>
              <w:left w:val="nil"/>
              <w:bottom w:val="single" w:sz="4" w:space="0" w:color="auto"/>
              <w:right w:val="nil"/>
            </w:tcBorders>
            <w:shd w:val="clear" w:color="auto" w:fill="auto"/>
            <w:noWrap/>
            <w:vAlign w:val="bottom"/>
            <w:hideMark/>
          </w:tcPr>
          <w:p w14:paraId="555C54F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2 323,01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3576C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240</w:t>
            </w:r>
          </w:p>
        </w:tc>
        <w:tc>
          <w:tcPr>
            <w:tcW w:w="0" w:type="auto"/>
            <w:tcBorders>
              <w:top w:val="nil"/>
              <w:left w:val="nil"/>
              <w:bottom w:val="single" w:sz="4" w:space="0" w:color="auto"/>
              <w:right w:val="single" w:sz="8" w:space="0" w:color="auto"/>
            </w:tcBorders>
            <w:shd w:val="clear" w:color="auto" w:fill="auto"/>
            <w:noWrap/>
            <w:vAlign w:val="bottom"/>
            <w:hideMark/>
          </w:tcPr>
          <w:p w14:paraId="681B913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6 690 262</w:t>
            </w:r>
          </w:p>
        </w:tc>
        <w:tc>
          <w:tcPr>
            <w:tcW w:w="0" w:type="auto"/>
            <w:tcBorders>
              <w:top w:val="nil"/>
              <w:left w:val="nil"/>
              <w:bottom w:val="single" w:sz="4" w:space="0" w:color="auto"/>
              <w:right w:val="nil"/>
            </w:tcBorders>
            <w:shd w:val="clear" w:color="auto" w:fill="auto"/>
            <w:noWrap/>
            <w:vAlign w:val="bottom"/>
            <w:hideMark/>
          </w:tcPr>
          <w:p w14:paraId="049E65F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2 440,24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BA61B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250</w:t>
            </w:r>
          </w:p>
        </w:tc>
        <w:tc>
          <w:tcPr>
            <w:tcW w:w="0" w:type="auto"/>
            <w:tcBorders>
              <w:top w:val="nil"/>
              <w:left w:val="nil"/>
              <w:bottom w:val="single" w:sz="4" w:space="0" w:color="auto"/>
              <w:right w:val="single" w:sz="8" w:space="0" w:color="auto"/>
            </w:tcBorders>
            <w:shd w:val="clear" w:color="auto" w:fill="auto"/>
            <w:noWrap/>
            <w:vAlign w:val="bottom"/>
            <w:hideMark/>
          </w:tcPr>
          <w:p w14:paraId="4842762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7 320 708</w:t>
            </w:r>
          </w:p>
        </w:tc>
        <w:tc>
          <w:tcPr>
            <w:tcW w:w="0" w:type="auto"/>
            <w:tcBorders>
              <w:top w:val="nil"/>
              <w:left w:val="nil"/>
              <w:bottom w:val="single" w:sz="4" w:space="0" w:color="auto"/>
              <w:right w:val="nil"/>
            </w:tcBorders>
            <w:shd w:val="clear" w:color="auto" w:fill="auto"/>
            <w:noWrap/>
            <w:vAlign w:val="bottom"/>
            <w:hideMark/>
          </w:tcPr>
          <w:p w14:paraId="38BC830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2 562,19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FA6AF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260</w:t>
            </w:r>
          </w:p>
        </w:tc>
        <w:tc>
          <w:tcPr>
            <w:tcW w:w="0" w:type="auto"/>
            <w:tcBorders>
              <w:top w:val="nil"/>
              <w:left w:val="nil"/>
              <w:bottom w:val="single" w:sz="4" w:space="0" w:color="auto"/>
              <w:right w:val="single" w:sz="8" w:space="0" w:color="auto"/>
            </w:tcBorders>
            <w:shd w:val="clear" w:color="auto" w:fill="auto"/>
            <w:noWrap/>
            <w:vAlign w:val="bottom"/>
            <w:hideMark/>
          </w:tcPr>
          <w:p w14:paraId="4BE783D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7 994 030</w:t>
            </w:r>
          </w:p>
        </w:tc>
      </w:tr>
      <w:tr w:rsidR="002C253E" w:rsidRPr="002C253E" w14:paraId="58159A9F"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vAlign w:val="center"/>
            <w:hideMark/>
          </w:tcPr>
          <w:p w14:paraId="112DF7FD"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Kaitējuma atlīdzība Černobiļas AES avārijas rezultātā cietušajām personām</w:t>
            </w:r>
          </w:p>
        </w:tc>
        <w:tc>
          <w:tcPr>
            <w:tcW w:w="0" w:type="auto"/>
            <w:tcBorders>
              <w:top w:val="nil"/>
              <w:left w:val="nil"/>
              <w:bottom w:val="single" w:sz="4" w:space="0" w:color="auto"/>
              <w:right w:val="nil"/>
            </w:tcBorders>
            <w:shd w:val="clear" w:color="auto" w:fill="auto"/>
            <w:noWrap/>
            <w:vAlign w:val="bottom"/>
            <w:hideMark/>
          </w:tcPr>
          <w:p w14:paraId="2B8F507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451,05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0DED5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2 114</w:t>
            </w:r>
          </w:p>
        </w:tc>
        <w:tc>
          <w:tcPr>
            <w:tcW w:w="0" w:type="auto"/>
            <w:tcBorders>
              <w:top w:val="nil"/>
              <w:left w:val="nil"/>
              <w:bottom w:val="single" w:sz="4" w:space="0" w:color="auto"/>
              <w:right w:val="single" w:sz="8" w:space="0" w:color="auto"/>
            </w:tcBorders>
            <w:shd w:val="clear" w:color="auto" w:fill="auto"/>
            <w:noWrap/>
            <w:vAlign w:val="bottom"/>
            <w:hideMark/>
          </w:tcPr>
          <w:p w14:paraId="1557313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11 442 236</w:t>
            </w:r>
          </w:p>
        </w:tc>
        <w:tc>
          <w:tcPr>
            <w:tcW w:w="0" w:type="auto"/>
            <w:tcBorders>
              <w:top w:val="nil"/>
              <w:left w:val="nil"/>
              <w:bottom w:val="single" w:sz="4" w:space="0" w:color="auto"/>
              <w:right w:val="nil"/>
            </w:tcBorders>
            <w:shd w:val="clear" w:color="auto" w:fill="auto"/>
            <w:noWrap/>
            <w:vAlign w:val="bottom"/>
            <w:hideMark/>
          </w:tcPr>
          <w:p w14:paraId="4D07180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473,94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321F6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2 135</w:t>
            </w:r>
          </w:p>
        </w:tc>
        <w:tc>
          <w:tcPr>
            <w:tcW w:w="0" w:type="auto"/>
            <w:tcBorders>
              <w:top w:val="nil"/>
              <w:left w:val="nil"/>
              <w:bottom w:val="single" w:sz="4" w:space="0" w:color="auto"/>
              <w:right w:val="single" w:sz="8" w:space="0" w:color="auto"/>
            </w:tcBorders>
            <w:shd w:val="clear" w:color="auto" w:fill="auto"/>
            <w:noWrap/>
            <w:vAlign w:val="bottom"/>
            <w:hideMark/>
          </w:tcPr>
          <w:p w14:paraId="31EBC89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12 142 343</w:t>
            </w:r>
          </w:p>
        </w:tc>
        <w:tc>
          <w:tcPr>
            <w:tcW w:w="0" w:type="auto"/>
            <w:tcBorders>
              <w:top w:val="nil"/>
              <w:left w:val="nil"/>
              <w:bottom w:val="single" w:sz="4" w:space="0" w:color="auto"/>
              <w:right w:val="nil"/>
            </w:tcBorders>
            <w:shd w:val="clear" w:color="auto" w:fill="auto"/>
            <w:noWrap/>
            <w:vAlign w:val="bottom"/>
            <w:hideMark/>
          </w:tcPr>
          <w:p w14:paraId="3D7A898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497,90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FB60A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2 156</w:t>
            </w:r>
          </w:p>
        </w:tc>
        <w:tc>
          <w:tcPr>
            <w:tcW w:w="0" w:type="auto"/>
            <w:tcBorders>
              <w:top w:val="nil"/>
              <w:left w:val="nil"/>
              <w:bottom w:val="single" w:sz="4" w:space="0" w:color="auto"/>
              <w:right w:val="single" w:sz="8" w:space="0" w:color="auto"/>
            </w:tcBorders>
            <w:shd w:val="clear" w:color="auto" w:fill="auto"/>
            <w:noWrap/>
            <w:vAlign w:val="bottom"/>
            <w:hideMark/>
          </w:tcPr>
          <w:p w14:paraId="66B8BC1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12 881 669</w:t>
            </w:r>
          </w:p>
        </w:tc>
      </w:tr>
      <w:tr w:rsidR="002C253E" w:rsidRPr="002C253E" w14:paraId="272BE4C3"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vAlign w:val="center"/>
            <w:hideMark/>
          </w:tcPr>
          <w:p w14:paraId="4FD9A9CA"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Paternitātes pabalsts</w:t>
            </w:r>
          </w:p>
        </w:tc>
        <w:tc>
          <w:tcPr>
            <w:tcW w:w="0" w:type="auto"/>
            <w:tcBorders>
              <w:top w:val="nil"/>
              <w:left w:val="nil"/>
              <w:bottom w:val="single" w:sz="4" w:space="0" w:color="auto"/>
              <w:right w:val="nil"/>
            </w:tcBorders>
            <w:shd w:val="clear" w:color="auto" w:fill="auto"/>
            <w:noWrap/>
            <w:vAlign w:val="bottom"/>
            <w:hideMark/>
          </w:tcPr>
          <w:p w14:paraId="6C539707"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765,30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D5CFE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850</w:t>
            </w:r>
          </w:p>
        </w:tc>
        <w:tc>
          <w:tcPr>
            <w:tcW w:w="0" w:type="auto"/>
            <w:tcBorders>
              <w:top w:val="nil"/>
              <w:left w:val="nil"/>
              <w:bottom w:val="single" w:sz="4" w:space="0" w:color="auto"/>
              <w:right w:val="single" w:sz="8" w:space="0" w:color="auto"/>
            </w:tcBorders>
            <w:shd w:val="clear" w:color="auto" w:fill="auto"/>
            <w:noWrap/>
            <w:vAlign w:val="bottom"/>
            <w:hideMark/>
          </w:tcPr>
          <w:p w14:paraId="6E96454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7 806 060</w:t>
            </w:r>
          </w:p>
        </w:tc>
        <w:tc>
          <w:tcPr>
            <w:tcW w:w="0" w:type="auto"/>
            <w:tcBorders>
              <w:top w:val="nil"/>
              <w:left w:val="nil"/>
              <w:bottom w:val="single" w:sz="4" w:space="0" w:color="auto"/>
              <w:right w:val="nil"/>
            </w:tcBorders>
            <w:shd w:val="clear" w:color="auto" w:fill="auto"/>
            <w:noWrap/>
            <w:vAlign w:val="bottom"/>
            <w:hideMark/>
          </w:tcPr>
          <w:p w14:paraId="15EBDB7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813,34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4FC3B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890</w:t>
            </w:r>
          </w:p>
        </w:tc>
        <w:tc>
          <w:tcPr>
            <w:tcW w:w="0" w:type="auto"/>
            <w:tcBorders>
              <w:top w:val="nil"/>
              <w:left w:val="nil"/>
              <w:bottom w:val="single" w:sz="4" w:space="0" w:color="auto"/>
              <w:right w:val="single" w:sz="8" w:space="0" w:color="auto"/>
            </w:tcBorders>
            <w:shd w:val="clear" w:color="auto" w:fill="auto"/>
            <w:noWrap/>
            <w:vAlign w:val="bottom"/>
            <w:hideMark/>
          </w:tcPr>
          <w:p w14:paraId="5315237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8 686 471</w:t>
            </w:r>
          </w:p>
        </w:tc>
        <w:tc>
          <w:tcPr>
            <w:tcW w:w="0" w:type="auto"/>
            <w:tcBorders>
              <w:top w:val="nil"/>
              <w:left w:val="nil"/>
              <w:bottom w:val="single" w:sz="4" w:space="0" w:color="auto"/>
              <w:right w:val="nil"/>
            </w:tcBorders>
            <w:shd w:val="clear" w:color="auto" w:fill="auto"/>
            <w:noWrap/>
            <w:vAlign w:val="bottom"/>
            <w:hideMark/>
          </w:tcPr>
          <w:p w14:paraId="6CFF7FF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860,96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DC6BB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930</w:t>
            </w:r>
          </w:p>
        </w:tc>
        <w:tc>
          <w:tcPr>
            <w:tcW w:w="0" w:type="auto"/>
            <w:tcBorders>
              <w:top w:val="nil"/>
              <w:left w:val="nil"/>
              <w:bottom w:val="single" w:sz="4" w:space="0" w:color="auto"/>
              <w:right w:val="single" w:sz="8" w:space="0" w:color="auto"/>
            </w:tcBorders>
            <w:shd w:val="clear" w:color="auto" w:fill="auto"/>
            <w:noWrap/>
            <w:vAlign w:val="bottom"/>
            <w:hideMark/>
          </w:tcPr>
          <w:p w14:paraId="431C13A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9 608 314</w:t>
            </w:r>
          </w:p>
        </w:tc>
      </w:tr>
      <w:tr w:rsidR="002C253E" w:rsidRPr="002C253E" w14:paraId="7B67E2E6" w14:textId="77777777" w:rsidTr="008415BC">
        <w:trPr>
          <w:trHeight w:val="20"/>
          <w:jc w:val="center"/>
        </w:trPr>
        <w:tc>
          <w:tcPr>
            <w:tcW w:w="0" w:type="auto"/>
            <w:tcBorders>
              <w:top w:val="nil"/>
              <w:left w:val="single" w:sz="8" w:space="0" w:color="auto"/>
              <w:bottom w:val="nil"/>
              <w:right w:val="single" w:sz="8" w:space="0" w:color="auto"/>
            </w:tcBorders>
            <w:shd w:val="clear" w:color="auto" w:fill="auto"/>
            <w:vAlign w:val="center"/>
            <w:hideMark/>
          </w:tcPr>
          <w:p w14:paraId="59F3CB8E"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Darbā nodarītā kaitējuma atlīdzība</w:t>
            </w:r>
          </w:p>
        </w:tc>
        <w:tc>
          <w:tcPr>
            <w:tcW w:w="0" w:type="auto"/>
            <w:tcBorders>
              <w:top w:val="nil"/>
              <w:left w:val="nil"/>
              <w:bottom w:val="single" w:sz="4" w:space="0" w:color="auto"/>
              <w:right w:val="nil"/>
            </w:tcBorders>
            <w:shd w:val="clear" w:color="auto" w:fill="auto"/>
            <w:noWrap/>
            <w:vAlign w:val="bottom"/>
            <w:hideMark/>
          </w:tcPr>
          <w:p w14:paraId="78D4E1B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178,95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E3651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1 020</w:t>
            </w:r>
          </w:p>
        </w:tc>
        <w:tc>
          <w:tcPr>
            <w:tcW w:w="0" w:type="auto"/>
            <w:tcBorders>
              <w:top w:val="nil"/>
              <w:left w:val="nil"/>
              <w:bottom w:val="single" w:sz="4" w:space="0" w:color="auto"/>
              <w:right w:val="single" w:sz="8" w:space="0" w:color="auto"/>
            </w:tcBorders>
            <w:shd w:val="clear" w:color="auto" w:fill="auto"/>
            <w:noWrap/>
            <w:vAlign w:val="bottom"/>
            <w:hideMark/>
          </w:tcPr>
          <w:p w14:paraId="43A943A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2 190 309</w:t>
            </w:r>
          </w:p>
        </w:tc>
        <w:tc>
          <w:tcPr>
            <w:tcW w:w="0" w:type="auto"/>
            <w:tcBorders>
              <w:top w:val="nil"/>
              <w:left w:val="nil"/>
              <w:bottom w:val="single" w:sz="4" w:space="0" w:color="auto"/>
              <w:right w:val="nil"/>
            </w:tcBorders>
            <w:shd w:val="clear" w:color="auto" w:fill="auto"/>
            <w:noWrap/>
            <w:vAlign w:val="bottom"/>
            <w:hideMark/>
          </w:tcPr>
          <w:p w14:paraId="4F95F90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184,19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8019D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1 020</w:t>
            </w:r>
          </w:p>
        </w:tc>
        <w:tc>
          <w:tcPr>
            <w:tcW w:w="0" w:type="auto"/>
            <w:tcBorders>
              <w:top w:val="nil"/>
              <w:left w:val="nil"/>
              <w:bottom w:val="single" w:sz="4" w:space="0" w:color="auto"/>
              <w:right w:val="single" w:sz="8" w:space="0" w:color="auto"/>
            </w:tcBorders>
            <w:shd w:val="clear" w:color="auto" w:fill="auto"/>
            <w:noWrap/>
            <w:vAlign w:val="bottom"/>
            <w:hideMark/>
          </w:tcPr>
          <w:p w14:paraId="186C878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2 254 526</w:t>
            </w:r>
          </w:p>
        </w:tc>
        <w:tc>
          <w:tcPr>
            <w:tcW w:w="0" w:type="auto"/>
            <w:tcBorders>
              <w:top w:val="nil"/>
              <w:left w:val="nil"/>
              <w:bottom w:val="single" w:sz="4" w:space="0" w:color="auto"/>
              <w:right w:val="nil"/>
            </w:tcBorders>
            <w:shd w:val="clear" w:color="auto" w:fill="auto"/>
            <w:noWrap/>
            <w:vAlign w:val="bottom"/>
            <w:hideMark/>
          </w:tcPr>
          <w:p w14:paraId="16981CE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189,43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98F7F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1 020</w:t>
            </w:r>
          </w:p>
        </w:tc>
        <w:tc>
          <w:tcPr>
            <w:tcW w:w="0" w:type="auto"/>
            <w:tcBorders>
              <w:top w:val="nil"/>
              <w:left w:val="nil"/>
              <w:bottom w:val="single" w:sz="4" w:space="0" w:color="auto"/>
              <w:right w:val="single" w:sz="8" w:space="0" w:color="auto"/>
            </w:tcBorders>
            <w:shd w:val="clear" w:color="auto" w:fill="auto"/>
            <w:noWrap/>
            <w:vAlign w:val="bottom"/>
            <w:hideMark/>
          </w:tcPr>
          <w:p w14:paraId="5B6CE3B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2 318 609</w:t>
            </w:r>
          </w:p>
        </w:tc>
      </w:tr>
      <w:tr w:rsidR="002C253E" w:rsidRPr="002C253E" w14:paraId="13C842EB" w14:textId="77777777" w:rsidTr="008415BC">
        <w:trPr>
          <w:trHeight w:val="20"/>
          <w:jc w:val="center"/>
        </w:trPr>
        <w:tc>
          <w:tcPr>
            <w:tcW w:w="0" w:type="auto"/>
            <w:tcBorders>
              <w:top w:val="single" w:sz="4" w:space="0" w:color="auto"/>
              <w:left w:val="single" w:sz="8" w:space="0" w:color="auto"/>
              <w:bottom w:val="nil"/>
              <w:right w:val="single" w:sz="8" w:space="0" w:color="auto"/>
            </w:tcBorders>
            <w:shd w:val="clear" w:color="auto" w:fill="auto"/>
            <w:vAlign w:val="center"/>
            <w:hideMark/>
          </w:tcPr>
          <w:p w14:paraId="5B789D72"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Vecāku pabalsts</w:t>
            </w:r>
          </w:p>
        </w:tc>
        <w:tc>
          <w:tcPr>
            <w:tcW w:w="0" w:type="auto"/>
            <w:tcBorders>
              <w:top w:val="nil"/>
              <w:left w:val="nil"/>
              <w:bottom w:val="single" w:sz="4" w:space="0" w:color="auto"/>
              <w:right w:val="nil"/>
            </w:tcBorders>
            <w:shd w:val="clear" w:color="auto" w:fill="auto"/>
            <w:noWrap/>
            <w:vAlign w:val="bottom"/>
            <w:hideMark/>
          </w:tcPr>
          <w:p w14:paraId="3D3CFD0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772,41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C49F0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16 832</w:t>
            </w:r>
          </w:p>
        </w:tc>
        <w:tc>
          <w:tcPr>
            <w:tcW w:w="0" w:type="auto"/>
            <w:tcBorders>
              <w:top w:val="nil"/>
              <w:left w:val="nil"/>
              <w:bottom w:val="single" w:sz="4" w:space="0" w:color="auto"/>
              <w:right w:val="single" w:sz="8" w:space="0" w:color="auto"/>
            </w:tcBorders>
            <w:shd w:val="clear" w:color="auto" w:fill="auto"/>
            <w:noWrap/>
            <w:vAlign w:val="bottom"/>
            <w:hideMark/>
          </w:tcPr>
          <w:p w14:paraId="7D14EDE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156 014 693</w:t>
            </w:r>
          </w:p>
        </w:tc>
        <w:tc>
          <w:tcPr>
            <w:tcW w:w="0" w:type="auto"/>
            <w:tcBorders>
              <w:top w:val="nil"/>
              <w:left w:val="nil"/>
              <w:bottom w:val="single" w:sz="4" w:space="0" w:color="auto"/>
              <w:right w:val="nil"/>
            </w:tcBorders>
            <w:shd w:val="clear" w:color="auto" w:fill="auto"/>
            <w:noWrap/>
            <w:vAlign w:val="bottom"/>
            <w:hideMark/>
          </w:tcPr>
          <w:p w14:paraId="26F7E9D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792,40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D2FA6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16 832</w:t>
            </w:r>
          </w:p>
        </w:tc>
        <w:tc>
          <w:tcPr>
            <w:tcW w:w="0" w:type="auto"/>
            <w:tcBorders>
              <w:top w:val="nil"/>
              <w:left w:val="nil"/>
              <w:bottom w:val="single" w:sz="4" w:space="0" w:color="auto"/>
              <w:right w:val="single" w:sz="8" w:space="0" w:color="auto"/>
            </w:tcBorders>
            <w:shd w:val="clear" w:color="auto" w:fill="auto"/>
            <w:noWrap/>
            <w:vAlign w:val="bottom"/>
            <w:hideMark/>
          </w:tcPr>
          <w:p w14:paraId="2BDC3F3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160 052 122</w:t>
            </w:r>
          </w:p>
        </w:tc>
        <w:tc>
          <w:tcPr>
            <w:tcW w:w="0" w:type="auto"/>
            <w:tcBorders>
              <w:top w:val="nil"/>
              <w:left w:val="nil"/>
              <w:bottom w:val="single" w:sz="4" w:space="0" w:color="auto"/>
              <w:right w:val="nil"/>
            </w:tcBorders>
            <w:shd w:val="clear" w:color="auto" w:fill="auto"/>
            <w:noWrap/>
            <w:vAlign w:val="bottom"/>
            <w:hideMark/>
          </w:tcPr>
          <w:p w14:paraId="3B71207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839,94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F7D4D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16 832</w:t>
            </w:r>
          </w:p>
        </w:tc>
        <w:tc>
          <w:tcPr>
            <w:tcW w:w="0" w:type="auto"/>
            <w:tcBorders>
              <w:top w:val="nil"/>
              <w:left w:val="nil"/>
              <w:bottom w:val="single" w:sz="4" w:space="0" w:color="auto"/>
              <w:right w:val="single" w:sz="8" w:space="0" w:color="auto"/>
            </w:tcBorders>
            <w:shd w:val="clear" w:color="auto" w:fill="auto"/>
            <w:noWrap/>
            <w:vAlign w:val="bottom"/>
            <w:hideMark/>
          </w:tcPr>
          <w:p w14:paraId="27AC305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169 654 441</w:t>
            </w:r>
          </w:p>
        </w:tc>
      </w:tr>
      <w:tr w:rsidR="002C253E" w:rsidRPr="002C253E" w14:paraId="00AA6AD2" w14:textId="77777777" w:rsidTr="008415BC">
        <w:trPr>
          <w:trHeight w:val="20"/>
          <w:jc w:val="center"/>
        </w:trPr>
        <w:tc>
          <w:tcPr>
            <w:tcW w:w="0" w:type="auto"/>
            <w:tcBorders>
              <w:top w:val="single" w:sz="4" w:space="0" w:color="auto"/>
              <w:left w:val="single" w:sz="8" w:space="0" w:color="auto"/>
              <w:bottom w:val="nil"/>
              <w:right w:val="single" w:sz="8" w:space="0" w:color="auto"/>
            </w:tcBorders>
            <w:shd w:val="clear" w:color="auto" w:fill="auto"/>
            <w:vAlign w:val="center"/>
            <w:hideMark/>
          </w:tcPr>
          <w:p w14:paraId="04BBF0C4" w14:textId="77777777" w:rsidR="002C253E" w:rsidRPr="002C253E" w:rsidRDefault="002C253E" w:rsidP="008349F0">
            <w:pPr>
              <w:spacing w:after="0"/>
              <w:ind w:firstLineChars="200" w:firstLine="360"/>
              <w:jc w:val="left"/>
              <w:rPr>
                <w:rFonts w:eastAsia="Times New Roman" w:cs="Times New Roman"/>
                <w:sz w:val="18"/>
                <w:szCs w:val="18"/>
              </w:rPr>
            </w:pPr>
            <w:r w:rsidRPr="002C253E">
              <w:rPr>
                <w:rFonts w:eastAsia="Times New Roman" w:cs="Times New Roman"/>
                <w:sz w:val="18"/>
                <w:szCs w:val="18"/>
              </w:rPr>
              <w:t>Pabalsts pensijas saņēmēja nāves gadījumā pārdzīvojušam laulātajam</w:t>
            </w:r>
          </w:p>
        </w:tc>
        <w:tc>
          <w:tcPr>
            <w:tcW w:w="0" w:type="auto"/>
            <w:tcBorders>
              <w:top w:val="nil"/>
              <w:left w:val="nil"/>
              <w:bottom w:val="single" w:sz="4" w:space="0" w:color="auto"/>
              <w:right w:val="nil"/>
            </w:tcBorders>
            <w:shd w:val="clear" w:color="auto" w:fill="auto"/>
            <w:noWrap/>
            <w:vAlign w:val="bottom"/>
            <w:hideMark/>
          </w:tcPr>
          <w:p w14:paraId="391035F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198,66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F234D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250</w:t>
            </w:r>
          </w:p>
        </w:tc>
        <w:tc>
          <w:tcPr>
            <w:tcW w:w="0" w:type="auto"/>
            <w:tcBorders>
              <w:top w:val="nil"/>
              <w:left w:val="nil"/>
              <w:bottom w:val="single" w:sz="4" w:space="0" w:color="auto"/>
              <w:right w:val="single" w:sz="8" w:space="0" w:color="auto"/>
            </w:tcBorders>
            <w:shd w:val="clear" w:color="auto" w:fill="auto"/>
            <w:noWrap/>
            <w:vAlign w:val="bottom"/>
            <w:hideMark/>
          </w:tcPr>
          <w:p w14:paraId="0FE30C1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595 980</w:t>
            </w:r>
          </w:p>
        </w:tc>
        <w:tc>
          <w:tcPr>
            <w:tcW w:w="0" w:type="auto"/>
            <w:tcBorders>
              <w:top w:val="nil"/>
              <w:left w:val="nil"/>
              <w:bottom w:val="single" w:sz="4" w:space="0" w:color="auto"/>
              <w:right w:val="nil"/>
            </w:tcBorders>
            <w:shd w:val="clear" w:color="auto" w:fill="auto"/>
            <w:noWrap/>
            <w:vAlign w:val="bottom"/>
            <w:hideMark/>
          </w:tcPr>
          <w:p w14:paraId="1453368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214,00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5FBC06"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250</w:t>
            </w:r>
          </w:p>
        </w:tc>
        <w:tc>
          <w:tcPr>
            <w:tcW w:w="0" w:type="auto"/>
            <w:tcBorders>
              <w:top w:val="nil"/>
              <w:left w:val="nil"/>
              <w:bottom w:val="single" w:sz="4" w:space="0" w:color="auto"/>
              <w:right w:val="single" w:sz="8" w:space="0" w:color="auto"/>
            </w:tcBorders>
            <w:shd w:val="clear" w:color="auto" w:fill="auto"/>
            <w:noWrap/>
            <w:vAlign w:val="bottom"/>
            <w:hideMark/>
          </w:tcPr>
          <w:p w14:paraId="0EBD0A0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642 000</w:t>
            </w:r>
          </w:p>
        </w:tc>
        <w:tc>
          <w:tcPr>
            <w:tcW w:w="0" w:type="auto"/>
            <w:tcBorders>
              <w:top w:val="nil"/>
              <w:left w:val="nil"/>
              <w:bottom w:val="single" w:sz="4" w:space="0" w:color="auto"/>
              <w:right w:val="nil"/>
            </w:tcBorders>
            <w:shd w:val="clear" w:color="auto" w:fill="auto"/>
            <w:noWrap/>
            <w:vAlign w:val="bottom"/>
            <w:hideMark/>
          </w:tcPr>
          <w:p w14:paraId="053550F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229,53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7082C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250</w:t>
            </w:r>
          </w:p>
        </w:tc>
        <w:tc>
          <w:tcPr>
            <w:tcW w:w="0" w:type="auto"/>
            <w:tcBorders>
              <w:top w:val="nil"/>
              <w:left w:val="nil"/>
              <w:bottom w:val="single" w:sz="4" w:space="0" w:color="auto"/>
              <w:right w:val="single" w:sz="8" w:space="0" w:color="auto"/>
            </w:tcBorders>
            <w:shd w:val="clear" w:color="auto" w:fill="auto"/>
            <w:noWrap/>
            <w:vAlign w:val="bottom"/>
            <w:hideMark/>
          </w:tcPr>
          <w:p w14:paraId="1C54EA3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688 590</w:t>
            </w:r>
          </w:p>
        </w:tc>
      </w:tr>
      <w:tr w:rsidR="002C253E" w:rsidRPr="002C253E" w14:paraId="2647F206" w14:textId="77777777" w:rsidTr="008415BC">
        <w:trPr>
          <w:trHeight w:val="20"/>
          <w:jc w:val="center"/>
        </w:trPr>
        <w:tc>
          <w:tcPr>
            <w:tcW w:w="0" w:type="auto"/>
            <w:tcBorders>
              <w:top w:val="single" w:sz="4" w:space="0" w:color="auto"/>
              <w:left w:val="single" w:sz="8" w:space="0" w:color="auto"/>
              <w:bottom w:val="single" w:sz="4" w:space="0" w:color="auto"/>
              <w:right w:val="single" w:sz="8" w:space="0" w:color="auto"/>
            </w:tcBorders>
            <w:shd w:val="clear" w:color="auto" w:fill="auto"/>
            <w:hideMark/>
          </w:tcPr>
          <w:p w14:paraId="24D0B329" w14:textId="77777777"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Valsts budžeta maksājumi - kopā</w:t>
            </w:r>
          </w:p>
        </w:tc>
        <w:tc>
          <w:tcPr>
            <w:tcW w:w="0" w:type="auto"/>
            <w:tcBorders>
              <w:top w:val="nil"/>
              <w:left w:val="nil"/>
              <w:bottom w:val="nil"/>
              <w:right w:val="nil"/>
            </w:tcBorders>
            <w:shd w:val="clear" w:color="auto" w:fill="auto"/>
            <w:noWrap/>
            <w:vAlign w:val="bottom"/>
            <w:hideMark/>
          </w:tcPr>
          <w:p w14:paraId="7576009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4B008365"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nil"/>
              <w:right w:val="single" w:sz="8" w:space="0" w:color="auto"/>
            </w:tcBorders>
            <w:shd w:val="clear" w:color="auto" w:fill="auto"/>
            <w:noWrap/>
            <w:vAlign w:val="bottom"/>
            <w:hideMark/>
          </w:tcPr>
          <w:p w14:paraId="6DBD8B4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220 420</w:t>
            </w:r>
          </w:p>
        </w:tc>
        <w:tc>
          <w:tcPr>
            <w:tcW w:w="0" w:type="auto"/>
            <w:tcBorders>
              <w:top w:val="nil"/>
              <w:left w:val="nil"/>
              <w:bottom w:val="nil"/>
              <w:right w:val="nil"/>
            </w:tcBorders>
            <w:shd w:val="clear" w:color="auto" w:fill="auto"/>
            <w:noWrap/>
            <w:vAlign w:val="bottom"/>
            <w:hideMark/>
          </w:tcPr>
          <w:p w14:paraId="1B95684E"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4DCF4AAE"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nil"/>
              <w:right w:val="single" w:sz="8" w:space="0" w:color="auto"/>
            </w:tcBorders>
            <w:shd w:val="clear" w:color="auto" w:fill="auto"/>
            <w:noWrap/>
            <w:vAlign w:val="bottom"/>
            <w:hideMark/>
          </w:tcPr>
          <w:p w14:paraId="2470E6F4"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217 959</w:t>
            </w:r>
          </w:p>
        </w:tc>
        <w:tc>
          <w:tcPr>
            <w:tcW w:w="0" w:type="auto"/>
            <w:tcBorders>
              <w:top w:val="nil"/>
              <w:left w:val="nil"/>
              <w:bottom w:val="nil"/>
              <w:right w:val="nil"/>
            </w:tcBorders>
            <w:shd w:val="clear" w:color="auto" w:fill="auto"/>
            <w:noWrap/>
            <w:vAlign w:val="bottom"/>
            <w:hideMark/>
          </w:tcPr>
          <w:p w14:paraId="1A58EE24"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single" w:sz="4" w:space="0" w:color="auto"/>
              <w:bottom w:val="nil"/>
              <w:right w:val="single" w:sz="4" w:space="0" w:color="auto"/>
            </w:tcBorders>
            <w:shd w:val="clear" w:color="auto" w:fill="auto"/>
            <w:noWrap/>
            <w:vAlign w:val="bottom"/>
            <w:hideMark/>
          </w:tcPr>
          <w:p w14:paraId="60B4AA33"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sz w:val="18"/>
                <w:szCs w:val="18"/>
              </w:rPr>
              <w:t>x</w:t>
            </w:r>
          </w:p>
        </w:tc>
        <w:tc>
          <w:tcPr>
            <w:tcW w:w="0" w:type="auto"/>
            <w:tcBorders>
              <w:top w:val="nil"/>
              <w:left w:val="nil"/>
              <w:bottom w:val="nil"/>
              <w:right w:val="single" w:sz="8" w:space="0" w:color="auto"/>
            </w:tcBorders>
            <w:shd w:val="clear" w:color="auto" w:fill="auto"/>
            <w:noWrap/>
            <w:vAlign w:val="bottom"/>
            <w:hideMark/>
          </w:tcPr>
          <w:p w14:paraId="0DF25F8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218 173</w:t>
            </w:r>
          </w:p>
        </w:tc>
      </w:tr>
      <w:tr w:rsidR="002C253E" w:rsidRPr="002C253E" w14:paraId="21A0DA5C" w14:textId="77777777" w:rsidTr="008415BC">
        <w:trPr>
          <w:trHeight w:val="20"/>
          <w:jc w:val="center"/>
        </w:trPr>
        <w:tc>
          <w:tcPr>
            <w:tcW w:w="0" w:type="auto"/>
            <w:tcBorders>
              <w:top w:val="nil"/>
              <w:left w:val="single" w:sz="8" w:space="0" w:color="auto"/>
              <w:bottom w:val="single" w:sz="4" w:space="0" w:color="auto"/>
              <w:right w:val="single" w:sz="8" w:space="0" w:color="auto"/>
            </w:tcBorders>
            <w:shd w:val="clear" w:color="auto" w:fill="auto"/>
            <w:noWrap/>
            <w:vAlign w:val="bottom"/>
            <w:hideMark/>
          </w:tcPr>
          <w:p w14:paraId="1EA24031" w14:textId="77777777" w:rsidR="00CF5290" w:rsidRDefault="00CF5290" w:rsidP="008349F0">
            <w:pPr>
              <w:spacing w:after="0"/>
              <w:ind w:firstLineChars="100" w:firstLine="180"/>
              <w:jc w:val="left"/>
              <w:rPr>
                <w:rFonts w:eastAsia="Times New Roman" w:cs="Times New Roman"/>
                <w:i/>
                <w:iCs/>
                <w:sz w:val="18"/>
                <w:szCs w:val="18"/>
              </w:rPr>
            </w:pPr>
          </w:p>
          <w:p w14:paraId="0215CF6D" w14:textId="77777777" w:rsidR="00CF5290" w:rsidRDefault="00CF5290" w:rsidP="008349F0">
            <w:pPr>
              <w:spacing w:after="0"/>
              <w:ind w:firstLineChars="100" w:firstLine="180"/>
              <w:jc w:val="left"/>
              <w:rPr>
                <w:rFonts w:eastAsia="Times New Roman" w:cs="Times New Roman"/>
                <w:i/>
                <w:iCs/>
                <w:sz w:val="18"/>
                <w:szCs w:val="18"/>
              </w:rPr>
            </w:pPr>
          </w:p>
          <w:p w14:paraId="311C8F32" w14:textId="51854E33" w:rsidR="002C253E" w:rsidRPr="002C253E" w:rsidRDefault="002C253E" w:rsidP="008349F0">
            <w:pPr>
              <w:spacing w:after="0"/>
              <w:ind w:firstLineChars="100" w:firstLine="180"/>
              <w:jc w:val="left"/>
              <w:rPr>
                <w:rFonts w:eastAsia="Times New Roman" w:cs="Times New Roman"/>
                <w:i/>
                <w:iCs/>
                <w:sz w:val="18"/>
                <w:szCs w:val="18"/>
              </w:rPr>
            </w:pPr>
            <w:r w:rsidRPr="002C253E">
              <w:rPr>
                <w:rFonts w:eastAsia="Times New Roman" w:cs="Times New Roman"/>
                <w:i/>
                <w:iCs/>
                <w:sz w:val="18"/>
                <w:szCs w:val="18"/>
              </w:rPr>
              <w:lastRenderedPageBreak/>
              <w:t>tajā skaitā:</w:t>
            </w:r>
          </w:p>
        </w:tc>
        <w:tc>
          <w:tcPr>
            <w:tcW w:w="0" w:type="auto"/>
            <w:tcBorders>
              <w:top w:val="single" w:sz="4" w:space="0" w:color="auto"/>
              <w:left w:val="nil"/>
              <w:bottom w:val="nil"/>
              <w:right w:val="nil"/>
            </w:tcBorders>
            <w:shd w:val="clear" w:color="auto" w:fill="auto"/>
            <w:noWrap/>
            <w:vAlign w:val="bottom"/>
            <w:hideMark/>
          </w:tcPr>
          <w:p w14:paraId="2FAE41C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lastRenderedPageBreak/>
              <w:t> </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B1EA6F1"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nil"/>
              <w:right w:val="single" w:sz="8" w:space="0" w:color="auto"/>
            </w:tcBorders>
            <w:shd w:val="clear" w:color="auto" w:fill="auto"/>
            <w:noWrap/>
            <w:vAlign w:val="bottom"/>
            <w:hideMark/>
          </w:tcPr>
          <w:p w14:paraId="71F74D1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nil"/>
              <w:right w:val="nil"/>
            </w:tcBorders>
            <w:shd w:val="clear" w:color="auto" w:fill="auto"/>
            <w:noWrap/>
            <w:vAlign w:val="bottom"/>
            <w:hideMark/>
          </w:tcPr>
          <w:p w14:paraId="3755F1A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257733"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nil"/>
              <w:right w:val="single" w:sz="8" w:space="0" w:color="auto"/>
            </w:tcBorders>
            <w:shd w:val="clear" w:color="auto" w:fill="auto"/>
            <w:noWrap/>
            <w:vAlign w:val="bottom"/>
            <w:hideMark/>
          </w:tcPr>
          <w:p w14:paraId="735ADB4E"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nil"/>
              <w:right w:val="nil"/>
            </w:tcBorders>
            <w:shd w:val="clear" w:color="auto" w:fill="auto"/>
            <w:noWrap/>
            <w:vAlign w:val="bottom"/>
            <w:hideMark/>
          </w:tcPr>
          <w:p w14:paraId="7F9C423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A5DE3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nil"/>
              <w:right w:val="single" w:sz="8" w:space="0" w:color="auto"/>
            </w:tcBorders>
            <w:shd w:val="clear" w:color="auto" w:fill="auto"/>
            <w:noWrap/>
            <w:vAlign w:val="bottom"/>
            <w:hideMark/>
          </w:tcPr>
          <w:p w14:paraId="7E4B163B"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r>
      <w:tr w:rsidR="002C253E" w:rsidRPr="002C253E" w14:paraId="647E11E8" w14:textId="77777777" w:rsidTr="008415BC">
        <w:trPr>
          <w:trHeight w:val="20"/>
          <w:jc w:val="center"/>
        </w:trPr>
        <w:tc>
          <w:tcPr>
            <w:tcW w:w="0" w:type="auto"/>
            <w:tcBorders>
              <w:top w:val="nil"/>
              <w:left w:val="single" w:sz="8" w:space="0" w:color="auto"/>
              <w:bottom w:val="nil"/>
              <w:right w:val="single" w:sz="8" w:space="0" w:color="auto"/>
            </w:tcBorders>
            <w:shd w:val="clear" w:color="auto" w:fill="auto"/>
            <w:noWrap/>
            <w:vAlign w:val="bottom"/>
            <w:hideMark/>
          </w:tcPr>
          <w:p w14:paraId="32E5B7E4" w14:textId="4722EF02" w:rsidR="002C253E" w:rsidRPr="002C253E" w:rsidRDefault="00CF5290" w:rsidP="00CF5290">
            <w:pPr>
              <w:spacing w:after="0"/>
              <w:ind w:firstLine="0"/>
              <w:jc w:val="left"/>
              <w:rPr>
                <w:rFonts w:eastAsia="Times New Roman" w:cs="Times New Roman"/>
                <w:sz w:val="18"/>
                <w:szCs w:val="18"/>
              </w:rPr>
            </w:pPr>
            <w:r>
              <w:rPr>
                <w:rFonts w:eastAsia="Times New Roman" w:cs="Times New Roman"/>
                <w:sz w:val="18"/>
                <w:szCs w:val="18"/>
              </w:rPr>
              <w:t xml:space="preserve">       </w:t>
            </w:r>
            <w:r w:rsidR="002C253E" w:rsidRPr="002C253E">
              <w:rPr>
                <w:rFonts w:eastAsia="Times New Roman" w:cs="Times New Roman"/>
                <w:sz w:val="18"/>
                <w:szCs w:val="18"/>
              </w:rPr>
              <w:t>Pārmaksāto sociālās apdrošināšanas iemaksu atmaksa</w:t>
            </w:r>
          </w:p>
        </w:tc>
        <w:tc>
          <w:tcPr>
            <w:tcW w:w="0" w:type="auto"/>
            <w:tcBorders>
              <w:top w:val="single" w:sz="4" w:space="0" w:color="auto"/>
              <w:left w:val="nil"/>
              <w:bottom w:val="nil"/>
              <w:right w:val="nil"/>
            </w:tcBorders>
            <w:shd w:val="clear" w:color="auto" w:fill="auto"/>
            <w:noWrap/>
            <w:vAlign w:val="bottom"/>
            <w:hideMark/>
          </w:tcPr>
          <w:p w14:paraId="31CC6FB5"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AE65058"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nil"/>
              <w:right w:val="single" w:sz="8" w:space="0" w:color="auto"/>
            </w:tcBorders>
            <w:shd w:val="clear" w:color="auto" w:fill="auto"/>
            <w:noWrap/>
            <w:vAlign w:val="bottom"/>
            <w:hideMark/>
          </w:tcPr>
          <w:p w14:paraId="40A4EE6D" w14:textId="0D8D079B" w:rsidR="002C253E" w:rsidRPr="002C253E" w:rsidRDefault="002C253E" w:rsidP="00CF5290">
            <w:pPr>
              <w:spacing w:after="0"/>
              <w:ind w:firstLine="0"/>
              <w:jc w:val="right"/>
              <w:rPr>
                <w:rFonts w:eastAsia="Times New Roman" w:cs="Times New Roman"/>
                <w:sz w:val="18"/>
                <w:szCs w:val="18"/>
              </w:rPr>
            </w:pPr>
            <w:r w:rsidRPr="002C253E">
              <w:rPr>
                <w:rFonts w:eastAsia="Times New Roman" w:cs="Times New Roman"/>
                <w:sz w:val="18"/>
                <w:szCs w:val="18"/>
              </w:rPr>
              <w:t>206 000</w:t>
            </w:r>
          </w:p>
        </w:tc>
        <w:tc>
          <w:tcPr>
            <w:tcW w:w="0" w:type="auto"/>
            <w:tcBorders>
              <w:top w:val="single" w:sz="4" w:space="0" w:color="auto"/>
              <w:left w:val="nil"/>
              <w:bottom w:val="nil"/>
              <w:right w:val="nil"/>
            </w:tcBorders>
            <w:shd w:val="clear" w:color="auto" w:fill="auto"/>
            <w:noWrap/>
            <w:vAlign w:val="bottom"/>
            <w:hideMark/>
          </w:tcPr>
          <w:p w14:paraId="125B96C1" w14:textId="77777777" w:rsidR="002C253E" w:rsidRPr="002C253E" w:rsidRDefault="002C253E" w:rsidP="00CF529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EB324B5" w14:textId="77777777" w:rsidR="002C253E" w:rsidRPr="002C253E" w:rsidRDefault="002C253E" w:rsidP="00CF529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nil"/>
              <w:right w:val="single" w:sz="8" w:space="0" w:color="auto"/>
            </w:tcBorders>
            <w:shd w:val="clear" w:color="auto" w:fill="auto"/>
            <w:noWrap/>
            <w:vAlign w:val="bottom"/>
            <w:hideMark/>
          </w:tcPr>
          <w:p w14:paraId="19940F3E" w14:textId="40CD1F72" w:rsidR="002C253E" w:rsidRPr="002C253E" w:rsidRDefault="002C253E" w:rsidP="00CF5290">
            <w:pPr>
              <w:spacing w:after="0"/>
              <w:ind w:firstLine="0"/>
              <w:jc w:val="right"/>
              <w:rPr>
                <w:rFonts w:eastAsia="Times New Roman" w:cs="Times New Roman"/>
                <w:sz w:val="18"/>
                <w:szCs w:val="18"/>
              </w:rPr>
            </w:pPr>
            <w:r w:rsidRPr="002C253E">
              <w:rPr>
                <w:rFonts w:eastAsia="Times New Roman" w:cs="Times New Roman"/>
                <w:sz w:val="18"/>
                <w:szCs w:val="18"/>
              </w:rPr>
              <w:t>203 700</w:t>
            </w:r>
          </w:p>
        </w:tc>
        <w:tc>
          <w:tcPr>
            <w:tcW w:w="0" w:type="auto"/>
            <w:tcBorders>
              <w:top w:val="single" w:sz="4" w:space="0" w:color="auto"/>
              <w:left w:val="nil"/>
              <w:bottom w:val="nil"/>
              <w:right w:val="nil"/>
            </w:tcBorders>
            <w:shd w:val="clear" w:color="auto" w:fill="auto"/>
            <w:noWrap/>
            <w:vAlign w:val="bottom"/>
            <w:hideMark/>
          </w:tcPr>
          <w:p w14:paraId="60198F0B" w14:textId="77777777" w:rsidR="002C253E" w:rsidRPr="002C253E" w:rsidRDefault="002C253E" w:rsidP="00CF529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F918AD0" w14:textId="77777777" w:rsidR="002C253E" w:rsidRPr="002C253E" w:rsidRDefault="002C253E" w:rsidP="00CF529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nil"/>
              <w:right w:val="single" w:sz="8" w:space="0" w:color="auto"/>
            </w:tcBorders>
            <w:shd w:val="clear" w:color="auto" w:fill="auto"/>
            <w:noWrap/>
            <w:vAlign w:val="bottom"/>
            <w:hideMark/>
          </w:tcPr>
          <w:p w14:paraId="1D872408" w14:textId="5974ACDE" w:rsidR="002C253E" w:rsidRPr="002C253E" w:rsidRDefault="002C253E" w:rsidP="00CF5290">
            <w:pPr>
              <w:spacing w:after="0"/>
              <w:ind w:firstLine="0"/>
              <w:jc w:val="right"/>
              <w:rPr>
                <w:rFonts w:eastAsia="Times New Roman" w:cs="Times New Roman"/>
                <w:sz w:val="18"/>
                <w:szCs w:val="18"/>
              </w:rPr>
            </w:pPr>
            <w:r w:rsidRPr="002C253E">
              <w:rPr>
                <w:rFonts w:eastAsia="Times New Roman" w:cs="Times New Roman"/>
                <w:sz w:val="18"/>
                <w:szCs w:val="18"/>
              </w:rPr>
              <w:t>203 900</w:t>
            </w:r>
          </w:p>
        </w:tc>
      </w:tr>
      <w:tr w:rsidR="002C253E" w:rsidRPr="002C253E" w14:paraId="00667170" w14:textId="77777777" w:rsidTr="008415BC">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5381EAAA" w14:textId="6C961A4B" w:rsidR="002C253E" w:rsidRPr="002C253E" w:rsidRDefault="002C253E" w:rsidP="008349F0">
            <w:pPr>
              <w:spacing w:after="0"/>
              <w:ind w:firstLine="0"/>
              <w:jc w:val="left"/>
              <w:rPr>
                <w:rFonts w:eastAsia="Times New Roman" w:cs="Times New Roman"/>
                <w:sz w:val="18"/>
                <w:szCs w:val="18"/>
              </w:rPr>
            </w:pPr>
            <w:r w:rsidRPr="002C253E">
              <w:rPr>
                <w:rFonts w:eastAsia="Times New Roman" w:cs="Times New Roman"/>
                <w:sz w:val="18"/>
                <w:szCs w:val="18"/>
              </w:rPr>
              <w:t xml:space="preserve">       </w:t>
            </w:r>
            <w:r w:rsidR="00422E4A">
              <w:rPr>
                <w:rFonts w:eastAsia="Times New Roman" w:cs="Times New Roman"/>
                <w:sz w:val="18"/>
                <w:szCs w:val="18"/>
              </w:rPr>
              <w:t>ES</w:t>
            </w:r>
            <w:r w:rsidRPr="002C253E">
              <w:rPr>
                <w:rFonts w:eastAsia="Times New Roman" w:cs="Times New Roman"/>
                <w:sz w:val="18"/>
                <w:szCs w:val="18"/>
              </w:rPr>
              <w:t xml:space="preserve"> pensiju shēmai pārskaitītais pensijas kapitāls</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A145F7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AA00F2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735092"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14 420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7E6CA5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BEDCC50"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CC40F4C"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14 259</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8BC8BA"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5A0539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B4E29D"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sz w:val="18"/>
                <w:szCs w:val="18"/>
              </w:rPr>
              <w:t>14 273</w:t>
            </w:r>
          </w:p>
        </w:tc>
      </w:tr>
      <w:tr w:rsidR="002C253E" w:rsidRPr="002C253E" w14:paraId="1A76EEBC" w14:textId="77777777" w:rsidTr="008415BC">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51A8557"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b/>
                <w:bCs/>
                <w:sz w:val="18"/>
                <w:szCs w:val="18"/>
              </w:rPr>
              <w:t>KOPĀ</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57A4888"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b/>
                <w:bCs/>
                <w:sz w:val="18"/>
                <w:szCs w:val="18"/>
              </w:rPr>
              <w:t>x</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F3D36E4"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b/>
                <w:bCs/>
                <w:sz w:val="18"/>
                <w:szCs w:val="18"/>
              </w:rPr>
              <w:t>x</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6F861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b/>
                <w:bCs/>
                <w:sz w:val="18"/>
                <w:szCs w:val="18"/>
              </w:rPr>
              <w:t>4 705 758 253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3791D10"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b/>
                <w:bCs/>
                <w:sz w:val="18"/>
                <w:szCs w:val="18"/>
              </w:rPr>
              <w:t>x</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85CEBCB"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b/>
                <w:bCs/>
                <w:sz w:val="18"/>
                <w:szCs w:val="18"/>
              </w:rPr>
              <w:t>x</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FCEA3AF"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b/>
                <w:bCs/>
                <w:sz w:val="18"/>
                <w:szCs w:val="18"/>
              </w:rPr>
              <w:t>5 116 982 525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56A61B8"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b/>
                <w:bCs/>
                <w:sz w:val="18"/>
                <w:szCs w:val="18"/>
              </w:rPr>
              <w:t>x</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D338DF6" w14:textId="77777777" w:rsidR="002C253E" w:rsidRPr="002C253E" w:rsidRDefault="002C253E" w:rsidP="008349F0">
            <w:pPr>
              <w:spacing w:after="0"/>
              <w:ind w:firstLine="0"/>
              <w:jc w:val="center"/>
              <w:rPr>
                <w:rFonts w:eastAsia="Times New Roman" w:cs="Times New Roman"/>
                <w:sz w:val="18"/>
                <w:szCs w:val="18"/>
              </w:rPr>
            </w:pPr>
            <w:r w:rsidRPr="002C253E">
              <w:rPr>
                <w:rFonts w:eastAsia="Times New Roman" w:cs="Times New Roman"/>
                <w:b/>
                <w:bCs/>
                <w:sz w:val="18"/>
                <w:szCs w:val="18"/>
              </w:rPr>
              <w:t>x</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DD9E019" w14:textId="77777777" w:rsidR="002C253E" w:rsidRPr="002C253E" w:rsidRDefault="002C253E" w:rsidP="008349F0">
            <w:pPr>
              <w:spacing w:after="0"/>
              <w:ind w:firstLine="0"/>
              <w:jc w:val="right"/>
              <w:rPr>
                <w:rFonts w:eastAsia="Times New Roman" w:cs="Times New Roman"/>
                <w:sz w:val="18"/>
                <w:szCs w:val="18"/>
              </w:rPr>
            </w:pPr>
            <w:r w:rsidRPr="002C253E">
              <w:rPr>
                <w:rFonts w:eastAsia="Times New Roman" w:cs="Times New Roman"/>
                <w:b/>
                <w:bCs/>
                <w:sz w:val="18"/>
                <w:szCs w:val="18"/>
              </w:rPr>
              <w:t>5 461 313 618</w:t>
            </w:r>
          </w:p>
        </w:tc>
      </w:tr>
    </w:tbl>
    <w:p w14:paraId="5FB158FE" w14:textId="77777777" w:rsidR="002C253E" w:rsidRPr="002C253E" w:rsidRDefault="002C253E" w:rsidP="008349F0">
      <w:pPr>
        <w:widowControl w:val="0"/>
        <w:spacing w:before="120"/>
        <w:ind w:firstLine="0"/>
        <w:rPr>
          <w:rFonts w:eastAsia="Calibri" w:cs="Times New Roman"/>
          <w:i/>
          <w:sz w:val="20"/>
          <w:highlight w:val="lightGray"/>
        </w:rPr>
      </w:pPr>
      <w:r w:rsidRPr="002C253E">
        <w:rPr>
          <w:rFonts w:eastAsia="Calibri" w:cs="Times New Roman"/>
          <w:i/>
          <w:sz w:val="20"/>
        </w:rPr>
        <w:t>Datu avots: FM</w:t>
      </w:r>
    </w:p>
    <w:p w14:paraId="3496CBDB" w14:textId="022ECAC3" w:rsidR="00407269" w:rsidRPr="00FD1578" w:rsidRDefault="00407269" w:rsidP="008349F0">
      <w:pPr>
        <w:widowControl w:val="0"/>
        <w:ind w:firstLine="0"/>
        <w:jc w:val="right"/>
        <w:rPr>
          <w:rFonts w:eastAsia="Calibri" w:cs="Times New Roman"/>
          <w:i/>
          <w:sz w:val="20"/>
          <w:highlight w:val="lightGray"/>
        </w:rPr>
      </w:pPr>
    </w:p>
    <w:sectPr w:rsidR="00407269" w:rsidRPr="00FD1578" w:rsidSect="003347CE">
      <w:pgSz w:w="16838" w:h="11906" w:orient="landscape" w:code="9"/>
      <w:pgMar w:top="1418"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6045F6" w14:textId="77777777" w:rsidR="0009452B" w:rsidRDefault="0009452B" w:rsidP="00383CEF">
      <w:r>
        <w:separator/>
      </w:r>
    </w:p>
  </w:endnote>
  <w:endnote w:type="continuationSeparator" w:id="0">
    <w:p w14:paraId="72799A92" w14:textId="77777777" w:rsidR="0009452B" w:rsidRDefault="0009452B" w:rsidP="00383C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Garamond">
    <w:panose1 w:val="02020404030301010803"/>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EB323A" w14:textId="41286091" w:rsidR="009B278A" w:rsidRPr="009B278A" w:rsidRDefault="009B278A" w:rsidP="009B278A">
    <w:pPr>
      <w:pStyle w:val="Footer"/>
      <w:ind w:firstLine="0"/>
      <w:rPr>
        <w:sz w:val="22"/>
        <w:szCs w:val="20"/>
      </w:rPr>
    </w:pPr>
    <w:r w:rsidRPr="009B278A">
      <w:rPr>
        <w:sz w:val="22"/>
        <w:szCs w:val="20"/>
      </w:rPr>
      <w:t>FMPask_1-4_141024_proj2025.docx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2D4CD6" w14:textId="593D8459" w:rsidR="009B278A" w:rsidRPr="009B278A" w:rsidRDefault="009B278A" w:rsidP="009B278A">
    <w:pPr>
      <w:pStyle w:val="Footer"/>
      <w:ind w:firstLine="0"/>
      <w:rPr>
        <w:sz w:val="22"/>
        <w:szCs w:val="20"/>
      </w:rPr>
    </w:pPr>
    <w:r w:rsidRPr="009B278A">
      <w:rPr>
        <w:sz w:val="22"/>
        <w:szCs w:val="20"/>
      </w:rPr>
      <w:t>FMPask_1-4_141024_proj2025.docx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6FF0F9" w14:textId="77777777" w:rsidR="0009452B" w:rsidRDefault="0009452B" w:rsidP="00383CEF">
      <w:r>
        <w:separator/>
      </w:r>
    </w:p>
  </w:footnote>
  <w:footnote w:type="continuationSeparator" w:id="0">
    <w:p w14:paraId="3B1F8D1A" w14:textId="77777777" w:rsidR="0009452B" w:rsidRDefault="0009452B" w:rsidP="00383CEF">
      <w:r>
        <w:continuationSeparator/>
      </w:r>
    </w:p>
  </w:footnote>
  <w:footnote w:id="1">
    <w:p w14:paraId="3E9B5D63" w14:textId="77777777" w:rsidR="0070161D" w:rsidRPr="00BA7FA7" w:rsidRDefault="0070161D" w:rsidP="0070161D">
      <w:pPr>
        <w:pStyle w:val="FootnoteText"/>
        <w:tabs>
          <w:tab w:val="left" w:pos="7185"/>
        </w:tabs>
        <w:ind w:firstLine="0"/>
        <w:rPr>
          <w:rFonts w:cs="Times New Roman"/>
        </w:rPr>
      </w:pPr>
      <w:r w:rsidRPr="000110A6">
        <w:rPr>
          <w:rStyle w:val="FootnoteReference"/>
          <w:rFonts w:cs="Times New Roman"/>
        </w:rPr>
        <w:footnoteRef/>
      </w:r>
      <w:r w:rsidRPr="000110A6">
        <w:rPr>
          <w:rFonts w:cs="Times New Roman"/>
        </w:rPr>
        <w:t xml:space="preserve"> </w:t>
      </w:r>
      <w:r w:rsidRPr="00075ABF">
        <w:rPr>
          <w:rFonts w:cs="Times New Roman"/>
        </w:rPr>
        <w:t>Datu avoti: Ja nav norādīts citādi – Centrālā</w:t>
      </w:r>
      <w:r>
        <w:rPr>
          <w:rFonts w:cs="Times New Roman"/>
        </w:rPr>
        <w:t xml:space="preserve"> </w:t>
      </w:r>
      <w:r w:rsidRPr="00075ABF">
        <w:rPr>
          <w:rFonts w:cs="Times New Roman"/>
        </w:rPr>
        <w:t>statistiskas pārvalde</w:t>
      </w:r>
      <w:r>
        <w:rPr>
          <w:rFonts w:cs="Times New Roman"/>
        </w:rPr>
        <w:t xml:space="preserve"> (CSP)</w:t>
      </w:r>
      <w:r w:rsidRPr="00075ABF">
        <w:rPr>
          <w:rFonts w:cs="Times New Roman"/>
        </w:rPr>
        <w:t xml:space="preserve"> un Finanšu ministrijas</w:t>
      </w:r>
      <w:r>
        <w:rPr>
          <w:rFonts w:cs="Times New Roman"/>
        </w:rPr>
        <w:t xml:space="preserve"> (FM)</w:t>
      </w:r>
      <w:r w:rsidRPr="00075ABF">
        <w:rPr>
          <w:rFonts w:cs="Times New Roman"/>
        </w:rPr>
        <w:t xml:space="preserve"> prognozes. Dati atbilstoši Centrālās statistikas datu bāzēs pieejamajai informācijai līdz </w:t>
      </w:r>
      <w:r>
        <w:rPr>
          <w:rFonts w:cs="Times New Roman"/>
        </w:rPr>
        <w:t>20</w:t>
      </w:r>
      <w:r w:rsidRPr="00075ABF">
        <w:rPr>
          <w:rFonts w:cs="Times New Roman"/>
        </w:rPr>
        <w:t>.0</w:t>
      </w:r>
      <w:r>
        <w:rPr>
          <w:rFonts w:cs="Times New Roman"/>
        </w:rPr>
        <w:t>9</w:t>
      </w:r>
      <w:r w:rsidRPr="00075ABF">
        <w:rPr>
          <w:rFonts w:cs="Times New Roman"/>
        </w:rPr>
        <w:t>.202</w:t>
      </w:r>
      <w:r>
        <w:rPr>
          <w:rFonts w:cs="Times New Roman"/>
        </w:rPr>
        <w:t>4</w:t>
      </w:r>
      <w:r w:rsidRPr="00810648">
        <w:rPr>
          <w:rFonts w:cs="Times New Roman"/>
        </w:rPr>
        <w:t>.</w:t>
      </w:r>
      <w:r w:rsidRPr="00BA7FA7">
        <w:rPr>
          <w:rFonts w:cs="Times New Roman"/>
        </w:rPr>
        <w:tab/>
      </w:r>
    </w:p>
  </w:footnote>
  <w:footnote w:id="2">
    <w:p w14:paraId="695A852A" w14:textId="77777777" w:rsidR="0070161D" w:rsidRDefault="0070161D" w:rsidP="0081796C">
      <w:pPr>
        <w:pStyle w:val="FootnoteText"/>
        <w:spacing w:after="0"/>
        <w:ind w:firstLine="0"/>
      </w:pPr>
      <w:r>
        <w:rPr>
          <w:rStyle w:val="FootnoteReference"/>
        </w:rPr>
        <w:footnoteRef/>
      </w:r>
      <w:r>
        <w:t xml:space="preserve"> Datu avots: CSP, FM aprēķini </w:t>
      </w:r>
    </w:p>
  </w:footnote>
  <w:footnote w:id="3">
    <w:p w14:paraId="50B3932B" w14:textId="77777777" w:rsidR="0070161D" w:rsidRDefault="0070161D" w:rsidP="0081796C">
      <w:pPr>
        <w:pStyle w:val="FootnoteText"/>
        <w:spacing w:after="0"/>
        <w:ind w:firstLine="0"/>
      </w:pPr>
      <w:r>
        <w:rPr>
          <w:rStyle w:val="FootnoteReference"/>
        </w:rPr>
        <w:footnoteRef/>
      </w:r>
      <w:r>
        <w:t xml:space="preserve"> Datu avots: CSP, FM aprēķini </w:t>
      </w:r>
    </w:p>
  </w:footnote>
  <w:footnote w:id="4">
    <w:p w14:paraId="1421BC94" w14:textId="77777777" w:rsidR="0070161D" w:rsidRDefault="0070161D" w:rsidP="0081796C">
      <w:pPr>
        <w:pStyle w:val="FootnoteText"/>
        <w:ind w:firstLine="0"/>
      </w:pPr>
      <w:r>
        <w:rPr>
          <w:rStyle w:val="FootnoteReference"/>
        </w:rPr>
        <w:footnoteRef/>
      </w:r>
      <w:r>
        <w:t xml:space="preserve"> Nominālās vienības darbaspēka izmaksas (</w:t>
      </w:r>
      <w:r>
        <w:rPr>
          <w:i/>
        </w:rPr>
        <w:t>Nominal Unit Labour Costs</w:t>
      </w:r>
      <w:r>
        <w:t>) mēra vidējās darbaspēka izmaksas uz vienu saražoto produkcijas vienību.</w:t>
      </w:r>
    </w:p>
  </w:footnote>
  <w:footnote w:id="5">
    <w:p w14:paraId="5E229B04" w14:textId="77777777" w:rsidR="00E96BB6" w:rsidRPr="0029168E" w:rsidRDefault="00E96BB6" w:rsidP="00E96BB6">
      <w:pPr>
        <w:pStyle w:val="FootnoteText"/>
        <w:ind w:firstLine="0"/>
      </w:pPr>
      <w:r w:rsidRPr="0029168E">
        <w:rPr>
          <w:rStyle w:val="FootnoteReference"/>
        </w:rPr>
        <w:footnoteRef/>
      </w:r>
      <w:r w:rsidRPr="0029168E">
        <w:t xml:space="preserve"> Procentu likmei saglabājoties kā bāzes scenārijā.</w:t>
      </w:r>
    </w:p>
  </w:footnote>
  <w:footnote w:id="6">
    <w:p w14:paraId="70A1D1BA" w14:textId="77777777" w:rsidR="00E96BB6" w:rsidRPr="0029168E" w:rsidRDefault="00E96BB6" w:rsidP="00E96BB6">
      <w:pPr>
        <w:pStyle w:val="FootnoteText"/>
        <w:ind w:firstLine="0"/>
      </w:pPr>
      <w:r w:rsidRPr="0029168E">
        <w:rPr>
          <w:rStyle w:val="FootnoteReference"/>
        </w:rPr>
        <w:footnoteRef/>
      </w:r>
      <w:r w:rsidRPr="0029168E">
        <w:t xml:space="preserve"> Procentu likmei saglabājoties kā bāzes scenārijā.</w:t>
      </w:r>
    </w:p>
  </w:footnote>
  <w:footnote w:id="7">
    <w:p w14:paraId="6D4C3914" w14:textId="77777777" w:rsidR="0070161D" w:rsidRPr="000A63DF" w:rsidRDefault="0070161D" w:rsidP="000A63DF">
      <w:pPr>
        <w:pStyle w:val="FootnoteText"/>
        <w:ind w:firstLine="0"/>
      </w:pPr>
      <w:r w:rsidRPr="000A63DF">
        <w:rPr>
          <w:rStyle w:val="FootnoteReference"/>
        </w:rPr>
        <w:footnoteRef/>
      </w:r>
      <w:r w:rsidRPr="000A63DF">
        <w:t xml:space="preserve"> Tabulā ir atspoguļotas attiecīgā gada prognozes, kas izstrādātas vienu gadu iepriekš (T-1). Piemēram, 2021. gada prognozes ir izstrādātas 2020. gadā. FM prognozes ir attiecīgā gada budžeta prognozes, kas izstrādātas iepriekšējā gada jūnijā, izņemot 2011. un 2012., 2015., kā arī 2018. un 2023. gada budžetus, kad iepriekšējā gada rudenī notika Saeimas vēlēšanas un prognozes tika sagatavotas vēlāk rudenī/ziemā. OECD, SVF un EK prognozes ir minēto institūciju tekošajā gadā publicētās jaunākās (līdz attiecīgā gada jūnijam) prognozes par nākošo gadu.</w:t>
      </w:r>
    </w:p>
  </w:footnote>
  <w:footnote w:id="8">
    <w:p w14:paraId="00C509C5" w14:textId="77777777" w:rsidR="00470365" w:rsidRPr="0081796C" w:rsidRDefault="00470365" w:rsidP="00470365">
      <w:pPr>
        <w:pStyle w:val="FootnoteText"/>
        <w:ind w:firstLine="0"/>
        <w:rPr>
          <w:rStyle w:val="Hyperlink"/>
          <w:color w:val="auto"/>
        </w:rPr>
      </w:pPr>
      <w:r w:rsidRPr="008D10A8">
        <w:rPr>
          <w:rStyle w:val="FootnoteReference"/>
        </w:rPr>
        <w:footnoteRef/>
      </w:r>
      <w:r w:rsidRPr="004811B6">
        <w:t xml:space="preserve"> </w:t>
      </w:r>
      <w:r w:rsidRPr="00E16D5E">
        <w:t>Eiropas Parlamenta un Padomes Regula (ES) 2024/1263 (2024. gada 29. aprīlis) par ekonomikas politikas efektīvu koordināciju un budžeta daudzpusēju uzraudzību un ar ko atceļ Padomes Regulu (EK) Nr. 1466/97, pieejama:</w:t>
      </w:r>
      <w:r>
        <w:rPr>
          <w:b/>
          <w:bCs/>
        </w:rPr>
        <w:t xml:space="preserve"> </w:t>
      </w:r>
      <w:hyperlink r:id="rId1" w:history="1">
        <w:r w:rsidRPr="0081796C">
          <w:rPr>
            <w:rStyle w:val="Hyperlink"/>
            <w:color w:val="auto"/>
          </w:rPr>
          <w:t>https://eur-lex.europa.eu/legal-content/LV/TXT/?uri=OJ:L_202401263</w:t>
        </w:r>
      </w:hyperlink>
    </w:p>
    <w:p w14:paraId="592C6026" w14:textId="77777777" w:rsidR="00470365" w:rsidRPr="0081796C" w:rsidRDefault="00470365" w:rsidP="00470365">
      <w:pPr>
        <w:pStyle w:val="FootnoteText"/>
        <w:ind w:firstLine="0"/>
        <w:rPr>
          <w:rStyle w:val="Hyperlink"/>
          <w:color w:val="auto"/>
        </w:rPr>
      </w:pPr>
      <w:r w:rsidRPr="0081796C">
        <w:t xml:space="preserve">Padomes Regula (ES) 2024/1264 (2024. gada 29. aprīlis), ar ko groza Regulu (EK) Nr. 1467/97 par to, kā paātrināt un precizēt pārmērīga budžeta deficīta novēršanas procedūras īstenošanu, pieejama: </w:t>
      </w:r>
      <w:hyperlink r:id="rId2" w:history="1">
        <w:r w:rsidRPr="0081796C">
          <w:rPr>
            <w:rStyle w:val="Hyperlink"/>
            <w:color w:val="auto"/>
          </w:rPr>
          <w:t>https://eur-lex.europa.eu/legal-content/LV/TXT/?uri=OJ:L_202401264</w:t>
        </w:r>
      </w:hyperlink>
    </w:p>
    <w:p w14:paraId="2BB34A4B" w14:textId="0F5D3552" w:rsidR="00470365" w:rsidRPr="0081796C" w:rsidRDefault="00D36979" w:rsidP="00B13860">
      <w:pPr>
        <w:pStyle w:val="FootnoteText"/>
        <w:ind w:firstLine="0"/>
        <w:jc w:val="left"/>
      </w:pPr>
      <w:r w:rsidRPr="0081796C">
        <w:t xml:space="preserve">Padomes Direktīva (ES) 2024/1265 (2024. gada 29. aprīlis), ar ko groza Direktīvu 2011/85/ES par prasībām dalībvalstu budžeta struktūrām; pieejama: </w:t>
      </w:r>
      <w:hyperlink r:id="rId3" w:history="1">
        <w:r w:rsidRPr="0081796C">
          <w:rPr>
            <w:rStyle w:val="Hyperlink"/>
            <w:color w:val="auto"/>
          </w:rPr>
          <w:t>https://eur-lex.europa.eu/legal-content/LV/TXT/PDF/?uri=OJ:L_202401265&amp;qid=1727436207155</w:t>
        </w:r>
      </w:hyperlink>
      <w:r w:rsidRPr="0081796C">
        <w:t xml:space="preserve"> </w:t>
      </w:r>
    </w:p>
  </w:footnote>
  <w:footnote w:id="9">
    <w:p w14:paraId="0707CE17" w14:textId="77777777" w:rsidR="00937482" w:rsidRPr="0081796C" w:rsidRDefault="00937482" w:rsidP="00EE6EFD">
      <w:pPr>
        <w:pStyle w:val="FootnoteText"/>
        <w:ind w:firstLine="0"/>
      </w:pPr>
      <w:r w:rsidRPr="0081796C">
        <w:rPr>
          <w:rStyle w:val="FootnoteReference"/>
        </w:rPr>
        <w:footnoteRef/>
      </w:r>
      <w:r w:rsidRPr="0081796C">
        <w:t xml:space="preserve"> Izdevumi, no kuriem izslēgtas vairākas pozīcijas – procentu izdevumi, diskrecionārie ieņēmumi pasākumi (valdības apstiprinātās izmaiņas nodokļos, nenodokļos, maksas pakalpojumos un citos pašu ieņēmumos), izdevumi par ES fondu programmām un valsts līdzfinansējums ES fondu programmām, kā arī bezdarbnieku pabalstu izdevumu cikliskie elementi.</w:t>
      </w:r>
    </w:p>
  </w:footnote>
  <w:footnote w:id="10">
    <w:p w14:paraId="044AB69F" w14:textId="7D52FF87" w:rsidR="00742935" w:rsidRPr="007C2718" w:rsidRDefault="00742935" w:rsidP="00742935">
      <w:pPr>
        <w:pStyle w:val="FootnoteText"/>
        <w:ind w:firstLine="0"/>
        <w:rPr>
          <w:sz w:val="18"/>
          <w:szCs w:val="18"/>
        </w:rPr>
      </w:pPr>
      <w:r w:rsidRPr="0081796C">
        <w:rPr>
          <w:rStyle w:val="FootnoteReference"/>
        </w:rPr>
        <w:footnoteRef/>
      </w:r>
      <w:r w:rsidR="000A63DF" w:rsidRPr="0081796C">
        <w:t xml:space="preserve">Pieejams: </w:t>
      </w:r>
      <w:hyperlink r:id="rId4" w:history="1">
        <w:r w:rsidR="000A63DF" w:rsidRPr="0081796C">
          <w:rPr>
            <w:rStyle w:val="Hyperlink"/>
            <w:color w:val="auto"/>
          </w:rPr>
          <w:t>https://likumi.lv/ta/id/350802-par-likumprojekta-par-valsts-budzetu-2025-gadam-un-budzeta-ietvaru-2025-2026-un-2027-gadam-sagatavosanas-grafiku</w:t>
        </w:r>
      </w:hyperlink>
      <w:r w:rsidR="000A63DF" w:rsidRPr="0081796C">
        <w:t xml:space="preserve"> </w:t>
      </w:r>
    </w:p>
  </w:footnote>
  <w:footnote w:id="11">
    <w:p w14:paraId="39D447E6" w14:textId="15D03666" w:rsidR="00934EB9" w:rsidRPr="0081796C" w:rsidRDefault="00934EB9" w:rsidP="00934EB9">
      <w:pPr>
        <w:pStyle w:val="FootnoteText"/>
        <w:ind w:firstLine="0"/>
      </w:pPr>
      <w:r w:rsidRPr="000A63DF">
        <w:rPr>
          <w:rStyle w:val="FootnoteReference"/>
        </w:rPr>
        <w:footnoteRef/>
      </w:r>
      <w:r w:rsidRPr="000A63DF">
        <w:t xml:space="preserve"> Apstiprināts MK 2022. gada 12</w:t>
      </w:r>
      <w:r w:rsidRPr="0081796C">
        <w:t>. aprīļa sēdē (MK</w:t>
      </w:r>
      <w:r w:rsidR="005735FB" w:rsidRPr="0081796C">
        <w:t xml:space="preserve"> </w:t>
      </w:r>
      <w:r w:rsidRPr="0081796C">
        <w:t>sēdes protokols Nr. 20, 45.§)</w:t>
      </w:r>
    </w:p>
  </w:footnote>
  <w:footnote w:id="12">
    <w:p w14:paraId="5344E303" w14:textId="637C08A4" w:rsidR="00F50E99" w:rsidRPr="0081796C" w:rsidRDefault="00F50E99" w:rsidP="00B13860">
      <w:pPr>
        <w:pStyle w:val="FootnoteText"/>
        <w:ind w:firstLine="0"/>
        <w:jc w:val="left"/>
      </w:pPr>
      <w:r w:rsidRPr="0081796C">
        <w:rPr>
          <w:rStyle w:val="FootnoteReference"/>
        </w:rPr>
        <w:footnoteRef/>
      </w:r>
      <w:r w:rsidRPr="0081796C">
        <w:t xml:space="preserve"> FDL grozījumi ir izskatīti Ministri kabineta sēdē 24.09.2024; pieejami: </w:t>
      </w:r>
      <w:hyperlink r:id="rId5" w:history="1">
        <w:r w:rsidRPr="0081796C">
          <w:rPr>
            <w:rStyle w:val="Hyperlink"/>
            <w:color w:val="auto"/>
          </w:rPr>
          <w:t>https://tapportals.mk.gov.lv/legal_acts/4aa5676b-953b-4490-8e90-55a972d3f0d6#</w:t>
        </w:r>
      </w:hyperlink>
      <w:r w:rsidRPr="0081796C">
        <w:t>, iesniegti Saeimā likumprojekta “Par valsts budžetu 2025. gadam un budžeta ietvaru 2025., 2026. un 2027. gadam” pavadošo likumprojektu paketē.</w:t>
      </w:r>
    </w:p>
  </w:footnote>
  <w:footnote w:id="13">
    <w:p w14:paraId="407B318F" w14:textId="77777777" w:rsidR="0000055D" w:rsidRPr="00CA2430" w:rsidRDefault="0000055D" w:rsidP="0000055D">
      <w:pPr>
        <w:pStyle w:val="FootnoteText"/>
        <w:ind w:firstLine="0"/>
        <w:rPr>
          <w:sz w:val="16"/>
          <w:szCs w:val="16"/>
        </w:rPr>
      </w:pPr>
      <w:r w:rsidRPr="0081796C">
        <w:rPr>
          <w:rStyle w:val="FootnoteReference"/>
        </w:rPr>
        <w:footnoteRef/>
      </w:r>
      <w:r w:rsidRPr="0081796C">
        <w:t xml:space="preserve"> Likuma “Par valsts budžetu 2023. gadam un budžeta ietvaru 2023., 2024. un 2025. gadam” un “Par valsts budžetu 2024. gadam un budžeta ietvaru 2024., 2025. un 2026. gadam” 5. panta ietvaros.</w:t>
      </w:r>
    </w:p>
  </w:footnote>
  <w:footnote w:id="14">
    <w:p w14:paraId="183115E7" w14:textId="043C1D7A" w:rsidR="00695ACB" w:rsidRPr="0081796C" w:rsidRDefault="00695ACB" w:rsidP="00695ACB">
      <w:pPr>
        <w:pStyle w:val="FootnoteText"/>
        <w:spacing w:after="0"/>
        <w:ind w:firstLine="0"/>
      </w:pPr>
      <w:r>
        <w:rPr>
          <w:rStyle w:val="FootnoteReference"/>
        </w:rPr>
        <w:footnoteRef/>
      </w:r>
      <w:r>
        <w:t xml:space="preserve"> Deklarācija par Evikas Siliņas vadītā </w:t>
      </w:r>
      <w:r w:rsidRPr="0081796C">
        <w:t xml:space="preserve">MK iecerēto darbību 2023. gada 15. septembrī, pieejams: </w:t>
      </w:r>
      <w:hyperlink r:id="rId6" w:history="1">
        <w:r w:rsidR="00B13860" w:rsidRPr="0081796C">
          <w:rPr>
            <w:rStyle w:val="Hyperlink"/>
            <w:color w:val="auto"/>
          </w:rPr>
          <w:t>https://www.mk.gov.lv/lv/media/16704/download?attachment</w:t>
        </w:r>
      </w:hyperlink>
      <w:r w:rsidR="005735FB" w:rsidRPr="0081796C">
        <w:t xml:space="preserve"> </w:t>
      </w:r>
    </w:p>
  </w:footnote>
  <w:footnote w:id="15">
    <w:p w14:paraId="5D97DE15" w14:textId="4C26E857" w:rsidR="00AD431A" w:rsidRDefault="00AD431A" w:rsidP="0081460D">
      <w:pPr>
        <w:pStyle w:val="FootnoteText"/>
        <w:ind w:firstLine="0"/>
      </w:pPr>
      <w:r w:rsidRPr="0081796C">
        <w:rPr>
          <w:rStyle w:val="FootnoteReference"/>
        </w:rPr>
        <w:footnoteRef/>
      </w:r>
      <w:r w:rsidRPr="0081796C">
        <w:rPr>
          <w:rFonts w:cs="Times New Roman"/>
        </w:rPr>
        <w:t xml:space="preserve">Informatīvais ziņojums „Latvijas Stabilitātes programma 2024. </w:t>
      </w:r>
      <w:r w:rsidRPr="0081796C">
        <w:rPr>
          <w:rFonts w:cs="Times New Roman"/>
          <w:iCs/>
          <w:noProof/>
        </w:rPr>
        <w:t>–</w:t>
      </w:r>
      <w:r w:rsidR="005735FB" w:rsidRPr="0081796C">
        <w:rPr>
          <w:rFonts w:cs="Times New Roman"/>
          <w:iCs/>
          <w:noProof/>
        </w:rPr>
        <w:t xml:space="preserve"> </w:t>
      </w:r>
      <w:r w:rsidRPr="0081796C">
        <w:rPr>
          <w:rFonts w:cs="Times New Roman"/>
        </w:rPr>
        <w:t>2028. gadam”, pieejams:</w:t>
      </w:r>
      <w:r w:rsidRPr="0081796C">
        <w:t xml:space="preserve"> </w:t>
      </w:r>
      <w:hyperlink r:id="rId7" w:history="1">
        <w:r w:rsidRPr="0081796C">
          <w:rPr>
            <w:rStyle w:val="Hyperlink"/>
            <w:rFonts w:cs="Times New Roman"/>
            <w:color w:val="auto"/>
          </w:rPr>
          <w:t>https://tapportals.mk.gov.lv/meetings/cabinet_ministers/5f1c22e3-0989-43ab-93a2-7b1d5d3fecf2</w:t>
        </w:r>
      </w:hyperlink>
      <w:r w:rsidR="0081460D" w:rsidRPr="0081796C">
        <w:rPr>
          <w:rStyle w:val="Hyperlink"/>
          <w:rFonts w:cs="Times New Roman"/>
          <w:color w:val="auto"/>
        </w:rPr>
        <w:t xml:space="preserve"> </w:t>
      </w:r>
    </w:p>
  </w:footnote>
  <w:footnote w:id="16">
    <w:p w14:paraId="571811E3" w14:textId="361B6441" w:rsidR="00835A7A" w:rsidRDefault="00835A7A" w:rsidP="0081460D">
      <w:pPr>
        <w:pStyle w:val="FootnoteText"/>
        <w:ind w:firstLine="0"/>
      </w:pPr>
      <w:r>
        <w:rPr>
          <w:rStyle w:val="FootnoteReference"/>
        </w:rPr>
        <w:footnoteRef/>
      </w:r>
      <w:r>
        <w:t xml:space="preserve"> </w:t>
      </w:r>
      <w:r w:rsidR="0081460D">
        <w:t>Saskaņā ar likuma par budžetu un finanšu vadību 28. panta otro daļu</w:t>
      </w:r>
      <w:r w:rsidR="00B13860">
        <w:t>.</w:t>
      </w:r>
    </w:p>
  </w:footnote>
  <w:footnote w:id="17">
    <w:p w14:paraId="43F3468D" w14:textId="660FE549" w:rsidR="00603144" w:rsidRPr="0081796C" w:rsidRDefault="00603144" w:rsidP="00603144">
      <w:pPr>
        <w:ind w:firstLine="0"/>
      </w:pPr>
      <w:r>
        <w:rPr>
          <w:rStyle w:val="FootnoteReference"/>
        </w:rPr>
        <w:footnoteRef/>
      </w:r>
      <w:r>
        <w:t xml:space="preserve"> </w:t>
      </w:r>
      <w:r w:rsidR="0081460D" w:rsidRPr="0081460D">
        <w:rPr>
          <w:sz w:val="20"/>
          <w:szCs w:val="20"/>
        </w:rPr>
        <w:t xml:space="preserve">Likuma par budžetu un finanšu vadību </w:t>
      </w:r>
      <w:r w:rsidRPr="0081460D">
        <w:rPr>
          <w:rFonts w:cs="Times New Roman"/>
          <w:sz w:val="20"/>
          <w:szCs w:val="20"/>
          <w:shd w:val="clear" w:color="auto" w:fill="FFFFFF"/>
        </w:rPr>
        <w:t>16.</w:t>
      </w:r>
      <w:r w:rsidRPr="0081460D">
        <w:rPr>
          <w:rFonts w:cs="Times New Roman"/>
          <w:sz w:val="20"/>
          <w:szCs w:val="20"/>
          <w:shd w:val="clear" w:color="auto" w:fill="FFFFFF"/>
          <w:vertAlign w:val="superscript"/>
        </w:rPr>
        <w:t>1</w:t>
      </w:r>
      <w:r w:rsidRPr="0081460D">
        <w:rPr>
          <w:rFonts w:cs="Times New Roman"/>
          <w:sz w:val="20"/>
          <w:szCs w:val="20"/>
          <w:shd w:val="clear" w:color="auto" w:fill="FFFFFF"/>
        </w:rPr>
        <w:t xml:space="preserve"> panta pirmajā daļā </w:t>
      </w:r>
      <w:r w:rsidRPr="0081460D">
        <w:rPr>
          <w:rFonts w:eastAsia="Calibri" w:cs="Times New Roman"/>
          <w:sz w:val="20"/>
          <w:szCs w:val="20"/>
        </w:rPr>
        <w:t>ir noteikts, ka m</w:t>
      </w:r>
      <w:r w:rsidRPr="0081460D">
        <w:rPr>
          <w:rFonts w:cs="Times New Roman"/>
          <w:sz w:val="20"/>
          <w:szCs w:val="20"/>
          <w:shd w:val="clear" w:color="auto" w:fill="FFFFFF"/>
        </w:rPr>
        <w:t xml:space="preserve">inistrijas un citas centrālās valsts iestādes iesniedz priekšlikumus </w:t>
      </w:r>
      <w:r w:rsidRPr="0081796C">
        <w:rPr>
          <w:rFonts w:cs="Times New Roman"/>
          <w:sz w:val="20"/>
          <w:szCs w:val="20"/>
          <w:shd w:val="clear" w:color="auto" w:fill="FFFFFF"/>
        </w:rPr>
        <w:t xml:space="preserve">par prioritārajiem pasākumiem un to īstenošanai nepieciešamo finansējumu tikai tad, ja nākamajos saimnieciskajos gados atbilstoši aktuālajām makroekonomiskās attīstības prognozēm būs pieejami līdzekļi prioritāro pasākumu finansēšanai. Ņemot vērā prognozes par pieejamiem līdzekļiem, </w:t>
      </w:r>
      <w:r w:rsidR="00E11486" w:rsidRPr="0081796C">
        <w:rPr>
          <w:rFonts w:cs="Times New Roman"/>
          <w:sz w:val="20"/>
          <w:szCs w:val="20"/>
          <w:shd w:val="clear" w:color="auto" w:fill="FFFFFF"/>
        </w:rPr>
        <w:t>MK</w:t>
      </w:r>
      <w:r w:rsidRPr="0081796C">
        <w:rPr>
          <w:rFonts w:cs="Times New Roman"/>
          <w:sz w:val="20"/>
          <w:szCs w:val="20"/>
          <w:shd w:val="clear" w:color="auto" w:fill="FFFFFF"/>
        </w:rPr>
        <w:t xml:space="preserve"> var noteikt prioritāro pasākumu iesniegšanas un izvērtēšanas nosacījumus papildus šā panta otrajā daļā minētajam.</w:t>
      </w:r>
    </w:p>
  </w:footnote>
  <w:footnote w:id="18">
    <w:p w14:paraId="28350E43" w14:textId="55DC2475" w:rsidR="00EA4FF4" w:rsidRDefault="00EA4FF4" w:rsidP="00AE0B8A">
      <w:pPr>
        <w:pStyle w:val="FootnoteText"/>
        <w:spacing w:after="0"/>
        <w:ind w:firstLine="0"/>
      </w:pPr>
      <w:r w:rsidRPr="0081796C">
        <w:rPr>
          <w:rStyle w:val="FootnoteReference"/>
        </w:rPr>
        <w:footnoteRef/>
      </w:r>
      <w:r w:rsidRPr="0081796C">
        <w:t xml:space="preserve"> </w:t>
      </w:r>
      <w:r w:rsidR="00E868E6" w:rsidRPr="0081796C">
        <w:t xml:space="preserve">Deklarācija par Evikas Siliņas vadītā MK iecerēto darbību 2023. gada 15. septembrī, pieejams: </w:t>
      </w:r>
      <w:hyperlink r:id="rId8" w:history="1">
        <w:r w:rsidR="000A63DF" w:rsidRPr="0081796C">
          <w:rPr>
            <w:rStyle w:val="Hyperlink"/>
            <w:color w:val="auto"/>
          </w:rPr>
          <w:t>https://www.mk.gov.lv/lv/media/16704/download?attachment</w:t>
        </w:r>
      </w:hyperlink>
      <w:r w:rsidR="000A63DF" w:rsidRPr="0081796C">
        <w:t xml:space="preserve"> </w:t>
      </w:r>
    </w:p>
  </w:footnote>
  <w:footnote w:id="19">
    <w:p w14:paraId="646B76B0" w14:textId="3CAE0D8D" w:rsidR="00EC52D5" w:rsidRPr="0081796C" w:rsidRDefault="00EC52D5" w:rsidP="00EC52D5">
      <w:pPr>
        <w:pStyle w:val="FootnoteText"/>
        <w:ind w:firstLine="0"/>
      </w:pPr>
      <w:r w:rsidRPr="000A63DF">
        <w:rPr>
          <w:rStyle w:val="FootnoteReference"/>
        </w:rPr>
        <w:footnoteRef/>
      </w:r>
      <w:r w:rsidRPr="000A63DF">
        <w:t xml:space="preserve"> </w:t>
      </w:r>
      <w:r w:rsidR="0081796C">
        <w:t xml:space="preserve">FM mājaslapa, Fiskāli strukturālā plāna sadaļa. Pieejams: </w:t>
      </w:r>
      <w:hyperlink r:id="rId9" w:history="1">
        <w:r w:rsidR="0081796C" w:rsidRPr="008E1E6C">
          <w:rPr>
            <w:rStyle w:val="Hyperlink"/>
            <w:color w:val="auto"/>
          </w:rPr>
          <w:t>https://www.fm.gov.lv/lv/fiskali-strukturalais-plans</w:t>
        </w:r>
      </w:hyperlink>
      <w:r w:rsidR="000A63DF" w:rsidRPr="008E1E6C">
        <w:t xml:space="preserve"> </w:t>
      </w:r>
    </w:p>
  </w:footnote>
  <w:footnote w:id="20">
    <w:p w14:paraId="46E70376" w14:textId="721151B1" w:rsidR="001145C0" w:rsidRPr="007C2718" w:rsidRDefault="001145C0" w:rsidP="000A63DF">
      <w:pPr>
        <w:pStyle w:val="FootnoteText"/>
        <w:ind w:firstLine="0"/>
        <w:jc w:val="left"/>
        <w:rPr>
          <w:sz w:val="18"/>
          <w:szCs w:val="18"/>
        </w:rPr>
      </w:pPr>
      <w:r w:rsidRPr="0081796C">
        <w:rPr>
          <w:rStyle w:val="FootnoteReference"/>
        </w:rPr>
        <w:footnoteRef/>
      </w:r>
      <w:r w:rsidRPr="0081796C">
        <w:t xml:space="preserve"> </w:t>
      </w:r>
      <w:r w:rsidR="006D0017" w:rsidRPr="0081796C">
        <w:t xml:space="preserve">Latvijas Stabilitātes programma 2024.-2028. gadam, pieejams: </w:t>
      </w:r>
      <w:hyperlink r:id="rId10" w:history="1">
        <w:r w:rsidR="006D0017" w:rsidRPr="0081796C">
          <w:rPr>
            <w:rStyle w:val="Hyperlink"/>
            <w:color w:val="auto"/>
          </w:rPr>
          <w:t>https://tapportals.mk.gov.lv/legal_acts/b75ce8f5-2802-4b1d-b2a6-5da803f49442</w:t>
        </w:r>
      </w:hyperlink>
      <w:r w:rsidR="006D0017" w:rsidRPr="0081796C">
        <w:rPr>
          <w:sz w:val="18"/>
          <w:szCs w:val="18"/>
        </w:rPr>
        <w:t xml:space="preserve"> </w:t>
      </w:r>
    </w:p>
  </w:footnote>
  <w:footnote w:id="21">
    <w:p w14:paraId="1FC98910" w14:textId="4382549F" w:rsidR="00292CF4" w:rsidRDefault="00292CF4" w:rsidP="00292CF4">
      <w:pPr>
        <w:pStyle w:val="FootnoteText"/>
        <w:spacing w:after="0"/>
        <w:ind w:firstLine="0"/>
      </w:pPr>
      <w:r>
        <w:rPr>
          <w:rStyle w:val="FootnoteReference"/>
        </w:rPr>
        <w:footnoteRef/>
      </w:r>
      <w:r w:rsidR="000A63DF">
        <w:t xml:space="preserve"> </w:t>
      </w:r>
      <w:r w:rsidRPr="0081796C">
        <w:t xml:space="preserve">Informatīvajam ziņojumam “Par makroekonomisko rādītāju, ieņēmumu un vispārējās valdības budžeta bilances prognozēm 2025., 2026., 2027. un 2028. gadā”, pieejams: </w:t>
      </w:r>
      <w:hyperlink r:id="rId11" w:history="1">
        <w:r w:rsidRPr="0081796C">
          <w:rPr>
            <w:rStyle w:val="Hyperlink"/>
            <w:color w:val="auto"/>
          </w:rPr>
          <w:t>https://tapportals.mk.gov.lv/legal_acts/38f8bbd5-6811-4034-b5dc-dd56b744a009</w:t>
        </w:r>
      </w:hyperlink>
      <w:r w:rsidRPr="0081796C">
        <w:t xml:space="preserve"> </w:t>
      </w:r>
    </w:p>
  </w:footnote>
  <w:footnote w:id="22">
    <w:p w14:paraId="046F3148" w14:textId="77777777" w:rsidR="00CA1C27" w:rsidRDefault="00CA1C27" w:rsidP="00CA1C27">
      <w:pPr>
        <w:ind w:firstLine="0"/>
        <w:rPr>
          <w:rFonts w:cs="Times New Roman"/>
          <w:noProof/>
          <w:szCs w:val="24"/>
        </w:rPr>
      </w:pPr>
      <w:r>
        <w:rPr>
          <w:rStyle w:val="FootnoteReference"/>
        </w:rPr>
        <w:footnoteRef/>
      </w:r>
      <w:r>
        <w:t xml:space="preserve"> </w:t>
      </w:r>
      <w:r w:rsidRPr="00CA1C27">
        <w:rPr>
          <w:rFonts w:cs="Times New Roman"/>
          <w:noProof/>
          <w:sz w:val="20"/>
          <w:szCs w:val="20"/>
        </w:rPr>
        <w:t>Eiropas Parlamenta un Padomes 2024. gada 29. aprīļa regulas (ES) 2024/1263 par ekonomikas politikas efektīvu koordināciju un budžeta daudzpusēju uzraudzību un ar ko atceļ Padomes Regulu (EK) Nr. 1466/97 12. pants paredz, ka pirms valsts vidēja termiņa fiskāli strukturālā plāna iesniegšanas katra dalībvalsts ar EK rīko tehnisku dialogu ar mērķi nodrošināt, ka valsts vidēja termiņa fiskāli strukturālais plāns atbilst regulas prasībām.</w:t>
      </w:r>
    </w:p>
    <w:p w14:paraId="42FDF397" w14:textId="38C25CEA" w:rsidR="00CA1C27" w:rsidRDefault="00CA1C27" w:rsidP="00CA1C27">
      <w:pPr>
        <w:pStyle w:val="FootnoteText"/>
        <w:ind w:firstLine="0"/>
      </w:pPr>
    </w:p>
  </w:footnote>
  <w:footnote w:id="23">
    <w:p w14:paraId="2234C152" w14:textId="77777777" w:rsidR="00250E42" w:rsidRPr="00854F1A" w:rsidRDefault="00250E42" w:rsidP="00250E42">
      <w:pPr>
        <w:pStyle w:val="FootnoteText"/>
        <w:ind w:firstLine="0"/>
      </w:pPr>
      <w:r w:rsidRPr="00854F1A">
        <w:rPr>
          <w:rStyle w:val="FootnoteReference"/>
        </w:rPr>
        <w:footnoteRef/>
      </w:r>
      <w:r w:rsidRPr="00854F1A">
        <w:t xml:space="preserve"> Eiropas Parlamenta un Padomes regula (ES) Nr. 549/2013 par Eiropas nacionālo un reģionālo kontu sistēmu ES.</w:t>
      </w:r>
    </w:p>
  </w:footnote>
  <w:footnote w:id="24">
    <w:p w14:paraId="5CE93756" w14:textId="55874774" w:rsidR="00250E42" w:rsidRPr="00854F1A" w:rsidRDefault="00250E42" w:rsidP="00250E42">
      <w:pPr>
        <w:pStyle w:val="FootnoteText"/>
        <w:ind w:firstLine="0"/>
      </w:pPr>
      <w:r w:rsidRPr="00854F1A">
        <w:rPr>
          <w:rStyle w:val="FootnoteReference"/>
        </w:rPr>
        <w:footnoteRef/>
      </w:r>
      <w:r w:rsidRPr="00854F1A">
        <w:t xml:space="preserve"> Valsts (S130130) vai pašvaldību struktūru (S130330) kontrolēto un finansēto komercsabiedrību, kā arī no valsts budžeta daļēji finansēto atvasināto publisko personu (S130160) un budžeta nefinansēto iestāžu (S130150) saraksts ir apskatāms CSP tīmekļvietnē: </w:t>
      </w:r>
      <w:hyperlink r:id="rId12" w:history="1">
        <w:r w:rsidR="00854F1A" w:rsidRPr="00854F1A">
          <w:rPr>
            <w:rStyle w:val="Hyperlink"/>
            <w:color w:val="auto"/>
          </w:rPr>
          <w:t>https://tools.csb.gov.lv/isk/lv</w:t>
        </w:r>
      </w:hyperlink>
      <w:r w:rsidR="00854F1A" w:rsidRPr="00854F1A">
        <w:t xml:space="preserve"> </w:t>
      </w:r>
    </w:p>
    <w:p w14:paraId="79FCC231" w14:textId="77777777" w:rsidR="00250E42" w:rsidRDefault="00250E42" w:rsidP="00250E42">
      <w:pPr>
        <w:pStyle w:val="FootnoteText"/>
      </w:pPr>
    </w:p>
  </w:footnote>
  <w:footnote w:id="25">
    <w:p w14:paraId="01C8AC72" w14:textId="77777777" w:rsidR="00854F1A" w:rsidRPr="00854F1A" w:rsidRDefault="00854F1A" w:rsidP="00854F1A">
      <w:pPr>
        <w:ind w:firstLine="0"/>
        <w:jc w:val="left"/>
        <w:rPr>
          <w:b/>
          <w:noProof/>
          <w:sz w:val="20"/>
          <w:szCs w:val="20"/>
        </w:rPr>
      </w:pPr>
      <w:r w:rsidRPr="00854F1A">
        <w:rPr>
          <w:rStyle w:val="FootnoteReference"/>
          <w:sz w:val="20"/>
          <w:szCs w:val="20"/>
        </w:rPr>
        <w:footnoteRef/>
      </w:r>
      <w:r w:rsidRPr="00854F1A">
        <w:rPr>
          <w:sz w:val="20"/>
          <w:szCs w:val="20"/>
        </w:rPr>
        <w:t xml:space="preserve"> Atbilstoši MK 20.08.2024. informatīvajam ziņojumam „Par makroekonomisko rādītāju, ieņēmumu un vispārējās valdības budžeta bilances prognozēm 2025., 2026., 2027. un 2028. gadā”.</w:t>
      </w:r>
    </w:p>
  </w:footnote>
  <w:footnote w:id="26">
    <w:p w14:paraId="0A8C4771" w14:textId="77777777" w:rsidR="00854F1A" w:rsidRPr="00854F1A" w:rsidRDefault="00854F1A" w:rsidP="00854F1A">
      <w:pPr>
        <w:pStyle w:val="FootnoteText"/>
        <w:ind w:firstLine="0"/>
      </w:pPr>
      <w:r w:rsidRPr="00854F1A">
        <w:rPr>
          <w:rStyle w:val="FootnoteReference"/>
        </w:rPr>
        <w:footnoteRef/>
      </w:r>
      <w:r w:rsidRPr="00854F1A">
        <w:t xml:space="preserve"> Atbilstoši MK 20.08.2024. informatīvajam ziņojumam „Par makroekonomisko rādītāju, ieņēmumu un vispārējās valdības budžeta bilances prognozēm 2025., 2026., 2027. un 2028. gadā”.</w:t>
      </w:r>
    </w:p>
  </w:footnote>
  <w:footnote w:id="27">
    <w:p w14:paraId="429D6C1B" w14:textId="77777777" w:rsidR="00854F1A" w:rsidRPr="00854F1A" w:rsidRDefault="00854F1A" w:rsidP="00854F1A">
      <w:pPr>
        <w:pStyle w:val="FootnoteText"/>
        <w:ind w:firstLine="0"/>
      </w:pPr>
      <w:r w:rsidRPr="00854F1A">
        <w:rPr>
          <w:rStyle w:val="FootnoteReference"/>
        </w:rPr>
        <w:footnoteRef/>
      </w:r>
      <w:r w:rsidRPr="00854F1A">
        <w:t xml:space="preserve"> Atbilstoši MK 20.08.2024. informatīvajam ziņojumam „Par makroekonomisko rādītāju, ieņēmumu un vispārējās valdības budžeta bilances prognozēm 2025., 2026., 2027. un 2028. gadā”.</w:t>
      </w:r>
    </w:p>
  </w:footnote>
  <w:footnote w:id="28">
    <w:p w14:paraId="6E4C857E" w14:textId="77777777" w:rsidR="0087114C" w:rsidRPr="00A051A2" w:rsidRDefault="0087114C" w:rsidP="00A051A2">
      <w:pPr>
        <w:pStyle w:val="FootnoteText"/>
        <w:spacing w:after="0"/>
        <w:ind w:firstLine="0"/>
      </w:pPr>
      <w:r w:rsidRPr="00A051A2">
        <w:rPr>
          <w:rStyle w:val="FootnoteReference"/>
        </w:rPr>
        <w:footnoteRef/>
      </w:r>
      <w:r w:rsidRPr="00A051A2">
        <w:t xml:space="preserve"> Datu avots: AMECO datu bāze.</w:t>
      </w:r>
    </w:p>
  </w:footnote>
  <w:footnote w:id="29">
    <w:p w14:paraId="08AA1947" w14:textId="77777777" w:rsidR="0087114C" w:rsidRPr="00430BBA" w:rsidRDefault="0087114C" w:rsidP="00A051A2">
      <w:pPr>
        <w:pStyle w:val="FootnoteText"/>
        <w:spacing w:after="0"/>
        <w:ind w:firstLine="0"/>
        <w:rPr>
          <w:sz w:val="17"/>
          <w:szCs w:val="17"/>
        </w:rPr>
      </w:pPr>
      <w:r w:rsidRPr="00A051A2">
        <w:rPr>
          <w:rStyle w:val="FootnoteReference"/>
        </w:rPr>
        <w:footnoteRef/>
      </w:r>
      <w:r w:rsidRPr="00A051A2">
        <w:t xml:space="preserve"> Nodokļu ieņēmumi atbilstoši EKS metodoloģijai (D.2 (ieskaitot D.2 REC (EU))+ D.5 + D.61 + D.91).</w:t>
      </w:r>
    </w:p>
  </w:footnote>
  <w:footnote w:id="30">
    <w:p w14:paraId="4B216683" w14:textId="77777777" w:rsidR="00C12798" w:rsidRPr="0081796C" w:rsidRDefault="00911F3E" w:rsidP="00C12798">
      <w:pPr>
        <w:pStyle w:val="FootnoteText"/>
        <w:spacing w:after="0"/>
        <w:ind w:firstLine="0"/>
      </w:pPr>
      <w:r w:rsidRPr="00AE0B8A">
        <w:rPr>
          <w:rStyle w:val="FootnoteReference"/>
        </w:rPr>
        <w:footnoteRef/>
      </w:r>
      <w:r w:rsidRPr="00AE0B8A">
        <w:t xml:space="preserve"> </w:t>
      </w:r>
      <w:r w:rsidR="00C12798" w:rsidRPr="00C12798">
        <w:t xml:space="preserve">Informatīvais ziņojums „ Par makroekonomisko rādītāju, ieņēmumu un vispārējās valdības budžeta bilances </w:t>
      </w:r>
      <w:r w:rsidR="00C12798" w:rsidRPr="0081796C">
        <w:t xml:space="preserve">prognozēm 2025., 2026., 2027. un 2028. gadā”, pieejams: </w:t>
      </w:r>
    </w:p>
    <w:p w14:paraId="3E0B2A8B" w14:textId="753F79B2" w:rsidR="00911F3E" w:rsidRPr="0081796C" w:rsidRDefault="00BF5C56" w:rsidP="00BC48A2">
      <w:pPr>
        <w:pStyle w:val="FootnoteText"/>
        <w:ind w:firstLine="0"/>
      </w:pPr>
      <w:hyperlink r:id="rId13" w:history="1">
        <w:r w:rsidR="00C12798" w:rsidRPr="0081796C">
          <w:rPr>
            <w:rStyle w:val="Hyperlink"/>
            <w:color w:val="auto"/>
          </w:rPr>
          <w:t>https://vktap.mk.gov.lv/meetings/headers/77c697b4-97a6-410d-a1e8-829bc4b1f3d2</w:t>
        </w:r>
      </w:hyperlink>
      <w:r w:rsidR="005735FB" w:rsidRPr="0081796C">
        <w:t xml:space="preserve"> </w:t>
      </w:r>
      <w:r w:rsidR="00911F3E" w:rsidRPr="0081796C">
        <w:t xml:space="preserve"> </w:t>
      </w:r>
    </w:p>
  </w:footnote>
  <w:footnote w:id="31">
    <w:p w14:paraId="7622AC73" w14:textId="617C8CFC" w:rsidR="00085786" w:rsidRDefault="00085786" w:rsidP="00085786">
      <w:pPr>
        <w:pStyle w:val="FootnoteText"/>
        <w:ind w:firstLine="0"/>
      </w:pPr>
      <w:r w:rsidRPr="0081796C">
        <w:rPr>
          <w:rStyle w:val="FootnoteReference"/>
        </w:rPr>
        <w:footnoteRef/>
      </w:r>
      <w:r w:rsidRPr="0081796C">
        <w:t xml:space="preserve"> Informatīvais ziņojums “Par valsts budžeta likumprojektā</w:t>
      </w:r>
      <w:r w:rsidR="005735FB" w:rsidRPr="0081796C">
        <w:t xml:space="preserve"> </w:t>
      </w:r>
      <w:r w:rsidRPr="0081796C">
        <w:t xml:space="preserve">iekļaujamiem prioritārajiem pasākumiem 2025., 2026., 2027. un 2028. gadam”, pieejams: </w:t>
      </w:r>
      <w:hyperlink r:id="rId14" w:history="1">
        <w:r w:rsidRPr="0081796C">
          <w:rPr>
            <w:rStyle w:val="Hyperlink"/>
            <w:color w:val="auto"/>
          </w:rPr>
          <w:t>https://tapportals.mk.gov.lv/legal_acts/4b64813a-3464-47ab-b910-33b059e7f284</w:t>
        </w:r>
      </w:hyperlink>
      <w:r w:rsidRPr="0081796C">
        <w:t xml:space="preserve"> </w:t>
      </w:r>
    </w:p>
  </w:footnote>
  <w:footnote w:id="32">
    <w:p w14:paraId="7F21A457" w14:textId="79937F98" w:rsidR="00315973" w:rsidRPr="00FF132B" w:rsidRDefault="00315973" w:rsidP="00D32A8E">
      <w:pPr>
        <w:pStyle w:val="FootnoteText"/>
        <w:ind w:firstLine="0"/>
        <w:jc w:val="left"/>
      </w:pPr>
      <w:r w:rsidRPr="0081796C">
        <w:rPr>
          <w:rStyle w:val="FootnoteReference"/>
        </w:rPr>
        <w:footnoteRef/>
      </w:r>
      <w:r w:rsidRPr="0081796C">
        <w:t xml:space="preserve"> </w:t>
      </w:r>
      <w:r w:rsidR="009F2411" w:rsidRPr="0081796C">
        <w:rPr>
          <w:i/>
          <w:iCs/>
        </w:rPr>
        <w:t>Eurostat</w:t>
      </w:r>
      <w:r w:rsidR="009F2411" w:rsidRPr="0081796C">
        <w:t xml:space="preserve"> datu bāze, informācija pieejama: </w:t>
      </w:r>
      <w:hyperlink r:id="rId15" w:history="1">
        <w:r w:rsidR="00085786" w:rsidRPr="0081796C">
          <w:rPr>
            <w:rStyle w:val="Hyperlink"/>
            <w:color w:val="auto"/>
          </w:rPr>
          <w:t>https://ec.europa.eu/eurostat/databrowser/view/gov_10a_exp/default/table?lang=en</w:t>
        </w:r>
      </w:hyperlink>
      <w:r w:rsidR="00085786" w:rsidRPr="0081796C">
        <w:t xml:space="preserve"> </w:t>
      </w:r>
      <w:r w:rsidR="00911F3E" w:rsidRPr="0081796C">
        <w:t xml:space="preserve"> </w:t>
      </w:r>
      <w:r w:rsidR="00085786" w:rsidRPr="0081796C">
        <w:t xml:space="preserve"> </w:t>
      </w:r>
    </w:p>
  </w:footnote>
  <w:footnote w:id="33">
    <w:p w14:paraId="6DECFC9C" w14:textId="321CE872" w:rsidR="00C7787C" w:rsidRDefault="00C7787C" w:rsidP="00C7787C">
      <w:pPr>
        <w:pStyle w:val="FootnoteText"/>
        <w:ind w:firstLine="0"/>
      </w:pPr>
      <w:r w:rsidRPr="0081796C">
        <w:rPr>
          <w:rStyle w:val="FootnoteReference"/>
        </w:rPr>
        <w:footnoteRef/>
      </w:r>
      <w:r w:rsidRPr="0081796C">
        <w:t xml:space="preserve"> </w:t>
      </w:r>
      <w:r w:rsidRPr="006A3169">
        <w:t xml:space="preserve">Informatīvais ziņojums “Par valsts budžeta likumprojektā iekļaujamiem prioritārajiem pasākumiem 2025., 2026., 2027. un 2028. gadam”, pieejams: </w:t>
      </w:r>
      <w:hyperlink r:id="rId16" w:history="1">
        <w:r w:rsidR="006A3169" w:rsidRPr="006A3169">
          <w:rPr>
            <w:rStyle w:val="Hyperlink"/>
            <w:color w:val="auto"/>
          </w:rPr>
          <w:t>https://tapportals.mk.gov.lv/legal_acts/4b64813a-3464-47ab-b910-33b059e7f284</w:t>
        </w:r>
      </w:hyperlink>
      <w:r w:rsidR="006A3169" w:rsidRPr="006A3169">
        <w:t xml:space="preserve">; </w:t>
      </w:r>
      <w:r w:rsidRPr="006A3169">
        <w:t xml:space="preserve">informatīvais ziņojums “Par valsts pamatbudžeta un valsts speciālā budžeta bāzi un izdevumu pārskatīšanas rezultātiem 2025., 2026., 2027. un 2028. gadam”, pieejams: </w:t>
      </w:r>
      <w:hyperlink r:id="rId17" w:history="1">
        <w:r w:rsidR="006A3169" w:rsidRPr="006A3169">
          <w:rPr>
            <w:rStyle w:val="Hyperlink"/>
            <w:color w:val="auto"/>
          </w:rPr>
          <w:t>https://tapportals.mk.gov.lv/legal_acts/c1294df5-abd1-4808-9547-e49ad5494929#</w:t>
        </w:r>
      </w:hyperlink>
      <w:r w:rsidR="006A3169" w:rsidRPr="006A3169">
        <w:t xml:space="preserve">; </w:t>
      </w:r>
      <w:r w:rsidRPr="006A3169">
        <w:t xml:space="preserve">informatīvais ziņojums “Par valsts budžeta ieņēmumu un nodokļu politikas pārskatīšanu 2025.-2027. gadā”, pieejams: </w:t>
      </w:r>
      <w:hyperlink r:id="rId18" w:history="1">
        <w:r w:rsidR="006A3169" w:rsidRPr="006A3169">
          <w:rPr>
            <w:rStyle w:val="Hyperlink"/>
            <w:color w:val="auto"/>
          </w:rPr>
          <w:t>https://tapportals.mk.gov.lv/legal_acts/efd239f3-9bcd-4b5c-ae73-60750ace3d9d</w:t>
        </w:r>
      </w:hyperlink>
      <w:r w:rsidR="006A3169" w:rsidRPr="006A3169">
        <w:t xml:space="preserve"> </w:t>
      </w:r>
    </w:p>
  </w:footnote>
  <w:footnote w:id="34">
    <w:p w14:paraId="420D8FE7" w14:textId="77777777" w:rsidR="008349F0" w:rsidRPr="00AE0B8A" w:rsidRDefault="008349F0" w:rsidP="008349F0">
      <w:pPr>
        <w:pStyle w:val="FootnoteText"/>
        <w:ind w:firstLine="0"/>
      </w:pPr>
      <w:r w:rsidRPr="00AE0B8A">
        <w:rPr>
          <w:vertAlign w:val="superscript"/>
        </w:rPr>
        <w:footnoteRef/>
      </w:r>
      <w:r w:rsidRPr="00AE0B8A">
        <w:t xml:space="preserve"> Neieskaitot VSAOI fondēto pensiju shēmā.</w:t>
      </w:r>
    </w:p>
  </w:footnote>
  <w:footnote w:id="35">
    <w:p w14:paraId="5F7AC033" w14:textId="7119E1E5" w:rsidR="0003379A" w:rsidRPr="0034370C" w:rsidRDefault="0003379A" w:rsidP="00165D47">
      <w:pPr>
        <w:pStyle w:val="FootnoteText"/>
        <w:ind w:firstLine="0"/>
        <w:jc w:val="left"/>
        <w:rPr>
          <w:rFonts w:cs="Times New Roman"/>
        </w:rPr>
      </w:pPr>
      <w:r w:rsidRPr="00165D47">
        <w:rPr>
          <w:vertAlign w:val="superscript"/>
        </w:rPr>
        <w:footnoteRef/>
      </w:r>
      <w:r w:rsidRPr="00165D47">
        <w:rPr>
          <w:vertAlign w:val="superscript"/>
        </w:rPr>
        <w:t xml:space="preserve"> </w:t>
      </w:r>
      <w:r w:rsidRPr="006609F7">
        <w:t xml:space="preserve">Padomes </w:t>
      </w:r>
      <w:r w:rsidR="00D861C6" w:rsidRPr="0034370C">
        <w:rPr>
          <w:rFonts w:cs="Times New Roman"/>
        </w:rPr>
        <w:t>1987. gada 23. jūlij</w:t>
      </w:r>
      <w:r w:rsidR="00D861C6">
        <w:rPr>
          <w:rFonts w:cs="Times New Roman"/>
        </w:rPr>
        <w:t>a</w:t>
      </w:r>
      <w:r w:rsidR="00D861C6" w:rsidRPr="006609F7">
        <w:t xml:space="preserve"> </w:t>
      </w:r>
      <w:r w:rsidRPr="006609F7">
        <w:t xml:space="preserve">Regula (EEK) Nr. </w:t>
      </w:r>
      <w:r w:rsidRPr="0034370C">
        <w:rPr>
          <w:rFonts w:cs="Times New Roman"/>
        </w:rPr>
        <w:t xml:space="preserve">2658/87 par tarifu un statistikas nomenklatūru un kopējo muitas tarifu </w:t>
      </w:r>
      <w:r w:rsidR="00D861C6">
        <w:rPr>
          <w:rFonts w:cs="Times New Roman"/>
        </w:rPr>
        <w:t xml:space="preserve">, pieejama: </w:t>
      </w:r>
      <w:r w:rsidRPr="0034370C">
        <w:rPr>
          <w:rFonts w:cs="Times New Roman"/>
        </w:rPr>
        <w:t>https://eur-lex.</w:t>
      </w:r>
      <w:r w:rsidRPr="0034370C">
        <w:rPr>
          <w:rFonts w:cs="Times New Roman"/>
          <w:i/>
        </w:rPr>
        <w:t>euro</w:t>
      </w:r>
      <w:r w:rsidRPr="0034370C">
        <w:rPr>
          <w:rFonts w:cs="Times New Roman"/>
        </w:rPr>
        <w:t>pa.eu/legal-content/LV/TXT/HTML/?uri=CELEX:01987R2658-20230617</w:t>
      </w:r>
    </w:p>
  </w:footnote>
  <w:footnote w:id="36">
    <w:p w14:paraId="7263C7E2" w14:textId="4FEC2B9D" w:rsidR="00F7329E" w:rsidRDefault="00F7329E" w:rsidP="00F7329E">
      <w:pPr>
        <w:pStyle w:val="FootnoteText"/>
        <w:ind w:firstLine="0"/>
        <w:jc w:val="left"/>
      </w:pPr>
      <w:r>
        <w:rPr>
          <w:rStyle w:val="FootnoteReference"/>
        </w:rPr>
        <w:footnoteRef/>
      </w:r>
      <w:r>
        <w:t xml:space="preserve"> </w:t>
      </w:r>
      <w:r w:rsidRPr="00A17293">
        <w:rPr>
          <w:b/>
        </w:rPr>
        <w:t>Vispārējās valdības parāds</w:t>
      </w:r>
      <w:r>
        <w:t xml:space="preserve"> tiek noteikts </w:t>
      </w:r>
      <w:r w:rsidRPr="00A17293">
        <w:t xml:space="preserve">atbilstoši EKS 2010 metodoloģijai (kopējais bruto parāds nominālvērtībā, kas nav nomaksāts gada </w:t>
      </w:r>
      <w:r w:rsidRPr="0081796C">
        <w:t>beigās un konsolidēts starp vispārējās valdības sektoriem un to</w:t>
      </w:r>
      <w:r w:rsidR="0081796C" w:rsidRPr="0081796C">
        <w:t xml:space="preserve"> ietvaros). Sk. vairāk </w:t>
      </w:r>
      <w:hyperlink r:id="rId19" w:history="1">
        <w:r w:rsidR="0081796C" w:rsidRPr="0081796C">
          <w:rPr>
            <w:rStyle w:val="Hyperlink"/>
            <w:color w:val="auto"/>
          </w:rPr>
          <w:t>https://data.europa.eu/data/datasets/dxhij18bl61dkx4xdskolw?locale=lv</w:t>
        </w:r>
      </w:hyperlink>
      <w:r w:rsidR="0081796C" w:rsidRPr="0081796C">
        <w:t xml:space="preserve"> un </w:t>
      </w:r>
      <w:hyperlink r:id="rId20" w:history="1">
        <w:r w:rsidR="0081796C" w:rsidRPr="0081796C">
          <w:rPr>
            <w:rStyle w:val="Hyperlink"/>
            <w:color w:val="auto"/>
          </w:rPr>
          <w:t>https://www.kase.gov.lv/valsts-parada-vadiba/kas-ir-valsts-parads</w:t>
        </w:r>
      </w:hyperlink>
      <w:r w:rsidR="0081796C" w:rsidRPr="0081796C">
        <w:t xml:space="preserve"> </w:t>
      </w:r>
    </w:p>
  </w:footnote>
  <w:footnote w:id="37">
    <w:p w14:paraId="78F80E8D" w14:textId="77777777" w:rsidR="00F7329E" w:rsidRDefault="00F7329E" w:rsidP="00F7329E">
      <w:pPr>
        <w:pStyle w:val="FootnoteText"/>
        <w:ind w:firstLine="0"/>
      </w:pPr>
      <w:r>
        <w:rPr>
          <w:rStyle w:val="FootnoteReference"/>
        </w:rPr>
        <w:footnoteRef/>
      </w:r>
      <w:r>
        <w:t xml:space="preserve"> </w:t>
      </w:r>
      <w:r>
        <w:rPr>
          <w:b/>
        </w:rPr>
        <w:t>V</w:t>
      </w:r>
      <w:r w:rsidRPr="00A17293">
        <w:rPr>
          <w:b/>
        </w:rPr>
        <w:t>alsts parāds</w:t>
      </w:r>
      <w:r w:rsidRPr="00A17293">
        <w:t xml:space="preserve"> tiek noteikts atbilstoši nacionālajai metodoloģijai saskaņā ar Likumu par budžetu un finanšu vadību un to veido valsts struktūru saņemtais un neatmaksātais parāds nominālvērtībā šādās finanšu instrumentu kategorijās: emitētie valsts vērtspapīri, aizņēmumi, krājobligācijas, bezprocentu obligācijas, kā arī klientu (izņemot valsts struktūru, tai skaitā valsts sociālas apdrošināšanas struktūru, bet ieskaitot valsts struktūru kontrolēto un finansēto komersantu, pašvaldību un to kontrolēto komercsabiedrību) Valsts kasē izvietot</w:t>
      </w:r>
      <w:r>
        <w:t xml:space="preserve">ie depozīti un kontu atlikumi, kā arī </w:t>
      </w:r>
      <w:r w:rsidRPr="002178EC">
        <w:t>Valsts kases administrētajiem aizņēmumiem un parāda vērtspapīriem piesaistīto atvasināto finanšu instrumentu (AFI) valūtas rezultāts</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0CD750" w14:textId="170906D9" w:rsidR="009B278A" w:rsidRDefault="00BF5C56" w:rsidP="009B278A">
    <w:pPr>
      <w:tabs>
        <w:tab w:val="center" w:pos="4153"/>
        <w:tab w:val="right" w:pos="8306"/>
      </w:tabs>
      <w:jc w:val="center"/>
      <w:rPr>
        <w:noProof/>
      </w:rPr>
    </w:pPr>
    <w:sdt>
      <w:sdtPr>
        <w:id w:val="-641885071"/>
        <w:docPartObj>
          <w:docPartGallery w:val="Page Numbers (Top of Page)"/>
          <w:docPartUnique/>
        </w:docPartObj>
      </w:sdtPr>
      <w:sdtEndPr>
        <w:rPr>
          <w:noProof/>
        </w:rPr>
      </w:sdtEndPr>
      <w:sdtContent>
        <w:r w:rsidR="009B278A">
          <w:fldChar w:fldCharType="begin"/>
        </w:r>
        <w:r w:rsidR="009B278A">
          <w:instrText xml:space="preserve"> PAGE   \* MERGEFORMAT </w:instrText>
        </w:r>
        <w:r w:rsidR="009B278A">
          <w:fldChar w:fldCharType="separate"/>
        </w:r>
        <w:r w:rsidR="009B278A">
          <w:rPr>
            <w:noProof/>
          </w:rPr>
          <w:t>2</w:t>
        </w:r>
        <w:r w:rsidR="009B278A">
          <w:rPr>
            <w:noProof/>
          </w:rPr>
          <w:fldChar w:fldCharType="end"/>
        </w:r>
      </w:sdtContent>
    </w:sdt>
  </w:p>
  <w:p w14:paraId="41A4ED49" w14:textId="13915934" w:rsidR="009B278A" w:rsidRPr="009B278A" w:rsidRDefault="009B278A" w:rsidP="009B278A">
    <w:pPr>
      <w:tabs>
        <w:tab w:val="center" w:pos="4153"/>
        <w:tab w:val="right" w:pos="8306"/>
      </w:tabs>
      <w:jc w:val="right"/>
      <w:rPr>
        <w:rFonts w:cs="Times New Roman"/>
        <w:noProof/>
        <w:szCs w:val="24"/>
      </w:rPr>
    </w:pPr>
    <w:r w:rsidRPr="008359A6">
      <w:rPr>
        <w:rFonts w:cs="Times New Roman"/>
        <w:sz w:val="20"/>
        <w:szCs w:val="20"/>
      </w:rPr>
      <w:t>Budžeta ietvars 202</w:t>
    </w:r>
    <w:r>
      <w:rPr>
        <w:rFonts w:cs="Times New Roman"/>
        <w:sz w:val="20"/>
        <w:szCs w:val="20"/>
      </w:rPr>
      <w:t>5</w:t>
    </w:r>
    <w:r w:rsidRPr="008359A6">
      <w:rPr>
        <w:rFonts w:cs="Times New Roman"/>
        <w:sz w:val="20"/>
        <w:szCs w:val="20"/>
      </w:rPr>
      <w:t>., 202</w:t>
    </w:r>
    <w:r>
      <w:rPr>
        <w:rFonts w:cs="Times New Roman"/>
        <w:sz w:val="20"/>
        <w:szCs w:val="20"/>
      </w:rPr>
      <w:t>6</w:t>
    </w:r>
    <w:r w:rsidRPr="008359A6">
      <w:rPr>
        <w:rFonts w:cs="Times New Roman"/>
        <w:sz w:val="20"/>
        <w:szCs w:val="20"/>
      </w:rPr>
      <w:t>. un 202</w:t>
    </w:r>
    <w:r>
      <w:rPr>
        <w:rFonts w:cs="Times New Roman"/>
        <w:sz w:val="20"/>
        <w:szCs w:val="20"/>
      </w:rPr>
      <w:t>7</w:t>
    </w:r>
    <w:r w:rsidRPr="008359A6">
      <w:rPr>
        <w:rFonts w:cs="Times New Roman"/>
        <w:sz w:val="20"/>
        <w:szCs w:val="20"/>
      </w:rPr>
      <w:t>. gadam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12251628"/>
      <w:docPartObj>
        <w:docPartGallery w:val="Page Numbers (Top of Page)"/>
        <w:docPartUnique/>
      </w:docPartObj>
    </w:sdtPr>
    <w:sdtEndPr>
      <w:rPr>
        <w:rFonts w:cs="Times New Roman"/>
        <w:noProof/>
        <w:szCs w:val="24"/>
      </w:rPr>
    </w:sdtEndPr>
    <w:sdtContent>
      <w:p w14:paraId="1F108A9C" w14:textId="77777777" w:rsidR="008359A6" w:rsidRPr="008359A6" w:rsidRDefault="008359A6" w:rsidP="008359A6">
        <w:pPr>
          <w:tabs>
            <w:tab w:val="center" w:pos="4153"/>
            <w:tab w:val="right" w:pos="8306"/>
          </w:tabs>
          <w:jc w:val="center"/>
          <w:rPr>
            <w:rFonts w:cs="Times New Roman"/>
            <w:noProof/>
            <w:szCs w:val="24"/>
          </w:rPr>
        </w:pPr>
        <w:r w:rsidRPr="008359A6">
          <w:rPr>
            <w:rFonts w:cs="Times New Roman"/>
            <w:szCs w:val="24"/>
          </w:rPr>
          <w:fldChar w:fldCharType="begin"/>
        </w:r>
        <w:r w:rsidRPr="008359A6">
          <w:rPr>
            <w:rFonts w:cs="Times New Roman"/>
            <w:szCs w:val="24"/>
          </w:rPr>
          <w:instrText xml:space="preserve"> PAGE   \* MERGEFORMAT </w:instrText>
        </w:r>
        <w:r w:rsidRPr="008359A6">
          <w:rPr>
            <w:rFonts w:cs="Times New Roman"/>
            <w:szCs w:val="24"/>
          </w:rPr>
          <w:fldChar w:fldCharType="separate"/>
        </w:r>
        <w:r w:rsidRPr="008359A6">
          <w:rPr>
            <w:rFonts w:cs="Times New Roman"/>
            <w:szCs w:val="24"/>
          </w:rPr>
          <w:t>3</w:t>
        </w:r>
        <w:r w:rsidRPr="008359A6">
          <w:rPr>
            <w:rFonts w:cs="Times New Roman"/>
            <w:noProof/>
            <w:szCs w:val="24"/>
          </w:rPr>
          <w:fldChar w:fldCharType="end"/>
        </w:r>
      </w:p>
      <w:p w14:paraId="58A23BC4" w14:textId="2F2D2A59" w:rsidR="008359A6" w:rsidRPr="008359A6" w:rsidRDefault="008359A6" w:rsidP="008359A6">
        <w:pPr>
          <w:tabs>
            <w:tab w:val="center" w:pos="4153"/>
            <w:tab w:val="right" w:pos="8306"/>
          </w:tabs>
          <w:jc w:val="right"/>
          <w:rPr>
            <w:rFonts w:cs="Times New Roman"/>
            <w:noProof/>
            <w:szCs w:val="24"/>
          </w:rPr>
        </w:pPr>
        <w:r w:rsidRPr="008359A6">
          <w:rPr>
            <w:rFonts w:cs="Times New Roman"/>
            <w:sz w:val="20"/>
            <w:szCs w:val="20"/>
          </w:rPr>
          <w:t>Budžeta ietvars 202</w:t>
        </w:r>
        <w:r w:rsidR="008C0403">
          <w:rPr>
            <w:rFonts w:cs="Times New Roman"/>
            <w:sz w:val="20"/>
            <w:szCs w:val="20"/>
          </w:rPr>
          <w:t>5</w:t>
        </w:r>
        <w:r w:rsidRPr="008359A6">
          <w:rPr>
            <w:rFonts w:cs="Times New Roman"/>
            <w:sz w:val="20"/>
            <w:szCs w:val="20"/>
          </w:rPr>
          <w:t>., 202</w:t>
        </w:r>
        <w:r w:rsidR="008C0403">
          <w:rPr>
            <w:rFonts w:cs="Times New Roman"/>
            <w:sz w:val="20"/>
            <w:szCs w:val="20"/>
          </w:rPr>
          <w:t>6</w:t>
        </w:r>
        <w:r w:rsidRPr="008359A6">
          <w:rPr>
            <w:rFonts w:cs="Times New Roman"/>
            <w:sz w:val="20"/>
            <w:szCs w:val="20"/>
          </w:rPr>
          <w:t>. un 202</w:t>
        </w:r>
        <w:r w:rsidR="008C0403">
          <w:rPr>
            <w:rFonts w:cs="Times New Roman"/>
            <w:sz w:val="20"/>
            <w:szCs w:val="20"/>
          </w:rPr>
          <w:t>7</w:t>
        </w:r>
        <w:r w:rsidRPr="008359A6">
          <w:rPr>
            <w:rFonts w:cs="Times New Roman"/>
            <w:sz w:val="20"/>
            <w:szCs w:val="20"/>
          </w:rPr>
          <w:t>. gadam</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F202B1"/>
    <w:multiLevelType w:val="multilevel"/>
    <w:tmpl w:val="CBEE1026"/>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04A97A5A"/>
    <w:multiLevelType w:val="multilevel"/>
    <w:tmpl w:val="A8902754"/>
    <w:lvl w:ilvl="0">
      <w:start w:val="1"/>
      <w:numFmt w:val="decimal"/>
      <w:pStyle w:val="H1"/>
      <w:lvlText w:val="%1."/>
      <w:lvlJc w:val="left"/>
      <w:pPr>
        <w:ind w:left="675" w:hanging="675"/>
      </w:pPr>
      <w:rPr>
        <w:rFonts w:hint="default"/>
      </w:rPr>
    </w:lvl>
    <w:lvl w:ilvl="1">
      <w:start w:val="2"/>
      <w:numFmt w:val="decimal"/>
      <w:lvlText w:val="%1.%2."/>
      <w:lvlJc w:val="left"/>
      <w:pPr>
        <w:ind w:left="720" w:hanging="72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5C32C5C"/>
    <w:multiLevelType w:val="hybridMultilevel"/>
    <w:tmpl w:val="0EC6157E"/>
    <w:lvl w:ilvl="0" w:tplc="04260001">
      <w:start w:val="1"/>
      <w:numFmt w:val="bullet"/>
      <w:lvlText w:val=""/>
      <w:lvlJc w:val="left"/>
      <w:pPr>
        <w:ind w:left="1276" w:hanging="360"/>
      </w:pPr>
      <w:rPr>
        <w:rFonts w:ascii="Symbol" w:hAnsi="Symbol" w:hint="default"/>
      </w:rPr>
    </w:lvl>
    <w:lvl w:ilvl="1" w:tplc="04260003" w:tentative="1">
      <w:start w:val="1"/>
      <w:numFmt w:val="bullet"/>
      <w:lvlText w:val="o"/>
      <w:lvlJc w:val="left"/>
      <w:pPr>
        <w:ind w:left="1996" w:hanging="360"/>
      </w:pPr>
      <w:rPr>
        <w:rFonts w:ascii="Courier New" w:hAnsi="Courier New" w:cs="Courier New" w:hint="default"/>
      </w:rPr>
    </w:lvl>
    <w:lvl w:ilvl="2" w:tplc="04260005" w:tentative="1">
      <w:start w:val="1"/>
      <w:numFmt w:val="bullet"/>
      <w:lvlText w:val=""/>
      <w:lvlJc w:val="left"/>
      <w:pPr>
        <w:ind w:left="2716" w:hanging="360"/>
      </w:pPr>
      <w:rPr>
        <w:rFonts w:ascii="Wingdings" w:hAnsi="Wingdings" w:hint="default"/>
      </w:rPr>
    </w:lvl>
    <w:lvl w:ilvl="3" w:tplc="04260001" w:tentative="1">
      <w:start w:val="1"/>
      <w:numFmt w:val="bullet"/>
      <w:lvlText w:val=""/>
      <w:lvlJc w:val="left"/>
      <w:pPr>
        <w:ind w:left="3436" w:hanging="360"/>
      </w:pPr>
      <w:rPr>
        <w:rFonts w:ascii="Symbol" w:hAnsi="Symbol" w:hint="default"/>
      </w:rPr>
    </w:lvl>
    <w:lvl w:ilvl="4" w:tplc="04260003" w:tentative="1">
      <w:start w:val="1"/>
      <w:numFmt w:val="bullet"/>
      <w:lvlText w:val="o"/>
      <w:lvlJc w:val="left"/>
      <w:pPr>
        <w:ind w:left="4156" w:hanging="360"/>
      </w:pPr>
      <w:rPr>
        <w:rFonts w:ascii="Courier New" w:hAnsi="Courier New" w:cs="Courier New" w:hint="default"/>
      </w:rPr>
    </w:lvl>
    <w:lvl w:ilvl="5" w:tplc="04260005" w:tentative="1">
      <w:start w:val="1"/>
      <w:numFmt w:val="bullet"/>
      <w:lvlText w:val=""/>
      <w:lvlJc w:val="left"/>
      <w:pPr>
        <w:ind w:left="4876" w:hanging="360"/>
      </w:pPr>
      <w:rPr>
        <w:rFonts w:ascii="Wingdings" w:hAnsi="Wingdings" w:hint="default"/>
      </w:rPr>
    </w:lvl>
    <w:lvl w:ilvl="6" w:tplc="04260001" w:tentative="1">
      <w:start w:val="1"/>
      <w:numFmt w:val="bullet"/>
      <w:lvlText w:val=""/>
      <w:lvlJc w:val="left"/>
      <w:pPr>
        <w:ind w:left="5596" w:hanging="360"/>
      </w:pPr>
      <w:rPr>
        <w:rFonts w:ascii="Symbol" w:hAnsi="Symbol" w:hint="default"/>
      </w:rPr>
    </w:lvl>
    <w:lvl w:ilvl="7" w:tplc="04260003" w:tentative="1">
      <w:start w:val="1"/>
      <w:numFmt w:val="bullet"/>
      <w:lvlText w:val="o"/>
      <w:lvlJc w:val="left"/>
      <w:pPr>
        <w:ind w:left="6316" w:hanging="360"/>
      </w:pPr>
      <w:rPr>
        <w:rFonts w:ascii="Courier New" w:hAnsi="Courier New" w:cs="Courier New" w:hint="default"/>
      </w:rPr>
    </w:lvl>
    <w:lvl w:ilvl="8" w:tplc="04260005" w:tentative="1">
      <w:start w:val="1"/>
      <w:numFmt w:val="bullet"/>
      <w:lvlText w:val=""/>
      <w:lvlJc w:val="left"/>
      <w:pPr>
        <w:ind w:left="7036" w:hanging="360"/>
      </w:pPr>
      <w:rPr>
        <w:rFonts w:ascii="Wingdings" w:hAnsi="Wingdings" w:hint="default"/>
      </w:rPr>
    </w:lvl>
  </w:abstractNum>
  <w:abstractNum w:abstractNumId="3" w15:restartNumberingAfterBreak="0">
    <w:nsid w:val="062612BE"/>
    <w:multiLevelType w:val="multilevel"/>
    <w:tmpl w:val="775A231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9AC4078"/>
    <w:multiLevelType w:val="hybridMultilevel"/>
    <w:tmpl w:val="3386088A"/>
    <w:lvl w:ilvl="0" w:tplc="FFFFFFFF">
      <w:start w:val="1"/>
      <w:numFmt w:val="decimal"/>
      <w:lvlText w:val="%1)"/>
      <w:lvlJc w:val="left"/>
      <w:pPr>
        <w:ind w:left="1080" w:hanging="360"/>
      </w:pPr>
      <w:rPr>
        <w:rFonts w:hint="default"/>
      </w:rPr>
    </w:lvl>
    <w:lvl w:ilvl="1" w:tplc="FFFFFFFF">
      <w:start w:val="1"/>
      <w:numFmt w:val="lowerLetter"/>
      <w:lvlText w:val="%2)"/>
      <w:lvlJc w:val="left"/>
      <w:pPr>
        <w:ind w:left="1440" w:hanging="360"/>
      </w:pPr>
      <w:rPr>
        <w:rFonts w:ascii="Times New Roman" w:eastAsia="Times New Roman" w:hAnsi="Times New Roman" w:cs="Times New Roman"/>
      </w:rPr>
    </w:lvl>
    <w:lvl w:ilvl="2" w:tplc="FFFFFFFF">
      <w:start w:val="2"/>
      <w:numFmt w:val="bullet"/>
      <w:lvlText w:val="-"/>
      <w:lvlJc w:val="left"/>
      <w:pPr>
        <w:ind w:left="2340" w:hanging="360"/>
      </w:pPr>
      <w:rPr>
        <w:rFonts w:ascii="Times New Roman" w:eastAsiaTheme="minorEastAsia" w:hAnsi="Times New Roman" w:cs="Times New Roman" w:hint="default"/>
      </w:rPr>
    </w:lvl>
    <w:lvl w:ilvl="3" w:tplc="FFFFFFFF">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1B3975"/>
    <w:multiLevelType w:val="hybridMultilevel"/>
    <w:tmpl w:val="0AB892E8"/>
    <w:lvl w:ilvl="0" w:tplc="04260005">
      <w:start w:val="1"/>
      <w:numFmt w:val="bullet"/>
      <w:lvlText w:val=""/>
      <w:lvlJc w:val="left"/>
      <w:pPr>
        <w:ind w:left="1429" w:hanging="360"/>
      </w:pPr>
      <w:rPr>
        <w:rFonts w:ascii="Wingdings" w:hAnsi="Wingding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6" w15:restartNumberingAfterBreak="0">
    <w:nsid w:val="19643CE5"/>
    <w:multiLevelType w:val="hybridMultilevel"/>
    <w:tmpl w:val="D0721A7E"/>
    <w:lvl w:ilvl="0" w:tplc="3B383F78">
      <w:start w:val="1"/>
      <w:numFmt w:val="bullet"/>
      <w:lvlText w:val=""/>
      <w:lvlJc w:val="righ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 w15:restartNumberingAfterBreak="0">
    <w:nsid w:val="22071755"/>
    <w:multiLevelType w:val="multilevel"/>
    <w:tmpl w:val="5634A306"/>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6D61DE7"/>
    <w:multiLevelType w:val="multilevel"/>
    <w:tmpl w:val="C02CE7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Heading3"/>
      <w:lvlText w:val="%1.%2.%3."/>
      <w:lvlJc w:val="left"/>
      <w:pPr>
        <w:ind w:left="3623"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3EA660D"/>
    <w:multiLevelType w:val="hybridMultilevel"/>
    <w:tmpl w:val="00925BF4"/>
    <w:lvl w:ilvl="0" w:tplc="644422E2">
      <w:start w:val="1"/>
      <w:numFmt w:val="decimal"/>
      <w:lvlText w:val="%1."/>
      <w:lvlJc w:val="left"/>
      <w:pPr>
        <w:ind w:left="360" w:hanging="360"/>
      </w:pPr>
      <w:rPr>
        <w:color w:val="auto"/>
      </w:rPr>
    </w:lvl>
    <w:lvl w:ilvl="1" w:tplc="04260019" w:tentative="1">
      <w:start w:val="1"/>
      <w:numFmt w:val="lowerLetter"/>
      <w:lvlText w:val="%2."/>
      <w:lvlJc w:val="left"/>
      <w:pPr>
        <w:ind w:left="1080" w:hanging="360"/>
      </w:pPr>
    </w:lvl>
    <w:lvl w:ilvl="2" w:tplc="0426001B" w:tentative="1">
      <w:start w:val="1"/>
      <w:numFmt w:val="lowerRoman"/>
      <w:lvlText w:val="%3."/>
      <w:lvlJc w:val="right"/>
      <w:pPr>
        <w:ind w:left="1800" w:hanging="180"/>
      </w:pPr>
    </w:lvl>
    <w:lvl w:ilvl="3" w:tplc="0426000F" w:tentative="1">
      <w:start w:val="1"/>
      <w:numFmt w:val="decimal"/>
      <w:lvlText w:val="%4."/>
      <w:lvlJc w:val="left"/>
      <w:pPr>
        <w:ind w:left="2520" w:hanging="360"/>
      </w:pPr>
    </w:lvl>
    <w:lvl w:ilvl="4" w:tplc="04260019" w:tentative="1">
      <w:start w:val="1"/>
      <w:numFmt w:val="lowerLetter"/>
      <w:lvlText w:val="%5."/>
      <w:lvlJc w:val="left"/>
      <w:pPr>
        <w:ind w:left="3240" w:hanging="360"/>
      </w:pPr>
    </w:lvl>
    <w:lvl w:ilvl="5" w:tplc="0426001B" w:tentative="1">
      <w:start w:val="1"/>
      <w:numFmt w:val="lowerRoman"/>
      <w:lvlText w:val="%6."/>
      <w:lvlJc w:val="right"/>
      <w:pPr>
        <w:ind w:left="3960" w:hanging="180"/>
      </w:pPr>
    </w:lvl>
    <w:lvl w:ilvl="6" w:tplc="0426000F" w:tentative="1">
      <w:start w:val="1"/>
      <w:numFmt w:val="decimal"/>
      <w:lvlText w:val="%7."/>
      <w:lvlJc w:val="left"/>
      <w:pPr>
        <w:ind w:left="4680" w:hanging="360"/>
      </w:pPr>
    </w:lvl>
    <w:lvl w:ilvl="7" w:tplc="04260019" w:tentative="1">
      <w:start w:val="1"/>
      <w:numFmt w:val="lowerLetter"/>
      <w:lvlText w:val="%8."/>
      <w:lvlJc w:val="left"/>
      <w:pPr>
        <w:ind w:left="5400" w:hanging="360"/>
      </w:pPr>
    </w:lvl>
    <w:lvl w:ilvl="8" w:tplc="0426001B" w:tentative="1">
      <w:start w:val="1"/>
      <w:numFmt w:val="lowerRoman"/>
      <w:lvlText w:val="%9."/>
      <w:lvlJc w:val="right"/>
      <w:pPr>
        <w:ind w:left="6120" w:hanging="180"/>
      </w:pPr>
    </w:lvl>
  </w:abstractNum>
  <w:abstractNum w:abstractNumId="10" w15:restartNumberingAfterBreak="0">
    <w:nsid w:val="38F424D0"/>
    <w:multiLevelType w:val="multilevel"/>
    <w:tmpl w:val="F9AA900C"/>
    <w:lvl w:ilvl="0">
      <w:start w:val="1"/>
      <w:numFmt w:val="decimal"/>
      <w:lvlRestart w:val="0"/>
      <w:pStyle w:val="Point123"/>
      <w:lvlText w:val="%1."/>
      <w:lvlJc w:val="left"/>
      <w:pPr>
        <w:tabs>
          <w:tab w:val="num" w:pos="567"/>
        </w:tabs>
        <w:ind w:left="567" w:hanging="567"/>
      </w:pPr>
      <w:rPr>
        <w:rFonts w:ascii="Times New Roman" w:eastAsia="Times New Roman" w:hAnsi="Times New Roman" w:cs="Times New Roman" w:hint="default"/>
      </w:rPr>
    </w:lvl>
    <w:lvl w:ilvl="1">
      <w:start w:val="1"/>
      <w:numFmt w:val="lowerLetter"/>
      <w:pStyle w:val="Pointabc"/>
      <w:lvlText w:val="%2)"/>
      <w:lvlJc w:val="left"/>
      <w:pPr>
        <w:tabs>
          <w:tab w:val="num" w:pos="567"/>
        </w:tabs>
        <w:ind w:left="567" w:hanging="567"/>
      </w:pPr>
      <w:rPr>
        <w:rFonts w:hint="default"/>
      </w:rPr>
    </w:lvl>
    <w:lvl w:ilvl="2">
      <w:start w:val="1"/>
      <w:numFmt w:val="decimal"/>
      <w:pStyle w:val="Point1231"/>
      <w:lvlText w:val="%3."/>
      <w:lvlJc w:val="left"/>
      <w:pPr>
        <w:tabs>
          <w:tab w:val="num" w:pos="993"/>
        </w:tabs>
        <w:ind w:left="993" w:hanging="567"/>
      </w:pPr>
      <w:rPr>
        <w:rFonts w:hint="default"/>
      </w:rPr>
    </w:lvl>
    <w:lvl w:ilvl="3">
      <w:start w:val="1"/>
      <w:numFmt w:val="lowerLetter"/>
      <w:pStyle w:val="Pointabc1"/>
      <w:lvlText w:val="%4)"/>
      <w:lvlJc w:val="left"/>
      <w:pPr>
        <w:tabs>
          <w:tab w:val="num" w:pos="1134"/>
        </w:tabs>
        <w:ind w:left="1134" w:hanging="567"/>
      </w:pPr>
      <w:rPr>
        <w:rFonts w:hint="default"/>
      </w:rPr>
    </w:lvl>
    <w:lvl w:ilvl="4">
      <w:start w:val="1"/>
      <w:numFmt w:val="decimal"/>
      <w:pStyle w:val="Point1232"/>
      <w:lvlText w:val="%5."/>
      <w:lvlJc w:val="left"/>
      <w:pPr>
        <w:tabs>
          <w:tab w:val="num" w:pos="1701"/>
        </w:tabs>
        <w:ind w:left="1701" w:hanging="567"/>
      </w:pPr>
      <w:rPr>
        <w:rFonts w:hint="default"/>
      </w:rPr>
    </w:lvl>
    <w:lvl w:ilvl="5">
      <w:start w:val="1"/>
      <w:numFmt w:val="lowerLetter"/>
      <w:pStyle w:val="Pointabc2"/>
      <w:lvlText w:val="%6)"/>
      <w:lvlJc w:val="left"/>
      <w:pPr>
        <w:tabs>
          <w:tab w:val="num" w:pos="1701"/>
        </w:tabs>
        <w:ind w:left="1701" w:hanging="567"/>
      </w:pPr>
      <w:rPr>
        <w:rFonts w:hint="default"/>
      </w:rPr>
    </w:lvl>
    <w:lvl w:ilvl="6">
      <w:start w:val="1"/>
      <w:numFmt w:val="decimal"/>
      <w:pStyle w:val="Point1233"/>
      <w:lvlText w:val="%7."/>
      <w:lvlJc w:val="left"/>
      <w:pPr>
        <w:tabs>
          <w:tab w:val="num" w:pos="2268"/>
        </w:tabs>
        <w:ind w:left="2268" w:hanging="567"/>
      </w:pPr>
      <w:rPr>
        <w:rFonts w:hint="default"/>
      </w:rPr>
    </w:lvl>
    <w:lvl w:ilvl="7">
      <w:start w:val="1"/>
      <w:numFmt w:val="lowerLetter"/>
      <w:pStyle w:val="Pointabc3"/>
      <w:lvlText w:val="%8)"/>
      <w:lvlJc w:val="left"/>
      <w:pPr>
        <w:tabs>
          <w:tab w:val="num" w:pos="2268"/>
        </w:tabs>
        <w:ind w:left="2268" w:hanging="567"/>
      </w:pPr>
      <w:rPr>
        <w:rFonts w:hint="default"/>
      </w:rPr>
    </w:lvl>
    <w:lvl w:ilvl="8">
      <w:start w:val="1"/>
      <w:numFmt w:val="lowerLetter"/>
      <w:pStyle w:val="Pointabc4"/>
      <w:lvlText w:val="%9)"/>
      <w:lvlJc w:val="left"/>
      <w:pPr>
        <w:tabs>
          <w:tab w:val="num" w:pos="2835"/>
        </w:tabs>
        <w:ind w:left="2835" w:hanging="567"/>
      </w:pPr>
      <w:rPr>
        <w:rFonts w:hint="default"/>
      </w:rPr>
    </w:lvl>
  </w:abstractNum>
  <w:abstractNum w:abstractNumId="11" w15:restartNumberingAfterBreak="0">
    <w:nsid w:val="3F2B27A3"/>
    <w:multiLevelType w:val="multilevel"/>
    <w:tmpl w:val="85F456BA"/>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4E722E00"/>
    <w:multiLevelType w:val="hybridMultilevel"/>
    <w:tmpl w:val="E642271E"/>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13" w15:restartNumberingAfterBreak="0">
    <w:nsid w:val="4EBA7C3B"/>
    <w:multiLevelType w:val="hybridMultilevel"/>
    <w:tmpl w:val="E12A98CA"/>
    <w:lvl w:ilvl="0" w:tplc="0426000F">
      <w:start w:val="1"/>
      <w:numFmt w:val="decimal"/>
      <w:lvlText w:val="%1."/>
      <w:lvlJc w:val="left"/>
      <w:pPr>
        <w:ind w:left="1440" w:hanging="360"/>
      </w:pPr>
      <w:rPr>
        <w:rFonts w:hint="default"/>
        <w:sz w:val="24"/>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 w15:restartNumberingAfterBreak="0">
    <w:nsid w:val="51B72FD1"/>
    <w:multiLevelType w:val="multilevel"/>
    <w:tmpl w:val="5634A306"/>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80C0389"/>
    <w:multiLevelType w:val="hybridMultilevel"/>
    <w:tmpl w:val="D1847432"/>
    <w:lvl w:ilvl="0" w:tplc="4B543126">
      <w:start w:val="1"/>
      <w:numFmt w:val="decimal"/>
      <w:lvlText w:val="%1."/>
      <w:lvlJc w:val="left"/>
      <w:pPr>
        <w:ind w:left="1069" w:hanging="360"/>
      </w:pPr>
      <w:rPr>
        <w:rFonts w:hint="default"/>
      </w:rPr>
    </w:lvl>
    <w:lvl w:ilvl="1" w:tplc="04260019" w:tentative="1">
      <w:start w:val="1"/>
      <w:numFmt w:val="lowerLetter"/>
      <w:lvlText w:val="%2."/>
      <w:lvlJc w:val="left"/>
      <w:pPr>
        <w:ind w:left="1789" w:hanging="360"/>
      </w:pPr>
    </w:lvl>
    <w:lvl w:ilvl="2" w:tplc="0426001B" w:tentative="1">
      <w:start w:val="1"/>
      <w:numFmt w:val="lowerRoman"/>
      <w:lvlText w:val="%3."/>
      <w:lvlJc w:val="right"/>
      <w:pPr>
        <w:ind w:left="2509" w:hanging="180"/>
      </w:pPr>
    </w:lvl>
    <w:lvl w:ilvl="3" w:tplc="0426000F" w:tentative="1">
      <w:start w:val="1"/>
      <w:numFmt w:val="decimal"/>
      <w:lvlText w:val="%4."/>
      <w:lvlJc w:val="left"/>
      <w:pPr>
        <w:ind w:left="3229" w:hanging="360"/>
      </w:pPr>
    </w:lvl>
    <w:lvl w:ilvl="4" w:tplc="04260019" w:tentative="1">
      <w:start w:val="1"/>
      <w:numFmt w:val="lowerLetter"/>
      <w:lvlText w:val="%5."/>
      <w:lvlJc w:val="left"/>
      <w:pPr>
        <w:ind w:left="3949" w:hanging="360"/>
      </w:pPr>
    </w:lvl>
    <w:lvl w:ilvl="5" w:tplc="0426001B" w:tentative="1">
      <w:start w:val="1"/>
      <w:numFmt w:val="lowerRoman"/>
      <w:lvlText w:val="%6."/>
      <w:lvlJc w:val="right"/>
      <w:pPr>
        <w:ind w:left="4669" w:hanging="180"/>
      </w:pPr>
    </w:lvl>
    <w:lvl w:ilvl="6" w:tplc="0426000F" w:tentative="1">
      <w:start w:val="1"/>
      <w:numFmt w:val="decimal"/>
      <w:lvlText w:val="%7."/>
      <w:lvlJc w:val="left"/>
      <w:pPr>
        <w:ind w:left="5389" w:hanging="360"/>
      </w:pPr>
    </w:lvl>
    <w:lvl w:ilvl="7" w:tplc="04260019" w:tentative="1">
      <w:start w:val="1"/>
      <w:numFmt w:val="lowerLetter"/>
      <w:lvlText w:val="%8."/>
      <w:lvlJc w:val="left"/>
      <w:pPr>
        <w:ind w:left="6109" w:hanging="360"/>
      </w:pPr>
    </w:lvl>
    <w:lvl w:ilvl="8" w:tplc="0426001B" w:tentative="1">
      <w:start w:val="1"/>
      <w:numFmt w:val="lowerRoman"/>
      <w:lvlText w:val="%9."/>
      <w:lvlJc w:val="right"/>
      <w:pPr>
        <w:ind w:left="6829" w:hanging="180"/>
      </w:pPr>
    </w:lvl>
  </w:abstractNum>
  <w:abstractNum w:abstractNumId="16" w15:restartNumberingAfterBreak="0">
    <w:nsid w:val="604D252A"/>
    <w:multiLevelType w:val="hybridMultilevel"/>
    <w:tmpl w:val="CB762842"/>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17" w15:restartNumberingAfterBreak="0">
    <w:nsid w:val="6A4F3174"/>
    <w:multiLevelType w:val="multilevel"/>
    <w:tmpl w:val="69881E4A"/>
    <w:lvl w:ilvl="0">
      <w:start w:val="1"/>
      <w:numFmt w:val="decimal"/>
      <w:lvlText w:val="%1."/>
      <w:lvlJc w:val="left"/>
      <w:pPr>
        <w:ind w:left="360" w:hanging="360"/>
      </w:pPr>
      <w:rPr>
        <w:b/>
      </w:rPr>
    </w:lvl>
    <w:lvl w:ilvl="1">
      <w:start w:val="1"/>
      <w:numFmt w:val="decimal"/>
      <w:isLgl/>
      <w:lvlText w:val="%1.%2."/>
      <w:lvlJc w:val="left"/>
      <w:pPr>
        <w:ind w:left="1117" w:hanging="55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18" w15:restartNumberingAfterBreak="0">
    <w:nsid w:val="6C5957D7"/>
    <w:multiLevelType w:val="hybridMultilevel"/>
    <w:tmpl w:val="545485F8"/>
    <w:lvl w:ilvl="0" w:tplc="04260005">
      <w:start w:val="1"/>
      <w:numFmt w:val="bullet"/>
      <w:lvlText w:val=""/>
      <w:lvlJc w:val="left"/>
      <w:pPr>
        <w:ind w:left="1429" w:hanging="360"/>
      </w:pPr>
      <w:rPr>
        <w:rFonts w:ascii="Wingdings" w:hAnsi="Wingding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19" w15:restartNumberingAfterBreak="0">
    <w:nsid w:val="741E0518"/>
    <w:multiLevelType w:val="hybridMultilevel"/>
    <w:tmpl w:val="A66AAA42"/>
    <w:lvl w:ilvl="0" w:tplc="3EF813EC">
      <w:start w:val="18"/>
      <w:numFmt w:val="bullet"/>
      <w:lvlText w:val=""/>
      <w:lvlJc w:val="left"/>
      <w:pPr>
        <w:ind w:left="1080" w:hanging="360"/>
      </w:pPr>
      <w:rPr>
        <w:rFonts w:ascii="Symbol" w:eastAsiaTheme="minorEastAsia" w:hAnsi="Symbol" w:cstheme="minorBidi"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20" w15:restartNumberingAfterBreak="0">
    <w:nsid w:val="75853581"/>
    <w:multiLevelType w:val="hybridMultilevel"/>
    <w:tmpl w:val="B7ACD488"/>
    <w:lvl w:ilvl="0" w:tplc="FF063DF2">
      <w:start w:val="18"/>
      <w:numFmt w:val="bullet"/>
      <w:lvlText w:val=""/>
      <w:lvlJc w:val="left"/>
      <w:pPr>
        <w:ind w:left="1080" w:hanging="360"/>
      </w:pPr>
      <w:rPr>
        <w:rFonts w:ascii="Symbol" w:eastAsiaTheme="minorEastAsia" w:hAnsi="Symbol" w:cstheme="minorBidi"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21" w15:restartNumberingAfterBreak="0">
    <w:nsid w:val="7610109D"/>
    <w:multiLevelType w:val="multilevel"/>
    <w:tmpl w:val="1D442D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77920A1"/>
    <w:multiLevelType w:val="hybridMultilevel"/>
    <w:tmpl w:val="FAF8A23E"/>
    <w:lvl w:ilvl="0" w:tplc="04260005">
      <w:start w:val="1"/>
      <w:numFmt w:val="bullet"/>
      <w:lvlText w:val=""/>
      <w:lvlJc w:val="left"/>
      <w:pPr>
        <w:ind w:left="1069" w:hanging="360"/>
      </w:pPr>
      <w:rPr>
        <w:rFonts w:ascii="Wingdings" w:hAnsi="Wingdings" w:hint="default"/>
      </w:rPr>
    </w:lvl>
    <w:lvl w:ilvl="1" w:tplc="04260019">
      <w:start w:val="1"/>
      <w:numFmt w:val="lowerLetter"/>
      <w:lvlText w:val="%2."/>
      <w:lvlJc w:val="left"/>
      <w:pPr>
        <w:ind w:left="2149" w:hanging="360"/>
      </w:pPr>
    </w:lvl>
    <w:lvl w:ilvl="2" w:tplc="0426001B">
      <w:start w:val="1"/>
      <w:numFmt w:val="lowerRoman"/>
      <w:lvlText w:val="%3."/>
      <w:lvlJc w:val="right"/>
      <w:pPr>
        <w:ind w:left="2869" w:hanging="180"/>
      </w:pPr>
    </w:lvl>
    <w:lvl w:ilvl="3" w:tplc="0426000F" w:tentative="1">
      <w:start w:val="1"/>
      <w:numFmt w:val="decimal"/>
      <w:lvlText w:val="%4."/>
      <w:lvlJc w:val="left"/>
      <w:pPr>
        <w:ind w:left="3589" w:hanging="360"/>
      </w:pPr>
    </w:lvl>
    <w:lvl w:ilvl="4" w:tplc="04260019" w:tentative="1">
      <w:start w:val="1"/>
      <w:numFmt w:val="lowerLetter"/>
      <w:lvlText w:val="%5."/>
      <w:lvlJc w:val="left"/>
      <w:pPr>
        <w:ind w:left="4309" w:hanging="360"/>
      </w:pPr>
    </w:lvl>
    <w:lvl w:ilvl="5" w:tplc="0426001B" w:tentative="1">
      <w:start w:val="1"/>
      <w:numFmt w:val="lowerRoman"/>
      <w:lvlText w:val="%6."/>
      <w:lvlJc w:val="right"/>
      <w:pPr>
        <w:ind w:left="5029" w:hanging="180"/>
      </w:pPr>
    </w:lvl>
    <w:lvl w:ilvl="6" w:tplc="0426000F" w:tentative="1">
      <w:start w:val="1"/>
      <w:numFmt w:val="decimal"/>
      <w:lvlText w:val="%7."/>
      <w:lvlJc w:val="left"/>
      <w:pPr>
        <w:ind w:left="5749" w:hanging="360"/>
      </w:pPr>
    </w:lvl>
    <w:lvl w:ilvl="7" w:tplc="04260019" w:tentative="1">
      <w:start w:val="1"/>
      <w:numFmt w:val="lowerLetter"/>
      <w:lvlText w:val="%8."/>
      <w:lvlJc w:val="left"/>
      <w:pPr>
        <w:ind w:left="6469" w:hanging="360"/>
      </w:pPr>
    </w:lvl>
    <w:lvl w:ilvl="8" w:tplc="0426001B" w:tentative="1">
      <w:start w:val="1"/>
      <w:numFmt w:val="lowerRoman"/>
      <w:lvlText w:val="%9."/>
      <w:lvlJc w:val="right"/>
      <w:pPr>
        <w:ind w:left="7189" w:hanging="180"/>
      </w:pPr>
    </w:lvl>
  </w:abstractNum>
  <w:abstractNum w:abstractNumId="23" w15:restartNumberingAfterBreak="0">
    <w:nsid w:val="79F15BB9"/>
    <w:multiLevelType w:val="multilevel"/>
    <w:tmpl w:val="16F86D38"/>
    <w:lvl w:ilvl="0">
      <w:start w:val="1"/>
      <w:numFmt w:val="bullet"/>
      <w:lvlText w:val=""/>
      <w:lvlJc w:val="left"/>
      <w:rPr>
        <w:rFonts w:ascii="Symbol" w:hAnsi="Symbol" w:hint="default"/>
      </w:rPr>
    </w:lvl>
    <w:lvl w:ilvl="1">
      <w:start w:val="1"/>
      <w:numFmt w:val="bullet"/>
      <w:lvlText w:val=""/>
      <w:lvlJc w:val="left"/>
      <w:pPr>
        <w:ind w:left="1440" w:hanging="360"/>
      </w:pPr>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7CA923FD"/>
    <w:multiLevelType w:val="hybridMultilevel"/>
    <w:tmpl w:val="546C4A86"/>
    <w:lvl w:ilvl="0" w:tplc="FFFFFFFF">
      <w:start w:val="1"/>
      <w:numFmt w:val="decimal"/>
      <w:lvlText w:val="%1."/>
      <w:lvlJc w:val="left"/>
      <w:pPr>
        <w:ind w:left="2934"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5" w15:restartNumberingAfterBreak="0">
    <w:nsid w:val="7CD0166F"/>
    <w:multiLevelType w:val="multilevel"/>
    <w:tmpl w:val="D7E4E2BE"/>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72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952665376">
    <w:abstractNumId w:val="1"/>
  </w:num>
  <w:num w:numId="2" w16cid:durableId="460267261">
    <w:abstractNumId w:val="2"/>
  </w:num>
  <w:num w:numId="3" w16cid:durableId="989820409">
    <w:abstractNumId w:val="10"/>
  </w:num>
  <w:num w:numId="4" w16cid:durableId="1210075778">
    <w:abstractNumId w:val="8"/>
  </w:num>
  <w:num w:numId="5" w16cid:durableId="484710608">
    <w:abstractNumId w:val="21"/>
  </w:num>
  <w:num w:numId="6" w16cid:durableId="1091926424">
    <w:abstractNumId w:val="5"/>
  </w:num>
  <w:num w:numId="7" w16cid:durableId="1124693397">
    <w:abstractNumId w:val="18"/>
  </w:num>
  <w:num w:numId="8" w16cid:durableId="147866107">
    <w:abstractNumId w:val="22"/>
  </w:num>
  <w:num w:numId="9" w16cid:durableId="2004965917">
    <w:abstractNumId w:val="3"/>
  </w:num>
  <w:num w:numId="10" w16cid:durableId="749278884">
    <w:abstractNumId w:val="25"/>
  </w:num>
  <w:num w:numId="11" w16cid:durableId="1761095436">
    <w:abstractNumId w:val="6"/>
  </w:num>
  <w:num w:numId="12" w16cid:durableId="1204513222">
    <w:abstractNumId w:val="11"/>
  </w:num>
  <w:num w:numId="13" w16cid:durableId="1719091468">
    <w:abstractNumId w:val="24"/>
  </w:num>
  <w:num w:numId="14" w16cid:durableId="1952012599">
    <w:abstractNumId w:val="4"/>
  </w:num>
  <w:num w:numId="15" w16cid:durableId="22776980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67521801">
    <w:abstractNumId w:val="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796581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239166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28795124">
    <w:abstractNumId w:val="9"/>
  </w:num>
  <w:num w:numId="20" w16cid:durableId="1736976907">
    <w:abstractNumId w:val="15"/>
  </w:num>
  <w:num w:numId="21" w16cid:durableId="76484230">
    <w:abstractNumId w:val="12"/>
  </w:num>
  <w:num w:numId="22" w16cid:durableId="538124432">
    <w:abstractNumId w:val="16"/>
  </w:num>
  <w:num w:numId="23" w16cid:durableId="382216925">
    <w:abstractNumId w:val="14"/>
  </w:num>
  <w:num w:numId="24" w16cid:durableId="694843891">
    <w:abstractNumId w:val="7"/>
  </w:num>
  <w:num w:numId="25" w16cid:durableId="35735529">
    <w:abstractNumId w:val="23"/>
  </w:num>
  <w:num w:numId="26" w16cid:durableId="201946704">
    <w:abstractNumId w:val="19"/>
  </w:num>
  <w:num w:numId="27" w16cid:durableId="727341174">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hideGrammaticalErrors/>
  <w:activeWritingStyle w:appName="MSWord" w:lang="es-ES"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ru-RU" w:vendorID="64" w:dllVersion="6" w:nlCheck="1" w:checkStyle="0"/>
  <w:activeWritingStyle w:appName="MSWord" w:lang="ru-RU" w:vendorID="64" w:dllVersion="0" w:nlCheck="1" w:checkStyle="0"/>
  <w:proofState w:spelling="clean" w:grammar="clean"/>
  <w:trackRevisions/>
  <w:defaultTabStop w:val="72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3FCD"/>
    <w:rsid w:val="0000055D"/>
    <w:rsid w:val="00001017"/>
    <w:rsid w:val="00003C17"/>
    <w:rsid w:val="00003C6F"/>
    <w:rsid w:val="00003DAF"/>
    <w:rsid w:val="00004069"/>
    <w:rsid w:val="000051B7"/>
    <w:rsid w:val="00005F7F"/>
    <w:rsid w:val="000061B8"/>
    <w:rsid w:val="00006347"/>
    <w:rsid w:val="00010045"/>
    <w:rsid w:val="000110A6"/>
    <w:rsid w:val="00011245"/>
    <w:rsid w:val="00011E6E"/>
    <w:rsid w:val="000147E7"/>
    <w:rsid w:val="00017387"/>
    <w:rsid w:val="000226D6"/>
    <w:rsid w:val="000265E2"/>
    <w:rsid w:val="00027929"/>
    <w:rsid w:val="000333FD"/>
    <w:rsid w:val="000336D5"/>
    <w:rsid w:val="0003379A"/>
    <w:rsid w:val="000368AE"/>
    <w:rsid w:val="00040682"/>
    <w:rsid w:val="0004087E"/>
    <w:rsid w:val="000408CF"/>
    <w:rsid w:val="00040E75"/>
    <w:rsid w:val="000433EF"/>
    <w:rsid w:val="00043D08"/>
    <w:rsid w:val="00046116"/>
    <w:rsid w:val="0004655C"/>
    <w:rsid w:val="0005104E"/>
    <w:rsid w:val="00051573"/>
    <w:rsid w:val="00051655"/>
    <w:rsid w:val="000548A5"/>
    <w:rsid w:val="000556A3"/>
    <w:rsid w:val="0005600D"/>
    <w:rsid w:val="00056940"/>
    <w:rsid w:val="00057E11"/>
    <w:rsid w:val="00057EB6"/>
    <w:rsid w:val="0006000D"/>
    <w:rsid w:val="0006001C"/>
    <w:rsid w:val="0006055A"/>
    <w:rsid w:val="00062B9C"/>
    <w:rsid w:val="00063C33"/>
    <w:rsid w:val="00065178"/>
    <w:rsid w:val="000657F7"/>
    <w:rsid w:val="0006718F"/>
    <w:rsid w:val="000671B6"/>
    <w:rsid w:val="000709B3"/>
    <w:rsid w:val="00071293"/>
    <w:rsid w:val="000736B9"/>
    <w:rsid w:val="000738ED"/>
    <w:rsid w:val="00074630"/>
    <w:rsid w:val="00074953"/>
    <w:rsid w:val="00075224"/>
    <w:rsid w:val="00075ABF"/>
    <w:rsid w:val="00075B87"/>
    <w:rsid w:val="00075DA6"/>
    <w:rsid w:val="00077698"/>
    <w:rsid w:val="00080880"/>
    <w:rsid w:val="00080F5D"/>
    <w:rsid w:val="00082D9C"/>
    <w:rsid w:val="00083B46"/>
    <w:rsid w:val="00085786"/>
    <w:rsid w:val="0008675F"/>
    <w:rsid w:val="00090B27"/>
    <w:rsid w:val="00092745"/>
    <w:rsid w:val="0009452B"/>
    <w:rsid w:val="00094B7B"/>
    <w:rsid w:val="00095088"/>
    <w:rsid w:val="00096494"/>
    <w:rsid w:val="00096F2A"/>
    <w:rsid w:val="000A1248"/>
    <w:rsid w:val="000A284A"/>
    <w:rsid w:val="000A2DF9"/>
    <w:rsid w:val="000A3972"/>
    <w:rsid w:val="000A63DF"/>
    <w:rsid w:val="000A76D8"/>
    <w:rsid w:val="000B47D5"/>
    <w:rsid w:val="000B59E6"/>
    <w:rsid w:val="000C22C5"/>
    <w:rsid w:val="000C237C"/>
    <w:rsid w:val="000C25D0"/>
    <w:rsid w:val="000C2811"/>
    <w:rsid w:val="000C391E"/>
    <w:rsid w:val="000C3B1C"/>
    <w:rsid w:val="000C3EB5"/>
    <w:rsid w:val="000C5890"/>
    <w:rsid w:val="000D017B"/>
    <w:rsid w:val="000D0306"/>
    <w:rsid w:val="000D2620"/>
    <w:rsid w:val="000D2CDD"/>
    <w:rsid w:val="000D4D00"/>
    <w:rsid w:val="000E5D6A"/>
    <w:rsid w:val="000F0A11"/>
    <w:rsid w:val="000F52A6"/>
    <w:rsid w:val="000F6C00"/>
    <w:rsid w:val="00100266"/>
    <w:rsid w:val="00100BDF"/>
    <w:rsid w:val="001010B3"/>
    <w:rsid w:val="0010115D"/>
    <w:rsid w:val="0010166A"/>
    <w:rsid w:val="00101E84"/>
    <w:rsid w:val="00106210"/>
    <w:rsid w:val="001078E6"/>
    <w:rsid w:val="00107DF1"/>
    <w:rsid w:val="00112C33"/>
    <w:rsid w:val="00114190"/>
    <w:rsid w:val="001145C0"/>
    <w:rsid w:val="00114704"/>
    <w:rsid w:val="00115108"/>
    <w:rsid w:val="00116FC6"/>
    <w:rsid w:val="00117F48"/>
    <w:rsid w:val="001219A0"/>
    <w:rsid w:val="00121C88"/>
    <w:rsid w:val="0012299E"/>
    <w:rsid w:val="00122F78"/>
    <w:rsid w:val="00124F31"/>
    <w:rsid w:val="00127E05"/>
    <w:rsid w:val="00134F91"/>
    <w:rsid w:val="00145904"/>
    <w:rsid w:val="0014609F"/>
    <w:rsid w:val="001529EE"/>
    <w:rsid w:val="001531A9"/>
    <w:rsid w:val="00155DEF"/>
    <w:rsid w:val="00156437"/>
    <w:rsid w:val="001574CE"/>
    <w:rsid w:val="00160722"/>
    <w:rsid w:val="0016192E"/>
    <w:rsid w:val="0016279D"/>
    <w:rsid w:val="00164678"/>
    <w:rsid w:val="00165095"/>
    <w:rsid w:val="00165D47"/>
    <w:rsid w:val="00166096"/>
    <w:rsid w:val="001700DF"/>
    <w:rsid w:val="00170845"/>
    <w:rsid w:val="00170982"/>
    <w:rsid w:val="0017127D"/>
    <w:rsid w:val="00176BE8"/>
    <w:rsid w:val="00181A15"/>
    <w:rsid w:val="00181F59"/>
    <w:rsid w:val="00182ED0"/>
    <w:rsid w:val="001832CB"/>
    <w:rsid w:val="0018367D"/>
    <w:rsid w:val="00184BA0"/>
    <w:rsid w:val="0018662C"/>
    <w:rsid w:val="00186BB3"/>
    <w:rsid w:val="00187E6E"/>
    <w:rsid w:val="0019106F"/>
    <w:rsid w:val="00192AE5"/>
    <w:rsid w:val="0019312B"/>
    <w:rsid w:val="00193502"/>
    <w:rsid w:val="00193DAD"/>
    <w:rsid w:val="0019451D"/>
    <w:rsid w:val="00195261"/>
    <w:rsid w:val="00195F8C"/>
    <w:rsid w:val="00196342"/>
    <w:rsid w:val="00196671"/>
    <w:rsid w:val="00197FF8"/>
    <w:rsid w:val="001A1BE0"/>
    <w:rsid w:val="001A257A"/>
    <w:rsid w:val="001A4980"/>
    <w:rsid w:val="001B2C6E"/>
    <w:rsid w:val="001B4D57"/>
    <w:rsid w:val="001B509F"/>
    <w:rsid w:val="001B5564"/>
    <w:rsid w:val="001B743F"/>
    <w:rsid w:val="001B7888"/>
    <w:rsid w:val="001C278C"/>
    <w:rsid w:val="001C5161"/>
    <w:rsid w:val="001C58DD"/>
    <w:rsid w:val="001C69C3"/>
    <w:rsid w:val="001C6F2E"/>
    <w:rsid w:val="001C77C1"/>
    <w:rsid w:val="001D0033"/>
    <w:rsid w:val="001D00AC"/>
    <w:rsid w:val="001D0754"/>
    <w:rsid w:val="001D14A4"/>
    <w:rsid w:val="001D3D38"/>
    <w:rsid w:val="001D4063"/>
    <w:rsid w:val="001D6A54"/>
    <w:rsid w:val="001D773D"/>
    <w:rsid w:val="001D7920"/>
    <w:rsid w:val="001E19C6"/>
    <w:rsid w:val="001E5473"/>
    <w:rsid w:val="001E733F"/>
    <w:rsid w:val="001F0D85"/>
    <w:rsid w:val="001F241A"/>
    <w:rsid w:val="001F265B"/>
    <w:rsid w:val="001F2FAC"/>
    <w:rsid w:val="001F4280"/>
    <w:rsid w:val="001F739F"/>
    <w:rsid w:val="002020BD"/>
    <w:rsid w:val="0020244A"/>
    <w:rsid w:val="002065E6"/>
    <w:rsid w:val="0020678D"/>
    <w:rsid w:val="00211ACA"/>
    <w:rsid w:val="002131D9"/>
    <w:rsid w:val="00222F32"/>
    <w:rsid w:val="0022320E"/>
    <w:rsid w:val="0022321B"/>
    <w:rsid w:val="00224245"/>
    <w:rsid w:val="00226C38"/>
    <w:rsid w:val="00230E9D"/>
    <w:rsid w:val="002343A0"/>
    <w:rsid w:val="00234CDA"/>
    <w:rsid w:val="00235B5D"/>
    <w:rsid w:val="0023638F"/>
    <w:rsid w:val="0024341E"/>
    <w:rsid w:val="00243900"/>
    <w:rsid w:val="0024465D"/>
    <w:rsid w:val="002449BE"/>
    <w:rsid w:val="00245CA6"/>
    <w:rsid w:val="00246DB7"/>
    <w:rsid w:val="002476DB"/>
    <w:rsid w:val="00247C4D"/>
    <w:rsid w:val="00250E42"/>
    <w:rsid w:val="002519DD"/>
    <w:rsid w:val="00252700"/>
    <w:rsid w:val="00255306"/>
    <w:rsid w:val="0025672F"/>
    <w:rsid w:val="00260A0C"/>
    <w:rsid w:val="00261182"/>
    <w:rsid w:val="00261FA7"/>
    <w:rsid w:val="0026301F"/>
    <w:rsid w:val="00264454"/>
    <w:rsid w:val="00265993"/>
    <w:rsid w:val="002672D7"/>
    <w:rsid w:val="002675A9"/>
    <w:rsid w:val="00272E4E"/>
    <w:rsid w:val="00272F14"/>
    <w:rsid w:val="00275CCB"/>
    <w:rsid w:val="00276053"/>
    <w:rsid w:val="00276690"/>
    <w:rsid w:val="00277C20"/>
    <w:rsid w:val="00277DB0"/>
    <w:rsid w:val="002805C7"/>
    <w:rsid w:val="002808B3"/>
    <w:rsid w:val="00281F7D"/>
    <w:rsid w:val="00282CB3"/>
    <w:rsid w:val="00282FA4"/>
    <w:rsid w:val="00283F89"/>
    <w:rsid w:val="0028529D"/>
    <w:rsid w:val="00285AEA"/>
    <w:rsid w:val="00286865"/>
    <w:rsid w:val="00286907"/>
    <w:rsid w:val="00287B03"/>
    <w:rsid w:val="0029168E"/>
    <w:rsid w:val="0029226E"/>
    <w:rsid w:val="00292CF4"/>
    <w:rsid w:val="00294793"/>
    <w:rsid w:val="00294C90"/>
    <w:rsid w:val="00294F87"/>
    <w:rsid w:val="00295172"/>
    <w:rsid w:val="00295A66"/>
    <w:rsid w:val="00295F32"/>
    <w:rsid w:val="00297746"/>
    <w:rsid w:val="002A0876"/>
    <w:rsid w:val="002A0A3A"/>
    <w:rsid w:val="002A1F38"/>
    <w:rsid w:val="002A3640"/>
    <w:rsid w:val="002A5F4D"/>
    <w:rsid w:val="002A7B17"/>
    <w:rsid w:val="002B14F6"/>
    <w:rsid w:val="002B2F86"/>
    <w:rsid w:val="002B3885"/>
    <w:rsid w:val="002B3B96"/>
    <w:rsid w:val="002B6BF3"/>
    <w:rsid w:val="002B6EFC"/>
    <w:rsid w:val="002C13BC"/>
    <w:rsid w:val="002C253E"/>
    <w:rsid w:val="002C4A86"/>
    <w:rsid w:val="002C4E90"/>
    <w:rsid w:val="002C516C"/>
    <w:rsid w:val="002D044F"/>
    <w:rsid w:val="002D0756"/>
    <w:rsid w:val="002D09C3"/>
    <w:rsid w:val="002D0E5B"/>
    <w:rsid w:val="002D1F6F"/>
    <w:rsid w:val="002D4603"/>
    <w:rsid w:val="002D70A6"/>
    <w:rsid w:val="002E0F33"/>
    <w:rsid w:val="002E297C"/>
    <w:rsid w:val="002E38F8"/>
    <w:rsid w:val="002E4630"/>
    <w:rsid w:val="002E666B"/>
    <w:rsid w:val="002F18F9"/>
    <w:rsid w:val="002F1928"/>
    <w:rsid w:val="002F1C35"/>
    <w:rsid w:val="002F2A16"/>
    <w:rsid w:val="002F346E"/>
    <w:rsid w:val="002F6763"/>
    <w:rsid w:val="002F6885"/>
    <w:rsid w:val="00302FF6"/>
    <w:rsid w:val="00303EDE"/>
    <w:rsid w:val="003068F1"/>
    <w:rsid w:val="003075A7"/>
    <w:rsid w:val="00307A1B"/>
    <w:rsid w:val="0031027C"/>
    <w:rsid w:val="0031038E"/>
    <w:rsid w:val="00311761"/>
    <w:rsid w:val="003128A0"/>
    <w:rsid w:val="003132E6"/>
    <w:rsid w:val="003148ED"/>
    <w:rsid w:val="0031508E"/>
    <w:rsid w:val="003158EF"/>
    <w:rsid w:val="00315973"/>
    <w:rsid w:val="00315D4A"/>
    <w:rsid w:val="003164D4"/>
    <w:rsid w:val="00316BA7"/>
    <w:rsid w:val="00322105"/>
    <w:rsid w:val="00322C7C"/>
    <w:rsid w:val="00325724"/>
    <w:rsid w:val="00326F4A"/>
    <w:rsid w:val="0033167E"/>
    <w:rsid w:val="00331973"/>
    <w:rsid w:val="00331E6F"/>
    <w:rsid w:val="003347CE"/>
    <w:rsid w:val="003374E1"/>
    <w:rsid w:val="00337572"/>
    <w:rsid w:val="00341DF7"/>
    <w:rsid w:val="00344CED"/>
    <w:rsid w:val="00346EEF"/>
    <w:rsid w:val="003509CE"/>
    <w:rsid w:val="00350B96"/>
    <w:rsid w:val="00351C3D"/>
    <w:rsid w:val="00357E15"/>
    <w:rsid w:val="003602A1"/>
    <w:rsid w:val="0036084D"/>
    <w:rsid w:val="00361D9C"/>
    <w:rsid w:val="003634C7"/>
    <w:rsid w:val="00363FD1"/>
    <w:rsid w:val="00364CEE"/>
    <w:rsid w:val="00380144"/>
    <w:rsid w:val="00380C17"/>
    <w:rsid w:val="00380E24"/>
    <w:rsid w:val="003810CB"/>
    <w:rsid w:val="003824E1"/>
    <w:rsid w:val="00383CEF"/>
    <w:rsid w:val="0038459F"/>
    <w:rsid w:val="00385B45"/>
    <w:rsid w:val="00386E45"/>
    <w:rsid w:val="003877B3"/>
    <w:rsid w:val="00387F35"/>
    <w:rsid w:val="00391CFA"/>
    <w:rsid w:val="003928D4"/>
    <w:rsid w:val="00392966"/>
    <w:rsid w:val="00395050"/>
    <w:rsid w:val="00397C2F"/>
    <w:rsid w:val="003A0247"/>
    <w:rsid w:val="003A0250"/>
    <w:rsid w:val="003A0BFD"/>
    <w:rsid w:val="003B02F2"/>
    <w:rsid w:val="003B2348"/>
    <w:rsid w:val="003B2ACB"/>
    <w:rsid w:val="003B3D5E"/>
    <w:rsid w:val="003B3E80"/>
    <w:rsid w:val="003B42BD"/>
    <w:rsid w:val="003B49DF"/>
    <w:rsid w:val="003B4DAE"/>
    <w:rsid w:val="003C02EC"/>
    <w:rsid w:val="003C09F9"/>
    <w:rsid w:val="003C0B3A"/>
    <w:rsid w:val="003C0F90"/>
    <w:rsid w:val="003C4271"/>
    <w:rsid w:val="003C54D9"/>
    <w:rsid w:val="003D0245"/>
    <w:rsid w:val="003D0614"/>
    <w:rsid w:val="003D0817"/>
    <w:rsid w:val="003D3B77"/>
    <w:rsid w:val="003D4387"/>
    <w:rsid w:val="003D46A0"/>
    <w:rsid w:val="003D51C1"/>
    <w:rsid w:val="003D5C1C"/>
    <w:rsid w:val="003E040B"/>
    <w:rsid w:val="003E11E6"/>
    <w:rsid w:val="003E5CCE"/>
    <w:rsid w:val="003E7CE0"/>
    <w:rsid w:val="003F150F"/>
    <w:rsid w:val="003F1A65"/>
    <w:rsid w:val="003F1E12"/>
    <w:rsid w:val="003F3631"/>
    <w:rsid w:val="003F3F04"/>
    <w:rsid w:val="003F3FCD"/>
    <w:rsid w:val="003F678F"/>
    <w:rsid w:val="003F7E64"/>
    <w:rsid w:val="00400235"/>
    <w:rsid w:val="00400DA1"/>
    <w:rsid w:val="0040115A"/>
    <w:rsid w:val="00401A5B"/>
    <w:rsid w:val="004023B2"/>
    <w:rsid w:val="00402BD2"/>
    <w:rsid w:val="00404885"/>
    <w:rsid w:val="00404CF1"/>
    <w:rsid w:val="00404F02"/>
    <w:rsid w:val="004061C6"/>
    <w:rsid w:val="00406541"/>
    <w:rsid w:val="004069EA"/>
    <w:rsid w:val="00406A60"/>
    <w:rsid w:val="00407269"/>
    <w:rsid w:val="00407ECB"/>
    <w:rsid w:val="00410A1E"/>
    <w:rsid w:val="00411399"/>
    <w:rsid w:val="00412B91"/>
    <w:rsid w:val="00413B21"/>
    <w:rsid w:val="00416876"/>
    <w:rsid w:val="004172DE"/>
    <w:rsid w:val="00417A17"/>
    <w:rsid w:val="00421A3B"/>
    <w:rsid w:val="00422740"/>
    <w:rsid w:val="00422E4A"/>
    <w:rsid w:val="004230C7"/>
    <w:rsid w:val="00425AF5"/>
    <w:rsid w:val="00425BD5"/>
    <w:rsid w:val="0042606F"/>
    <w:rsid w:val="004303AB"/>
    <w:rsid w:val="00430C27"/>
    <w:rsid w:val="00431958"/>
    <w:rsid w:val="00433962"/>
    <w:rsid w:val="00434E5B"/>
    <w:rsid w:val="00435820"/>
    <w:rsid w:val="00436747"/>
    <w:rsid w:val="004369CD"/>
    <w:rsid w:val="004404AE"/>
    <w:rsid w:val="004449EC"/>
    <w:rsid w:val="00444F5B"/>
    <w:rsid w:val="00452150"/>
    <w:rsid w:val="004522B7"/>
    <w:rsid w:val="004548BC"/>
    <w:rsid w:val="00455212"/>
    <w:rsid w:val="00455250"/>
    <w:rsid w:val="004565B8"/>
    <w:rsid w:val="00460DC2"/>
    <w:rsid w:val="004614E3"/>
    <w:rsid w:val="00463EE9"/>
    <w:rsid w:val="004646BD"/>
    <w:rsid w:val="0046585B"/>
    <w:rsid w:val="00465A26"/>
    <w:rsid w:val="004664E1"/>
    <w:rsid w:val="00466B29"/>
    <w:rsid w:val="004700FF"/>
    <w:rsid w:val="00470365"/>
    <w:rsid w:val="004711F3"/>
    <w:rsid w:val="004728E1"/>
    <w:rsid w:val="0047535A"/>
    <w:rsid w:val="00475381"/>
    <w:rsid w:val="004758FA"/>
    <w:rsid w:val="00477AED"/>
    <w:rsid w:val="00482747"/>
    <w:rsid w:val="0048284B"/>
    <w:rsid w:val="00482880"/>
    <w:rsid w:val="00483B2C"/>
    <w:rsid w:val="0048510B"/>
    <w:rsid w:val="00485565"/>
    <w:rsid w:val="004903DB"/>
    <w:rsid w:val="00490B79"/>
    <w:rsid w:val="00492F25"/>
    <w:rsid w:val="0049382D"/>
    <w:rsid w:val="004938FC"/>
    <w:rsid w:val="00494699"/>
    <w:rsid w:val="00494B1D"/>
    <w:rsid w:val="00494B95"/>
    <w:rsid w:val="0049688E"/>
    <w:rsid w:val="0049704A"/>
    <w:rsid w:val="004A0F03"/>
    <w:rsid w:val="004A747E"/>
    <w:rsid w:val="004A75B6"/>
    <w:rsid w:val="004B105E"/>
    <w:rsid w:val="004B1F4C"/>
    <w:rsid w:val="004B20AA"/>
    <w:rsid w:val="004B4745"/>
    <w:rsid w:val="004B6D79"/>
    <w:rsid w:val="004C1A19"/>
    <w:rsid w:val="004C2FF6"/>
    <w:rsid w:val="004C4833"/>
    <w:rsid w:val="004C587F"/>
    <w:rsid w:val="004C5F53"/>
    <w:rsid w:val="004C7A54"/>
    <w:rsid w:val="004D1BE0"/>
    <w:rsid w:val="004D2494"/>
    <w:rsid w:val="004D28CD"/>
    <w:rsid w:val="004D29BF"/>
    <w:rsid w:val="004D2FBC"/>
    <w:rsid w:val="004D6CE1"/>
    <w:rsid w:val="004D7DC6"/>
    <w:rsid w:val="004E0188"/>
    <w:rsid w:val="004E1429"/>
    <w:rsid w:val="004E25C8"/>
    <w:rsid w:val="004E2653"/>
    <w:rsid w:val="004E29CC"/>
    <w:rsid w:val="004E36CE"/>
    <w:rsid w:val="004E4194"/>
    <w:rsid w:val="004E4775"/>
    <w:rsid w:val="004E4D03"/>
    <w:rsid w:val="004E552D"/>
    <w:rsid w:val="004E6359"/>
    <w:rsid w:val="004E6D90"/>
    <w:rsid w:val="004F0993"/>
    <w:rsid w:val="004F0A40"/>
    <w:rsid w:val="004F391E"/>
    <w:rsid w:val="004F6A3A"/>
    <w:rsid w:val="004F74EA"/>
    <w:rsid w:val="00504360"/>
    <w:rsid w:val="00504BB9"/>
    <w:rsid w:val="00504D89"/>
    <w:rsid w:val="00506EB9"/>
    <w:rsid w:val="00510CBD"/>
    <w:rsid w:val="005111B3"/>
    <w:rsid w:val="00512284"/>
    <w:rsid w:val="005138A6"/>
    <w:rsid w:val="00514732"/>
    <w:rsid w:val="0051507C"/>
    <w:rsid w:val="005156E5"/>
    <w:rsid w:val="00516918"/>
    <w:rsid w:val="0052019B"/>
    <w:rsid w:val="00521394"/>
    <w:rsid w:val="005218A4"/>
    <w:rsid w:val="00523556"/>
    <w:rsid w:val="00524001"/>
    <w:rsid w:val="005244B9"/>
    <w:rsid w:val="00524C41"/>
    <w:rsid w:val="005309EB"/>
    <w:rsid w:val="00531B21"/>
    <w:rsid w:val="00531C50"/>
    <w:rsid w:val="00531FC5"/>
    <w:rsid w:val="005348E9"/>
    <w:rsid w:val="00537FAA"/>
    <w:rsid w:val="00541277"/>
    <w:rsid w:val="0054181D"/>
    <w:rsid w:val="00542E7F"/>
    <w:rsid w:val="005433BD"/>
    <w:rsid w:val="005463F3"/>
    <w:rsid w:val="00546A5E"/>
    <w:rsid w:val="00550E9D"/>
    <w:rsid w:val="00552647"/>
    <w:rsid w:val="00555C2A"/>
    <w:rsid w:val="00556AE4"/>
    <w:rsid w:val="00557196"/>
    <w:rsid w:val="00557435"/>
    <w:rsid w:val="0055746E"/>
    <w:rsid w:val="0056028B"/>
    <w:rsid w:val="005603EA"/>
    <w:rsid w:val="00560877"/>
    <w:rsid w:val="005612BA"/>
    <w:rsid w:val="005627E2"/>
    <w:rsid w:val="00563601"/>
    <w:rsid w:val="00564F25"/>
    <w:rsid w:val="00565E11"/>
    <w:rsid w:val="005715BC"/>
    <w:rsid w:val="00571773"/>
    <w:rsid w:val="00571C4A"/>
    <w:rsid w:val="00571FAB"/>
    <w:rsid w:val="00572387"/>
    <w:rsid w:val="0057239D"/>
    <w:rsid w:val="005730B1"/>
    <w:rsid w:val="005735FB"/>
    <w:rsid w:val="005756C5"/>
    <w:rsid w:val="005774F8"/>
    <w:rsid w:val="005818AC"/>
    <w:rsid w:val="00581FF3"/>
    <w:rsid w:val="00583141"/>
    <w:rsid w:val="00583BD0"/>
    <w:rsid w:val="005853DD"/>
    <w:rsid w:val="00586424"/>
    <w:rsid w:val="005902C7"/>
    <w:rsid w:val="00595910"/>
    <w:rsid w:val="005965D4"/>
    <w:rsid w:val="005A2C83"/>
    <w:rsid w:val="005A37CD"/>
    <w:rsid w:val="005A53E8"/>
    <w:rsid w:val="005B0C3F"/>
    <w:rsid w:val="005B0C58"/>
    <w:rsid w:val="005B20D8"/>
    <w:rsid w:val="005B62DF"/>
    <w:rsid w:val="005B6EE0"/>
    <w:rsid w:val="005B7C54"/>
    <w:rsid w:val="005C010B"/>
    <w:rsid w:val="005C04B6"/>
    <w:rsid w:val="005C18B4"/>
    <w:rsid w:val="005C20A7"/>
    <w:rsid w:val="005C2538"/>
    <w:rsid w:val="005C28D7"/>
    <w:rsid w:val="005C2FAE"/>
    <w:rsid w:val="005C3151"/>
    <w:rsid w:val="005C4000"/>
    <w:rsid w:val="005C45C7"/>
    <w:rsid w:val="005C4848"/>
    <w:rsid w:val="005C5F15"/>
    <w:rsid w:val="005C63FF"/>
    <w:rsid w:val="005D05A7"/>
    <w:rsid w:val="005D098C"/>
    <w:rsid w:val="005D361F"/>
    <w:rsid w:val="005D4856"/>
    <w:rsid w:val="005D494D"/>
    <w:rsid w:val="005D5F3A"/>
    <w:rsid w:val="005D60AE"/>
    <w:rsid w:val="005D6E4C"/>
    <w:rsid w:val="005E2BAA"/>
    <w:rsid w:val="005E2D49"/>
    <w:rsid w:val="005E2E93"/>
    <w:rsid w:val="005E3EDA"/>
    <w:rsid w:val="005E3FF5"/>
    <w:rsid w:val="005E41CA"/>
    <w:rsid w:val="005E539C"/>
    <w:rsid w:val="005E595C"/>
    <w:rsid w:val="005E5B55"/>
    <w:rsid w:val="005E7346"/>
    <w:rsid w:val="005F1378"/>
    <w:rsid w:val="005F203B"/>
    <w:rsid w:val="005F21ED"/>
    <w:rsid w:val="005F2557"/>
    <w:rsid w:val="005F33F1"/>
    <w:rsid w:val="0060189B"/>
    <w:rsid w:val="00601998"/>
    <w:rsid w:val="006024F1"/>
    <w:rsid w:val="00602B7C"/>
    <w:rsid w:val="00603144"/>
    <w:rsid w:val="0060325A"/>
    <w:rsid w:val="00605007"/>
    <w:rsid w:val="00611315"/>
    <w:rsid w:val="00611D74"/>
    <w:rsid w:val="00611EAC"/>
    <w:rsid w:val="006135D0"/>
    <w:rsid w:val="00614268"/>
    <w:rsid w:val="00623500"/>
    <w:rsid w:val="00624BB8"/>
    <w:rsid w:val="00625075"/>
    <w:rsid w:val="006253F2"/>
    <w:rsid w:val="00625E26"/>
    <w:rsid w:val="00626934"/>
    <w:rsid w:val="00631E41"/>
    <w:rsid w:val="00632442"/>
    <w:rsid w:val="0063382B"/>
    <w:rsid w:val="006342F9"/>
    <w:rsid w:val="00635652"/>
    <w:rsid w:val="00635874"/>
    <w:rsid w:val="00636357"/>
    <w:rsid w:val="00644AD1"/>
    <w:rsid w:val="006455AE"/>
    <w:rsid w:val="00645997"/>
    <w:rsid w:val="00646171"/>
    <w:rsid w:val="00650CFF"/>
    <w:rsid w:val="00651274"/>
    <w:rsid w:val="00651B6D"/>
    <w:rsid w:val="00652D62"/>
    <w:rsid w:val="00652E2F"/>
    <w:rsid w:val="00653876"/>
    <w:rsid w:val="00654265"/>
    <w:rsid w:val="00655A99"/>
    <w:rsid w:val="00657B5B"/>
    <w:rsid w:val="00657FE0"/>
    <w:rsid w:val="00660873"/>
    <w:rsid w:val="006619A0"/>
    <w:rsid w:val="00661CB9"/>
    <w:rsid w:val="006638AB"/>
    <w:rsid w:val="00663F20"/>
    <w:rsid w:val="00664C23"/>
    <w:rsid w:val="00664E71"/>
    <w:rsid w:val="00664EBD"/>
    <w:rsid w:val="00665571"/>
    <w:rsid w:val="0066605A"/>
    <w:rsid w:val="00666BFC"/>
    <w:rsid w:val="00666D52"/>
    <w:rsid w:val="0066740D"/>
    <w:rsid w:val="006723F5"/>
    <w:rsid w:val="006732AD"/>
    <w:rsid w:val="00677573"/>
    <w:rsid w:val="00681065"/>
    <w:rsid w:val="006819D7"/>
    <w:rsid w:val="00681B56"/>
    <w:rsid w:val="006836ED"/>
    <w:rsid w:val="00686268"/>
    <w:rsid w:val="006869B4"/>
    <w:rsid w:val="00686C74"/>
    <w:rsid w:val="00687CD9"/>
    <w:rsid w:val="006909D0"/>
    <w:rsid w:val="006917EA"/>
    <w:rsid w:val="006932E0"/>
    <w:rsid w:val="00695ACB"/>
    <w:rsid w:val="00696517"/>
    <w:rsid w:val="00696B67"/>
    <w:rsid w:val="006A3169"/>
    <w:rsid w:val="006A553C"/>
    <w:rsid w:val="006A6E94"/>
    <w:rsid w:val="006B0061"/>
    <w:rsid w:val="006B00D5"/>
    <w:rsid w:val="006B0A1E"/>
    <w:rsid w:val="006B48E2"/>
    <w:rsid w:val="006B5354"/>
    <w:rsid w:val="006B55B1"/>
    <w:rsid w:val="006B7E80"/>
    <w:rsid w:val="006C030A"/>
    <w:rsid w:val="006C04BF"/>
    <w:rsid w:val="006C2075"/>
    <w:rsid w:val="006C28CA"/>
    <w:rsid w:val="006C2A58"/>
    <w:rsid w:val="006C309F"/>
    <w:rsid w:val="006C5310"/>
    <w:rsid w:val="006C567F"/>
    <w:rsid w:val="006C7A9B"/>
    <w:rsid w:val="006C7EFD"/>
    <w:rsid w:val="006D0017"/>
    <w:rsid w:val="006D0364"/>
    <w:rsid w:val="006D092C"/>
    <w:rsid w:val="006D0E53"/>
    <w:rsid w:val="006D25B8"/>
    <w:rsid w:val="006D3E62"/>
    <w:rsid w:val="006D43AF"/>
    <w:rsid w:val="006D472A"/>
    <w:rsid w:val="006D4A79"/>
    <w:rsid w:val="006D5008"/>
    <w:rsid w:val="006D589F"/>
    <w:rsid w:val="006E1592"/>
    <w:rsid w:val="006E256C"/>
    <w:rsid w:val="006E3024"/>
    <w:rsid w:val="006E6966"/>
    <w:rsid w:val="006E6F08"/>
    <w:rsid w:val="006F00FB"/>
    <w:rsid w:val="006F0C7E"/>
    <w:rsid w:val="006F0E8B"/>
    <w:rsid w:val="006F1997"/>
    <w:rsid w:val="006F29A7"/>
    <w:rsid w:val="006F3136"/>
    <w:rsid w:val="006F3E60"/>
    <w:rsid w:val="006F6CE7"/>
    <w:rsid w:val="006F7DAB"/>
    <w:rsid w:val="00700249"/>
    <w:rsid w:val="007002A7"/>
    <w:rsid w:val="0070161D"/>
    <w:rsid w:val="00703D95"/>
    <w:rsid w:val="0070424D"/>
    <w:rsid w:val="007054B5"/>
    <w:rsid w:val="00705ADF"/>
    <w:rsid w:val="0070738F"/>
    <w:rsid w:val="00710C74"/>
    <w:rsid w:val="00717AA4"/>
    <w:rsid w:val="00723270"/>
    <w:rsid w:val="00730F30"/>
    <w:rsid w:val="00731BAC"/>
    <w:rsid w:val="00731D55"/>
    <w:rsid w:val="007356F8"/>
    <w:rsid w:val="00736AD3"/>
    <w:rsid w:val="007400C8"/>
    <w:rsid w:val="00742935"/>
    <w:rsid w:val="00744046"/>
    <w:rsid w:val="00745FFF"/>
    <w:rsid w:val="00750CD1"/>
    <w:rsid w:val="0075408C"/>
    <w:rsid w:val="007550A7"/>
    <w:rsid w:val="007561C5"/>
    <w:rsid w:val="0076096C"/>
    <w:rsid w:val="00761B02"/>
    <w:rsid w:val="00770462"/>
    <w:rsid w:val="00771550"/>
    <w:rsid w:val="007747CE"/>
    <w:rsid w:val="00775F9E"/>
    <w:rsid w:val="00776128"/>
    <w:rsid w:val="00776830"/>
    <w:rsid w:val="00782B6B"/>
    <w:rsid w:val="00782BEC"/>
    <w:rsid w:val="00782CCC"/>
    <w:rsid w:val="0078543F"/>
    <w:rsid w:val="00785E81"/>
    <w:rsid w:val="00786F22"/>
    <w:rsid w:val="00787C7A"/>
    <w:rsid w:val="0079002F"/>
    <w:rsid w:val="00792CED"/>
    <w:rsid w:val="00793772"/>
    <w:rsid w:val="007957DF"/>
    <w:rsid w:val="00795ABC"/>
    <w:rsid w:val="00796AFC"/>
    <w:rsid w:val="007A00CE"/>
    <w:rsid w:val="007A0CD2"/>
    <w:rsid w:val="007A0D88"/>
    <w:rsid w:val="007A3EEE"/>
    <w:rsid w:val="007A565C"/>
    <w:rsid w:val="007A5D9E"/>
    <w:rsid w:val="007B2901"/>
    <w:rsid w:val="007B52BD"/>
    <w:rsid w:val="007B548B"/>
    <w:rsid w:val="007B5592"/>
    <w:rsid w:val="007B7FA1"/>
    <w:rsid w:val="007C07C3"/>
    <w:rsid w:val="007C3576"/>
    <w:rsid w:val="007C3C26"/>
    <w:rsid w:val="007C4935"/>
    <w:rsid w:val="007C5975"/>
    <w:rsid w:val="007C629E"/>
    <w:rsid w:val="007C7CDE"/>
    <w:rsid w:val="007D0F4C"/>
    <w:rsid w:val="007D1798"/>
    <w:rsid w:val="007D1882"/>
    <w:rsid w:val="007D211E"/>
    <w:rsid w:val="007D2D1E"/>
    <w:rsid w:val="007D2ED4"/>
    <w:rsid w:val="007D32EB"/>
    <w:rsid w:val="007E066C"/>
    <w:rsid w:val="007E1A10"/>
    <w:rsid w:val="007E3211"/>
    <w:rsid w:val="007E409E"/>
    <w:rsid w:val="007E720C"/>
    <w:rsid w:val="007E74B0"/>
    <w:rsid w:val="007E74BC"/>
    <w:rsid w:val="007E7841"/>
    <w:rsid w:val="007E7AD5"/>
    <w:rsid w:val="007F2023"/>
    <w:rsid w:val="007F2F33"/>
    <w:rsid w:val="007F305B"/>
    <w:rsid w:val="007F32BC"/>
    <w:rsid w:val="007F32E2"/>
    <w:rsid w:val="007F4BF1"/>
    <w:rsid w:val="007F5702"/>
    <w:rsid w:val="007F5861"/>
    <w:rsid w:val="007F5BD6"/>
    <w:rsid w:val="007F6BDA"/>
    <w:rsid w:val="007F6F2B"/>
    <w:rsid w:val="00801615"/>
    <w:rsid w:val="00802180"/>
    <w:rsid w:val="00802F43"/>
    <w:rsid w:val="00803A5A"/>
    <w:rsid w:val="00803F5A"/>
    <w:rsid w:val="0080510F"/>
    <w:rsid w:val="0080530D"/>
    <w:rsid w:val="00806752"/>
    <w:rsid w:val="008078AE"/>
    <w:rsid w:val="00810648"/>
    <w:rsid w:val="00811382"/>
    <w:rsid w:val="00811C7D"/>
    <w:rsid w:val="00811E00"/>
    <w:rsid w:val="0081460D"/>
    <w:rsid w:val="00815173"/>
    <w:rsid w:val="00815D6B"/>
    <w:rsid w:val="00815DDD"/>
    <w:rsid w:val="00816589"/>
    <w:rsid w:val="0081796C"/>
    <w:rsid w:val="00824A22"/>
    <w:rsid w:val="0082519F"/>
    <w:rsid w:val="00827B27"/>
    <w:rsid w:val="008309DF"/>
    <w:rsid w:val="00830FA2"/>
    <w:rsid w:val="00831571"/>
    <w:rsid w:val="00831E9C"/>
    <w:rsid w:val="008349F0"/>
    <w:rsid w:val="00834C60"/>
    <w:rsid w:val="00835674"/>
    <w:rsid w:val="00835750"/>
    <w:rsid w:val="008359A6"/>
    <w:rsid w:val="008359BF"/>
    <w:rsid w:val="00835A7A"/>
    <w:rsid w:val="008364F3"/>
    <w:rsid w:val="00836A35"/>
    <w:rsid w:val="0084019B"/>
    <w:rsid w:val="00841639"/>
    <w:rsid w:val="00841858"/>
    <w:rsid w:val="00841E7D"/>
    <w:rsid w:val="008439BD"/>
    <w:rsid w:val="00843C47"/>
    <w:rsid w:val="00843D06"/>
    <w:rsid w:val="00843DA1"/>
    <w:rsid w:val="00845335"/>
    <w:rsid w:val="0084690A"/>
    <w:rsid w:val="00847A57"/>
    <w:rsid w:val="008501A3"/>
    <w:rsid w:val="008512C8"/>
    <w:rsid w:val="008548F1"/>
    <w:rsid w:val="00854F1A"/>
    <w:rsid w:val="008552B1"/>
    <w:rsid w:val="00856DBD"/>
    <w:rsid w:val="008608D4"/>
    <w:rsid w:val="00861D53"/>
    <w:rsid w:val="00862260"/>
    <w:rsid w:val="00863766"/>
    <w:rsid w:val="00863814"/>
    <w:rsid w:val="00864069"/>
    <w:rsid w:val="008643AC"/>
    <w:rsid w:val="00864581"/>
    <w:rsid w:val="008703A6"/>
    <w:rsid w:val="0087114C"/>
    <w:rsid w:val="00873AB9"/>
    <w:rsid w:val="00873DA7"/>
    <w:rsid w:val="008753B5"/>
    <w:rsid w:val="00875B51"/>
    <w:rsid w:val="00876E09"/>
    <w:rsid w:val="008826A2"/>
    <w:rsid w:val="00883C11"/>
    <w:rsid w:val="00883F63"/>
    <w:rsid w:val="00884209"/>
    <w:rsid w:val="008857DF"/>
    <w:rsid w:val="00886A0C"/>
    <w:rsid w:val="008870B4"/>
    <w:rsid w:val="00887336"/>
    <w:rsid w:val="00890173"/>
    <w:rsid w:val="0089036D"/>
    <w:rsid w:val="00890A0D"/>
    <w:rsid w:val="00891B25"/>
    <w:rsid w:val="008921B9"/>
    <w:rsid w:val="00892340"/>
    <w:rsid w:val="008933D7"/>
    <w:rsid w:val="008934AA"/>
    <w:rsid w:val="00893CC1"/>
    <w:rsid w:val="0089579E"/>
    <w:rsid w:val="00895D9B"/>
    <w:rsid w:val="00896BEC"/>
    <w:rsid w:val="008A17D1"/>
    <w:rsid w:val="008A3E8E"/>
    <w:rsid w:val="008A4FF5"/>
    <w:rsid w:val="008A7581"/>
    <w:rsid w:val="008B0DE5"/>
    <w:rsid w:val="008B1458"/>
    <w:rsid w:val="008B1ADD"/>
    <w:rsid w:val="008B1D05"/>
    <w:rsid w:val="008B26AA"/>
    <w:rsid w:val="008B3D22"/>
    <w:rsid w:val="008B4213"/>
    <w:rsid w:val="008B70E3"/>
    <w:rsid w:val="008B7868"/>
    <w:rsid w:val="008C0403"/>
    <w:rsid w:val="008C052D"/>
    <w:rsid w:val="008C1329"/>
    <w:rsid w:val="008C16DD"/>
    <w:rsid w:val="008C2C0D"/>
    <w:rsid w:val="008C3E55"/>
    <w:rsid w:val="008C3F0F"/>
    <w:rsid w:val="008C6453"/>
    <w:rsid w:val="008C69E8"/>
    <w:rsid w:val="008C6F98"/>
    <w:rsid w:val="008D0144"/>
    <w:rsid w:val="008D12B3"/>
    <w:rsid w:val="008D32E2"/>
    <w:rsid w:val="008D36CD"/>
    <w:rsid w:val="008D3E01"/>
    <w:rsid w:val="008D5151"/>
    <w:rsid w:val="008D7192"/>
    <w:rsid w:val="008E120F"/>
    <w:rsid w:val="008E1E6C"/>
    <w:rsid w:val="008E246B"/>
    <w:rsid w:val="008E24F6"/>
    <w:rsid w:val="008E52E1"/>
    <w:rsid w:val="008E72AA"/>
    <w:rsid w:val="008E7B3E"/>
    <w:rsid w:val="008E7B76"/>
    <w:rsid w:val="008F02A2"/>
    <w:rsid w:val="008F0444"/>
    <w:rsid w:val="008F0751"/>
    <w:rsid w:val="008F1E66"/>
    <w:rsid w:val="008F1F79"/>
    <w:rsid w:val="008F204C"/>
    <w:rsid w:val="008F3BBC"/>
    <w:rsid w:val="008F4EAC"/>
    <w:rsid w:val="008F57EA"/>
    <w:rsid w:val="008F5DAC"/>
    <w:rsid w:val="0090051F"/>
    <w:rsid w:val="00900618"/>
    <w:rsid w:val="00900F58"/>
    <w:rsid w:val="00901828"/>
    <w:rsid w:val="00902165"/>
    <w:rsid w:val="009030BD"/>
    <w:rsid w:val="00903240"/>
    <w:rsid w:val="009037F7"/>
    <w:rsid w:val="009041C3"/>
    <w:rsid w:val="00910596"/>
    <w:rsid w:val="009113CA"/>
    <w:rsid w:val="00911F3E"/>
    <w:rsid w:val="00913134"/>
    <w:rsid w:val="00913BD3"/>
    <w:rsid w:val="00915FCE"/>
    <w:rsid w:val="00916E47"/>
    <w:rsid w:val="00920058"/>
    <w:rsid w:val="00921D7E"/>
    <w:rsid w:val="009303CC"/>
    <w:rsid w:val="00932833"/>
    <w:rsid w:val="0093347F"/>
    <w:rsid w:val="00933714"/>
    <w:rsid w:val="00933C66"/>
    <w:rsid w:val="00934057"/>
    <w:rsid w:val="00934208"/>
    <w:rsid w:val="00934881"/>
    <w:rsid w:val="00934EB9"/>
    <w:rsid w:val="00935583"/>
    <w:rsid w:val="00937482"/>
    <w:rsid w:val="00937B81"/>
    <w:rsid w:val="00941601"/>
    <w:rsid w:val="009416F7"/>
    <w:rsid w:val="00942EF7"/>
    <w:rsid w:val="0094338C"/>
    <w:rsid w:val="009437BD"/>
    <w:rsid w:val="00946035"/>
    <w:rsid w:val="0094607A"/>
    <w:rsid w:val="00947E7D"/>
    <w:rsid w:val="0095212B"/>
    <w:rsid w:val="00952B8E"/>
    <w:rsid w:val="00953171"/>
    <w:rsid w:val="009563CE"/>
    <w:rsid w:val="00956C7C"/>
    <w:rsid w:val="00957DAA"/>
    <w:rsid w:val="009613CE"/>
    <w:rsid w:val="0096485A"/>
    <w:rsid w:val="00965128"/>
    <w:rsid w:val="00965B06"/>
    <w:rsid w:val="0097121F"/>
    <w:rsid w:val="00972667"/>
    <w:rsid w:val="00972933"/>
    <w:rsid w:val="00973305"/>
    <w:rsid w:val="00973963"/>
    <w:rsid w:val="009753EE"/>
    <w:rsid w:val="00977D6A"/>
    <w:rsid w:val="00980988"/>
    <w:rsid w:val="00983539"/>
    <w:rsid w:val="00983CAA"/>
    <w:rsid w:val="009842B3"/>
    <w:rsid w:val="00984C93"/>
    <w:rsid w:val="00985443"/>
    <w:rsid w:val="0098669F"/>
    <w:rsid w:val="00991C53"/>
    <w:rsid w:val="00992D2B"/>
    <w:rsid w:val="00992E78"/>
    <w:rsid w:val="00992F3F"/>
    <w:rsid w:val="0099640B"/>
    <w:rsid w:val="009967E7"/>
    <w:rsid w:val="009A426F"/>
    <w:rsid w:val="009A5C2F"/>
    <w:rsid w:val="009A71A1"/>
    <w:rsid w:val="009B09D8"/>
    <w:rsid w:val="009B278A"/>
    <w:rsid w:val="009B40B1"/>
    <w:rsid w:val="009B52A9"/>
    <w:rsid w:val="009B6093"/>
    <w:rsid w:val="009C0807"/>
    <w:rsid w:val="009C340A"/>
    <w:rsid w:val="009C4F36"/>
    <w:rsid w:val="009C549B"/>
    <w:rsid w:val="009C5A27"/>
    <w:rsid w:val="009C6D09"/>
    <w:rsid w:val="009D05C2"/>
    <w:rsid w:val="009D28B5"/>
    <w:rsid w:val="009D4677"/>
    <w:rsid w:val="009D4CAC"/>
    <w:rsid w:val="009D6584"/>
    <w:rsid w:val="009D6965"/>
    <w:rsid w:val="009D6AA1"/>
    <w:rsid w:val="009D771C"/>
    <w:rsid w:val="009E2A40"/>
    <w:rsid w:val="009E398A"/>
    <w:rsid w:val="009E5235"/>
    <w:rsid w:val="009E57DD"/>
    <w:rsid w:val="009E5822"/>
    <w:rsid w:val="009F0EC7"/>
    <w:rsid w:val="009F1A63"/>
    <w:rsid w:val="009F2411"/>
    <w:rsid w:val="009F4D92"/>
    <w:rsid w:val="009F4DB7"/>
    <w:rsid w:val="009F6525"/>
    <w:rsid w:val="009F79A7"/>
    <w:rsid w:val="009F7EC4"/>
    <w:rsid w:val="00A009A3"/>
    <w:rsid w:val="00A051A2"/>
    <w:rsid w:val="00A1034F"/>
    <w:rsid w:val="00A17CF6"/>
    <w:rsid w:val="00A2228D"/>
    <w:rsid w:val="00A22921"/>
    <w:rsid w:val="00A25A49"/>
    <w:rsid w:val="00A25D9A"/>
    <w:rsid w:val="00A264AA"/>
    <w:rsid w:val="00A2656A"/>
    <w:rsid w:val="00A30414"/>
    <w:rsid w:val="00A32C0F"/>
    <w:rsid w:val="00A32ECD"/>
    <w:rsid w:val="00A36046"/>
    <w:rsid w:val="00A360F5"/>
    <w:rsid w:val="00A37866"/>
    <w:rsid w:val="00A40AFB"/>
    <w:rsid w:val="00A41EC3"/>
    <w:rsid w:val="00A42010"/>
    <w:rsid w:val="00A44DAE"/>
    <w:rsid w:val="00A45F1F"/>
    <w:rsid w:val="00A47624"/>
    <w:rsid w:val="00A479DE"/>
    <w:rsid w:val="00A50F71"/>
    <w:rsid w:val="00A5237F"/>
    <w:rsid w:val="00A5253C"/>
    <w:rsid w:val="00A5258C"/>
    <w:rsid w:val="00A533F6"/>
    <w:rsid w:val="00A56986"/>
    <w:rsid w:val="00A572FC"/>
    <w:rsid w:val="00A575F0"/>
    <w:rsid w:val="00A60727"/>
    <w:rsid w:val="00A60BE8"/>
    <w:rsid w:val="00A60D47"/>
    <w:rsid w:val="00A6117C"/>
    <w:rsid w:val="00A645C2"/>
    <w:rsid w:val="00A66038"/>
    <w:rsid w:val="00A66400"/>
    <w:rsid w:val="00A708D3"/>
    <w:rsid w:val="00A7117E"/>
    <w:rsid w:val="00A72C53"/>
    <w:rsid w:val="00A74B13"/>
    <w:rsid w:val="00A754D9"/>
    <w:rsid w:val="00A75945"/>
    <w:rsid w:val="00A80C7E"/>
    <w:rsid w:val="00A820B5"/>
    <w:rsid w:val="00A82412"/>
    <w:rsid w:val="00A8243B"/>
    <w:rsid w:val="00A82E56"/>
    <w:rsid w:val="00A835E7"/>
    <w:rsid w:val="00A83A78"/>
    <w:rsid w:val="00A84ECE"/>
    <w:rsid w:val="00A85E3F"/>
    <w:rsid w:val="00A9085D"/>
    <w:rsid w:val="00A934A7"/>
    <w:rsid w:val="00A96346"/>
    <w:rsid w:val="00AA3F27"/>
    <w:rsid w:val="00AA3F38"/>
    <w:rsid w:val="00AA5308"/>
    <w:rsid w:val="00AA6679"/>
    <w:rsid w:val="00AB2199"/>
    <w:rsid w:val="00AB2589"/>
    <w:rsid w:val="00AB40FA"/>
    <w:rsid w:val="00AB5025"/>
    <w:rsid w:val="00AB526D"/>
    <w:rsid w:val="00AB59A8"/>
    <w:rsid w:val="00AB7AAE"/>
    <w:rsid w:val="00AC016C"/>
    <w:rsid w:val="00AC087C"/>
    <w:rsid w:val="00AC183F"/>
    <w:rsid w:val="00AC361B"/>
    <w:rsid w:val="00AC4A0B"/>
    <w:rsid w:val="00AC6874"/>
    <w:rsid w:val="00AC7435"/>
    <w:rsid w:val="00AD4177"/>
    <w:rsid w:val="00AD431A"/>
    <w:rsid w:val="00AD48DA"/>
    <w:rsid w:val="00AD4DF5"/>
    <w:rsid w:val="00AD6471"/>
    <w:rsid w:val="00AD741D"/>
    <w:rsid w:val="00AE01F6"/>
    <w:rsid w:val="00AE0B8A"/>
    <w:rsid w:val="00AE2D10"/>
    <w:rsid w:val="00AE4268"/>
    <w:rsid w:val="00AE6155"/>
    <w:rsid w:val="00AE7B3F"/>
    <w:rsid w:val="00AF0216"/>
    <w:rsid w:val="00AF27E8"/>
    <w:rsid w:val="00AF3283"/>
    <w:rsid w:val="00AF651C"/>
    <w:rsid w:val="00B00A1A"/>
    <w:rsid w:val="00B00E62"/>
    <w:rsid w:val="00B02A36"/>
    <w:rsid w:val="00B03690"/>
    <w:rsid w:val="00B04181"/>
    <w:rsid w:val="00B05086"/>
    <w:rsid w:val="00B06408"/>
    <w:rsid w:val="00B07907"/>
    <w:rsid w:val="00B07D8D"/>
    <w:rsid w:val="00B10B1F"/>
    <w:rsid w:val="00B113AA"/>
    <w:rsid w:val="00B13860"/>
    <w:rsid w:val="00B13890"/>
    <w:rsid w:val="00B13F77"/>
    <w:rsid w:val="00B22457"/>
    <w:rsid w:val="00B243D9"/>
    <w:rsid w:val="00B27104"/>
    <w:rsid w:val="00B316F7"/>
    <w:rsid w:val="00B322CB"/>
    <w:rsid w:val="00B345DF"/>
    <w:rsid w:val="00B34FDF"/>
    <w:rsid w:val="00B40A9D"/>
    <w:rsid w:val="00B42FAE"/>
    <w:rsid w:val="00B430A8"/>
    <w:rsid w:val="00B4476B"/>
    <w:rsid w:val="00B44836"/>
    <w:rsid w:val="00B53441"/>
    <w:rsid w:val="00B5375C"/>
    <w:rsid w:val="00B54595"/>
    <w:rsid w:val="00B55469"/>
    <w:rsid w:val="00B56239"/>
    <w:rsid w:val="00B6146E"/>
    <w:rsid w:val="00B61732"/>
    <w:rsid w:val="00B62456"/>
    <w:rsid w:val="00B62E74"/>
    <w:rsid w:val="00B63563"/>
    <w:rsid w:val="00B63CFB"/>
    <w:rsid w:val="00B649E4"/>
    <w:rsid w:val="00B65C4F"/>
    <w:rsid w:val="00B67DFC"/>
    <w:rsid w:val="00B754BB"/>
    <w:rsid w:val="00B75DA3"/>
    <w:rsid w:val="00B77280"/>
    <w:rsid w:val="00B807E4"/>
    <w:rsid w:val="00B82877"/>
    <w:rsid w:val="00B83230"/>
    <w:rsid w:val="00B83E2A"/>
    <w:rsid w:val="00B85700"/>
    <w:rsid w:val="00B86188"/>
    <w:rsid w:val="00B87E24"/>
    <w:rsid w:val="00B87F0C"/>
    <w:rsid w:val="00B90E2F"/>
    <w:rsid w:val="00B93389"/>
    <w:rsid w:val="00B95C60"/>
    <w:rsid w:val="00B9601F"/>
    <w:rsid w:val="00BA029B"/>
    <w:rsid w:val="00BA2D34"/>
    <w:rsid w:val="00BA32BA"/>
    <w:rsid w:val="00BA3601"/>
    <w:rsid w:val="00BA778A"/>
    <w:rsid w:val="00BB1D8B"/>
    <w:rsid w:val="00BB2BBA"/>
    <w:rsid w:val="00BB47DB"/>
    <w:rsid w:val="00BB5F3F"/>
    <w:rsid w:val="00BB65B8"/>
    <w:rsid w:val="00BB7344"/>
    <w:rsid w:val="00BB74C0"/>
    <w:rsid w:val="00BC0C35"/>
    <w:rsid w:val="00BC0E01"/>
    <w:rsid w:val="00BC3151"/>
    <w:rsid w:val="00BC3C19"/>
    <w:rsid w:val="00BC40AA"/>
    <w:rsid w:val="00BC40C9"/>
    <w:rsid w:val="00BC4375"/>
    <w:rsid w:val="00BC48A2"/>
    <w:rsid w:val="00BC4EF3"/>
    <w:rsid w:val="00BC5EBB"/>
    <w:rsid w:val="00BC779F"/>
    <w:rsid w:val="00BD1A8E"/>
    <w:rsid w:val="00BD225C"/>
    <w:rsid w:val="00BD2592"/>
    <w:rsid w:val="00BD31A4"/>
    <w:rsid w:val="00BD39C3"/>
    <w:rsid w:val="00BD4468"/>
    <w:rsid w:val="00BE1081"/>
    <w:rsid w:val="00BF08F2"/>
    <w:rsid w:val="00BF3C9F"/>
    <w:rsid w:val="00BF47F5"/>
    <w:rsid w:val="00BF5C56"/>
    <w:rsid w:val="00BF5EEA"/>
    <w:rsid w:val="00C00DF7"/>
    <w:rsid w:val="00C01202"/>
    <w:rsid w:val="00C030DA"/>
    <w:rsid w:val="00C032A1"/>
    <w:rsid w:val="00C10618"/>
    <w:rsid w:val="00C1074F"/>
    <w:rsid w:val="00C11DB7"/>
    <w:rsid w:val="00C12798"/>
    <w:rsid w:val="00C12B42"/>
    <w:rsid w:val="00C15F73"/>
    <w:rsid w:val="00C16735"/>
    <w:rsid w:val="00C16983"/>
    <w:rsid w:val="00C203C5"/>
    <w:rsid w:val="00C218BD"/>
    <w:rsid w:val="00C251DC"/>
    <w:rsid w:val="00C25697"/>
    <w:rsid w:val="00C3141A"/>
    <w:rsid w:val="00C31921"/>
    <w:rsid w:val="00C32014"/>
    <w:rsid w:val="00C32063"/>
    <w:rsid w:val="00C32512"/>
    <w:rsid w:val="00C332E1"/>
    <w:rsid w:val="00C3448F"/>
    <w:rsid w:val="00C347ED"/>
    <w:rsid w:val="00C357ED"/>
    <w:rsid w:val="00C35A62"/>
    <w:rsid w:val="00C366D3"/>
    <w:rsid w:val="00C36D14"/>
    <w:rsid w:val="00C404D5"/>
    <w:rsid w:val="00C420C2"/>
    <w:rsid w:val="00C46E10"/>
    <w:rsid w:val="00C50F28"/>
    <w:rsid w:val="00C51225"/>
    <w:rsid w:val="00C51ADE"/>
    <w:rsid w:val="00C5231F"/>
    <w:rsid w:val="00C5278B"/>
    <w:rsid w:val="00C52BBA"/>
    <w:rsid w:val="00C52F8D"/>
    <w:rsid w:val="00C55137"/>
    <w:rsid w:val="00C558F8"/>
    <w:rsid w:val="00C56B24"/>
    <w:rsid w:val="00C64291"/>
    <w:rsid w:val="00C644A1"/>
    <w:rsid w:val="00C64805"/>
    <w:rsid w:val="00C651CD"/>
    <w:rsid w:val="00C655B7"/>
    <w:rsid w:val="00C657AF"/>
    <w:rsid w:val="00C65C24"/>
    <w:rsid w:val="00C729BC"/>
    <w:rsid w:val="00C74630"/>
    <w:rsid w:val="00C74C27"/>
    <w:rsid w:val="00C7611E"/>
    <w:rsid w:val="00C7787C"/>
    <w:rsid w:val="00C8209A"/>
    <w:rsid w:val="00C8255D"/>
    <w:rsid w:val="00C83CB8"/>
    <w:rsid w:val="00C85818"/>
    <w:rsid w:val="00C90191"/>
    <w:rsid w:val="00C91D3E"/>
    <w:rsid w:val="00C96A80"/>
    <w:rsid w:val="00CA0DB9"/>
    <w:rsid w:val="00CA119A"/>
    <w:rsid w:val="00CA1C27"/>
    <w:rsid w:val="00CA1F71"/>
    <w:rsid w:val="00CA3224"/>
    <w:rsid w:val="00CA56AB"/>
    <w:rsid w:val="00CA66D3"/>
    <w:rsid w:val="00CA7774"/>
    <w:rsid w:val="00CB1164"/>
    <w:rsid w:val="00CB1327"/>
    <w:rsid w:val="00CB145A"/>
    <w:rsid w:val="00CB177C"/>
    <w:rsid w:val="00CB1F11"/>
    <w:rsid w:val="00CB2D0F"/>
    <w:rsid w:val="00CB6A85"/>
    <w:rsid w:val="00CB7E29"/>
    <w:rsid w:val="00CC0BE1"/>
    <w:rsid w:val="00CC1804"/>
    <w:rsid w:val="00CC2633"/>
    <w:rsid w:val="00CC29F3"/>
    <w:rsid w:val="00CC3C22"/>
    <w:rsid w:val="00CC71D7"/>
    <w:rsid w:val="00CC76F0"/>
    <w:rsid w:val="00CD50A6"/>
    <w:rsid w:val="00CD5727"/>
    <w:rsid w:val="00CE66A3"/>
    <w:rsid w:val="00CE6EBE"/>
    <w:rsid w:val="00CE7747"/>
    <w:rsid w:val="00CF1A41"/>
    <w:rsid w:val="00CF2577"/>
    <w:rsid w:val="00CF2C6E"/>
    <w:rsid w:val="00CF48B6"/>
    <w:rsid w:val="00CF5290"/>
    <w:rsid w:val="00CF6E0C"/>
    <w:rsid w:val="00CF753F"/>
    <w:rsid w:val="00D01489"/>
    <w:rsid w:val="00D03013"/>
    <w:rsid w:val="00D04420"/>
    <w:rsid w:val="00D0442A"/>
    <w:rsid w:val="00D060E5"/>
    <w:rsid w:val="00D0797B"/>
    <w:rsid w:val="00D12940"/>
    <w:rsid w:val="00D14A15"/>
    <w:rsid w:val="00D14B9F"/>
    <w:rsid w:val="00D163C2"/>
    <w:rsid w:val="00D1653C"/>
    <w:rsid w:val="00D1706D"/>
    <w:rsid w:val="00D1764D"/>
    <w:rsid w:val="00D201CE"/>
    <w:rsid w:val="00D2043A"/>
    <w:rsid w:val="00D20A18"/>
    <w:rsid w:val="00D22FDC"/>
    <w:rsid w:val="00D23AC9"/>
    <w:rsid w:val="00D24B0E"/>
    <w:rsid w:val="00D24F24"/>
    <w:rsid w:val="00D2557B"/>
    <w:rsid w:val="00D26176"/>
    <w:rsid w:val="00D2693F"/>
    <w:rsid w:val="00D27DA8"/>
    <w:rsid w:val="00D32A8E"/>
    <w:rsid w:val="00D344A5"/>
    <w:rsid w:val="00D34EB6"/>
    <w:rsid w:val="00D36979"/>
    <w:rsid w:val="00D37818"/>
    <w:rsid w:val="00D378E4"/>
    <w:rsid w:val="00D409BF"/>
    <w:rsid w:val="00D4108D"/>
    <w:rsid w:val="00D4241C"/>
    <w:rsid w:val="00D434B8"/>
    <w:rsid w:val="00D458F6"/>
    <w:rsid w:val="00D50DB0"/>
    <w:rsid w:val="00D50EF9"/>
    <w:rsid w:val="00D544D8"/>
    <w:rsid w:val="00D55812"/>
    <w:rsid w:val="00D560D9"/>
    <w:rsid w:val="00D56D87"/>
    <w:rsid w:val="00D57525"/>
    <w:rsid w:val="00D57548"/>
    <w:rsid w:val="00D576BB"/>
    <w:rsid w:val="00D57DD6"/>
    <w:rsid w:val="00D60317"/>
    <w:rsid w:val="00D619F1"/>
    <w:rsid w:val="00D61E0C"/>
    <w:rsid w:val="00D61FC1"/>
    <w:rsid w:val="00D62779"/>
    <w:rsid w:val="00D639E3"/>
    <w:rsid w:val="00D64F4A"/>
    <w:rsid w:val="00D66195"/>
    <w:rsid w:val="00D66612"/>
    <w:rsid w:val="00D66F36"/>
    <w:rsid w:val="00D677FB"/>
    <w:rsid w:val="00D702E1"/>
    <w:rsid w:val="00D73773"/>
    <w:rsid w:val="00D73AE5"/>
    <w:rsid w:val="00D74388"/>
    <w:rsid w:val="00D764FF"/>
    <w:rsid w:val="00D76795"/>
    <w:rsid w:val="00D77236"/>
    <w:rsid w:val="00D81A2C"/>
    <w:rsid w:val="00D8246F"/>
    <w:rsid w:val="00D83C9B"/>
    <w:rsid w:val="00D84B9C"/>
    <w:rsid w:val="00D861C6"/>
    <w:rsid w:val="00D866E5"/>
    <w:rsid w:val="00D86CB4"/>
    <w:rsid w:val="00D870B5"/>
    <w:rsid w:val="00D87634"/>
    <w:rsid w:val="00D904DF"/>
    <w:rsid w:val="00D9155E"/>
    <w:rsid w:val="00D92979"/>
    <w:rsid w:val="00D93343"/>
    <w:rsid w:val="00D93536"/>
    <w:rsid w:val="00D940B5"/>
    <w:rsid w:val="00D96A1E"/>
    <w:rsid w:val="00D96F93"/>
    <w:rsid w:val="00D976B9"/>
    <w:rsid w:val="00DA1079"/>
    <w:rsid w:val="00DA117B"/>
    <w:rsid w:val="00DA11A9"/>
    <w:rsid w:val="00DA531D"/>
    <w:rsid w:val="00DA5749"/>
    <w:rsid w:val="00DA6FE0"/>
    <w:rsid w:val="00DA725D"/>
    <w:rsid w:val="00DA7941"/>
    <w:rsid w:val="00DB0C13"/>
    <w:rsid w:val="00DB14A4"/>
    <w:rsid w:val="00DB1A9E"/>
    <w:rsid w:val="00DB1CDF"/>
    <w:rsid w:val="00DB1DA1"/>
    <w:rsid w:val="00DB2540"/>
    <w:rsid w:val="00DB3C32"/>
    <w:rsid w:val="00DB596B"/>
    <w:rsid w:val="00DB5C3D"/>
    <w:rsid w:val="00DB6742"/>
    <w:rsid w:val="00DC1D6F"/>
    <w:rsid w:val="00DC2024"/>
    <w:rsid w:val="00DC5603"/>
    <w:rsid w:val="00DC6265"/>
    <w:rsid w:val="00DC7381"/>
    <w:rsid w:val="00DC73D6"/>
    <w:rsid w:val="00DD0C61"/>
    <w:rsid w:val="00DD0CA7"/>
    <w:rsid w:val="00DD28CE"/>
    <w:rsid w:val="00DD4247"/>
    <w:rsid w:val="00DD5211"/>
    <w:rsid w:val="00DD72E9"/>
    <w:rsid w:val="00DD7A9F"/>
    <w:rsid w:val="00DE0A99"/>
    <w:rsid w:val="00DE625A"/>
    <w:rsid w:val="00DF0C48"/>
    <w:rsid w:val="00DF1C97"/>
    <w:rsid w:val="00DF70B4"/>
    <w:rsid w:val="00DF727E"/>
    <w:rsid w:val="00E0033D"/>
    <w:rsid w:val="00E00EF2"/>
    <w:rsid w:val="00E029BE"/>
    <w:rsid w:val="00E03B57"/>
    <w:rsid w:val="00E05399"/>
    <w:rsid w:val="00E05D0D"/>
    <w:rsid w:val="00E06683"/>
    <w:rsid w:val="00E11486"/>
    <w:rsid w:val="00E11EE6"/>
    <w:rsid w:val="00E127EF"/>
    <w:rsid w:val="00E14A8C"/>
    <w:rsid w:val="00E15FB9"/>
    <w:rsid w:val="00E179A6"/>
    <w:rsid w:val="00E17E3F"/>
    <w:rsid w:val="00E20858"/>
    <w:rsid w:val="00E21284"/>
    <w:rsid w:val="00E245A1"/>
    <w:rsid w:val="00E253EA"/>
    <w:rsid w:val="00E263FB"/>
    <w:rsid w:val="00E276EB"/>
    <w:rsid w:val="00E2771C"/>
    <w:rsid w:val="00E27C64"/>
    <w:rsid w:val="00E33B12"/>
    <w:rsid w:val="00E44711"/>
    <w:rsid w:val="00E45ED7"/>
    <w:rsid w:val="00E50E54"/>
    <w:rsid w:val="00E51326"/>
    <w:rsid w:val="00E537F0"/>
    <w:rsid w:val="00E566B4"/>
    <w:rsid w:val="00E56E24"/>
    <w:rsid w:val="00E578C6"/>
    <w:rsid w:val="00E60B73"/>
    <w:rsid w:val="00E60D52"/>
    <w:rsid w:val="00E613FE"/>
    <w:rsid w:val="00E62AB5"/>
    <w:rsid w:val="00E64117"/>
    <w:rsid w:val="00E65915"/>
    <w:rsid w:val="00E66DF4"/>
    <w:rsid w:val="00E6752E"/>
    <w:rsid w:val="00E67A33"/>
    <w:rsid w:val="00E7378A"/>
    <w:rsid w:val="00E76C8B"/>
    <w:rsid w:val="00E8132B"/>
    <w:rsid w:val="00E816F1"/>
    <w:rsid w:val="00E822C2"/>
    <w:rsid w:val="00E862CD"/>
    <w:rsid w:val="00E8646E"/>
    <w:rsid w:val="00E868E6"/>
    <w:rsid w:val="00E8753A"/>
    <w:rsid w:val="00E9072A"/>
    <w:rsid w:val="00E9088E"/>
    <w:rsid w:val="00E90DC4"/>
    <w:rsid w:val="00E90EA4"/>
    <w:rsid w:val="00E91513"/>
    <w:rsid w:val="00E96BB6"/>
    <w:rsid w:val="00EA07A8"/>
    <w:rsid w:val="00EA07DF"/>
    <w:rsid w:val="00EA4FF4"/>
    <w:rsid w:val="00EA7247"/>
    <w:rsid w:val="00EB01D8"/>
    <w:rsid w:val="00EB03B0"/>
    <w:rsid w:val="00EB2B95"/>
    <w:rsid w:val="00EB3869"/>
    <w:rsid w:val="00EB6639"/>
    <w:rsid w:val="00EB7D26"/>
    <w:rsid w:val="00EC27C3"/>
    <w:rsid w:val="00EC328B"/>
    <w:rsid w:val="00EC359D"/>
    <w:rsid w:val="00EC52D5"/>
    <w:rsid w:val="00EC73ED"/>
    <w:rsid w:val="00ED0152"/>
    <w:rsid w:val="00ED16E3"/>
    <w:rsid w:val="00ED20E1"/>
    <w:rsid w:val="00ED235F"/>
    <w:rsid w:val="00ED5483"/>
    <w:rsid w:val="00ED6824"/>
    <w:rsid w:val="00EE05D4"/>
    <w:rsid w:val="00EE1956"/>
    <w:rsid w:val="00EE40B6"/>
    <w:rsid w:val="00EE46B6"/>
    <w:rsid w:val="00EE4DA4"/>
    <w:rsid w:val="00EE5424"/>
    <w:rsid w:val="00EE6C6F"/>
    <w:rsid w:val="00EE6EFD"/>
    <w:rsid w:val="00EF2F67"/>
    <w:rsid w:val="00EF3B1A"/>
    <w:rsid w:val="00EF65CB"/>
    <w:rsid w:val="00EF6EC2"/>
    <w:rsid w:val="00EF6F87"/>
    <w:rsid w:val="00F0097E"/>
    <w:rsid w:val="00F01640"/>
    <w:rsid w:val="00F04FA7"/>
    <w:rsid w:val="00F05953"/>
    <w:rsid w:val="00F05A77"/>
    <w:rsid w:val="00F067FC"/>
    <w:rsid w:val="00F1067B"/>
    <w:rsid w:val="00F1098D"/>
    <w:rsid w:val="00F12B31"/>
    <w:rsid w:val="00F135D5"/>
    <w:rsid w:val="00F17291"/>
    <w:rsid w:val="00F2378C"/>
    <w:rsid w:val="00F23C67"/>
    <w:rsid w:val="00F255F8"/>
    <w:rsid w:val="00F266F7"/>
    <w:rsid w:val="00F27CC2"/>
    <w:rsid w:val="00F30041"/>
    <w:rsid w:val="00F33707"/>
    <w:rsid w:val="00F346C5"/>
    <w:rsid w:val="00F43687"/>
    <w:rsid w:val="00F45622"/>
    <w:rsid w:val="00F462DF"/>
    <w:rsid w:val="00F46617"/>
    <w:rsid w:val="00F474D6"/>
    <w:rsid w:val="00F47D0B"/>
    <w:rsid w:val="00F50E99"/>
    <w:rsid w:val="00F5298F"/>
    <w:rsid w:val="00F55C15"/>
    <w:rsid w:val="00F5791B"/>
    <w:rsid w:val="00F60EE8"/>
    <w:rsid w:val="00F60F7A"/>
    <w:rsid w:val="00F62287"/>
    <w:rsid w:val="00F62E0F"/>
    <w:rsid w:val="00F64480"/>
    <w:rsid w:val="00F6548E"/>
    <w:rsid w:val="00F65567"/>
    <w:rsid w:val="00F65DF0"/>
    <w:rsid w:val="00F671F7"/>
    <w:rsid w:val="00F67ACA"/>
    <w:rsid w:val="00F70213"/>
    <w:rsid w:val="00F70A26"/>
    <w:rsid w:val="00F70D90"/>
    <w:rsid w:val="00F7329E"/>
    <w:rsid w:val="00F737CE"/>
    <w:rsid w:val="00F7392F"/>
    <w:rsid w:val="00F7573B"/>
    <w:rsid w:val="00F75774"/>
    <w:rsid w:val="00F75A1F"/>
    <w:rsid w:val="00F779F7"/>
    <w:rsid w:val="00F77FDF"/>
    <w:rsid w:val="00F83A47"/>
    <w:rsid w:val="00F85443"/>
    <w:rsid w:val="00F87B48"/>
    <w:rsid w:val="00F87D38"/>
    <w:rsid w:val="00F900C9"/>
    <w:rsid w:val="00F90422"/>
    <w:rsid w:val="00F9220E"/>
    <w:rsid w:val="00F9432A"/>
    <w:rsid w:val="00F9522E"/>
    <w:rsid w:val="00F95F16"/>
    <w:rsid w:val="00F95F29"/>
    <w:rsid w:val="00F9772D"/>
    <w:rsid w:val="00FA3108"/>
    <w:rsid w:val="00FA3465"/>
    <w:rsid w:val="00FA5A4C"/>
    <w:rsid w:val="00FB2B77"/>
    <w:rsid w:val="00FB2F05"/>
    <w:rsid w:val="00FB33CF"/>
    <w:rsid w:val="00FB434A"/>
    <w:rsid w:val="00FB49FF"/>
    <w:rsid w:val="00FB4C57"/>
    <w:rsid w:val="00FB5161"/>
    <w:rsid w:val="00FB6B23"/>
    <w:rsid w:val="00FB7D02"/>
    <w:rsid w:val="00FC0E12"/>
    <w:rsid w:val="00FC20F7"/>
    <w:rsid w:val="00FC4BBA"/>
    <w:rsid w:val="00FD0FBF"/>
    <w:rsid w:val="00FD12FC"/>
    <w:rsid w:val="00FD1578"/>
    <w:rsid w:val="00FD3D18"/>
    <w:rsid w:val="00FD3F8E"/>
    <w:rsid w:val="00FD5F28"/>
    <w:rsid w:val="00FD681E"/>
    <w:rsid w:val="00FD73AA"/>
    <w:rsid w:val="00FE46EB"/>
    <w:rsid w:val="00FE4D3C"/>
    <w:rsid w:val="00FE5E3F"/>
    <w:rsid w:val="00FE5F68"/>
    <w:rsid w:val="00FE64D5"/>
    <w:rsid w:val="00FE74B6"/>
    <w:rsid w:val="00FE7F4C"/>
    <w:rsid w:val="00FF02D7"/>
    <w:rsid w:val="00FF132B"/>
    <w:rsid w:val="00FF50DE"/>
    <w:rsid w:val="00FF5643"/>
    <w:rsid w:val="00FF64FB"/>
    <w:rsid w:val="00FF7DF2"/>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DEFD68"/>
  <w15:docId w15:val="{0D606EF0-FB21-4B96-A9C0-9D58829C8E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v-LV" w:eastAsia="lv-LV"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9BF"/>
    <w:pPr>
      <w:spacing w:after="120"/>
      <w:ind w:firstLine="720"/>
      <w:jc w:val="both"/>
    </w:pPr>
    <w:rPr>
      <w:rFonts w:ascii="Times New Roman" w:hAnsi="Times New Roman"/>
      <w:sz w:val="24"/>
    </w:rPr>
  </w:style>
  <w:style w:type="paragraph" w:styleId="Heading1">
    <w:name w:val="heading 1"/>
    <w:basedOn w:val="Normal"/>
    <w:next w:val="Normal"/>
    <w:link w:val="Heading1Char"/>
    <w:uiPriority w:val="9"/>
    <w:qFormat/>
    <w:rsid w:val="00261182"/>
    <w:pPr>
      <w:keepNext/>
      <w:keepLines/>
      <w:spacing w:before="360"/>
      <w:ind w:firstLine="0"/>
      <w:jc w:val="center"/>
      <w:outlineLvl w:val="0"/>
    </w:pPr>
    <w:rPr>
      <w:rFonts w:eastAsiaTheme="majorEastAsia" w:cstheme="majorBidi"/>
      <w:b/>
      <w:bCs/>
      <w:color w:val="000000" w:themeColor="text1"/>
      <w:sz w:val="40"/>
      <w:szCs w:val="36"/>
    </w:rPr>
  </w:style>
  <w:style w:type="paragraph" w:styleId="Heading2">
    <w:name w:val="heading 2"/>
    <w:basedOn w:val="Normal"/>
    <w:next w:val="Normal"/>
    <w:link w:val="Heading2Char"/>
    <w:uiPriority w:val="9"/>
    <w:unhideWhenUsed/>
    <w:qFormat/>
    <w:rsid w:val="00261182"/>
    <w:pPr>
      <w:keepNext/>
      <w:keepLines/>
      <w:spacing w:before="360"/>
      <w:ind w:firstLine="0"/>
      <w:jc w:val="center"/>
      <w:outlineLvl w:val="1"/>
    </w:pPr>
    <w:rPr>
      <w:rFonts w:eastAsiaTheme="majorEastAsia" w:cstheme="majorBidi"/>
      <w:b/>
      <w:bCs/>
      <w:color w:val="000000" w:themeColor="text1"/>
      <w:sz w:val="36"/>
      <w:szCs w:val="28"/>
    </w:rPr>
  </w:style>
  <w:style w:type="paragraph" w:styleId="Heading3">
    <w:name w:val="heading 3"/>
    <w:basedOn w:val="Normal"/>
    <w:next w:val="Normal"/>
    <w:link w:val="Heading3Char"/>
    <w:uiPriority w:val="9"/>
    <w:unhideWhenUsed/>
    <w:qFormat/>
    <w:rsid w:val="00261182"/>
    <w:pPr>
      <w:keepNext/>
      <w:keepLines/>
      <w:numPr>
        <w:ilvl w:val="2"/>
        <w:numId w:val="4"/>
      </w:numPr>
      <w:tabs>
        <w:tab w:val="num" w:pos="993"/>
      </w:tabs>
      <w:spacing w:before="200"/>
      <w:ind w:left="993" w:hanging="567"/>
      <w:jc w:val="center"/>
      <w:outlineLvl w:val="2"/>
    </w:pPr>
    <w:rPr>
      <w:rFonts w:eastAsia="Calibri" w:cs="Times New Roman"/>
      <w:b/>
      <w:bCs/>
      <w:color w:val="000000" w:themeColor="text1"/>
      <w:sz w:val="32"/>
      <w:szCs w:val="28"/>
    </w:rPr>
  </w:style>
  <w:style w:type="paragraph" w:styleId="Heading4">
    <w:name w:val="heading 4"/>
    <w:basedOn w:val="Normal"/>
    <w:next w:val="Normal"/>
    <w:link w:val="Heading4Char"/>
    <w:unhideWhenUsed/>
    <w:qFormat/>
    <w:rsid w:val="004D28CD"/>
    <w:pPr>
      <w:keepNext/>
      <w:keepLines/>
      <w:spacing w:before="200"/>
      <w:ind w:firstLine="0"/>
      <w:outlineLvl w:val="3"/>
    </w:pPr>
    <w:rPr>
      <w:rFonts w:asciiTheme="majorHAnsi" w:eastAsiaTheme="majorEastAsia" w:hAnsiTheme="majorHAnsi" w:cstheme="majorBidi"/>
      <w:b/>
      <w:bCs/>
      <w:i/>
      <w:iCs/>
      <w:color w:val="000000" w:themeColor="text1"/>
    </w:rPr>
  </w:style>
  <w:style w:type="paragraph" w:styleId="Heading5">
    <w:name w:val="heading 5"/>
    <w:basedOn w:val="Normal"/>
    <w:next w:val="Normal"/>
    <w:link w:val="Heading5Char"/>
    <w:uiPriority w:val="9"/>
    <w:unhideWhenUsed/>
    <w:qFormat/>
    <w:rsid w:val="004D28CD"/>
    <w:pPr>
      <w:keepNext/>
      <w:keepLines/>
      <w:spacing w:before="200"/>
      <w:ind w:firstLine="0"/>
      <w:outlineLvl w:val="4"/>
    </w:pPr>
    <w:rPr>
      <w:rFonts w:asciiTheme="majorHAnsi" w:eastAsiaTheme="majorEastAsia" w:hAnsiTheme="majorHAnsi" w:cstheme="majorBidi"/>
      <w:color w:val="323E4F" w:themeColor="text2" w:themeShade="BF"/>
    </w:rPr>
  </w:style>
  <w:style w:type="paragraph" w:styleId="Heading6">
    <w:name w:val="heading 6"/>
    <w:basedOn w:val="Normal"/>
    <w:next w:val="Normal"/>
    <w:link w:val="Heading6Char"/>
    <w:uiPriority w:val="9"/>
    <w:semiHidden/>
    <w:unhideWhenUsed/>
    <w:qFormat/>
    <w:rsid w:val="004D28CD"/>
    <w:pPr>
      <w:keepNext/>
      <w:keepLines/>
      <w:spacing w:before="200"/>
      <w:ind w:firstLine="0"/>
      <w:outlineLvl w:val="5"/>
    </w:pPr>
    <w:rPr>
      <w:rFonts w:asciiTheme="majorHAnsi" w:eastAsiaTheme="majorEastAsia" w:hAnsiTheme="majorHAnsi" w:cstheme="majorBidi"/>
      <w:i/>
      <w:iCs/>
      <w:color w:val="323E4F" w:themeColor="text2" w:themeShade="BF"/>
    </w:rPr>
  </w:style>
  <w:style w:type="paragraph" w:styleId="Heading7">
    <w:name w:val="heading 7"/>
    <w:basedOn w:val="Normal"/>
    <w:next w:val="Normal"/>
    <w:link w:val="Heading7Char"/>
    <w:uiPriority w:val="9"/>
    <w:semiHidden/>
    <w:unhideWhenUsed/>
    <w:qFormat/>
    <w:rsid w:val="004D28CD"/>
    <w:pPr>
      <w:keepNext/>
      <w:keepLines/>
      <w:spacing w:before="200"/>
      <w:ind w:firstLine="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D28CD"/>
    <w:pPr>
      <w:keepNext/>
      <w:keepLines/>
      <w:spacing w:before="200"/>
      <w:ind w:firstLine="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D28CD"/>
    <w:pPr>
      <w:keepNext/>
      <w:keepLines/>
      <w:spacing w:before="200"/>
      <w:ind w:firstLine="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61182"/>
    <w:rPr>
      <w:rFonts w:ascii="Times New Roman" w:eastAsiaTheme="majorEastAsia" w:hAnsi="Times New Roman" w:cstheme="majorBidi"/>
      <w:b/>
      <w:bCs/>
      <w:color w:val="000000" w:themeColor="text1"/>
      <w:sz w:val="40"/>
      <w:szCs w:val="36"/>
    </w:rPr>
  </w:style>
  <w:style w:type="paragraph" w:styleId="TOCHeading">
    <w:name w:val="TOC Heading"/>
    <w:basedOn w:val="Heading1"/>
    <w:next w:val="Normal"/>
    <w:uiPriority w:val="39"/>
    <w:unhideWhenUsed/>
    <w:qFormat/>
    <w:rsid w:val="004D28CD"/>
    <w:pPr>
      <w:outlineLvl w:val="9"/>
    </w:pPr>
  </w:style>
  <w:style w:type="character" w:customStyle="1" w:styleId="Heading2Char">
    <w:name w:val="Heading 2 Char"/>
    <w:basedOn w:val="DefaultParagraphFont"/>
    <w:link w:val="Heading2"/>
    <w:uiPriority w:val="9"/>
    <w:rsid w:val="00261182"/>
    <w:rPr>
      <w:rFonts w:ascii="Times New Roman" w:eastAsiaTheme="majorEastAsia" w:hAnsi="Times New Roman" w:cstheme="majorBidi"/>
      <w:b/>
      <w:bCs/>
      <w:color w:val="000000" w:themeColor="text1"/>
      <w:sz w:val="36"/>
      <w:szCs w:val="28"/>
    </w:rPr>
  </w:style>
  <w:style w:type="character" w:customStyle="1" w:styleId="Heading3Char">
    <w:name w:val="Heading 3 Char"/>
    <w:basedOn w:val="DefaultParagraphFont"/>
    <w:link w:val="Heading3"/>
    <w:uiPriority w:val="9"/>
    <w:rsid w:val="00261182"/>
    <w:rPr>
      <w:rFonts w:ascii="Times New Roman" w:eastAsia="Calibri" w:hAnsi="Times New Roman" w:cs="Times New Roman"/>
      <w:b/>
      <w:bCs/>
      <w:color w:val="000000" w:themeColor="text1"/>
      <w:sz w:val="32"/>
      <w:szCs w:val="28"/>
    </w:rPr>
  </w:style>
  <w:style w:type="character" w:customStyle="1" w:styleId="Heading4Char">
    <w:name w:val="Heading 4 Char"/>
    <w:basedOn w:val="DefaultParagraphFont"/>
    <w:link w:val="Heading4"/>
    <w:rsid w:val="004D28CD"/>
    <w:rPr>
      <w:rFonts w:asciiTheme="majorHAnsi" w:eastAsiaTheme="majorEastAsia" w:hAnsiTheme="majorHAnsi" w:cstheme="majorBidi"/>
      <w:b/>
      <w:bCs/>
      <w:i/>
      <w:iCs/>
      <w:color w:val="000000" w:themeColor="text1"/>
    </w:rPr>
  </w:style>
  <w:style w:type="character" w:customStyle="1" w:styleId="Heading5Char">
    <w:name w:val="Heading 5 Char"/>
    <w:basedOn w:val="DefaultParagraphFont"/>
    <w:link w:val="Heading5"/>
    <w:uiPriority w:val="9"/>
    <w:rsid w:val="004D28CD"/>
    <w:rPr>
      <w:rFonts w:asciiTheme="majorHAnsi" w:eastAsiaTheme="majorEastAsia" w:hAnsiTheme="majorHAnsi" w:cstheme="majorBidi"/>
      <w:color w:val="323E4F" w:themeColor="text2" w:themeShade="BF"/>
    </w:rPr>
  </w:style>
  <w:style w:type="character" w:customStyle="1" w:styleId="Heading6Char">
    <w:name w:val="Heading 6 Char"/>
    <w:basedOn w:val="DefaultParagraphFont"/>
    <w:link w:val="Heading6"/>
    <w:uiPriority w:val="9"/>
    <w:semiHidden/>
    <w:rsid w:val="004D28CD"/>
    <w:rPr>
      <w:rFonts w:asciiTheme="majorHAnsi" w:eastAsiaTheme="majorEastAsia" w:hAnsiTheme="majorHAnsi" w:cstheme="majorBidi"/>
      <w:i/>
      <w:iCs/>
      <w:color w:val="323E4F" w:themeColor="text2" w:themeShade="BF"/>
    </w:rPr>
  </w:style>
  <w:style w:type="character" w:customStyle="1" w:styleId="Heading7Char">
    <w:name w:val="Heading 7 Char"/>
    <w:basedOn w:val="DefaultParagraphFont"/>
    <w:link w:val="Heading7"/>
    <w:uiPriority w:val="9"/>
    <w:semiHidden/>
    <w:rsid w:val="004D28C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D28CD"/>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D28C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4D28CD"/>
    <w:pPr>
      <w:spacing w:after="200"/>
    </w:pPr>
    <w:rPr>
      <w:i/>
      <w:iCs/>
      <w:color w:val="44546A" w:themeColor="text2"/>
      <w:sz w:val="18"/>
      <w:szCs w:val="18"/>
    </w:rPr>
  </w:style>
  <w:style w:type="paragraph" w:styleId="Title">
    <w:name w:val="Title"/>
    <w:basedOn w:val="Normal"/>
    <w:next w:val="Normal"/>
    <w:link w:val="TitleChar"/>
    <w:uiPriority w:val="10"/>
    <w:qFormat/>
    <w:rsid w:val="004D28CD"/>
    <w:pPr>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4D28CD"/>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rsid w:val="004D28CD"/>
    <w:pPr>
      <w:numPr>
        <w:ilvl w:val="1"/>
      </w:numPr>
      <w:ind w:firstLine="720"/>
    </w:pPr>
    <w:rPr>
      <w:color w:val="5A5A5A" w:themeColor="text1" w:themeTint="A5"/>
      <w:spacing w:val="10"/>
    </w:rPr>
  </w:style>
  <w:style w:type="character" w:customStyle="1" w:styleId="SubtitleChar">
    <w:name w:val="Subtitle Char"/>
    <w:basedOn w:val="DefaultParagraphFont"/>
    <w:link w:val="Subtitle"/>
    <w:uiPriority w:val="11"/>
    <w:rsid w:val="004D28CD"/>
    <w:rPr>
      <w:color w:val="5A5A5A" w:themeColor="text1" w:themeTint="A5"/>
      <w:spacing w:val="10"/>
    </w:rPr>
  </w:style>
  <w:style w:type="character" w:styleId="Strong">
    <w:name w:val="Strong"/>
    <w:basedOn w:val="DefaultParagraphFont"/>
    <w:uiPriority w:val="22"/>
    <w:qFormat/>
    <w:rsid w:val="004D28CD"/>
    <w:rPr>
      <w:b/>
      <w:bCs/>
      <w:color w:val="000000" w:themeColor="text1"/>
    </w:rPr>
  </w:style>
  <w:style w:type="character" w:styleId="Emphasis">
    <w:name w:val="Emphasis"/>
    <w:basedOn w:val="DefaultParagraphFont"/>
    <w:uiPriority w:val="20"/>
    <w:qFormat/>
    <w:rsid w:val="004D28CD"/>
    <w:rPr>
      <w:i/>
      <w:iCs/>
      <w:color w:val="auto"/>
    </w:rPr>
  </w:style>
  <w:style w:type="paragraph" w:styleId="NoSpacing">
    <w:name w:val="No Spacing"/>
    <w:uiPriority w:val="1"/>
    <w:qFormat/>
    <w:rsid w:val="004D28CD"/>
  </w:style>
  <w:style w:type="paragraph" w:styleId="Quote">
    <w:name w:val="Quote"/>
    <w:basedOn w:val="Normal"/>
    <w:next w:val="Normal"/>
    <w:link w:val="QuoteChar"/>
    <w:uiPriority w:val="29"/>
    <w:qFormat/>
    <w:rsid w:val="004D28CD"/>
    <w:pPr>
      <w:spacing w:before="160"/>
      <w:ind w:left="720" w:right="720"/>
    </w:pPr>
    <w:rPr>
      <w:i/>
      <w:iCs/>
      <w:color w:val="000000" w:themeColor="text1"/>
    </w:rPr>
  </w:style>
  <w:style w:type="character" w:customStyle="1" w:styleId="QuoteChar">
    <w:name w:val="Quote Char"/>
    <w:basedOn w:val="DefaultParagraphFont"/>
    <w:link w:val="Quote"/>
    <w:uiPriority w:val="29"/>
    <w:rsid w:val="004D28CD"/>
    <w:rPr>
      <w:i/>
      <w:iCs/>
      <w:color w:val="000000" w:themeColor="text1"/>
    </w:rPr>
  </w:style>
  <w:style w:type="paragraph" w:styleId="IntenseQuote">
    <w:name w:val="Intense Quote"/>
    <w:basedOn w:val="Normal"/>
    <w:next w:val="Normal"/>
    <w:link w:val="IntenseQuoteChar"/>
    <w:uiPriority w:val="30"/>
    <w:qFormat/>
    <w:rsid w:val="004D28CD"/>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4D28CD"/>
    <w:rPr>
      <w:color w:val="000000" w:themeColor="text1"/>
      <w:shd w:val="clear" w:color="auto" w:fill="F2F2F2" w:themeFill="background1" w:themeFillShade="F2"/>
    </w:rPr>
  </w:style>
  <w:style w:type="character" w:styleId="SubtleEmphasis">
    <w:name w:val="Subtle Emphasis"/>
    <w:basedOn w:val="DefaultParagraphFont"/>
    <w:uiPriority w:val="19"/>
    <w:qFormat/>
    <w:rsid w:val="004D28CD"/>
    <w:rPr>
      <w:i/>
      <w:iCs/>
      <w:color w:val="404040" w:themeColor="text1" w:themeTint="BF"/>
    </w:rPr>
  </w:style>
  <w:style w:type="character" w:styleId="IntenseEmphasis">
    <w:name w:val="Intense Emphasis"/>
    <w:basedOn w:val="DefaultParagraphFont"/>
    <w:uiPriority w:val="21"/>
    <w:qFormat/>
    <w:rsid w:val="004D28CD"/>
    <w:rPr>
      <w:b/>
      <w:bCs/>
      <w:i/>
      <w:iCs/>
      <w:caps/>
    </w:rPr>
  </w:style>
  <w:style w:type="character" w:styleId="SubtleReference">
    <w:name w:val="Subtle Reference"/>
    <w:basedOn w:val="DefaultParagraphFont"/>
    <w:uiPriority w:val="31"/>
    <w:qFormat/>
    <w:rsid w:val="004D28CD"/>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D28CD"/>
    <w:rPr>
      <w:b/>
      <w:bCs/>
      <w:smallCaps/>
      <w:u w:val="single"/>
    </w:rPr>
  </w:style>
  <w:style w:type="character" w:styleId="BookTitle">
    <w:name w:val="Book Title"/>
    <w:basedOn w:val="DefaultParagraphFont"/>
    <w:uiPriority w:val="33"/>
    <w:qFormat/>
    <w:rsid w:val="004D28CD"/>
    <w:rPr>
      <w:b w:val="0"/>
      <w:bCs w:val="0"/>
      <w:smallCaps/>
      <w:spacing w:val="5"/>
    </w:rPr>
  </w:style>
  <w:style w:type="paragraph" w:styleId="TOC1">
    <w:name w:val="toc 1"/>
    <w:basedOn w:val="Normal"/>
    <w:next w:val="Normal"/>
    <w:autoRedefine/>
    <w:uiPriority w:val="39"/>
    <w:unhideWhenUsed/>
    <w:rsid w:val="004565B8"/>
    <w:pPr>
      <w:tabs>
        <w:tab w:val="left" w:pos="284"/>
        <w:tab w:val="right" w:leader="dot" w:pos="9061"/>
      </w:tabs>
      <w:spacing w:after="100"/>
      <w:ind w:firstLine="0"/>
    </w:pPr>
  </w:style>
  <w:style w:type="paragraph" w:styleId="TOC2">
    <w:name w:val="toc 2"/>
    <w:basedOn w:val="Normal"/>
    <w:next w:val="Normal"/>
    <w:autoRedefine/>
    <w:uiPriority w:val="39"/>
    <w:unhideWhenUsed/>
    <w:rsid w:val="004565B8"/>
    <w:pPr>
      <w:tabs>
        <w:tab w:val="left" w:pos="851"/>
        <w:tab w:val="right" w:leader="dot" w:pos="9071"/>
      </w:tabs>
      <w:spacing w:after="100"/>
      <w:ind w:left="284" w:firstLine="0"/>
    </w:pPr>
  </w:style>
  <w:style w:type="character" w:styleId="Hyperlink">
    <w:name w:val="Hyperlink"/>
    <w:basedOn w:val="DefaultParagraphFont"/>
    <w:uiPriority w:val="99"/>
    <w:unhideWhenUsed/>
    <w:rsid w:val="00383CEF"/>
    <w:rPr>
      <w:color w:val="0563C1" w:themeColor="hyperlink"/>
      <w:u w:val="single"/>
    </w:rPr>
  </w:style>
  <w:style w:type="paragraph" w:styleId="ListParagraph">
    <w:name w:val="List Paragraph"/>
    <w:aliases w:val="2,Numbered Para 1,Dot pt,No Spacing1,List Paragraph Char Char Char,Indicator Text,Bullet 1,Bullet Points,MAIN CONTENT,IFCL - List Paragraph,List Paragraph12,OBC Bullet,F5 List Paragraph,Colorful List - Accent 11,Strip,Akapit z listą BS"/>
    <w:basedOn w:val="Normal"/>
    <w:link w:val="ListParagraphChar"/>
    <w:uiPriority w:val="34"/>
    <w:qFormat/>
    <w:rsid w:val="00383CEF"/>
    <w:pPr>
      <w:ind w:left="720"/>
      <w:contextualSpacing/>
    </w:pPr>
  </w:style>
  <w:style w:type="paragraph" w:styleId="FootnoteText">
    <w:name w:val="footnote text"/>
    <w:aliases w:val="Footnote,Fußnote,Fußnote Char Char Char,single space,ft Rakstz. Rakstz.,ft Rakstz.,ft,-E Fußnotentext,Fußnotentext Ursprung,Vēres teksts Char Char Char Char Char,Char Char Char Char Char Char Char Char Char Char Char Char,footnote tex,Char"/>
    <w:basedOn w:val="Normal"/>
    <w:link w:val="FootnoteTextChar"/>
    <w:uiPriority w:val="99"/>
    <w:unhideWhenUsed/>
    <w:qFormat/>
    <w:rsid w:val="00383CEF"/>
    <w:rPr>
      <w:sz w:val="20"/>
      <w:szCs w:val="20"/>
      <w:lang w:eastAsia="en-US"/>
    </w:rPr>
  </w:style>
  <w:style w:type="character" w:customStyle="1" w:styleId="FootnoteTextChar">
    <w:name w:val="Footnote Text Char"/>
    <w:aliases w:val="Footnote Char,Fußnote Char,Fußnote Char Char Char Char,single space Char,ft Rakstz. Rakstz. Char,ft Rakstz. Char,ft Char,-E Fußnotentext Char,Fußnotentext Ursprung Char,Vēres teksts Char Char Char Char Char Char,footnote tex Char"/>
    <w:basedOn w:val="DefaultParagraphFont"/>
    <w:link w:val="FootnoteText"/>
    <w:uiPriority w:val="99"/>
    <w:qFormat/>
    <w:rsid w:val="00383CEF"/>
    <w:rPr>
      <w:sz w:val="20"/>
      <w:szCs w:val="20"/>
      <w:lang w:eastAsia="en-US"/>
    </w:rPr>
  </w:style>
  <w:style w:type="character" w:styleId="FootnoteReference">
    <w:name w:val="footnote reference"/>
    <w:aliases w:val="Footnote Reference Number,Footnote symbol,Footnote Reference Superscript,ftref,Footnote Refernece,Odwołanie przypisu,BVI fnr,Footnotes refss,SUPERS,Ref,de nota al pie,-E Fußnotenzeichen,Footnote reference number,Times 10 Point,E,E FNZ"/>
    <w:basedOn w:val="DefaultParagraphFont"/>
    <w:link w:val="Char2"/>
    <w:uiPriority w:val="99"/>
    <w:unhideWhenUsed/>
    <w:qFormat/>
    <w:rsid w:val="00383CEF"/>
    <w:rPr>
      <w:vertAlign w:val="superscript"/>
    </w:rPr>
  </w:style>
  <w:style w:type="paragraph" w:customStyle="1" w:styleId="Char2">
    <w:name w:val="Char2"/>
    <w:aliases w:val="Char Char Char Char"/>
    <w:basedOn w:val="Normal"/>
    <w:next w:val="Normal"/>
    <w:link w:val="FootnoteReference"/>
    <w:uiPriority w:val="99"/>
    <w:rsid w:val="00383CEF"/>
    <w:pPr>
      <w:spacing w:line="240" w:lineRule="exact"/>
      <w:textAlignment w:val="baseline"/>
    </w:pPr>
    <w:rPr>
      <w:vertAlign w:val="superscript"/>
    </w:rPr>
  </w:style>
  <w:style w:type="paragraph" w:customStyle="1" w:styleId="footnotetex1">
    <w:name w:val="footnote tex1"/>
    <w:basedOn w:val="Normal"/>
    <w:next w:val="FootnoteText"/>
    <w:unhideWhenUsed/>
    <w:qFormat/>
    <w:rsid w:val="00383CEF"/>
    <w:rPr>
      <w:rFonts w:eastAsia="Calibri" w:cs="Times New Roman"/>
      <w:sz w:val="20"/>
      <w:szCs w:val="20"/>
      <w:lang w:eastAsia="en-US"/>
    </w:rPr>
  </w:style>
  <w:style w:type="paragraph" w:styleId="Header">
    <w:name w:val="header"/>
    <w:basedOn w:val="Normal"/>
    <w:link w:val="HeaderChar"/>
    <w:uiPriority w:val="99"/>
    <w:unhideWhenUsed/>
    <w:rsid w:val="00F2378C"/>
    <w:pPr>
      <w:tabs>
        <w:tab w:val="center" w:pos="4153"/>
        <w:tab w:val="right" w:pos="8306"/>
      </w:tabs>
    </w:pPr>
  </w:style>
  <w:style w:type="character" w:customStyle="1" w:styleId="HeaderChar">
    <w:name w:val="Header Char"/>
    <w:basedOn w:val="DefaultParagraphFont"/>
    <w:link w:val="Header"/>
    <w:uiPriority w:val="99"/>
    <w:rsid w:val="00F2378C"/>
  </w:style>
  <w:style w:type="paragraph" w:styleId="Footer">
    <w:name w:val="footer"/>
    <w:basedOn w:val="Normal"/>
    <w:link w:val="FooterChar"/>
    <w:unhideWhenUsed/>
    <w:rsid w:val="00F2378C"/>
    <w:pPr>
      <w:tabs>
        <w:tab w:val="center" w:pos="4153"/>
        <w:tab w:val="right" w:pos="8306"/>
      </w:tabs>
    </w:pPr>
  </w:style>
  <w:style w:type="character" w:customStyle="1" w:styleId="FooterChar">
    <w:name w:val="Footer Char"/>
    <w:basedOn w:val="DefaultParagraphFont"/>
    <w:link w:val="Footer"/>
    <w:rsid w:val="00F2378C"/>
  </w:style>
  <w:style w:type="paragraph" w:styleId="TOC3">
    <w:name w:val="toc 3"/>
    <w:basedOn w:val="Normal"/>
    <w:next w:val="Normal"/>
    <w:autoRedefine/>
    <w:uiPriority w:val="39"/>
    <w:unhideWhenUsed/>
    <w:rsid w:val="004565B8"/>
    <w:pPr>
      <w:tabs>
        <w:tab w:val="right" w:leader="dot" w:pos="9071"/>
      </w:tabs>
      <w:spacing w:after="100"/>
      <w:ind w:left="1418" w:hanging="709"/>
    </w:pPr>
    <w:rPr>
      <w:rFonts w:cs="Times New Roman"/>
      <w:noProof/>
      <w:sz w:val="28"/>
    </w:rPr>
  </w:style>
  <w:style w:type="character" w:styleId="CommentReference">
    <w:name w:val="annotation reference"/>
    <w:basedOn w:val="DefaultParagraphFont"/>
    <w:uiPriority w:val="99"/>
    <w:semiHidden/>
    <w:unhideWhenUsed/>
    <w:rsid w:val="00C83CB8"/>
    <w:rPr>
      <w:sz w:val="16"/>
      <w:szCs w:val="16"/>
    </w:rPr>
  </w:style>
  <w:style w:type="paragraph" w:styleId="CommentText">
    <w:name w:val="annotation text"/>
    <w:basedOn w:val="Normal"/>
    <w:link w:val="CommentTextChar"/>
    <w:uiPriority w:val="99"/>
    <w:unhideWhenUsed/>
    <w:rsid w:val="00C83CB8"/>
    <w:rPr>
      <w:sz w:val="20"/>
      <w:szCs w:val="20"/>
    </w:rPr>
  </w:style>
  <w:style w:type="character" w:customStyle="1" w:styleId="CommentTextChar">
    <w:name w:val="Comment Text Char"/>
    <w:basedOn w:val="DefaultParagraphFont"/>
    <w:link w:val="CommentText"/>
    <w:uiPriority w:val="99"/>
    <w:rsid w:val="00C83CB8"/>
    <w:rPr>
      <w:sz w:val="20"/>
      <w:szCs w:val="20"/>
    </w:rPr>
  </w:style>
  <w:style w:type="paragraph" w:styleId="CommentSubject">
    <w:name w:val="annotation subject"/>
    <w:basedOn w:val="CommentText"/>
    <w:next w:val="CommentText"/>
    <w:link w:val="CommentSubjectChar"/>
    <w:uiPriority w:val="99"/>
    <w:semiHidden/>
    <w:unhideWhenUsed/>
    <w:rsid w:val="00C83CB8"/>
    <w:rPr>
      <w:b/>
      <w:bCs/>
    </w:rPr>
  </w:style>
  <w:style w:type="character" w:customStyle="1" w:styleId="CommentSubjectChar">
    <w:name w:val="Comment Subject Char"/>
    <w:basedOn w:val="CommentTextChar"/>
    <w:link w:val="CommentSubject"/>
    <w:uiPriority w:val="99"/>
    <w:semiHidden/>
    <w:rsid w:val="00C83CB8"/>
    <w:rPr>
      <w:b/>
      <w:bCs/>
      <w:sz w:val="20"/>
      <w:szCs w:val="20"/>
    </w:rPr>
  </w:style>
  <w:style w:type="paragraph" w:styleId="BalloonText">
    <w:name w:val="Balloon Text"/>
    <w:basedOn w:val="Normal"/>
    <w:link w:val="BalloonTextChar"/>
    <w:semiHidden/>
    <w:unhideWhenUsed/>
    <w:rsid w:val="00C83CB8"/>
    <w:rPr>
      <w:rFonts w:ascii="Segoe UI" w:hAnsi="Segoe UI" w:cs="Segoe UI"/>
      <w:sz w:val="18"/>
      <w:szCs w:val="18"/>
    </w:rPr>
  </w:style>
  <w:style w:type="character" w:customStyle="1" w:styleId="BalloonTextChar">
    <w:name w:val="Balloon Text Char"/>
    <w:basedOn w:val="DefaultParagraphFont"/>
    <w:link w:val="BalloonText"/>
    <w:semiHidden/>
    <w:rsid w:val="00C83CB8"/>
    <w:rPr>
      <w:rFonts w:ascii="Segoe UI" w:hAnsi="Segoe UI" w:cs="Segoe UI"/>
      <w:sz w:val="18"/>
      <w:szCs w:val="18"/>
    </w:rPr>
  </w:style>
  <w:style w:type="table" w:styleId="TableGrid">
    <w:name w:val="Table Grid"/>
    <w:basedOn w:val="TableNormal"/>
    <w:uiPriority w:val="39"/>
    <w:rsid w:val="00E05D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05D0D"/>
  </w:style>
  <w:style w:type="table" w:styleId="ListTable2-Accent1">
    <w:name w:val="List Table 2 Accent 1"/>
    <w:basedOn w:val="TableNormal"/>
    <w:uiPriority w:val="47"/>
    <w:rsid w:val="00983CAA"/>
    <w:rPr>
      <w:lang w:eastAsia="en-US"/>
    </w:rPr>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NoList1">
    <w:name w:val="No List1"/>
    <w:next w:val="NoList"/>
    <w:uiPriority w:val="99"/>
    <w:semiHidden/>
    <w:unhideWhenUsed/>
    <w:rsid w:val="00DB596B"/>
  </w:style>
  <w:style w:type="paragraph" w:customStyle="1" w:styleId="H4">
    <w:name w:val="H4"/>
    <w:uiPriority w:val="99"/>
    <w:qFormat/>
    <w:rsid w:val="00DB596B"/>
    <w:pPr>
      <w:spacing w:after="120"/>
      <w:jc w:val="center"/>
      <w:outlineLvl w:val="3"/>
    </w:pPr>
    <w:rPr>
      <w:rFonts w:ascii="Times New Roman" w:eastAsia="Times New Roman" w:hAnsi="Times New Roman" w:cs="Times New Roman"/>
      <w:b/>
      <w:sz w:val="28"/>
      <w:szCs w:val="20"/>
      <w:lang w:eastAsia="en-US"/>
    </w:rPr>
  </w:style>
  <w:style w:type="paragraph" w:customStyle="1" w:styleId="H3">
    <w:name w:val="H3"/>
    <w:qFormat/>
    <w:rsid w:val="00BC5EBB"/>
    <w:pPr>
      <w:spacing w:before="240" w:after="240"/>
      <w:jc w:val="center"/>
      <w:outlineLvl w:val="2"/>
    </w:pPr>
    <w:rPr>
      <w:rFonts w:ascii="Times New Roman" w:eastAsia="Times New Roman" w:hAnsi="Times New Roman" w:cs="Times New Roman"/>
      <w:b/>
      <w:sz w:val="32"/>
      <w:szCs w:val="20"/>
      <w:lang w:eastAsia="en-US"/>
    </w:rPr>
  </w:style>
  <w:style w:type="paragraph" w:customStyle="1" w:styleId="H2">
    <w:name w:val="H2"/>
    <w:basedOn w:val="Heading2"/>
    <w:qFormat/>
    <w:rsid w:val="00C203C5"/>
    <w:pPr>
      <w:spacing w:before="240" w:after="240"/>
    </w:pPr>
    <w:rPr>
      <w:smallCaps/>
    </w:rPr>
  </w:style>
  <w:style w:type="paragraph" w:customStyle="1" w:styleId="H1">
    <w:name w:val="H1"/>
    <w:basedOn w:val="Heading1"/>
    <w:qFormat/>
    <w:rsid w:val="00C203C5"/>
    <w:pPr>
      <w:numPr>
        <w:numId w:val="1"/>
      </w:numPr>
      <w:spacing w:before="240" w:after="240"/>
      <w:ind w:left="0" w:firstLine="318"/>
    </w:pPr>
    <w:rPr>
      <w:rFonts w:eastAsia="Times New Roman" w:cs="Times New Roman"/>
      <w:smallCaps/>
    </w:rPr>
  </w:style>
  <w:style w:type="paragraph" w:customStyle="1" w:styleId="T">
    <w:name w:val="T"/>
    <w:basedOn w:val="Normal"/>
    <w:uiPriority w:val="99"/>
    <w:rsid w:val="00DB596B"/>
    <w:pPr>
      <w:jc w:val="center"/>
    </w:pPr>
    <w:rPr>
      <w:rFonts w:eastAsia="Times New Roman" w:cs="Times New Roman"/>
      <w:b/>
      <w:i/>
      <w:szCs w:val="20"/>
      <w:lang w:eastAsia="en-US"/>
    </w:rPr>
  </w:style>
  <w:style w:type="paragraph" w:customStyle="1" w:styleId="Z">
    <w:name w:val="Z"/>
    <w:basedOn w:val="T"/>
    <w:uiPriority w:val="99"/>
    <w:rsid w:val="00DB596B"/>
  </w:style>
  <w:style w:type="character" w:styleId="PageNumber">
    <w:name w:val="page number"/>
    <w:basedOn w:val="DefaultParagraphFont"/>
    <w:rsid w:val="00DB596B"/>
  </w:style>
  <w:style w:type="paragraph" w:customStyle="1" w:styleId="paraksti">
    <w:name w:val="paraksti"/>
    <w:basedOn w:val="Normal"/>
    <w:qFormat/>
    <w:rsid w:val="00DB596B"/>
    <w:rPr>
      <w:rFonts w:eastAsia="Times New Roman" w:cs="Times New Roman"/>
      <w:sz w:val="20"/>
      <w:szCs w:val="20"/>
      <w:lang w:eastAsia="en-US"/>
    </w:rPr>
  </w:style>
  <w:style w:type="paragraph" w:customStyle="1" w:styleId="tabtekst">
    <w:name w:val="tab_tekst"/>
    <w:basedOn w:val="Normal"/>
    <w:uiPriority w:val="99"/>
    <w:rsid w:val="00DB596B"/>
    <w:rPr>
      <w:rFonts w:eastAsia="Times New Roman" w:cs="Times New Roman"/>
      <w:snapToGrid w:val="0"/>
      <w:color w:val="000000"/>
      <w:sz w:val="20"/>
      <w:szCs w:val="20"/>
      <w:lang w:eastAsia="en-US"/>
    </w:rPr>
  </w:style>
  <w:style w:type="paragraph" w:styleId="EndnoteText">
    <w:name w:val="endnote text"/>
    <w:basedOn w:val="Normal"/>
    <w:link w:val="EndnoteTextChar"/>
    <w:uiPriority w:val="99"/>
    <w:semiHidden/>
    <w:unhideWhenUsed/>
    <w:rsid w:val="00DB596B"/>
    <w:rPr>
      <w:rFonts w:eastAsia="Times New Roman" w:cs="Times New Roman"/>
      <w:sz w:val="20"/>
      <w:szCs w:val="20"/>
      <w:lang w:eastAsia="en-US"/>
    </w:rPr>
  </w:style>
  <w:style w:type="character" w:customStyle="1" w:styleId="EndnoteTextChar">
    <w:name w:val="Endnote Text Char"/>
    <w:basedOn w:val="DefaultParagraphFont"/>
    <w:link w:val="EndnoteText"/>
    <w:uiPriority w:val="99"/>
    <w:semiHidden/>
    <w:rsid w:val="00DB596B"/>
    <w:rPr>
      <w:rFonts w:ascii="Times New Roman" w:eastAsia="Times New Roman" w:hAnsi="Times New Roman" w:cs="Times New Roman"/>
      <w:sz w:val="20"/>
      <w:szCs w:val="20"/>
      <w:lang w:eastAsia="en-US"/>
    </w:rPr>
  </w:style>
  <w:style w:type="character" w:styleId="EndnoteReference">
    <w:name w:val="endnote reference"/>
    <w:uiPriority w:val="99"/>
    <w:semiHidden/>
    <w:unhideWhenUsed/>
    <w:rsid w:val="00DB596B"/>
    <w:rPr>
      <w:vertAlign w:val="superscript"/>
    </w:rPr>
  </w:style>
  <w:style w:type="paragraph" w:customStyle="1" w:styleId="naisf">
    <w:name w:val="naisf"/>
    <w:basedOn w:val="Normal"/>
    <w:rsid w:val="00DB596B"/>
    <w:pPr>
      <w:spacing w:before="100" w:beforeAutospacing="1" w:after="100" w:afterAutospacing="1"/>
    </w:pPr>
    <w:rPr>
      <w:rFonts w:eastAsia="Times New Roman" w:cs="Times New Roman"/>
      <w:szCs w:val="24"/>
    </w:rPr>
  </w:style>
  <w:style w:type="paragraph" w:customStyle="1" w:styleId="naiskr">
    <w:name w:val="naiskr"/>
    <w:basedOn w:val="Normal"/>
    <w:rsid w:val="00DB596B"/>
    <w:pPr>
      <w:spacing w:before="100" w:beforeAutospacing="1" w:after="100" w:afterAutospacing="1"/>
    </w:pPr>
    <w:rPr>
      <w:rFonts w:eastAsia="Times New Roman" w:cs="Times New Roman"/>
      <w:color w:val="000000"/>
      <w:szCs w:val="24"/>
    </w:rPr>
  </w:style>
  <w:style w:type="paragraph" w:styleId="BodyText">
    <w:name w:val="Body Text"/>
    <w:aliases w:val=" Char"/>
    <w:basedOn w:val="Normal"/>
    <w:link w:val="BodyTextChar"/>
    <w:uiPriority w:val="1"/>
    <w:qFormat/>
    <w:rsid w:val="00DB596B"/>
    <w:rPr>
      <w:rFonts w:eastAsia="Times New Roman" w:cs="Times New Roman"/>
      <w:sz w:val="28"/>
      <w:szCs w:val="20"/>
      <w:lang w:eastAsia="en-US"/>
    </w:rPr>
  </w:style>
  <w:style w:type="character" w:customStyle="1" w:styleId="BodyTextChar">
    <w:name w:val="Body Text Char"/>
    <w:aliases w:val=" Char Char"/>
    <w:basedOn w:val="DefaultParagraphFont"/>
    <w:link w:val="BodyText"/>
    <w:uiPriority w:val="1"/>
    <w:rsid w:val="00DB596B"/>
    <w:rPr>
      <w:rFonts w:ascii="Times New Roman" w:eastAsia="Times New Roman" w:hAnsi="Times New Roman" w:cs="Times New Roman"/>
      <w:sz w:val="28"/>
      <w:szCs w:val="20"/>
      <w:lang w:eastAsia="en-US"/>
    </w:rPr>
  </w:style>
  <w:style w:type="paragraph" w:styleId="NormalWeb">
    <w:name w:val="Normal (Web)"/>
    <w:basedOn w:val="Normal"/>
    <w:uiPriority w:val="99"/>
    <w:unhideWhenUsed/>
    <w:rsid w:val="00DB596B"/>
    <w:pPr>
      <w:spacing w:before="100" w:beforeAutospacing="1" w:after="100" w:afterAutospacing="1"/>
    </w:pPr>
    <w:rPr>
      <w:rFonts w:eastAsia="Times New Roman" w:cs="Times New Roman"/>
      <w:szCs w:val="24"/>
    </w:rPr>
  </w:style>
  <w:style w:type="paragraph" w:customStyle="1" w:styleId="Default">
    <w:name w:val="Default"/>
    <w:rsid w:val="00DB596B"/>
    <w:pPr>
      <w:autoSpaceDE w:val="0"/>
      <w:autoSpaceDN w:val="0"/>
      <w:adjustRightInd w:val="0"/>
    </w:pPr>
    <w:rPr>
      <w:rFonts w:ascii="Times New Roman" w:eastAsia="Times New Roman" w:hAnsi="Times New Roman" w:cs="Times New Roman"/>
      <w:color w:val="000000"/>
      <w:sz w:val="24"/>
      <w:szCs w:val="24"/>
    </w:rPr>
  </w:style>
  <w:style w:type="table" w:customStyle="1" w:styleId="TableGrid1">
    <w:name w:val="Table Grid1"/>
    <w:basedOn w:val="TableNormal"/>
    <w:next w:val="TableGrid"/>
    <w:uiPriority w:val="39"/>
    <w:rsid w:val="00DB596B"/>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abc">
    <w:name w:val="Point abc"/>
    <w:basedOn w:val="Normal"/>
    <w:rsid w:val="00DB596B"/>
    <w:pPr>
      <w:numPr>
        <w:ilvl w:val="1"/>
        <w:numId w:val="3"/>
      </w:numPr>
      <w:tabs>
        <w:tab w:val="clear" w:pos="567"/>
      </w:tabs>
      <w:spacing w:before="120" w:line="360" w:lineRule="auto"/>
      <w:ind w:left="1440" w:hanging="360"/>
    </w:pPr>
    <w:rPr>
      <w:rFonts w:eastAsia="Times New Roman" w:cs="Times New Roman"/>
      <w:szCs w:val="24"/>
      <w:lang w:val="en-GB" w:eastAsia="en-US"/>
    </w:rPr>
  </w:style>
  <w:style w:type="paragraph" w:customStyle="1" w:styleId="Pointabc1">
    <w:name w:val="Point abc (1)"/>
    <w:basedOn w:val="Normal"/>
    <w:rsid w:val="00DB596B"/>
    <w:pPr>
      <w:numPr>
        <w:ilvl w:val="3"/>
        <w:numId w:val="3"/>
      </w:numPr>
      <w:tabs>
        <w:tab w:val="clear" w:pos="1134"/>
      </w:tabs>
      <w:spacing w:before="120" w:line="360" w:lineRule="auto"/>
      <w:ind w:left="2880" w:hanging="360"/>
      <w:outlineLvl w:val="0"/>
    </w:pPr>
    <w:rPr>
      <w:rFonts w:eastAsia="Times New Roman" w:cs="Times New Roman"/>
      <w:szCs w:val="24"/>
      <w:lang w:val="en-GB" w:eastAsia="en-US"/>
    </w:rPr>
  </w:style>
  <w:style w:type="paragraph" w:customStyle="1" w:styleId="Pointabc2">
    <w:name w:val="Point abc (2)"/>
    <w:basedOn w:val="Normal"/>
    <w:rsid w:val="00DB596B"/>
    <w:pPr>
      <w:numPr>
        <w:ilvl w:val="5"/>
        <w:numId w:val="3"/>
      </w:numPr>
      <w:tabs>
        <w:tab w:val="clear" w:pos="1701"/>
      </w:tabs>
      <w:spacing w:before="120" w:line="360" w:lineRule="auto"/>
      <w:ind w:left="4320" w:hanging="180"/>
      <w:outlineLvl w:val="1"/>
    </w:pPr>
    <w:rPr>
      <w:rFonts w:eastAsia="Times New Roman" w:cs="Times New Roman"/>
      <w:szCs w:val="24"/>
      <w:lang w:val="en-GB" w:eastAsia="en-US"/>
    </w:rPr>
  </w:style>
  <w:style w:type="paragraph" w:customStyle="1" w:styleId="Pointabc3">
    <w:name w:val="Point abc (3)"/>
    <w:basedOn w:val="Normal"/>
    <w:rsid w:val="00DB596B"/>
    <w:pPr>
      <w:numPr>
        <w:ilvl w:val="7"/>
        <w:numId w:val="3"/>
      </w:numPr>
      <w:tabs>
        <w:tab w:val="clear" w:pos="2268"/>
      </w:tabs>
      <w:spacing w:before="120" w:line="360" w:lineRule="auto"/>
      <w:ind w:left="5760" w:hanging="360"/>
      <w:outlineLvl w:val="2"/>
    </w:pPr>
    <w:rPr>
      <w:rFonts w:eastAsia="Times New Roman" w:cs="Times New Roman"/>
      <w:szCs w:val="24"/>
      <w:lang w:val="en-GB" w:eastAsia="en-US"/>
    </w:rPr>
  </w:style>
  <w:style w:type="paragraph" w:customStyle="1" w:styleId="Pointabc4">
    <w:name w:val="Point abc (4)"/>
    <w:basedOn w:val="Normal"/>
    <w:rsid w:val="00DB596B"/>
    <w:pPr>
      <w:numPr>
        <w:ilvl w:val="8"/>
        <w:numId w:val="3"/>
      </w:numPr>
      <w:tabs>
        <w:tab w:val="clear" w:pos="2835"/>
      </w:tabs>
      <w:spacing w:before="120" w:line="360" w:lineRule="auto"/>
      <w:ind w:left="6480" w:hanging="180"/>
      <w:outlineLvl w:val="3"/>
    </w:pPr>
    <w:rPr>
      <w:rFonts w:eastAsia="Times New Roman" w:cs="Times New Roman"/>
      <w:szCs w:val="24"/>
      <w:lang w:val="en-GB" w:eastAsia="en-US"/>
    </w:rPr>
  </w:style>
  <w:style w:type="paragraph" w:customStyle="1" w:styleId="Point123">
    <w:name w:val="Point 123"/>
    <w:basedOn w:val="Normal"/>
    <w:rsid w:val="00DB596B"/>
    <w:pPr>
      <w:numPr>
        <w:numId w:val="3"/>
      </w:numPr>
      <w:tabs>
        <w:tab w:val="clear" w:pos="567"/>
      </w:tabs>
      <w:spacing w:before="120" w:line="360" w:lineRule="auto"/>
      <w:ind w:left="360" w:hanging="360"/>
    </w:pPr>
    <w:rPr>
      <w:rFonts w:eastAsia="Times New Roman" w:cs="Times New Roman"/>
      <w:szCs w:val="24"/>
      <w:lang w:val="en-GB" w:eastAsia="en-US"/>
    </w:rPr>
  </w:style>
  <w:style w:type="paragraph" w:customStyle="1" w:styleId="Point1231">
    <w:name w:val="Point 123 (1)"/>
    <w:basedOn w:val="Normal"/>
    <w:rsid w:val="00DB596B"/>
    <w:pPr>
      <w:numPr>
        <w:ilvl w:val="2"/>
        <w:numId w:val="3"/>
      </w:numPr>
      <w:tabs>
        <w:tab w:val="clear" w:pos="993"/>
      </w:tabs>
      <w:spacing w:before="120" w:line="360" w:lineRule="auto"/>
      <w:ind w:left="2160" w:hanging="180"/>
      <w:outlineLvl w:val="0"/>
    </w:pPr>
    <w:rPr>
      <w:rFonts w:eastAsia="Times New Roman" w:cs="Times New Roman"/>
      <w:szCs w:val="24"/>
      <w:lang w:val="en-GB" w:eastAsia="en-US"/>
    </w:rPr>
  </w:style>
  <w:style w:type="paragraph" w:customStyle="1" w:styleId="Point1232">
    <w:name w:val="Point 123 (2)"/>
    <w:basedOn w:val="Normal"/>
    <w:rsid w:val="00DB596B"/>
    <w:pPr>
      <w:numPr>
        <w:ilvl w:val="4"/>
        <w:numId w:val="3"/>
      </w:numPr>
      <w:tabs>
        <w:tab w:val="clear" w:pos="1701"/>
      </w:tabs>
      <w:spacing w:before="120" w:line="360" w:lineRule="auto"/>
      <w:ind w:left="3600" w:hanging="360"/>
      <w:outlineLvl w:val="1"/>
    </w:pPr>
    <w:rPr>
      <w:rFonts w:eastAsia="Times New Roman" w:cs="Times New Roman"/>
      <w:szCs w:val="24"/>
      <w:lang w:val="en-GB" w:eastAsia="en-US"/>
    </w:rPr>
  </w:style>
  <w:style w:type="paragraph" w:customStyle="1" w:styleId="Point1233">
    <w:name w:val="Point 123 (3)"/>
    <w:basedOn w:val="Normal"/>
    <w:rsid w:val="00DB596B"/>
    <w:pPr>
      <w:numPr>
        <w:ilvl w:val="6"/>
        <w:numId w:val="3"/>
      </w:numPr>
      <w:tabs>
        <w:tab w:val="clear" w:pos="2268"/>
      </w:tabs>
      <w:spacing w:before="120" w:line="360" w:lineRule="auto"/>
      <w:ind w:left="5040" w:hanging="360"/>
      <w:outlineLvl w:val="2"/>
    </w:pPr>
    <w:rPr>
      <w:rFonts w:eastAsia="Times New Roman" w:cs="Times New Roman"/>
      <w:szCs w:val="24"/>
      <w:lang w:val="en-GB" w:eastAsia="en-US"/>
    </w:rPr>
  </w:style>
  <w:style w:type="paragraph" w:customStyle="1" w:styleId="cipari">
    <w:name w:val="cipari"/>
    <w:basedOn w:val="Normal"/>
    <w:qFormat/>
    <w:rsid w:val="00DB596B"/>
    <w:pPr>
      <w:ind w:left="720" w:hanging="720"/>
    </w:pPr>
    <w:rPr>
      <w:rFonts w:eastAsia="Times New Roman" w:cs="Times New Roman"/>
      <w:bCs/>
      <w:szCs w:val="20"/>
      <w:lang w:eastAsia="en-US"/>
    </w:rPr>
  </w:style>
  <w:style w:type="character" w:customStyle="1" w:styleId="apple-converted-space">
    <w:name w:val="apple-converted-space"/>
    <w:rsid w:val="00DB596B"/>
  </w:style>
  <w:style w:type="character" w:customStyle="1" w:styleId="ListParagraphChar">
    <w:name w:val="List Paragraph Char"/>
    <w:aliases w:val="2 Char,Numbered Para 1 Char,Dot pt Char,No Spacing1 Char,List Paragraph Char Char Char Char,Indicator Text Char,Bullet 1 Char,Bullet Points Char,MAIN CONTENT Char,IFCL - List Paragraph Char,List Paragraph12 Char,OBC Bullet Char"/>
    <w:link w:val="ListParagraph"/>
    <w:uiPriority w:val="34"/>
    <w:qFormat/>
    <w:locked/>
    <w:rsid w:val="00DB596B"/>
  </w:style>
  <w:style w:type="numbering" w:customStyle="1" w:styleId="NoList2">
    <w:name w:val="No List2"/>
    <w:next w:val="NoList"/>
    <w:uiPriority w:val="99"/>
    <w:semiHidden/>
    <w:unhideWhenUsed/>
    <w:rsid w:val="008643AC"/>
  </w:style>
  <w:style w:type="paragraph" w:customStyle="1" w:styleId="tabteksts">
    <w:name w:val="tab_teksts"/>
    <w:basedOn w:val="Normal"/>
    <w:qFormat/>
    <w:rsid w:val="008643AC"/>
    <w:rPr>
      <w:rFonts w:eastAsia="Times New Roman" w:cs="Times New Roman"/>
      <w:sz w:val="18"/>
      <w:szCs w:val="20"/>
      <w:lang w:eastAsia="en-US"/>
    </w:rPr>
  </w:style>
  <w:style w:type="paragraph" w:customStyle="1" w:styleId="BalloonText1">
    <w:name w:val="Balloon Text1"/>
    <w:basedOn w:val="Normal"/>
    <w:semiHidden/>
    <w:rsid w:val="008643AC"/>
    <w:pPr>
      <w:ind w:firstLine="709"/>
    </w:pPr>
    <w:rPr>
      <w:rFonts w:ascii="Tahoma" w:eastAsia="Times New Roman" w:hAnsi="Tahoma" w:cs="Tahoma"/>
      <w:sz w:val="16"/>
      <w:szCs w:val="16"/>
      <w:lang w:eastAsia="en-US"/>
    </w:rPr>
  </w:style>
  <w:style w:type="table" w:customStyle="1" w:styleId="TableGrid2">
    <w:name w:val="Table Grid2"/>
    <w:basedOn w:val="TableNormal"/>
    <w:next w:val="TableGrid"/>
    <w:uiPriority w:val="39"/>
    <w:rsid w:val="008643AC"/>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unkcijas">
    <w:name w:val="funkcijas"/>
    <w:basedOn w:val="Normal"/>
    <w:qFormat/>
    <w:rsid w:val="008643AC"/>
    <w:rPr>
      <w:rFonts w:eastAsia="Times New Roman" w:cs="Times New Roman"/>
      <w:bCs/>
      <w:szCs w:val="20"/>
      <w:u w:val="single"/>
      <w:lang w:eastAsia="en-US"/>
    </w:rPr>
  </w:style>
  <w:style w:type="paragraph" w:customStyle="1" w:styleId="Funkcijasbold">
    <w:name w:val="Funkcijas_bold"/>
    <w:basedOn w:val="Normal"/>
    <w:qFormat/>
    <w:rsid w:val="008643AC"/>
    <w:rPr>
      <w:rFonts w:eastAsia="Times New Roman" w:cs="Times New Roman"/>
      <w:b/>
      <w:bCs/>
      <w:szCs w:val="20"/>
      <w:lang w:eastAsia="en-US"/>
    </w:rPr>
  </w:style>
  <w:style w:type="paragraph" w:customStyle="1" w:styleId="izdevumi">
    <w:name w:val="izdevumi"/>
    <w:basedOn w:val="Normal"/>
    <w:qFormat/>
    <w:rsid w:val="008643AC"/>
    <w:pPr>
      <w:widowControl w:val="0"/>
      <w:spacing w:before="120"/>
      <w:ind w:left="567"/>
    </w:pPr>
    <w:rPr>
      <w:rFonts w:eastAsia="Times New Roman" w:cs="Times New Roman"/>
      <w:i/>
      <w:szCs w:val="20"/>
      <w:lang w:eastAsia="en-US"/>
    </w:rPr>
  </w:style>
  <w:style w:type="paragraph" w:customStyle="1" w:styleId="programmas">
    <w:name w:val="programmas"/>
    <w:basedOn w:val="Normal"/>
    <w:qFormat/>
    <w:rsid w:val="008643AC"/>
    <w:pPr>
      <w:widowControl w:val="0"/>
      <w:spacing w:before="240"/>
      <w:jc w:val="center"/>
    </w:pPr>
    <w:rPr>
      <w:rFonts w:eastAsia="Times New Roman" w:cs="Times New Roman"/>
      <w:b/>
      <w:szCs w:val="20"/>
      <w:lang w:val="en-US" w:eastAsia="en-US"/>
    </w:rPr>
  </w:style>
  <w:style w:type="paragraph" w:customStyle="1" w:styleId="samazpaliel">
    <w:name w:val="samaz_paliel"/>
    <w:basedOn w:val="Normal"/>
    <w:qFormat/>
    <w:rsid w:val="008643AC"/>
    <w:pPr>
      <w:widowControl w:val="0"/>
    </w:pPr>
    <w:rPr>
      <w:rFonts w:eastAsia="Times New Roman" w:cs="Times New Roman"/>
      <w:b/>
      <w:szCs w:val="20"/>
      <w:u w:val="single"/>
      <w:lang w:eastAsia="en-US"/>
    </w:rPr>
  </w:style>
  <w:style w:type="paragraph" w:customStyle="1" w:styleId="Tabuluvirsraksti">
    <w:name w:val="Tabulu_virsraksti"/>
    <w:basedOn w:val="Normal"/>
    <w:qFormat/>
    <w:rsid w:val="008643AC"/>
    <w:pPr>
      <w:jc w:val="center"/>
    </w:pPr>
    <w:rPr>
      <w:rFonts w:eastAsia="Times New Roman" w:cs="Times New Roman"/>
      <w:szCs w:val="20"/>
      <w:lang w:eastAsia="en-US"/>
    </w:rPr>
  </w:style>
  <w:style w:type="character" w:customStyle="1" w:styleId="FollowedHyperlink1">
    <w:name w:val="FollowedHyperlink1"/>
    <w:basedOn w:val="DefaultParagraphFont"/>
    <w:uiPriority w:val="99"/>
    <w:semiHidden/>
    <w:unhideWhenUsed/>
    <w:rsid w:val="008643AC"/>
    <w:rPr>
      <w:color w:val="800080"/>
      <w:u w:val="single"/>
    </w:rPr>
  </w:style>
  <w:style w:type="character" w:styleId="FollowedHyperlink">
    <w:name w:val="FollowedHyperlink"/>
    <w:basedOn w:val="DefaultParagraphFont"/>
    <w:uiPriority w:val="99"/>
    <w:semiHidden/>
    <w:unhideWhenUsed/>
    <w:rsid w:val="008643AC"/>
    <w:rPr>
      <w:color w:val="954F72" w:themeColor="followedHyperlink"/>
      <w:u w:val="single"/>
    </w:rPr>
  </w:style>
  <w:style w:type="table" w:customStyle="1" w:styleId="TableGrid3">
    <w:name w:val="Table Grid3"/>
    <w:basedOn w:val="TableNormal"/>
    <w:next w:val="TableGrid"/>
    <w:uiPriority w:val="39"/>
    <w:rsid w:val="005D361F"/>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73A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213">
    <w:name w:val="tv213"/>
    <w:basedOn w:val="Normal"/>
    <w:rsid w:val="00A7117E"/>
    <w:pPr>
      <w:spacing w:before="100" w:beforeAutospacing="1" w:after="100" w:afterAutospacing="1"/>
    </w:pPr>
    <w:rPr>
      <w:rFonts w:eastAsia="Times New Roman" w:cs="Times New Roman"/>
      <w:szCs w:val="24"/>
    </w:rPr>
  </w:style>
  <w:style w:type="table" w:customStyle="1" w:styleId="PlainTable411">
    <w:name w:val="Plain Table 411"/>
    <w:basedOn w:val="TableNormal"/>
    <w:uiPriority w:val="44"/>
    <w:rsid w:val="00A22921"/>
    <w:rPr>
      <w:rFonts w:ascii="Times New Roman" w:eastAsiaTheme="minorHAnsi" w:hAnsi="Times New Roman"/>
      <w:sz w:val="28"/>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Style3">
    <w:name w:val="Style3"/>
    <w:basedOn w:val="Heading3"/>
    <w:link w:val="Style3Char"/>
    <w:qFormat/>
    <w:rsid w:val="00D576BB"/>
    <w:pPr>
      <w:spacing w:line="259" w:lineRule="auto"/>
    </w:pPr>
    <w:rPr>
      <w:rFonts w:asciiTheme="majorHAnsi" w:eastAsiaTheme="majorEastAsia" w:hAnsiTheme="majorHAnsi" w:cstheme="majorBidi"/>
      <w:color w:val="1F4D78" w:themeColor="accent1" w:themeShade="7F"/>
      <w:szCs w:val="32"/>
      <w:lang w:eastAsia="en-US"/>
    </w:rPr>
  </w:style>
  <w:style w:type="character" w:customStyle="1" w:styleId="Style3Char">
    <w:name w:val="Style3 Char"/>
    <w:basedOn w:val="Heading3Char"/>
    <w:link w:val="Style3"/>
    <w:rsid w:val="00D576BB"/>
    <w:rPr>
      <w:rFonts w:asciiTheme="majorHAnsi" w:eastAsiaTheme="majorEastAsia" w:hAnsiTheme="majorHAnsi" w:cstheme="majorBidi"/>
      <w:b/>
      <w:bCs/>
      <w:color w:val="1F4D78" w:themeColor="accent1" w:themeShade="7F"/>
      <w:sz w:val="32"/>
      <w:szCs w:val="32"/>
      <w:lang w:eastAsia="en-US"/>
    </w:rPr>
  </w:style>
  <w:style w:type="paragraph" w:customStyle="1" w:styleId="Style2">
    <w:name w:val="Style2"/>
    <w:basedOn w:val="Heading2"/>
    <w:link w:val="Style2Char"/>
    <w:qFormat/>
    <w:rsid w:val="00D576BB"/>
    <w:pPr>
      <w:spacing w:line="259" w:lineRule="auto"/>
    </w:pPr>
    <w:rPr>
      <w:lang w:eastAsia="en-US"/>
    </w:rPr>
  </w:style>
  <w:style w:type="character" w:customStyle="1" w:styleId="Style2Char">
    <w:name w:val="Style2 Char"/>
    <w:basedOn w:val="Heading2Char"/>
    <w:link w:val="Style2"/>
    <w:rsid w:val="00D576BB"/>
    <w:rPr>
      <w:rFonts w:ascii="Times New Roman" w:eastAsiaTheme="majorEastAsia" w:hAnsi="Times New Roman" w:cstheme="majorBidi"/>
      <w:b/>
      <w:bCs/>
      <w:smallCaps w:val="0"/>
      <w:color w:val="000000" w:themeColor="text1"/>
      <w:sz w:val="32"/>
      <w:szCs w:val="28"/>
      <w:lang w:eastAsia="en-US"/>
    </w:rPr>
  </w:style>
  <w:style w:type="paragraph" w:customStyle="1" w:styleId="Style1">
    <w:name w:val="Style1"/>
    <w:basedOn w:val="Heading1"/>
    <w:link w:val="Style1Char"/>
    <w:qFormat/>
    <w:rsid w:val="00D576BB"/>
    <w:pPr>
      <w:pBdr>
        <w:bottom w:val="single" w:sz="4" w:space="1" w:color="595959" w:themeColor="text1" w:themeTint="A6"/>
      </w:pBdr>
      <w:spacing w:after="160" w:line="259" w:lineRule="auto"/>
      <w:jc w:val="right"/>
    </w:pPr>
    <w:rPr>
      <w:rFonts w:asciiTheme="majorHAnsi" w:hAnsiTheme="majorHAnsi"/>
      <w:color w:val="2E74B5" w:themeColor="accent1" w:themeShade="BF"/>
      <w:szCs w:val="44"/>
      <w:lang w:eastAsia="en-US"/>
    </w:rPr>
  </w:style>
  <w:style w:type="character" w:customStyle="1" w:styleId="Style1Char">
    <w:name w:val="Style1 Char"/>
    <w:basedOn w:val="Heading1Char"/>
    <w:link w:val="Style1"/>
    <w:rsid w:val="00D576BB"/>
    <w:rPr>
      <w:rFonts w:asciiTheme="majorHAnsi" w:eastAsiaTheme="majorEastAsia" w:hAnsiTheme="majorHAnsi" w:cstheme="majorBidi"/>
      <w:b/>
      <w:bCs/>
      <w:smallCaps w:val="0"/>
      <w:color w:val="2E74B5" w:themeColor="accent1" w:themeShade="BF"/>
      <w:sz w:val="36"/>
      <w:szCs w:val="44"/>
      <w:lang w:eastAsia="en-US"/>
    </w:rPr>
  </w:style>
  <w:style w:type="character" w:customStyle="1" w:styleId="FootnoteTextChar1">
    <w:name w:val="Footnote Text Char1"/>
    <w:aliases w:val="Footnote Char1,Fußnote Char1,Fußnote Char Char Char Char1,single space Char1,ft Rakstz. Rakstz. Char1,ft Rakstz. Char1,ft Char1,-E Fußnotentext Char1,Fußnotentext Ursprung Char1,Vēres teksts Char Char Char Char Char Char1,Char Char"/>
    <w:basedOn w:val="DefaultParagraphFont"/>
    <w:uiPriority w:val="99"/>
    <w:semiHidden/>
    <w:rsid w:val="00D576BB"/>
    <w:rPr>
      <w:sz w:val="20"/>
      <w:szCs w:val="20"/>
    </w:rPr>
  </w:style>
  <w:style w:type="paragraph" w:customStyle="1" w:styleId="Tabulasvirsraksts">
    <w:name w:val="Tabulas virsraksts"/>
    <w:basedOn w:val="Normal"/>
    <w:link w:val="TabulasvirsrakstsChar"/>
    <w:qFormat/>
    <w:rsid w:val="00D576BB"/>
    <w:pPr>
      <w:spacing w:before="240" w:after="240" w:line="259" w:lineRule="auto"/>
      <w:jc w:val="center"/>
    </w:pPr>
    <w:rPr>
      <w:rFonts w:eastAsiaTheme="minorHAnsi" w:cs="Times New Roman"/>
      <w:b/>
      <w:szCs w:val="24"/>
      <w:lang w:eastAsia="en-US"/>
    </w:rPr>
  </w:style>
  <w:style w:type="character" w:customStyle="1" w:styleId="TabulasvirsrakstsChar">
    <w:name w:val="Tabulas virsraksts Char"/>
    <w:basedOn w:val="DefaultParagraphFont"/>
    <w:link w:val="Tabulasvirsraksts"/>
    <w:rsid w:val="00D576BB"/>
    <w:rPr>
      <w:rFonts w:ascii="Times New Roman" w:eastAsiaTheme="minorHAnsi" w:hAnsi="Times New Roman" w:cs="Times New Roman"/>
      <w:b/>
      <w:sz w:val="24"/>
      <w:szCs w:val="24"/>
      <w:lang w:eastAsia="en-US"/>
    </w:rPr>
  </w:style>
  <w:style w:type="character" w:customStyle="1" w:styleId="UnresolvedMention1">
    <w:name w:val="Unresolved Mention1"/>
    <w:basedOn w:val="DefaultParagraphFont"/>
    <w:uiPriority w:val="99"/>
    <w:semiHidden/>
    <w:unhideWhenUsed/>
    <w:rsid w:val="00651B6D"/>
    <w:rPr>
      <w:color w:val="605E5C"/>
      <w:shd w:val="clear" w:color="auto" w:fill="E1DFDD"/>
    </w:rPr>
  </w:style>
  <w:style w:type="paragraph" w:customStyle="1" w:styleId="H5">
    <w:name w:val="H5"/>
    <w:basedOn w:val="Heading5"/>
    <w:link w:val="H5Char"/>
    <w:autoRedefine/>
    <w:qFormat/>
    <w:rsid w:val="00651B6D"/>
    <w:pPr>
      <w:spacing w:before="120"/>
      <w:jc w:val="center"/>
    </w:pPr>
    <w:rPr>
      <w:rFonts w:ascii="Times New Roman" w:hAnsi="Times New Roman" w:cs="Times New Roman"/>
      <w:color w:val="auto"/>
      <w:szCs w:val="20"/>
      <w:u w:val="single"/>
      <w:lang w:eastAsia="en-US"/>
    </w:rPr>
  </w:style>
  <w:style w:type="character" w:customStyle="1" w:styleId="H5Char">
    <w:name w:val="H5 Char"/>
    <w:basedOn w:val="DefaultParagraphFont"/>
    <w:link w:val="H5"/>
    <w:rsid w:val="00651B6D"/>
    <w:rPr>
      <w:rFonts w:ascii="Times New Roman" w:eastAsiaTheme="majorEastAsia" w:hAnsi="Times New Roman" w:cs="Times New Roman"/>
      <w:sz w:val="24"/>
      <w:szCs w:val="20"/>
      <w:u w:val="single"/>
      <w:lang w:eastAsia="en-US"/>
    </w:rPr>
  </w:style>
  <w:style w:type="character" w:customStyle="1" w:styleId="UnresolvedMention2">
    <w:name w:val="Unresolved Mention2"/>
    <w:basedOn w:val="DefaultParagraphFont"/>
    <w:uiPriority w:val="99"/>
    <w:semiHidden/>
    <w:unhideWhenUsed/>
    <w:rsid w:val="003128A0"/>
    <w:rPr>
      <w:color w:val="605E5C"/>
      <w:shd w:val="clear" w:color="auto" w:fill="E1DFDD"/>
    </w:rPr>
  </w:style>
  <w:style w:type="paragraph" w:customStyle="1" w:styleId="xxmsonormal">
    <w:name w:val="x_x_msonormal"/>
    <w:basedOn w:val="Normal"/>
    <w:rsid w:val="00806752"/>
    <w:pPr>
      <w:spacing w:before="100" w:beforeAutospacing="1" w:after="100" w:afterAutospacing="1"/>
      <w:ind w:firstLine="0"/>
      <w:jc w:val="left"/>
    </w:pPr>
    <w:rPr>
      <w:rFonts w:eastAsia="Times New Roman" w:cs="Times New Roman"/>
      <w:szCs w:val="24"/>
    </w:rPr>
  </w:style>
  <w:style w:type="character" w:customStyle="1" w:styleId="UnresolvedMention3">
    <w:name w:val="Unresolved Mention3"/>
    <w:basedOn w:val="DefaultParagraphFont"/>
    <w:uiPriority w:val="99"/>
    <w:semiHidden/>
    <w:unhideWhenUsed/>
    <w:rsid w:val="00380E24"/>
    <w:rPr>
      <w:color w:val="605E5C"/>
      <w:shd w:val="clear" w:color="auto" w:fill="E1DFDD"/>
    </w:rPr>
  </w:style>
  <w:style w:type="character" w:customStyle="1" w:styleId="normaltextrun">
    <w:name w:val="normaltextrun"/>
    <w:basedOn w:val="DefaultParagraphFont"/>
    <w:rsid w:val="00C030DA"/>
  </w:style>
  <w:style w:type="paragraph" w:customStyle="1" w:styleId="paragraph">
    <w:name w:val="paragraph"/>
    <w:basedOn w:val="Normal"/>
    <w:rsid w:val="00C030DA"/>
    <w:pPr>
      <w:spacing w:before="100" w:beforeAutospacing="1" w:after="100" w:afterAutospacing="1"/>
      <w:ind w:firstLine="0"/>
      <w:jc w:val="left"/>
    </w:pPr>
    <w:rPr>
      <w:rFonts w:eastAsia="Times New Roman" w:cs="Times New Roman"/>
      <w:szCs w:val="24"/>
    </w:rPr>
  </w:style>
  <w:style w:type="character" w:customStyle="1" w:styleId="eop">
    <w:name w:val="eop"/>
    <w:basedOn w:val="DefaultParagraphFont"/>
    <w:rsid w:val="00C030DA"/>
  </w:style>
  <w:style w:type="numbering" w:customStyle="1" w:styleId="NoList3">
    <w:name w:val="No List3"/>
    <w:next w:val="NoList"/>
    <w:uiPriority w:val="99"/>
    <w:semiHidden/>
    <w:unhideWhenUsed/>
    <w:rsid w:val="007C4935"/>
  </w:style>
  <w:style w:type="table" w:customStyle="1" w:styleId="TableGrid5">
    <w:name w:val="Table Grid5"/>
    <w:basedOn w:val="TableNormal"/>
    <w:next w:val="TableGrid"/>
    <w:uiPriority w:val="59"/>
    <w:rsid w:val="007C4935"/>
    <w:pPr>
      <w:ind w:left="425"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asteksts">
    <w:name w:val="Tabulas teksts"/>
    <w:basedOn w:val="Normal"/>
    <w:qFormat/>
    <w:rsid w:val="007C4935"/>
    <w:pPr>
      <w:keepNext/>
      <w:keepLines/>
      <w:ind w:left="425" w:firstLine="0"/>
      <w:jc w:val="left"/>
    </w:pPr>
    <w:rPr>
      <w:rFonts w:cs="Times New Roman"/>
      <w:noProof/>
      <w:sz w:val="18"/>
      <w:szCs w:val="24"/>
    </w:rPr>
  </w:style>
  <w:style w:type="paragraph" w:customStyle="1" w:styleId="Tabulascipari">
    <w:name w:val="Tabulas cipari"/>
    <w:basedOn w:val="Normal"/>
    <w:qFormat/>
    <w:rsid w:val="007C4935"/>
    <w:pPr>
      <w:ind w:left="425" w:firstLine="0"/>
      <w:jc w:val="right"/>
    </w:pPr>
    <w:rPr>
      <w:rFonts w:cs="Times New Roman"/>
      <w:noProof/>
      <w:sz w:val="18"/>
      <w:szCs w:val="24"/>
    </w:rPr>
  </w:style>
  <w:style w:type="paragraph" w:customStyle="1" w:styleId="Heading51">
    <w:name w:val="Heading 51"/>
    <w:basedOn w:val="Normal"/>
    <w:next w:val="Normal"/>
    <w:uiPriority w:val="9"/>
    <w:unhideWhenUsed/>
    <w:qFormat/>
    <w:rsid w:val="007C4935"/>
    <w:pPr>
      <w:keepNext/>
      <w:keepLines/>
      <w:spacing w:before="200"/>
      <w:ind w:left="425"/>
      <w:outlineLvl w:val="4"/>
    </w:pPr>
    <w:rPr>
      <w:rFonts w:ascii="Calibri Light" w:eastAsia="Times New Roman" w:hAnsi="Calibri Light" w:cs="Times New Roman"/>
      <w:color w:val="323E4F"/>
      <w:szCs w:val="24"/>
    </w:rPr>
  </w:style>
  <w:style w:type="paragraph" w:customStyle="1" w:styleId="Heading61">
    <w:name w:val="Heading 61"/>
    <w:basedOn w:val="Normal"/>
    <w:next w:val="Normal"/>
    <w:uiPriority w:val="9"/>
    <w:semiHidden/>
    <w:unhideWhenUsed/>
    <w:qFormat/>
    <w:rsid w:val="007C4935"/>
    <w:pPr>
      <w:keepNext/>
      <w:keepLines/>
      <w:spacing w:before="200"/>
      <w:ind w:left="425"/>
      <w:outlineLvl w:val="5"/>
    </w:pPr>
    <w:rPr>
      <w:rFonts w:ascii="Calibri Light" w:eastAsia="Times New Roman" w:hAnsi="Calibri Light" w:cs="Times New Roman"/>
      <w:i/>
      <w:iCs/>
      <w:color w:val="323E4F"/>
      <w:szCs w:val="24"/>
    </w:rPr>
  </w:style>
  <w:style w:type="paragraph" w:customStyle="1" w:styleId="Heading71">
    <w:name w:val="Heading 71"/>
    <w:basedOn w:val="Normal"/>
    <w:next w:val="Normal"/>
    <w:uiPriority w:val="9"/>
    <w:semiHidden/>
    <w:unhideWhenUsed/>
    <w:qFormat/>
    <w:rsid w:val="007C4935"/>
    <w:pPr>
      <w:keepNext/>
      <w:keepLines/>
      <w:spacing w:before="200"/>
      <w:ind w:left="425"/>
      <w:outlineLvl w:val="6"/>
    </w:pPr>
    <w:rPr>
      <w:rFonts w:ascii="Calibri Light" w:eastAsia="Times New Roman" w:hAnsi="Calibri Light" w:cs="Times New Roman"/>
      <w:i/>
      <w:iCs/>
      <w:color w:val="404040"/>
      <w:szCs w:val="24"/>
    </w:rPr>
  </w:style>
  <w:style w:type="paragraph" w:customStyle="1" w:styleId="Heading81">
    <w:name w:val="Heading 81"/>
    <w:basedOn w:val="Normal"/>
    <w:next w:val="Normal"/>
    <w:uiPriority w:val="9"/>
    <w:semiHidden/>
    <w:unhideWhenUsed/>
    <w:qFormat/>
    <w:rsid w:val="007C4935"/>
    <w:pPr>
      <w:keepNext/>
      <w:keepLines/>
      <w:spacing w:before="200"/>
      <w:ind w:left="425"/>
      <w:outlineLvl w:val="7"/>
    </w:pPr>
    <w:rPr>
      <w:rFonts w:ascii="Calibri Light" w:eastAsia="Times New Roman" w:hAnsi="Calibri Light" w:cs="Times New Roman"/>
      <w:color w:val="404040"/>
      <w:sz w:val="20"/>
      <w:szCs w:val="20"/>
    </w:rPr>
  </w:style>
  <w:style w:type="paragraph" w:customStyle="1" w:styleId="Heading91">
    <w:name w:val="Heading 91"/>
    <w:basedOn w:val="Normal"/>
    <w:next w:val="Normal"/>
    <w:uiPriority w:val="9"/>
    <w:semiHidden/>
    <w:unhideWhenUsed/>
    <w:qFormat/>
    <w:rsid w:val="007C4935"/>
    <w:pPr>
      <w:keepNext/>
      <w:keepLines/>
      <w:spacing w:before="200"/>
      <w:ind w:left="425"/>
      <w:outlineLvl w:val="8"/>
    </w:pPr>
    <w:rPr>
      <w:rFonts w:ascii="Calibri Light" w:eastAsia="Times New Roman" w:hAnsi="Calibri Light" w:cs="Times New Roman"/>
      <w:i/>
      <w:iCs/>
      <w:color w:val="404040"/>
      <w:sz w:val="20"/>
      <w:szCs w:val="20"/>
    </w:rPr>
  </w:style>
  <w:style w:type="numbering" w:customStyle="1" w:styleId="NoList11">
    <w:name w:val="No List11"/>
    <w:next w:val="NoList"/>
    <w:uiPriority w:val="99"/>
    <w:semiHidden/>
    <w:unhideWhenUsed/>
    <w:rsid w:val="007C4935"/>
  </w:style>
  <w:style w:type="paragraph" w:customStyle="1" w:styleId="Caption1">
    <w:name w:val="Caption1"/>
    <w:basedOn w:val="Normal"/>
    <w:next w:val="Normal"/>
    <w:uiPriority w:val="35"/>
    <w:semiHidden/>
    <w:unhideWhenUsed/>
    <w:qFormat/>
    <w:rsid w:val="007C4935"/>
    <w:pPr>
      <w:spacing w:after="200"/>
      <w:ind w:left="425"/>
    </w:pPr>
    <w:rPr>
      <w:rFonts w:eastAsia="Times New Roman" w:cs="Times New Roman"/>
      <w:i/>
      <w:iCs/>
      <w:color w:val="44546A"/>
      <w:sz w:val="18"/>
      <w:szCs w:val="18"/>
    </w:rPr>
  </w:style>
  <w:style w:type="paragraph" w:customStyle="1" w:styleId="Zmjumanosaukums">
    <w:name w:val="Zīmējuma nosaukums"/>
    <w:basedOn w:val="Normal"/>
    <w:qFormat/>
    <w:rsid w:val="007C4935"/>
    <w:pPr>
      <w:ind w:left="425" w:firstLine="0"/>
      <w:jc w:val="center"/>
    </w:pPr>
    <w:rPr>
      <w:rFonts w:eastAsia="Calibri" w:cs="Times New Roman"/>
      <w:b/>
      <w:i/>
      <w:szCs w:val="24"/>
      <w:lang w:eastAsia="en-US"/>
    </w:rPr>
  </w:style>
  <w:style w:type="paragraph" w:customStyle="1" w:styleId="CommentSubject1">
    <w:name w:val="Comment Subject1"/>
    <w:basedOn w:val="Normal"/>
    <w:next w:val="Normal"/>
    <w:uiPriority w:val="99"/>
    <w:semiHidden/>
    <w:unhideWhenUsed/>
    <w:rsid w:val="007C4935"/>
    <w:pPr>
      <w:ind w:left="425"/>
    </w:pPr>
    <w:rPr>
      <w:rFonts w:eastAsia="Times New Roman" w:cs="Times New Roman"/>
      <w:b/>
      <w:bCs/>
      <w:sz w:val="20"/>
      <w:szCs w:val="20"/>
    </w:rPr>
  </w:style>
  <w:style w:type="paragraph" w:customStyle="1" w:styleId="Revision1">
    <w:name w:val="Revision1"/>
    <w:next w:val="Revision"/>
    <w:hidden/>
    <w:uiPriority w:val="99"/>
    <w:semiHidden/>
    <w:rsid w:val="007C4935"/>
    <w:pPr>
      <w:ind w:left="425" w:firstLine="720"/>
      <w:jc w:val="both"/>
    </w:pPr>
    <w:rPr>
      <w:rFonts w:eastAsia="Times New Roman"/>
    </w:rPr>
  </w:style>
  <w:style w:type="table" w:customStyle="1" w:styleId="ListTable2-Accent11">
    <w:name w:val="List Table 2 - Accent 11"/>
    <w:basedOn w:val="TableNormal"/>
    <w:next w:val="ListTable2-Accent1"/>
    <w:uiPriority w:val="47"/>
    <w:rsid w:val="007C4935"/>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
    <w:name w:val="No List111"/>
    <w:next w:val="NoList"/>
    <w:uiPriority w:val="99"/>
    <w:semiHidden/>
    <w:unhideWhenUsed/>
    <w:rsid w:val="007C4935"/>
  </w:style>
  <w:style w:type="table" w:customStyle="1" w:styleId="TableGrid11">
    <w:name w:val="Table Grid11"/>
    <w:basedOn w:val="TableNormal"/>
    <w:next w:val="TableGrid"/>
    <w:uiPriority w:val="39"/>
    <w:rsid w:val="007C4935"/>
    <w:pPr>
      <w:ind w:left="425" w:firstLine="720"/>
      <w:jc w:val="both"/>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7C4935"/>
  </w:style>
  <w:style w:type="table" w:customStyle="1" w:styleId="TableGrid21">
    <w:name w:val="Table Grid21"/>
    <w:basedOn w:val="TableNormal"/>
    <w:next w:val="TableGrid"/>
    <w:uiPriority w:val="39"/>
    <w:rsid w:val="007C4935"/>
    <w:pPr>
      <w:ind w:left="425"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2">
    <w:name w:val="FollowedHyperlink2"/>
    <w:basedOn w:val="DefaultParagraphFont"/>
    <w:uiPriority w:val="99"/>
    <w:semiHidden/>
    <w:unhideWhenUsed/>
    <w:rsid w:val="007C4935"/>
    <w:rPr>
      <w:color w:val="954F72"/>
      <w:u w:val="single"/>
    </w:rPr>
  </w:style>
  <w:style w:type="table" w:customStyle="1" w:styleId="TableGrid31">
    <w:name w:val="Table Grid31"/>
    <w:basedOn w:val="TableNormal"/>
    <w:next w:val="TableGrid"/>
    <w:uiPriority w:val="39"/>
    <w:rsid w:val="007C4935"/>
    <w:pPr>
      <w:ind w:left="425"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7C4935"/>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11">
    <w:name w:val="Plain Table 4111"/>
    <w:basedOn w:val="TableNormal"/>
    <w:uiPriority w:val="44"/>
    <w:rsid w:val="007C4935"/>
    <w:pPr>
      <w:ind w:left="425" w:firstLine="720"/>
      <w:jc w:val="both"/>
    </w:pPr>
    <w:rPr>
      <w:rFonts w:ascii="Times New Roman" w:eastAsia="Calibri" w:hAnsi="Times New Roman"/>
      <w:sz w:val="28"/>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eading4Char1">
    <w:name w:val="Heading 4 Char1"/>
    <w:basedOn w:val="DefaultParagraphFont"/>
    <w:uiPriority w:val="9"/>
    <w:semiHidden/>
    <w:rsid w:val="007C4935"/>
    <w:rPr>
      <w:rFonts w:ascii="Calibri Light" w:eastAsia="Times New Roman" w:hAnsi="Calibri Light" w:cs="Times New Roman"/>
      <w:i/>
      <w:iCs/>
      <w:color w:val="2F5496"/>
    </w:rPr>
  </w:style>
  <w:style w:type="character" w:customStyle="1" w:styleId="Heading5Char1">
    <w:name w:val="Heading 5 Char1"/>
    <w:basedOn w:val="DefaultParagraphFont"/>
    <w:uiPriority w:val="9"/>
    <w:semiHidden/>
    <w:rsid w:val="007C4935"/>
    <w:rPr>
      <w:rFonts w:ascii="Calibri Light" w:eastAsia="Times New Roman" w:hAnsi="Calibri Light" w:cs="Times New Roman"/>
      <w:color w:val="2F5496"/>
    </w:rPr>
  </w:style>
  <w:style w:type="character" w:customStyle="1" w:styleId="Heading6Char1">
    <w:name w:val="Heading 6 Char1"/>
    <w:basedOn w:val="DefaultParagraphFont"/>
    <w:uiPriority w:val="9"/>
    <w:semiHidden/>
    <w:rsid w:val="007C4935"/>
    <w:rPr>
      <w:rFonts w:ascii="Calibri Light" w:eastAsia="Times New Roman" w:hAnsi="Calibri Light" w:cs="Times New Roman"/>
      <w:color w:val="1F3763"/>
    </w:rPr>
  </w:style>
  <w:style w:type="character" w:customStyle="1" w:styleId="Heading7Char1">
    <w:name w:val="Heading 7 Char1"/>
    <w:basedOn w:val="DefaultParagraphFont"/>
    <w:uiPriority w:val="9"/>
    <w:semiHidden/>
    <w:rsid w:val="007C4935"/>
    <w:rPr>
      <w:rFonts w:ascii="Calibri Light" w:eastAsia="Times New Roman" w:hAnsi="Calibri Light" w:cs="Times New Roman"/>
      <w:i/>
      <w:iCs/>
      <w:color w:val="1F3763"/>
    </w:rPr>
  </w:style>
  <w:style w:type="character" w:customStyle="1" w:styleId="Heading8Char1">
    <w:name w:val="Heading 8 Char1"/>
    <w:basedOn w:val="DefaultParagraphFont"/>
    <w:uiPriority w:val="9"/>
    <w:semiHidden/>
    <w:rsid w:val="007C4935"/>
    <w:rPr>
      <w:rFonts w:ascii="Calibri Light" w:eastAsia="Times New Roman" w:hAnsi="Calibri Light" w:cs="Times New Roman"/>
      <w:color w:val="272727"/>
      <w:sz w:val="21"/>
      <w:szCs w:val="21"/>
    </w:rPr>
  </w:style>
  <w:style w:type="character" w:customStyle="1" w:styleId="Heading9Char1">
    <w:name w:val="Heading 9 Char1"/>
    <w:basedOn w:val="DefaultParagraphFont"/>
    <w:uiPriority w:val="9"/>
    <w:semiHidden/>
    <w:rsid w:val="007C4935"/>
    <w:rPr>
      <w:rFonts w:ascii="Calibri Light" w:eastAsia="Times New Roman" w:hAnsi="Calibri Light" w:cs="Times New Roman"/>
      <w:i/>
      <w:iCs/>
      <w:color w:val="272727"/>
      <w:sz w:val="21"/>
      <w:szCs w:val="21"/>
    </w:rPr>
  </w:style>
  <w:style w:type="character" w:customStyle="1" w:styleId="CommentSubjectChar1">
    <w:name w:val="Comment Subject Char1"/>
    <w:basedOn w:val="DefaultParagraphFont"/>
    <w:uiPriority w:val="99"/>
    <w:semiHidden/>
    <w:rsid w:val="007C4935"/>
    <w:rPr>
      <w:b/>
      <w:bCs/>
      <w:sz w:val="20"/>
      <w:szCs w:val="20"/>
    </w:rPr>
  </w:style>
  <w:style w:type="character" w:customStyle="1" w:styleId="BalloonTextChar1">
    <w:name w:val="Balloon Text Char1"/>
    <w:basedOn w:val="DefaultParagraphFont"/>
    <w:uiPriority w:val="99"/>
    <w:semiHidden/>
    <w:rsid w:val="007C4935"/>
    <w:rPr>
      <w:rFonts w:ascii="Segoe UI" w:hAnsi="Segoe UI" w:cs="Segoe UI"/>
      <w:sz w:val="18"/>
      <w:szCs w:val="18"/>
    </w:rPr>
  </w:style>
  <w:style w:type="table" w:customStyle="1" w:styleId="ListTable2-Accent12">
    <w:name w:val="List Table 2 - Accent 12"/>
    <w:basedOn w:val="TableNormal"/>
    <w:next w:val="ListTable2-Accent1"/>
    <w:uiPriority w:val="47"/>
    <w:rsid w:val="007C4935"/>
    <w:pPr>
      <w:ind w:left="425" w:firstLine="720"/>
      <w:jc w:val="both"/>
    </w:pPr>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Piezme">
    <w:name w:val="Piezīme"/>
    <w:basedOn w:val="Normal"/>
    <w:qFormat/>
    <w:rsid w:val="007C4935"/>
    <w:pPr>
      <w:spacing w:after="0"/>
      <w:ind w:left="425" w:firstLine="0"/>
    </w:pPr>
    <w:rPr>
      <w:rFonts w:eastAsia="Calibri" w:cs="Times New Roman"/>
      <w:sz w:val="18"/>
      <w:szCs w:val="18"/>
      <w:lang w:eastAsia="en-US"/>
    </w:rPr>
  </w:style>
  <w:style w:type="numbering" w:customStyle="1" w:styleId="NoList4">
    <w:name w:val="No List4"/>
    <w:next w:val="NoList"/>
    <w:uiPriority w:val="99"/>
    <w:semiHidden/>
    <w:unhideWhenUsed/>
    <w:rsid w:val="007E409E"/>
  </w:style>
  <w:style w:type="numbering" w:customStyle="1" w:styleId="NoList12">
    <w:name w:val="No List12"/>
    <w:next w:val="NoList"/>
    <w:uiPriority w:val="99"/>
    <w:semiHidden/>
    <w:unhideWhenUsed/>
    <w:rsid w:val="007E409E"/>
  </w:style>
  <w:style w:type="table" w:customStyle="1" w:styleId="ListTable2-Accent111">
    <w:name w:val="List Table 2 - Accent 111"/>
    <w:basedOn w:val="TableNormal"/>
    <w:next w:val="ListTable2-Accent1"/>
    <w:uiPriority w:val="47"/>
    <w:rsid w:val="007E409E"/>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
    <w:name w:val="No List112"/>
    <w:next w:val="NoList"/>
    <w:uiPriority w:val="99"/>
    <w:semiHidden/>
    <w:unhideWhenUsed/>
    <w:rsid w:val="007E409E"/>
  </w:style>
  <w:style w:type="numbering" w:customStyle="1" w:styleId="NoList22">
    <w:name w:val="No List22"/>
    <w:next w:val="NoList"/>
    <w:uiPriority w:val="99"/>
    <w:semiHidden/>
    <w:unhideWhenUsed/>
    <w:rsid w:val="007E409E"/>
  </w:style>
  <w:style w:type="table" w:customStyle="1" w:styleId="TableGrid42">
    <w:name w:val="Table Grid42"/>
    <w:basedOn w:val="TableNormal"/>
    <w:next w:val="TableGrid"/>
    <w:uiPriority w:val="39"/>
    <w:rsid w:val="007E40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3">
    <w:name w:val="List Table 2 - Accent 13"/>
    <w:basedOn w:val="TableNormal"/>
    <w:next w:val="ListTable2-Accent1"/>
    <w:uiPriority w:val="47"/>
    <w:rsid w:val="007E409E"/>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odyTextIndent">
    <w:name w:val="Body Text Indent"/>
    <w:basedOn w:val="Normal"/>
    <w:link w:val="BodyTextIndentChar"/>
    <w:uiPriority w:val="99"/>
    <w:semiHidden/>
    <w:unhideWhenUsed/>
    <w:rsid w:val="005218A4"/>
    <w:pPr>
      <w:ind w:left="360"/>
    </w:pPr>
  </w:style>
  <w:style w:type="character" w:customStyle="1" w:styleId="BodyTextIndentChar">
    <w:name w:val="Body Text Indent Char"/>
    <w:basedOn w:val="DefaultParagraphFont"/>
    <w:link w:val="BodyTextIndent"/>
    <w:uiPriority w:val="99"/>
    <w:semiHidden/>
    <w:rsid w:val="005218A4"/>
    <w:rPr>
      <w:rFonts w:ascii="Times New Roman" w:hAnsi="Times New Roman"/>
      <w:sz w:val="24"/>
    </w:rPr>
  </w:style>
  <w:style w:type="table" w:customStyle="1" w:styleId="TableGrid6">
    <w:name w:val="Table Grid6"/>
    <w:basedOn w:val="TableNormal"/>
    <w:next w:val="TableGrid"/>
    <w:uiPriority w:val="59"/>
    <w:rsid w:val="00D7377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C35A62"/>
    <w:pPr>
      <w:spacing w:before="120" w:after="120"/>
      <w:ind w:left="284"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9522E"/>
    <w:rPr>
      <w:rFonts w:ascii="Times New Roman" w:eastAsia="Calibri" w:hAnsi="Times New Roman" w:cs="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style>
  <w:style w:type="numbering" w:customStyle="1" w:styleId="NoList5">
    <w:name w:val="No List5"/>
    <w:next w:val="NoList"/>
    <w:uiPriority w:val="99"/>
    <w:semiHidden/>
    <w:unhideWhenUsed/>
    <w:rsid w:val="005E539C"/>
  </w:style>
  <w:style w:type="table" w:customStyle="1" w:styleId="TableGrid8">
    <w:name w:val="Table Grid8"/>
    <w:basedOn w:val="TableNormal"/>
    <w:next w:val="TableGrid"/>
    <w:uiPriority w:val="39"/>
    <w:rsid w:val="005E539C"/>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E539C"/>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Normal"/>
    <w:rsid w:val="005E539C"/>
    <w:pPr>
      <w:spacing w:before="100" w:beforeAutospacing="1" w:after="100" w:afterAutospacing="1"/>
      <w:ind w:firstLine="0"/>
      <w:jc w:val="left"/>
    </w:pPr>
    <w:rPr>
      <w:rFonts w:eastAsia="Times New Roman" w:cs="Times New Roman"/>
      <w:szCs w:val="24"/>
    </w:rPr>
  </w:style>
  <w:style w:type="table" w:customStyle="1" w:styleId="TableGrid9">
    <w:name w:val="Table Grid9"/>
    <w:basedOn w:val="TableNormal"/>
    <w:next w:val="TableGrid"/>
    <w:uiPriority w:val="39"/>
    <w:rsid w:val="00C032A1"/>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C032A1"/>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4">
    <w:name w:val="List Table 2 - Accent 14"/>
    <w:basedOn w:val="TableNormal"/>
    <w:next w:val="ListTable2-Accent1"/>
    <w:uiPriority w:val="47"/>
    <w:rsid w:val="008E24F6"/>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6">
    <w:name w:val="No List6"/>
    <w:next w:val="NoList"/>
    <w:uiPriority w:val="99"/>
    <w:semiHidden/>
    <w:unhideWhenUsed/>
    <w:rsid w:val="00357E15"/>
  </w:style>
  <w:style w:type="paragraph" w:customStyle="1" w:styleId="Heading11">
    <w:name w:val="Heading 11"/>
    <w:basedOn w:val="Normal"/>
    <w:next w:val="Normal"/>
    <w:uiPriority w:val="9"/>
    <w:qFormat/>
    <w:rsid w:val="00357E15"/>
    <w:pPr>
      <w:keepNext/>
      <w:keepLines/>
      <w:spacing w:before="360"/>
      <w:ind w:firstLine="0"/>
      <w:outlineLvl w:val="0"/>
    </w:pPr>
    <w:rPr>
      <w:rFonts w:eastAsia="Times New Roman" w:cs="Times New Roman"/>
      <w:b/>
      <w:bCs/>
      <w:smallCaps/>
      <w:color w:val="000000"/>
      <w:sz w:val="36"/>
      <w:szCs w:val="36"/>
      <w:lang w:eastAsia="en-US"/>
    </w:rPr>
  </w:style>
  <w:style w:type="paragraph" w:customStyle="1" w:styleId="Heading21">
    <w:name w:val="Heading 21"/>
    <w:basedOn w:val="Normal"/>
    <w:next w:val="Normal"/>
    <w:uiPriority w:val="9"/>
    <w:unhideWhenUsed/>
    <w:qFormat/>
    <w:rsid w:val="00357E15"/>
    <w:pPr>
      <w:keepNext/>
      <w:keepLines/>
      <w:spacing w:before="360"/>
      <w:ind w:firstLine="0"/>
      <w:outlineLvl w:val="1"/>
    </w:pPr>
    <w:rPr>
      <w:rFonts w:eastAsia="Times New Roman" w:cs="Times New Roman"/>
      <w:b/>
      <w:bCs/>
      <w:smallCaps/>
      <w:color w:val="000000"/>
      <w:sz w:val="32"/>
      <w:szCs w:val="28"/>
    </w:rPr>
  </w:style>
  <w:style w:type="paragraph" w:customStyle="1" w:styleId="Heading31">
    <w:name w:val="Heading 31"/>
    <w:basedOn w:val="Normal"/>
    <w:next w:val="Normal"/>
    <w:uiPriority w:val="9"/>
    <w:unhideWhenUsed/>
    <w:qFormat/>
    <w:rsid w:val="00357E15"/>
    <w:pPr>
      <w:keepNext/>
      <w:keepLines/>
      <w:spacing w:before="200"/>
      <w:ind w:left="3623" w:hanging="504"/>
      <w:jc w:val="center"/>
      <w:outlineLvl w:val="2"/>
    </w:pPr>
    <w:rPr>
      <w:rFonts w:eastAsia="Calibri" w:cs="Times New Roman"/>
      <w:b/>
      <w:bCs/>
      <w:color w:val="000000"/>
      <w:sz w:val="28"/>
      <w:szCs w:val="28"/>
    </w:rPr>
  </w:style>
  <w:style w:type="paragraph" w:customStyle="1" w:styleId="Heading41">
    <w:name w:val="Heading 41"/>
    <w:basedOn w:val="Normal"/>
    <w:next w:val="Normal"/>
    <w:unhideWhenUsed/>
    <w:qFormat/>
    <w:rsid w:val="00357E15"/>
    <w:pPr>
      <w:keepNext/>
      <w:keepLines/>
      <w:spacing w:before="200"/>
      <w:ind w:firstLine="0"/>
      <w:outlineLvl w:val="3"/>
    </w:pPr>
    <w:rPr>
      <w:rFonts w:ascii="Calibri Light" w:eastAsia="Times New Roman" w:hAnsi="Calibri Light" w:cs="Times New Roman"/>
      <w:b/>
      <w:bCs/>
      <w:i/>
      <w:iCs/>
      <w:color w:val="000000"/>
    </w:rPr>
  </w:style>
  <w:style w:type="numbering" w:customStyle="1" w:styleId="NoList13">
    <w:name w:val="No List13"/>
    <w:next w:val="NoList"/>
    <w:uiPriority w:val="99"/>
    <w:semiHidden/>
    <w:unhideWhenUsed/>
    <w:rsid w:val="00357E15"/>
  </w:style>
  <w:style w:type="character" w:customStyle="1" w:styleId="Heading1Char1">
    <w:name w:val="Heading 1 Char1"/>
    <w:basedOn w:val="DefaultParagraphFont"/>
    <w:uiPriority w:val="9"/>
    <w:rsid w:val="00357E15"/>
    <w:rPr>
      <w:rFonts w:ascii="Calibri Light" w:eastAsia="Times New Roman" w:hAnsi="Calibri Light" w:cs="Times New Roman"/>
      <w:color w:val="2F5496"/>
      <w:sz w:val="32"/>
      <w:szCs w:val="32"/>
    </w:rPr>
  </w:style>
  <w:style w:type="paragraph" w:customStyle="1" w:styleId="Title1">
    <w:name w:val="Title1"/>
    <w:basedOn w:val="Normal"/>
    <w:next w:val="Normal"/>
    <w:uiPriority w:val="10"/>
    <w:qFormat/>
    <w:rsid w:val="00357E15"/>
    <w:pPr>
      <w:contextualSpacing/>
    </w:pPr>
    <w:rPr>
      <w:rFonts w:ascii="Calibri Light" w:eastAsia="Times New Roman" w:hAnsi="Calibri Light" w:cs="Times New Roman"/>
      <w:color w:val="000000"/>
      <w:sz w:val="56"/>
      <w:szCs w:val="56"/>
    </w:rPr>
  </w:style>
  <w:style w:type="paragraph" w:customStyle="1" w:styleId="Subtitle1">
    <w:name w:val="Subtitle1"/>
    <w:basedOn w:val="Normal"/>
    <w:next w:val="Normal"/>
    <w:uiPriority w:val="11"/>
    <w:qFormat/>
    <w:rsid w:val="00357E15"/>
    <w:pPr>
      <w:numPr>
        <w:ilvl w:val="1"/>
      </w:numPr>
      <w:ind w:firstLine="720"/>
    </w:pPr>
    <w:rPr>
      <w:rFonts w:eastAsia="Times New Roman"/>
      <w:color w:val="5A5A5A"/>
      <w:spacing w:val="10"/>
    </w:rPr>
  </w:style>
  <w:style w:type="character" w:customStyle="1" w:styleId="Strong1">
    <w:name w:val="Strong1"/>
    <w:basedOn w:val="DefaultParagraphFont"/>
    <w:uiPriority w:val="22"/>
    <w:qFormat/>
    <w:rsid w:val="00357E15"/>
    <w:rPr>
      <w:b/>
      <w:bCs/>
      <w:color w:val="000000"/>
    </w:rPr>
  </w:style>
  <w:style w:type="paragraph" w:customStyle="1" w:styleId="Quote1">
    <w:name w:val="Quote1"/>
    <w:basedOn w:val="Normal"/>
    <w:next w:val="Normal"/>
    <w:uiPriority w:val="29"/>
    <w:qFormat/>
    <w:rsid w:val="00357E15"/>
    <w:pPr>
      <w:spacing w:before="160"/>
      <w:ind w:left="720" w:right="720"/>
    </w:pPr>
    <w:rPr>
      <w:rFonts w:eastAsia="Times New Roman"/>
      <w:i/>
      <w:iCs/>
      <w:color w:val="000000"/>
    </w:rPr>
  </w:style>
  <w:style w:type="paragraph" w:customStyle="1" w:styleId="IntenseQuote1">
    <w:name w:val="Intense Quote1"/>
    <w:basedOn w:val="Normal"/>
    <w:next w:val="Normal"/>
    <w:uiPriority w:val="30"/>
    <w:qFormat/>
    <w:rsid w:val="00357E15"/>
    <w:pPr>
      <w:pBdr>
        <w:top w:val="single" w:sz="24" w:space="1" w:color="F2F2F2"/>
        <w:bottom w:val="single" w:sz="24" w:space="1" w:color="F2F2F2"/>
      </w:pBdr>
      <w:shd w:val="clear" w:color="auto" w:fill="F2F2F2"/>
      <w:spacing w:before="240" w:after="240"/>
      <w:ind w:left="936" w:right="936"/>
      <w:jc w:val="center"/>
    </w:pPr>
    <w:rPr>
      <w:rFonts w:eastAsia="Times New Roman"/>
      <w:color w:val="000000"/>
    </w:rPr>
  </w:style>
  <w:style w:type="character" w:customStyle="1" w:styleId="SubtleEmphasis1">
    <w:name w:val="Subtle Emphasis1"/>
    <w:basedOn w:val="DefaultParagraphFont"/>
    <w:uiPriority w:val="19"/>
    <w:qFormat/>
    <w:rsid w:val="00357E15"/>
    <w:rPr>
      <w:i/>
      <w:iCs/>
      <w:color w:val="404040"/>
    </w:rPr>
  </w:style>
  <w:style w:type="character" w:customStyle="1" w:styleId="SubtleReference1">
    <w:name w:val="Subtle Reference1"/>
    <w:basedOn w:val="DefaultParagraphFont"/>
    <w:uiPriority w:val="31"/>
    <w:qFormat/>
    <w:rsid w:val="00357E15"/>
    <w:rPr>
      <w:smallCaps/>
      <w:color w:val="404040"/>
      <w:u w:val="single" w:color="7F7F7F"/>
    </w:rPr>
  </w:style>
  <w:style w:type="character" w:customStyle="1" w:styleId="Hyperlink1">
    <w:name w:val="Hyperlink1"/>
    <w:basedOn w:val="DefaultParagraphFont"/>
    <w:uiPriority w:val="99"/>
    <w:unhideWhenUsed/>
    <w:rsid w:val="00357E15"/>
    <w:rPr>
      <w:color w:val="0563C1"/>
      <w:u w:val="single"/>
    </w:rPr>
  </w:style>
  <w:style w:type="table" w:customStyle="1" w:styleId="TableGrid10">
    <w:name w:val="Table Grid10"/>
    <w:basedOn w:val="TableNormal"/>
    <w:next w:val="TableGrid"/>
    <w:uiPriority w:val="59"/>
    <w:rsid w:val="00357E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2">
    <w:name w:val="List Table 2 - Accent 112"/>
    <w:basedOn w:val="TableNormal"/>
    <w:next w:val="ListTable2-Accent1"/>
    <w:uiPriority w:val="47"/>
    <w:rsid w:val="00357E15"/>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3">
    <w:name w:val="No List113"/>
    <w:next w:val="NoList"/>
    <w:uiPriority w:val="99"/>
    <w:semiHidden/>
    <w:unhideWhenUsed/>
    <w:rsid w:val="00357E15"/>
  </w:style>
  <w:style w:type="numbering" w:customStyle="1" w:styleId="NoList23">
    <w:name w:val="No List23"/>
    <w:next w:val="NoList"/>
    <w:uiPriority w:val="99"/>
    <w:semiHidden/>
    <w:unhideWhenUsed/>
    <w:rsid w:val="00357E15"/>
  </w:style>
  <w:style w:type="table" w:customStyle="1" w:styleId="TableGrid43">
    <w:name w:val="Table Grid43"/>
    <w:basedOn w:val="TableNormal"/>
    <w:next w:val="TableGrid"/>
    <w:uiPriority w:val="39"/>
    <w:rsid w:val="00357E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357E15"/>
    <w:rPr>
      <w:rFonts w:ascii="Calibri Light" w:eastAsia="Times New Roman" w:hAnsi="Calibri Light" w:cs="Times New Roman"/>
      <w:color w:val="2F5496"/>
      <w:sz w:val="26"/>
      <w:szCs w:val="26"/>
    </w:rPr>
  </w:style>
  <w:style w:type="character" w:customStyle="1" w:styleId="Heading3Char1">
    <w:name w:val="Heading 3 Char1"/>
    <w:basedOn w:val="DefaultParagraphFont"/>
    <w:uiPriority w:val="9"/>
    <w:semiHidden/>
    <w:rsid w:val="00357E15"/>
    <w:rPr>
      <w:rFonts w:ascii="Calibri Light" w:eastAsia="Times New Roman" w:hAnsi="Calibri Light" w:cs="Times New Roman"/>
      <w:color w:val="1F3763"/>
      <w:sz w:val="24"/>
      <w:szCs w:val="24"/>
    </w:rPr>
  </w:style>
  <w:style w:type="character" w:customStyle="1" w:styleId="TitleChar1">
    <w:name w:val="Title Char1"/>
    <w:basedOn w:val="DefaultParagraphFont"/>
    <w:uiPriority w:val="10"/>
    <w:rsid w:val="00357E15"/>
    <w:rPr>
      <w:rFonts w:ascii="Calibri Light" w:eastAsia="Times New Roman" w:hAnsi="Calibri Light" w:cs="Times New Roman"/>
      <w:spacing w:val="-10"/>
      <w:kern w:val="28"/>
      <w:sz w:val="56"/>
      <w:szCs w:val="56"/>
    </w:rPr>
  </w:style>
  <w:style w:type="character" w:customStyle="1" w:styleId="SubtitleChar1">
    <w:name w:val="Subtitle Char1"/>
    <w:basedOn w:val="DefaultParagraphFont"/>
    <w:uiPriority w:val="11"/>
    <w:rsid w:val="00357E15"/>
    <w:rPr>
      <w:rFonts w:eastAsia="Times New Roman"/>
      <w:color w:val="5A5A5A"/>
      <w:spacing w:val="15"/>
    </w:rPr>
  </w:style>
  <w:style w:type="character" w:customStyle="1" w:styleId="QuoteChar1">
    <w:name w:val="Quote Char1"/>
    <w:basedOn w:val="DefaultParagraphFont"/>
    <w:uiPriority w:val="29"/>
    <w:rsid w:val="00357E15"/>
    <w:rPr>
      <w:i/>
      <w:iCs/>
      <w:color w:val="404040"/>
    </w:rPr>
  </w:style>
  <w:style w:type="character" w:customStyle="1" w:styleId="IntenseQuoteChar1">
    <w:name w:val="Intense Quote Char1"/>
    <w:basedOn w:val="DefaultParagraphFont"/>
    <w:uiPriority w:val="30"/>
    <w:rsid w:val="00357E15"/>
    <w:rPr>
      <w:i/>
      <w:iCs/>
      <w:color w:val="4472C4"/>
    </w:rPr>
  </w:style>
  <w:style w:type="table" w:customStyle="1" w:styleId="ListTable2-Accent15">
    <w:name w:val="List Table 2 - Accent 15"/>
    <w:basedOn w:val="TableNormal"/>
    <w:next w:val="ListTable2-Accent1"/>
    <w:uiPriority w:val="47"/>
    <w:rsid w:val="00357E15"/>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bvirsr">
    <w:name w:val="tab_virsr"/>
    <w:basedOn w:val="Normal"/>
    <w:rsid w:val="00272E4E"/>
    <w:pPr>
      <w:keepNext/>
      <w:keepLines/>
      <w:spacing w:after="0"/>
      <w:ind w:firstLine="0"/>
      <w:jc w:val="center"/>
    </w:pPr>
    <w:rPr>
      <w:rFonts w:ascii="Garamond" w:eastAsia="Times New Roman" w:hAnsi="Garamond" w:cs="Times New Roman"/>
      <w:b/>
      <w:sz w:val="22"/>
      <w:szCs w:val="20"/>
      <w:lang w:val="en-US" w:eastAsia="en-US"/>
    </w:rPr>
  </w:style>
  <w:style w:type="numbering" w:customStyle="1" w:styleId="NoList7">
    <w:name w:val="No List7"/>
    <w:next w:val="NoList"/>
    <w:uiPriority w:val="99"/>
    <w:semiHidden/>
    <w:unhideWhenUsed/>
    <w:rsid w:val="005E41CA"/>
  </w:style>
  <w:style w:type="numbering" w:customStyle="1" w:styleId="NoList14">
    <w:name w:val="No List14"/>
    <w:next w:val="NoList"/>
    <w:uiPriority w:val="99"/>
    <w:semiHidden/>
    <w:unhideWhenUsed/>
    <w:rsid w:val="005E41CA"/>
  </w:style>
  <w:style w:type="table" w:customStyle="1" w:styleId="TableGrid14">
    <w:name w:val="Table Grid14"/>
    <w:basedOn w:val="TableNormal"/>
    <w:next w:val="TableGrid"/>
    <w:uiPriority w:val="59"/>
    <w:rsid w:val="005E41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3">
    <w:name w:val="List Table 2 - Accent 113"/>
    <w:basedOn w:val="TableNormal"/>
    <w:next w:val="ListTable2-Accent1"/>
    <w:uiPriority w:val="47"/>
    <w:rsid w:val="005E41CA"/>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4">
    <w:name w:val="No List114"/>
    <w:next w:val="NoList"/>
    <w:uiPriority w:val="99"/>
    <w:semiHidden/>
    <w:unhideWhenUsed/>
    <w:rsid w:val="005E41CA"/>
  </w:style>
  <w:style w:type="numbering" w:customStyle="1" w:styleId="NoList24">
    <w:name w:val="No List24"/>
    <w:next w:val="NoList"/>
    <w:uiPriority w:val="99"/>
    <w:semiHidden/>
    <w:unhideWhenUsed/>
    <w:rsid w:val="005E41CA"/>
  </w:style>
  <w:style w:type="table" w:customStyle="1" w:styleId="TableGrid44">
    <w:name w:val="Table Grid44"/>
    <w:basedOn w:val="TableNormal"/>
    <w:next w:val="TableGrid"/>
    <w:uiPriority w:val="39"/>
    <w:rsid w:val="005E41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6">
    <w:name w:val="List Table 2 - Accent 16"/>
    <w:basedOn w:val="TableNormal"/>
    <w:next w:val="ListTable2-Accent1"/>
    <w:uiPriority w:val="47"/>
    <w:rsid w:val="005E41CA"/>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semiHidden/>
    <w:unhideWhenUsed/>
    <w:rsid w:val="002A1F38"/>
    <w:rPr>
      <w:color w:val="605E5C"/>
      <w:shd w:val="clear" w:color="auto" w:fill="E1DFDD"/>
    </w:rPr>
  </w:style>
  <w:style w:type="numbering" w:customStyle="1" w:styleId="NoList8">
    <w:name w:val="No List8"/>
    <w:next w:val="NoList"/>
    <w:uiPriority w:val="99"/>
    <w:semiHidden/>
    <w:unhideWhenUsed/>
    <w:rsid w:val="00C74C27"/>
  </w:style>
  <w:style w:type="numbering" w:customStyle="1" w:styleId="NoList15">
    <w:name w:val="No List15"/>
    <w:next w:val="NoList"/>
    <w:uiPriority w:val="99"/>
    <w:semiHidden/>
    <w:unhideWhenUsed/>
    <w:rsid w:val="00C74C27"/>
  </w:style>
  <w:style w:type="table" w:customStyle="1" w:styleId="TableGrid15">
    <w:name w:val="Table Grid15"/>
    <w:basedOn w:val="TableNormal"/>
    <w:next w:val="TableGrid"/>
    <w:uiPriority w:val="39"/>
    <w:rsid w:val="00C74C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4">
    <w:name w:val="List Table 2 - Accent 114"/>
    <w:basedOn w:val="TableNormal"/>
    <w:next w:val="ListTable2-Accent1"/>
    <w:uiPriority w:val="47"/>
    <w:rsid w:val="00C74C27"/>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5">
    <w:name w:val="No List115"/>
    <w:next w:val="NoList"/>
    <w:uiPriority w:val="99"/>
    <w:semiHidden/>
    <w:unhideWhenUsed/>
    <w:rsid w:val="00C74C27"/>
  </w:style>
  <w:style w:type="numbering" w:customStyle="1" w:styleId="NoList25">
    <w:name w:val="No List25"/>
    <w:next w:val="NoList"/>
    <w:uiPriority w:val="99"/>
    <w:semiHidden/>
    <w:unhideWhenUsed/>
    <w:rsid w:val="00C74C27"/>
  </w:style>
  <w:style w:type="table" w:customStyle="1" w:styleId="TableGrid45">
    <w:name w:val="Table Grid45"/>
    <w:basedOn w:val="TableNormal"/>
    <w:next w:val="TableGrid"/>
    <w:uiPriority w:val="39"/>
    <w:rsid w:val="00C74C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74C27"/>
  </w:style>
  <w:style w:type="table" w:customStyle="1" w:styleId="TableGrid51">
    <w:name w:val="Table Grid51"/>
    <w:basedOn w:val="TableNormal"/>
    <w:next w:val="TableGrid"/>
    <w:uiPriority w:val="59"/>
    <w:rsid w:val="00C74C27"/>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C74C27"/>
  </w:style>
  <w:style w:type="table" w:customStyle="1" w:styleId="ListTable2-Accent1111">
    <w:name w:val="List Table 2 - Accent 1111"/>
    <w:basedOn w:val="TableNormal"/>
    <w:next w:val="ListTable2-Accent1"/>
    <w:uiPriority w:val="47"/>
    <w:rsid w:val="00C74C27"/>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11">
    <w:name w:val="No List11111"/>
    <w:next w:val="NoList"/>
    <w:uiPriority w:val="99"/>
    <w:semiHidden/>
    <w:unhideWhenUsed/>
    <w:rsid w:val="00C74C27"/>
  </w:style>
  <w:style w:type="numbering" w:customStyle="1" w:styleId="NoList211">
    <w:name w:val="No List211"/>
    <w:next w:val="NoList"/>
    <w:uiPriority w:val="99"/>
    <w:semiHidden/>
    <w:unhideWhenUsed/>
    <w:rsid w:val="00C74C27"/>
  </w:style>
  <w:style w:type="numbering" w:customStyle="1" w:styleId="NoList41">
    <w:name w:val="No List41"/>
    <w:next w:val="NoList"/>
    <w:uiPriority w:val="99"/>
    <w:semiHidden/>
    <w:unhideWhenUsed/>
    <w:rsid w:val="00C74C27"/>
  </w:style>
  <w:style w:type="numbering" w:customStyle="1" w:styleId="NoList121">
    <w:name w:val="No List121"/>
    <w:next w:val="NoList"/>
    <w:uiPriority w:val="99"/>
    <w:semiHidden/>
    <w:unhideWhenUsed/>
    <w:rsid w:val="00C74C27"/>
  </w:style>
  <w:style w:type="table" w:customStyle="1" w:styleId="ListTable2-Accent11111">
    <w:name w:val="List Table 2 - Accent 11111"/>
    <w:basedOn w:val="TableNormal"/>
    <w:next w:val="ListTable2-Accent1"/>
    <w:uiPriority w:val="47"/>
    <w:rsid w:val="00C74C27"/>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1">
    <w:name w:val="No List1121"/>
    <w:next w:val="NoList"/>
    <w:uiPriority w:val="99"/>
    <w:semiHidden/>
    <w:unhideWhenUsed/>
    <w:rsid w:val="00C74C27"/>
  </w:style>
  <w:style w:type="numbering" w:customStyle="1" w:styleId="NoList221">
    <w:name w:val="No List221"/>
    <w:next w:val="NoList"/>
    <w:uiPriority w:val="99"/>
    <w:semiHidden/>
    <w:unhideWhenUsed/>
    <w:rsid w:val="00C74C27"/>
  </w:style>
  <w:style w:type="character" w:customStyle="1" w:styleId="Heading4Char2">
    <w:name w:val="Heading 4 Char2"/>
    <w:basedOn w:val="DefaultParagraphFont"/>
    <w:uiPriority w:val="9"/>
    <w:semiHidden/>
    <w:rsid w:val="00C74C27"/>
    <w:rPr>
      <w:rFonts w:ascii="Calibri Light" w:eastAsia="Times New Roman" w:hAnsi="Calibri Light" w:cs="Times New Roman"/>
      <w:i/>
      <w:iCs/>
      <w:color w:val="2F5496"/>
    </w:rPr>
  </w:style>
  <w:style w:type="character" w:customStyle="1" w:styleId="Heading5Char2">
    <w:name w:val="Heading 5 Char2"/>
    <w:basedOn w:val="DefaultParagraphFont"/>
    <w:uiPriority w:val="9"/>
    <w:semiHidden/>
    <w:rsid w:val="00C74C27"/>
    <w:rPr>
      <w:rFonts w:ascii="Calibri Light" w:eastAsia="Times New Roman" w:hAnsi="Calibri Light" w:cs="Times New Roman"/>
      <w:color w:val="2F5496"/>
    </w:rPr>
  </w:style>
  <w:style w:type="character" w:customStyle="1" w:styleId="Heading6Char2">
    <w:name w:val="Heading 6 Char2"/>
    <w:basedOn w:val="DefaultParagraphFont"/>
    <w:uiPriority w:val="9"/>
    <w:semiHidden/>
    <w:rsid w:val="00C74C27"/>
    <w:rPr>
      <w:rFonts w:ascii="Calibri Light" w:eastAsia="Times New Roman" w:hAnsi="Calibri Light" w:cs="Times New Roman"/>
      <w:color w:val="1F3763"/>
    </w:rPr>
  </w:style>
  <w:style w:type="character" w:customStyle="1" w:styleId="Heading7Char2">
    <w:name w:val="Heading 7 Char2"/>
    <w:basedOn w:val="DefaultParagraphFont"/>
    <w:uiPriority w:val="9"/>
    <w:semiHidden/>
    <w:rsid w:val="00C74C27"/>
    <w:rPr>
      <w:rFonts w:ascii="Calibri Light" w:eastAsia="Times New Roman" w:hAnsi="Calibri Light" w:cs="Times New Roman"/>
      <w:i/>
      <w:iCs/>
      <w:color w:val="1F3763"/>
    </w:rPr>
  </w:style>
  <w:style w:type="character" w:customStyle="1" w:styleId="Heading8Char2">
    <w:name w:val="Heading 8 Char2"/>
    <w:basedOn w:val="DefaultParagraphFont"/>
    <w:uiPriority w:val="9"/>
    <w:semiHidden/>
    <w:rsid w:val="00C74C27"/>
    <w:rPr>
      <w:rFonts w:ascii="Calibri Light" w:eastAsia="Times New Roman" w:hAnsi="Calibri Light" w:cs="Times New Roman"/>
      <w:color w:val="272727"/>
      <w:sz w:val="21"/>
      <w:szCs w:val="21"/>
    </w:rPr>
  </w:style>
  <w:style w:type="character" w:customStyle="1" w:styleId="Heading9Char2">
    <w:name w:val="Heading 9 Char2"/>
    <w:basedOn w:val="DefaultParagraphFont"/>
    <w:uiPriority w:val="9"/>
    <w:semiHidden/>
    <w:rsid w:val="00C74C27"/>
    <w:rPr>
      <w:rFonts w:ascii="Calibri Light" w:eastAsia="Times New Roman" w:hAnsi="Calibri Light" w:cs="Times New Roman"/>
      <w:i/>
      <w:iCs/>
      <w:color w:val="272727"/>
      <w:sz w:val="21"/>
      <w:szCs w:val="21"/>
    </w:rPr>
  </w:style>
  <w:style w:type="table" w:customStyle="1" w:styleId="ListTable2-Accent17">
    <w:name w:val="List Table 2 - Accent 17"/>
    <w:basedOn w:val="TableNormal"/>
    <w:next w:val="ListTable2-Accent1"/>
    <w:uiPriority w:val="47"/>
    <w:rsid w:val="00C74C27"/>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pakTmasvirsraksts">
    <w:name w:val="apakšTēmas virsraksts"/>
    <w:basedOn w:val="Normal"/>
    <w:link w:val="apakTmasvirsrakstsChar"/>
    <w:qFormat/>
    <w:rsid w:val="00C74C27"/>
    <w:rPr>
      <w:rFonts w:eastAsia="Calibri" w:cs="Arial"/>
      <w:b/>
      <w:bCs/>
      <w:noProof/>
      <w:szCs w:val="24"/>
      <w:lang w:eastAsia="en-US"/>
    </w:rPr>
  </w:style>
  <w:style w:type="character" w:customStyle="1" w:styleId="apakTmasvirsrakstsChar">
    <w:name w:val="apakšTēmas virsraksts Char"/>
    <w:basedOn w:val="DefaultParagraphFont"/>
    <w:link w:val="apakTmasvirsraksts"/>
    <w:rsid w:val="00C74C27"/>
    <w:rPr>
      <w:rFonts w:ascii="Times New Roman" w:eastAsia="Calibri" w:hAnsi="Times New Roman" w:cs="Arial"/>
      <w:b/>
      <w:bCs/>
      <w:noProof/>
      <w:sz w:val="24"/>
      <w:szCs w:val="24"/>
      <w:lang w:eastAsia="en-US"/>
    </w:rPr>
  </w:style>
  <w:style w:type="paragraph" w:styleId="TOC4">
    <w:name w:val="toc 4"/>
    <w:basedOn w:val="Normal"/>
    <w:next w:val="Normal"/>
    <w:autoRedefine/>
    <w:uiPriority w:val="39"/>
    <w:unhideWhenUsed/>
    <w:rsid w:val="00C74C27"/>
    <w:pPr>
      <w:spacing w:after="100" w:line="259" w:lineRule="auto"/>
      <w:ind w:left="660" w:firstLine="0"/>
      <w:jc w:val="left"/>
    </w:pPr>
    <w:rPr>
      <w:rFonts w:asciiTheme="minorHAnsi" w:hAnsiTheme="minorHAnsi"/>
      <w:kern w:val="2"/>
      <w:sz w:val="22"/>
      <w14:ligatures w14:val="standardContextual"/>
    </w:rPr>
  </w:style>
  <w:style w:type="paragraph" w:styleId="TOC5">
    <w:name w:val="toc 5"/>
    <w:basedOn w:val="Normal"/>
    <w:next w:val="Normal"/>
    <w:autoRedefine/>
    <w:uiPriority w:val="39"/>
    <w:unhideWhenUsed/>
    <w:rsid w:val="00C74C27"/>
    <w:pPr>
      <w:spacing w:after="100" w:line="259" w:lineRule="auto"/>
      <w:ind w:left="880" w:firstLine="0"/>
      <w:jc w:val="left"/>
    </w:pPr>
    <w:rPr>
      <w:rFonts w:asciiTheme="minorHAnsi" w:hAnsiTheme="minorHAnsi"/>
      <w:kern w:val="2"/>
      <w:sz w:val="22"/>
      <w14:ligatures w14:val="standardContextual"/>
    </w:rPr>
  </w:style>
  <w:style w:type="paragraph" w:styleId="TOC6">
    <w:name w:val="toc 6"/>
    <w:basedOn w:val="Normal"/>
    <w:next w:val="Normal"/>
    <w:autoRedefine/>
    <w:uiPriority w:val="39"/>
    <w:unhideWhenUsed/>
    <w:rsid w:val="00C74C27"/>
    <w:pPr>
      <w:spacing w:after="100" w:line="259" w:lineRule="auto"/>
      <w:ind w:left="1100" w:firstLine="0"/>
      <w:jc w:val="left"/>
    </w:pPr>
    <w:rPr>
      <w:rFonts w:asciiTheme="minorHAnsi" w:hAnsiTheme="minorHAnsi"/>
      <w:kern w:val="2"/>
      <w:sz w:val="22"/>
      <w14:ligatures w14:val="standardContextual"/>
    </w:rPr>
  </w:style>
  <w:style w:type="paragraph" w:styleId="TOC7">
    <w:name w:val="toc 7"/>
    <w:basedOn w:val="Normal"/>
    <w:next w:val="Normal"/>
    <w:autoRedefine/>
    <w:uiPriority w:val="39"/>
    <w:unhideWhenUsed/>
    <w:rsid w:val="00C74C27"/>
    <w:pPr>
      <w:spacing w:after="100" w:line="259" w:lineRule="auto"/>
      <w:ind w:left="1320" w:firstLine="0"/>
      <w:jc w:val="left"/>
    </w:pPr>
    <w:rPr>
      <w:rFonts w:asciiTheme="minorHAnsi" w:hAnsiTheme="minorHAnsi"/>
      <w:kern w:val="2"/>
      <w:sz w:val="22"/>
      <w14:ligatures w14:val="standardContextual"/>
    </w:rPr>
  </w:style>
  <w:style w:type="paragraph" w:styleId="TOC8">
    <w:name w:val="toc 8"/>
    <w:basedOn w:val="Normal"/>
    <w:next w:val="Normal"/>
    <w:autoRedefine/>
    <w:uiPriority w:val="39"/>
    <w:unhideWhenUsed/>
    <w:rsid w:val="00C74C27"/>
    <w:pPr>
      <w:spacing w:after="100" w:line="259" w:lineRule="auto"/>
      <w:ind w:left="1540" w:firstLine="0"/>
      <w:jc w:val="left"/>
    </w:pPr>
    <w:rPr>
      <w:rFonts w:asciiTheme="minorHAnsi" w:hAnsiTheme="minorHAnsi"/>
      <w:kern w:val="2"/>
      <w:sz w:val="22"/>
      <w14:ligatures w14:val="standardContextual"/>
    </w:rPr>
  </w:style>
  <w:style w:type="paragraph" w:styleId="TOC9">
    <w:name w:val="toc 9"/>
    <w:basedOn w:val="Normal"/>
    <w:next w:val="Normal"/>
    <w:autoRedefine/>
    <w:uiPriority w:val="39"/>
    <w:unhideWhenUsed/>
    <w:rsid w:val="00C74C27"/>
    <w:pPr>
      <w:spacing w:after="100" w:line="259" w:lineRule="auto"/>
      <w:ind w:left="1760" w:firstLine="0"/>
      <w:jc w:val="left"/>
    </w:pPr>
    <w:rPr>
      <w:rFonts w:asciiTheme="minorHAnsi" w:hAnsiTheme="minorHAnsi"/>
      <w:kern w:val="2"/>
      <w:sz w:val="22"/>
      <w14:ligatures w14:val="standardContextual"/>
    </w:rPr>
  </w:style>
  <w:style w:type="numbering" w:customStyle="1" w:styleId="NoList9">
    <w:name w:val="No List9"/>
    <w:next w:val="NoList"/>
    <w:uiPriority w:val="99"/>
    <w:semiHidden/>
    <w:unhideWhenUsed/>
    <w:rsid w:val="00632442"/>
  </w:style>
  <w:style w:type="numbering" w:customStyle="1" w:styleId="NoList16">
    <w:name w:val="No List16"/>
    <w:next w:val="NoList"/>
    <w:uiPriority w:val="99"/>
    <w:semiHidden/>
    <w:unhideWhenUsed/>
    <w:rsid w:val="00632442"/>
  </w:style>
  <w:style w:type="table" w:customStyle="1" w:styleId="TableGrid16">
    <w:name w:val="Table Grid16"/>
    <w:basedOn w:val="TableNormal"/>
    <w:next w:val="TableGrid"/>
    <w:uiPriority w:val="39"/>
    <w:rsid w:val="006324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5">
    <w:name w:val="List Table 2 - Accent 115"/>
    <w:basedOn w:val="TableNormal"/>
    <w:next w:val="ListTable2-Accent1"/>
    <w:uiPriority w:val="47"/>
    <w:rsid w:val="00632442"/>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6">
    <w:name w:val="No List116"/>
    <w:next w:val="NoList"/>
    <w:uiPriority w:val="99"/>
    <w:semiHidden/>
    <w:unhideWhenUsed/>
    <w:rsid w:val="00632442"/>
  </w:style>
  <w:style w:type="numbering" w:customStyle="1" w:styleId="NoList26">
    <w:name w:val="No List26"/>
    <w:next w:val="NoList"/>
    <w:uiPriority w:val="99"/>
    <w:semiHidden/>
    <w:unhideWhenUsed/>
    <w:rsid w:val="00632442"/>
  </w:style>
  <w:style w:type="table" w:customStyle="1" w:styleId="TableGrid46">
    <w:name w:val="Table Grid46"/>
    <w:basedOn w:val="TableNormal"/>
    <w:next w:val="TableGrid"/>
    <w:uiPriority w:val="39"/>
    <w:rsid w:val="006324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632442"/>
  </w:style>
  <w:style w:type="table" w:customStyle="1" w:styleId="TableGrid52">
    <w:name w:val="Table Grid52"/>
    <w:basedOn w:val="TableNormal"/>
    <w:next w:val="TableGrid"/>
    <w:uiPriority w:val="59"/>
    <w:rsid w:val="00632442"/>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632442"/>
  </w:style>
  <w:style w:type="table" w:customStyle="1" w:styleId="ListTable2-Accent1112">
    <w:name w:val="List Table 2 - Accent 1112"/>
    <w:basedOn w:val="TableNormal"/>
    <w:next w:val="ListTable2-Accent1"/>
    <w:uiPriority w:val="47"/>
    <w:rsid w:val="00632442"/>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12">
    <w:name w:val="No List11112"/>
    <w:next w:val="NoList"/>
    <w:uiPriority w:val="99"/>
    <w:semiHidden/>
    <w:unhideWhenUsed/>
    <w:rsid w:val="00632442"/>
  </w:style>
  <w:style w:type="numbering" w:customStyle="1" w:styleId="NoList212">
    <w:name w:val="No List212"/>
    <w:next w:val="NoList"/>
    <w:uiPriority w:val="99"/>
    <w:semiHidden/>
    <w:unhideWhenUsed/>
    <w:rsid w:val="00632442"/>
  </w:style>
  <w:style w:type="numbering" w:customStyle="1" w:styleId="NoList42">
    <w:name w:val="No List42"/>
    <w:next w:val="NoList"/>
    <w:uiPriority w:val="99"/>
    <w:semiHidden/>
    <w:unhideWhenUsed/>
    <w:rsid w:val="00632442"/>
  </w:style>
  <w:style w:type="numbering" w:customStyle="1" w:styleId="NoList122">
    <w:name w:val="No List122"/>
    <w:next w:val="NoList"/>
    <w:uiPriority w:val="99"/>
    <w:semiHidden/>
    <w:unhideWhenUsed/>
    <w:rsid w:val="00632442"/>
  </w:style>
  <w:style w:type="table" w:customStyle="1" w:styleId="ListTable2-Accent11112">
    <w:name w:val="List Table 2 - Accent 11112"/>
    <w:basedOn w:val="TableNormal"/>
    <w:next w:val="ListTable2-Accent1"/>
    <w:uiPriority w:val="47"/>
    <w:rsid w:val="00632442"/>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2">
    <w:name w:val="No List1122"/>
    <w:next w:val="NoList"/>
    <w:uiPriority w:val="99"/>
    <w:semiHidden/>
    <w:unhideWhenUsed/>
    <w:rsid w:val="00632442"/>
  </w:style>
  <w:style w:type="numbering" w:customStyle="1" w:styleId="NoList222">
    <w:name w:val="No List222"/>
    <w:next w:val="NoList"/>
    <w:uiPriority w:val="99"/>
    <w:semiHidden/>
    <w:unhideWhenUsed/>
    <w:rsid w:val="00632442"/>
  </w:style>
  <w:style w:type="table" w:customStyle="1" w:styleId="ListTable2-Accent18">
    <w:name w:val="List Table 2 - Accent 18"/>
    <w:basedOn w:val="TableNormal"/>
    <w:next w:val="ListTable2-Accent1"/>
    <w:uiPriority w:val="47"/>
    <w:rsid w:val="00632442"/>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bulasgalvenesrinda">
    <w:name w:val="Tabulas galvenes rinda"/>
    <w:basedOn w:val="Normal"/>
    <w:autoRedefine/>
    <w:qFormat/>
    <w:rsid w:val="000E5D6A"/>
    <w:pPr>
      <w:keepNext/>
      <w:keepLines/>
      <w:spacing w:after="0"/>
      <w:ind w:firstLine="0"/>
      <w:contextualSpacing/>
      <w:jc w:val="center"/>
    </w:pPr>
    <w:rPr>
      <w:rFonts w:eastAsia="Times New Roman" w:cs="Times New Roman"/>
      <w:b/>
      <w:bCs/>
      <w:sz w:val="20"/>
      <w:szCs w:val="24"/>
    </w:rPr>
  </w:style>
  <w:style w:type="paragraph" w:customStyle="1" w:styleId="Tabulasnosaukums">
    <w:name w:val="Tabulas nosaukums"/>
    <w:basedOn w:val="Normal"/>
    <w:link w:val="TabulasnosaukumsChar"/>
    <w:qFormat/>
    <w:rsid w:val="001E19C6"/>
    <w:pPr>
      <w:keepNext/>
      <w:keepLines/>
      <w:spacing w:before="240" w:after="0"/>
      <w:ind w:firstLine="0"/>
      <w:jc w:val="right"/>
    </w:pPr>
    <w:rPr>
      <w:rFonts w:eastAsia="Calibri" w:cs="Times New Roman"/>
      <w:b/>
      <w:i/>
      <w:szCs w:val="24"/>
    </w:rPr>
  </w:style>
  <w:style w:type="character" w:customStyle="1" w:styleId="TabulasnosaukumsChar">
    <w:name w:val="Tabulas nosaukums Char"/>
    <w:basedOn w:val="DefaultParagraphFont"/>
    <w:link w:val="Tabulasnosaukums"/>
    <w:rsid w:val="001E19C6"/>
    <w:rPr>
      <w:rFonts w:ascii="Times New Roman" w:eastAsia="Calibri" w:hAnsi="Times New Roman" w:cs="Times New Roman"/>
      <w:b/>
      <w:i/>
      <w:sz w:val="24"/>
      <w:szCs w:val="24"/>
    </w:rPr>
  </w:style>
  <w:style w:type="paragraph" w:customStyle="1" w:styleId="Zmjums">
    <w:name w:val="Zīmējums"/>
    <w:basedOn w:val="Normal"/>
    <w:qFormat/>
    <w:rsid w:val="00C64805"/>
    <w:pPr>
      <w:keepNext/>
      <w:spacing w:before="240" w:after="0"/>
      <w:ind w:firstLine="0"/>
      <w:jc w:val="center"/>
    </w:pPr>
    <w:rPr>
      <w:rFonts w:eastAsiaTheme="minorHAnsi" w:cs="Times New Roman"/>
      <w:noProof/>
    </w:rPr>
  </w:style>
  <w:style w:type="paragraph" w:customStyle="1" w:styleId="boldparagraphheader">
    <w:name w:val="bold_paragraph_header"/>
    <w:basedOn w:val="Normal"/>
    <w:next w:val="Normal"/>
    <w:rsid w:val="007356F8"/>
    <w:pPr>
      <w:spacing w:after="0"/>
      <w:ind w:firstLine="0"/>
      <w:contextualSpacing/>
      <w:jc w:val="center"/>
    </w:pPr>
    <w:rPr>
      <w:rFonts w:eastAsia="Times New Roman" w:cs="Times New Roman"/>
      <w:b/>
      <w:color w:val="333333"/>
      <w:sz w:val="28"/>
      <w:szCs w:val="20"/>
    </w:rPr>
  </w:style>
  <w:style w:type="table" w:customStyle="1" w:styleId="GridTable6Colorful-Accent1131">
    <w:name w:val="Grid Table 6 Colorful - Accent 1131"/>
    <w:basedOn w:val="TableNormal"/>
    <w:uiPriority w:val="51"/>
    <w:rsid w:val="00F067FC"/>
    <w:rPr>
      <w:rFonts w:ascii="Calibri" w:eastAsia="Times New Roman" w:hAnsi="Calibri"/>
      <w:color w:val="2E74B5"/>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0">
    <w:name w:val="No List10"/>
    <w:next w:val="NoList"/>
    <w:uiPriority w:val="99"/>
    <w:semiHidden/>
    <w:unhideWhenUsed/>
    <w:rsid w:val="0070161D"/>
  </w:style>
  <w:style w:type="paragraph" w:customStyle="1" w:styleId="msonormal0">
    <w:name w:val="msonormal"/>
    <w:basedOn w:val="Normal"/>
    <w:rsid w:val="0070161D"/>
    <w:pPr>
      <w:spacing w:before="100" w:beforeAutospacing="1" w:after="100" w:afterAutospacing="1"/>
    </w:pPr>
    <w:rPr>
      <w:rFonts w:eastAsia="Times New Roman" w:cs="Times New Roman"/>
      <w:szCs w:val="24"/>
    </w:rPr>
  </w:style>
  <w:style w:type="table" w:customStyle="1" w:styleId="TableGrid17">
    <w:name w:val="Table Grid17"/>
    <w:basedOn w:val="TableNormal"/>
    <w:next w:val="TableGrid"/>
    <w:uiPriority w:val="39"/>
    <w:rsid w:val="0070161D"/>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9">
    <w:name w:val="List Table 2 - Accent 19"/>
    <w:basedOn w:val="TableNormal"/>
    <w:next w:val="ListTable2-Accent1"/>
    <w:uiPriority w:val="47"/>
    <w:rsid w:val="0070161D"/>
    <w:rPr>
      <w:rFonts w:ascii="Calibri" w:eastAsia="Calibri" w:hAnsi="Calibri" w:cs="Times New Roman"/>
      <w:lang w:eastAsia="en-US"/>
    </w:rPr>
    <w:tblPr>
      <w:tblStyleRowBandSize w:val="1"/>
      <w:tblStyleColBandSize w:val="1"/>
      <w:tblInd w:w="0" w:type="nil"/>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2-Accent116">
    <w:name w:val="List Table 2 - Accent 116"/>
    <w:basedOn w:val="TableNormal"/>
    <w:uiPriority w:val="47"/>
    <w:rsid w:val="0070161D"/>
    <w:rPr>
      <w:rFonts w:ascii="Calibri" w:eastAsia="Times New Roman" w:hAnsi="Calibri" w:cs="Times New Roman"/>
      <w:lang w:eastAsia="en-US"/>
    </w:rPr>
    <w:tblPr>
      <w:tblStyleRowBandSize w:val="1"/>
      <w:tblStyleColBandSize w:val="1"/>
      <w:tblInd w:w="0" w:type="nil"/>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7">
    <w:name w:val="Table Grid47"/>
    <w:basedOn w:val="TableNormal"/>
    <w:uiPriority w:val="39"/>
    <w:rsid w:val="0070161D"/>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12">
    <w:name w:val="Plain Table 4112"/>
    <w:basedOn w:val="TableNormal"/>
    <w:uiPriority w:val="44"/>
    <w:rsid w:val="0070161D"/>
    <w:rPr>
      <w:rFonts w:ascii="Times New Roman" w:eastAsia="Calibri" w:hAnsi="Times New Roman" w:cs="Times New Roman"/>
      <w:sz w:val="28"/>
      <w:lang w:eastAsia="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53">
    <w:name w:val="Table Grid53"/>
    <w:basedOn w:val="TableNormal"/>
    <w:uiPriority w:val="59"/>
    <w:rsid w:val="0070161D"/>
    <w:pPr>
      <w:ind w:left="425" w:firstLine="720"/>
      <w:jc w:val="both"/>
    </w:pPr>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13">
    <w:name w:val="List Table 2 - Accent 1113"/>
    <w:basedOn w:val="TableNormal"/>
    <w:uiPriority w:val="47"/>
    <w:rsid w:val="0070161D"/>
    <w:pPr>
      <w:ind w:left="425" w:firstLine="720"/>
      <w:jc w:val="both"/>
    </w:pPr>
    <w:rPr>
      <w:rFonts w:ascii="Calibri" w:eastAsia="Times New Roman" w:hAnsi="Calibri" w:cs="Times New Roman"/>
      <w:lang w:eastAsia="en-US"/>
    </w:rPr>
    <w:tblPr>
      <w:tblStyleRowBandSize w:val="1"/>
      <w:tblStyleColBandSize w:val="1"/>
      <w:tblInd w:w="0" w:type="nil"/>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11">
    <w:name w:val="Table Grid411"/>
    <w:basedOn w:val="TableNormal"/>
    <w:uiPriority w:val="39"/>
    <w:rsid w:val="0070161D"/>
    <w:pPr>
      <w:ind w:left="425" w:firstLine="720"/>
      <w:jc w:val="both"/>
    </w:pPr>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111">
    <w:name w:val="Plain Table 41111"/>
    <w:basedOn w:val="TableNormal"/>
    <w:uiPriority w:val="44"/>
    <w:rsid w:val="0070161D"/>
    <w:pPr>
      <w:ind w:left="425" w:firstLine="720"/>
      <w:jc w:val="both"/>
    </w:pPr>
    <w:rPr>
      <w:rFonts w:ascii="Times New Roman" w:eastAsia="Calibri" w:hAnsi="Times New Roman" w:cs="Times New Roman"/>
      <w:sz w:val="28"/>
      <w:lang w:eastAsia="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ListTable2-Accent121">
    <w:name w:val="List Table 2 - Accent 121"/>
    <w:basedOn w:val="TableNormal"/>
    <w:uiPriority w:val="47"/>
    <w:rsid w:val="0070161D"/>
    <w:pPr>
      <w:ind w:left="425" w:firstLine="720"/>
      <w:jc w:val="both"/>
    </w:pPr>
    <w:rPr>
      <w:rFonts w:ascii="Calibri" w:eastAsia="Calibri" w:hAnsi="Calibri" w:cs="Times New Roman"/>
      <w:lang w:eastAsia="en-US"/>
    </w:rPr>
    <w:tblPr>
      <w:tblStyleRowBandSize w:val="1"/>
      <w:tblStyleColBandSize w:val="1"/>
      <w:tblInd w:w="0" w:type="nil"/>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2-Accent11113">
    <w:name w:val="List Table 2 - Accent 11113"/>
    <w:basedOn w:val="TableNormal"/>
    <w:uiPriority w:val="47"/>
    <w:rsid w:val="0070161D"/>
    <w:rPr>
      <w:rFonts w:ascii="Calibri" w:eastAsia="Times New Roman" w:hAnsi="Calibri" w:cs="Times New Roman"/>
      <w:lang w:eastAsia="en-US"/>
    </w:rPr>
    <w:tblPr>
      <w:tblStyleRowBandSize w:val="1"/>
      <w:tblStyleColBandSize w:val="1"/>
      <w:tblInd w:w="0" w:type="nil"/>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21">
    <w:name w:val="Table Grid421"/>
    <w:basedOn w:val="TableNormal"/>
    <w:uiPriority w:val="39"/>
    <w:rsid w:val="0070161D"/>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31">
    <w:name w:val="List Table 2 - Accent 131"/>
    <w:basedOn w:val="TableNormal"/>
    <w:uiPriority w:val="47"/>
    <w:rsid w:val="0070161D"/>
    <w:rPr>
      <w:rFonts w:ascii="Calibri" w:eastAsia="Calibri" w:hAnsi="Calibri" w:cs="Times New Roman"/>
      <w:lang w:eastAsia="en-US"/>
    </w:rPr>
    <w:tblPr>
      <w:tblStyleRowBandSize w:val="1"/>
      <w:tblStyleColBandSize w:val="1"/>
      <w:tblInd w:w="0" w:type="nil"/>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7">
    <w:name w:val="No List17"/>
    <w:next w:val="NoList"/>
    <w:uiPriority w:val="99"/>
    <w:semiHidden/>
    <w:unhideWhenUsed/>
    <w:rsid w:val="00830FA2"/>
  </w:style>
  <w:style w:type="numbering" w:customStyle="1" w:styleId="NoList18">
    <w:name w:val="No List18"/>
    <w:next w:val="NoList"/>
    <w:uiPriority w:val="99"/>
    <w:semiHidden/>
    <w:unhideWhenUsed/>
    <w:rsid w:val="00830FA2"/>
  </w:style>
  <w:style w:type="table" w:customStyle="1" w:styleId="TableGrid18">
    <w:name w:val="Table Grid18"/>
    <w:basedOn w:val="TableNormal"/>
    <w:next w:val="TableGrid"/>
    <w:uiPriority w:val="59"/>
    <w:rsid w:val="00830F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7">
    <w:name w:val="List Table 2 - Accent 117"/>
    <w:basedOn w:val="TableNormal"/>
    <w:next w:val="ListTable2-Accent1"/>
    <w:uiPriority w:val="47"/>
    <w:rsid w:val="00830FA2"/>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7">
    <w:name w:val="No List117"/>
    <w:next w:val="NoList"/>
    <w:uiPriority w:val="99"/>
    <w:semiHidden/>
    <w:unhideWhenUsed/>
    <w:rsid w:val="00830FA2"/>
  </w:style>
  <w:style w:type="numbering" w:customStyle="1" w:styleId="NoList27">
    <w:name w:val="No List27"/>
    <w:next w:val="NoList"/>
    <w:uiPriority w:val="99"/>
    <w:semiHidden/>
    <w:unhideWhenUsed/>
    <w:rsid w:val="00830FA2"/>
  </w:style>
  <w:style w:type="table" w:customStyle="1" w:styleId="TableGrid48">
    <w:name w:val="Table Grid48"/>
    <w:basedOn w:val="TableNormal"/>
    <w:next w:val="TableGrid"/>
    <w:uiPriority w:val="39"/>
    <w:rsid w:val="00830F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0">
    <w:name w:val="List Table 2 - Accent 110"/>
    <w:basedOn w:val="TableNormal"/>
    <w:next w:val="ListTable2-Accent1"/>
    <w:uiPriority w:val="47"/>
    <w:rsid w:val="00830FA2"/>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9">
    <w:name w:val="No List19"/>
    <w:next w:val="NoList"/>
    <w:uiPriority w:val="99"/>
    <w:semiHidden/>
    <w:unhideWhenUsed/>
    <w:rsid w:val="002C253E"/>
  </w:style>
  <w:style w:type="numbering" w:customStyle="1" w:styleId="NoList110">
    <w:name w:val="No List110"/>
    <w:next w:val="NoList"/>
    <w:uiPriority w:val="99"/>
    <w:semiHidden/>
    <w:unhideWhenUsed/>
    <w:rsid w:val="002C253E"/>
  </w:style>
  <w:style w:type="table" w:customStyle="1" w:styleId="TableGrid19">
    <w:name w:val="Table Grid19"/>
    <w:basedOn w:val="TableNormal"/>
    <w:next w:val="TableGrid"/>
    <w:uiPriority w:val="39"/>
    <w:rsid w:val="002C25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8">
    <w:name w:val="List Table 2 - Accent 118"/>
    <w:basedOn w:val="TableNormal"/>
    <w:next w:val="ListTable2-Accent1"/>
    <w:uiPriority w:val="47"/>
    <w:rsid w:val="002C253E"/>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8">
    <w:name w:val="No List118"/>
    <w:next w:val="NoList"/>
    <w:uiPriority w:val="99"/>
    <w:semiHidden/>
    <w:unhideWhenUsed/>
    <w:rsid w:val="002C253E"/>
  </w:style>
  <w:style w:type="numbering" w:customStyle="1" w:styleId="NoList28">
    <w:name w:val="No List28"/>
    <w:next w:val="NoList"/>
    <w:uiPriority w:val="99"/>
    <w:semiHidden/>
    <w:unhideWhenUsed/>
    <w:rsid w:val="002C253E"/>
  </w:style>
  <w:style w:type="table" w:customStyle="1" w:styleId="TableGrid49">
    <w:name w:val="Table Grid49"/>
    <w:basedOn w:val="TableNormal"/>
    <w:next w:val="TableGrid"/>
    <w:uiPriority w:val="39"/>
    <w:rsid w:val="002C25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C253E"/>
  </w:style>
  <w:style w:type="table" w:customStyle="1" w:styleId="TableGrid54">
    <w:name w:val="Table Grid54"/>
    <w:basedOn w:val="TableNormal"/>
    <w:next w:val="TableGrid"/>
    <w:uiPriority w:val="59"/>
    <w:rsid w:val="002C253E"/>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uiPriority w:val="99"/>
    <w:semiHidden/>
    <w:unhideWhenUsed/>
    <w:rsid w:val="002C253E"/>
  </w:style>
  <w:style w:type="table" w:customStyle="1" w:styleId="ListTable2-Accent1114">
    <w:name w:val="List Table 2 - Accent 1114"/>
    <w:basedOn w:val="TableNormal"/>
    <w:next w:val="ListTable2-Accent1"/>
    <w:uiPriority w:val="47"/>
    <w:rsid w:val="002C253E"/>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13">
    <w:name w:val="No List11113"/>
    <w:next w:val="NoList"/>
    <w:uiPriority w:val="99"/>
    <w:semiHidden/>
    <w:unhideWhenUsed/>
    <w:rsid w:val="002C253E"/>
  </w:style>
  <w:style w:type="numbering" w:customStyle="1" w:styleId="NoList213">
    <w:name w:val="No List213"/>
    <w:next w:val="NoList"/>
    <w:uiPriority w:val="99"/>
    <w:semiHidden/>
    <w:unhideWhenUsed/>
    <w:rsid w:val="002C253E"/>
  </w:style>
  <w:style w:type="numbering" w:customStyle="1" w:styleId="NoList43">
    <w:name w:val="No List43"/>
    <w:next w:val="NoList"/>
    <w:uiPriority w:val="99"/>
    <w:semiHidden/>
    <w:unhideWhenUsed/>
    <w:rsid w:val="002C253E"/>
  </w:style>
  <w:style w:type="numbering" w:customStyle="1" w:styleId="NoList123">
    <w:name w:val="No List123"/>
    <w:next w:val="NoList"/>
    <w:uiPriority w:val="99"/>
    <w:semiHidden/>
    <w:unhideWhenUsed/>
    <w:rsid w:val="002C253E"/>
  </w:style>
  <w:style w:type="table" w:customStyle="1" w:styleId="ListTable2-Accent11114">
    <w:name w:val="List Table 2 - Accent 11114"/>
    <w:basedOn w:val="TableNormal"/>
    <w:next w:val="ListTable2-Accent1"/>
    <w:uiPriority w:val="47"/>
    <w:rsid w:val="002C253E"/>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3">
    <w:name w:val="No List1123"/>
    <w:next w:val="NoList"/>
    <w:uiPriority w:val="99"/>
    <w:semiHidden/>
    <w:unhideWhenUsed/>
    <w:rsid w:val="002C253E"/>
  </w:style>
  <w:style w:type="numbering" w:customStyle="1" w:styleId="NoList223">
    <w:name w:val="No List223"/>
    <w:next w:val="NoList"/>
    <w:uiPriority w:val="99"/>
    <w:semiHidden/>
    <w:unhideWhenUsed/>
    <w:rsid w:val="002C253E"/>
  </w:style>
  <w:style w:type="table" w:customStyle="1" w:styleId="ListTable2-Accent119">
    <w:name w:val="List Table 2 - Accent 119"/>
    <w:basedOn w:val="TableNormal"/>
    <w:next w:val="ListTable2-Accent1"/>
    <w:uiPriority w:val="47"/>
    <w:rsid w:val="002C253E"/>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nt5">
    <w:name w:val="font5"/>
    <w:basedOn w:val="Normal"/>
    <w:rsid w:val="002C253E"/>
    <w:pPr>
      <w:spacing w:before="100" w:beforeAutospacing="1" w:after="100" w:afterAutospacing="1"/>
      <w:ind w:firstLine="0"/>
      <w:jc w:val="left"/>
    </w:pPr>
    <w:rPr>
      <w:rFonts w:eastAsia="Times New Roman" w:cs="Times New Roman"/>
      <w:sz w:val="20"/>
      <w:szCs w:val="20"/>
    </w:rPr>
  </w:style>
  <w:style w:type="paragraph" w:customStyle="1" w:styleId="font6">
    <w:name w:val="font6"/>
    <w:basedOn w:val="Normal"/>
    <w:rsid w:val="002C253E"/>
    <w:pPr>
      <w:spacing w:before="100" w:beforeAutospacing="1" w:after="100" w:afterAutospacing="1"/>
      <w:ind w:firstLine="0"/>
      <w:jc w:val="left"/>
    </w:pPr>
    <w:rPr>
      <w:rFonts w:eastAsia="Times New Roman" w:cs="Times New Roman"/>
      <w:i/>
      <w:iCs/>
      <w:sz w:val="20"/>
      <w:szCs w:val="20"/>
    </w:rPr>
  </w:style>
  <w:style w:type="paragraph" w:customStyle="1" w:styleId="xl76">
    <w:name w:val="xl76"/>
    <w:basedOn w:val="Normal"/>
    <w:rsid w:val="002C253E"/>
    <w:pPr>
      <w:spacing w:before="100" w:beforeAutospacing="1" w:after="100" w:afterAutospacing="1"/>
      <w:ind w:firstLine="0"/>
      <w:jc w:val="left"/>
    </w:pPr>
    <w:rPr>
      <w:rFonts w:ascii="Aptos Narrow" w:eastAsia="Times New Roman" w:hAnsi="Aptos Narrow" w:cs="Times New Roman"/>
      <w:sz w:val="22"/>
    </w:rPr>
  </w:style>
  <w:style w:type="paragraph" w:customStyle="1" w:styleId="xl77">
    <w:name w:val="xl77"/>
    <w:basedOn w:val="Normal"/>
    <w:rsid w:val="002C253E"/>
    <w:pPr>
      <w:spacing w:before="100" w:beforeAutospacing="1" w:after="100" w:afterAutospacing="1"/>
      <w:ind w:firstLine="0"/>
      <w:jc w:val="left"/>
    </w:pPr>
    <w:rPr>
      <w:rFonts w:eastAsia="Times New Roman" w:cs="Times New Roman"/>
      <w:sz w:val="20"/>
      <w:szCs w:val="20"/>
    </w:rPr>
  </w:style>
  <w:style w:type="paragraph" w:customStyle="1" w:styleId="xl78">
    <w:name w:val="xl78"/>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79">
    <w:name w:val="xl79"/>
    <w:basedOn w:val="Normal"/>
    <w:rsid w:val="002C253E"/>
    <w:pPr>
      <w:pBdr>
        <w:top w:val="single" w:sz="4" w:space="0" w:color="auto"/>
        <w:left w:val="single" w:sz="8" w:space="0" w:color="auto"/>
        <w:bottom w:val="single" w:sz="4"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80">
    <w:name w:val="xl80"/>
    <w:basedOn w:val="Normal"/>
    <w:rsid w:val="002C253E"/>
    <w:pPr>
      <w:pBdr>
        <w:top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81">
    <w:name w:val="xl81"/>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sz w:val="16"/>
      <w:szCs w:val="16"/>
    </w:rPr>
  </w:style>
  <w:style w:type="paragraph" w:customStyle="1" w:styleId="xl82">
    <w:name w:val="xl82"/>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16"/>
      <w:szCs w:val="16"/>
    </w:rPr>
  </w:style>
  <w:style w:type="paragraph" w:customStyle="1" w:styleId="xl83">
    <w:name w:val="xl83"/>
    <w:basedOn w:val="Normal"/>
    <w:rsid w:val="002C253E"/>
    <w:pPr>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sz w:val="16"/>
      <w:szCs w:val="16"/>
    </w:rPr>
  </w:style>
  <w:style w:type="paragraph" w:customStyle="1" w:styleId="xl84">
    <w:name w:val="xl84"/>
    <w:basedOn w:val="Normal"/>
    <w:rsid w:val="002C253E"/>
    <w:pPr>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sz w:val="16"/>
      <w:szCs w:val="16"/>
    </w:rPr>
  </w:style>
  <w:style w:type="paragraph" w:customStyle="1" w:styleId="xl85">
    <w:name w:val="xl85"/>
    <w:basedOn w:val="Normal"/>
    <w:rsid w:val="002C253E"/>
    <w:pPr>
      <w:spacing w:before="100" w:beforeAutospacing="1" w:after="100" w:afterAutospacing="1"/>
      <w:ind w:firstLine="0"/>
      <w:jc w:val="center"/>
    </w:pPr>
    <w:rPr>
      <w:rFonts w:eastAsia="Times New Roman" w:cs="Times New Roman"/>
      <w:sz w:val="16"/>
      <w:szCs w:val="16"/>
    </w:rPr>
  </w:style>
  <w:style w:type="paragraph" w:customStyle="1" w:styleId="xl86">
    <w:name w:val="xl86"/>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2"/>
    </w:rPr>
  </w:style>
  <w:style w:type="paragraph" w:customStyle="1" w:styleId="xl87">
    <w:name w:val="xl87"/>
    <w:basedOn w:val="Normal"/>
    <w:rsid w:val="002C253E"/>
    <w:pPr>
      <w:pBdr>
        <w:top w:val="single" w:sz="4" w:space="0" w:color="auto"/>
        <w:left w:val="single" w:sz="4" w:space="0" w:color="auto"/>
        <w:right w:val="single" w:sz="8" w:space="0" w:color="auto"/>
      </w:pBdr>
      <w:spacing w:before="100" w:beforeAutospacing="1" w:after="100" w:afterAutospacing="1"/>
      <w:ind w:firstLine="0"/>
      <w:jc w:val="right"/>
    </w:pPr>
    <w:rPr>
      <w:rFonts w:eastAsia="Times New Roman" w:cs="Times New Roman"/>
      <w:b/>
      <w:bCs/>
      <w:sz w:val="20"/>
      <w:szCs w:val="20"/>
    </w:rPr>
  </w:style>
  <w:style w:type="paragraph" w:customStyle="1" w:styleId="xl88">
    <w:name w:val="xl88"/>
    <w:basedOn w:val="Normal"/>
    <w:rsid w:val="002C253E"/>
    <w:pPr>
      <w:pBdr>
        <w:left w:val="single" w:sz="8" w:space="0" w:color="auto"/>
      </w:pBdr>
      <w:spacing w:before="100" w:beforeAutospacing="1" w:after="100" w:afterAutospacing="1"/>
      <w:ind w:firstLine="0"/>
      <w:jc w:val="right"/>
    </w:pPr>
    <w:rPr>
      <w:rFonts w:eastAsia="Times New Roman" w:cs="Times New Roman"/>
      <w:b/>
      <w:bCs/>
      <w:sz w:val="20"/>
      <w:szCs w:val="20"/>
    </w:rPr>
  </w:style>
  <w:style w:type="paragraph" w:customStyle="1" w:styleId="xl89">
    <w:name w:val="xl89"/>
    <w:basedOn w:val="Normal"/>
    <w:rsid w:val="002C253E"/>
    <w:pPr>
      <w:pBdr>
        <w:left w:val="single" w:sz="4" w:space="0" w:color="auto"/>
        <w:right w:val="single" w:sz="4" w:space="0" w:color="auto"/>
      </w:pBdr>
      <w:spacing w:before="100" w:beforeAutospacing="1" w:after="100" w:afterAutospacing="1"/>
      <w:ind w:firstLine="0"/>
      <w:jc w:val="right"/>
    </w:pPr>
    <w:rPr>
      <w:rFonts w:eastAsia="Times New Roman" w:cs="Times New Roman"/>
      <w:b/>
      <w:bCs/>
      <w:sz w:val="20"/>
      <w:szCs w:val="20"/>
    </w:rPr>
  </w:style>
  <w:style w:type="paragraph" w:customStyle="1" w:styleId="xl90">
    <w:name w:val="xl90"/>
    <w:basedOn w:val="Normal"/>
    <w:rsid w:val="002C253E"/>
    <w:pPr>
      <w:spacing w:before="100" w:beforeAutospacing="1" w:after="100" w:afterAutospacing="1"/>
      <w:ind w:firstLine="0"/>
      <w:jc w:val="left"/>
    </w:pPr>
    <w:rPr>
      <w:rFonts w:eastAsia="Times New Roman" w:cs="Times New Roman"/>
      <w:sz w:val="22"/>
    </w:rPr>
  </w:style>
  <w:style w:type="paragraph" w:customStyle="1" w:styleId="xl91">
    <w:name w:val="xl91"/>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sz w:val="22"/>
    </w:rPr>
  </w:style>
  <w:style w:type="paragraph" w:customStyle="1" w:styleId="xl92">
    <w:name w:val="xl92"/>
    <w:basedOn w:val="Normal"/>
    <w:rsid w:val="002C253E"/>
    <w:pPr>
      <w:pBdr>
        <w:top w:val="single" w:sz="4" w:space="0" w:color="auto"/>
        <w:left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93">
    <w:name w:val="xl93"/>
    <w:basedOn w:val="Normal"/>
    <w:rsid w:val="002C253E"/>
    <w:pPr>
      <w:pBdr>
        <w:top w:val="single" w:sz="4" w:space="0" w:color="auto"/>
        <w:left w:val="single" w:sz="8" w:space="0" w:color="auto"/>
      </w:pBdr>
      <w:spacing w:before="100" w:beforeAutospacing="1" w:after="100" w:afterAutospacing="1"/>
      <w:ind w:firstLine="0"/>
      <w:jc w:val="center"/>
    </w:pPr>
    <w:rPr>
      <w:rFonts w:eastAsia="Times New Roman" w:cs="Times New Roman"/>
      <w:sz w:val="20"/>
      <w:szCs w:val="20"/>
    </w:rPr>
  </w:style>
  <w:style w:type="paragraph" w:customStyle="1" w:styleId="xl94">
    <w:name w:val="xl94"/>
    <w:basedOn w:val="Normal"/>
    <w:rsid w:val="002C253E"/>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sz w:val="20"/>
      <w:szCs w:val="20"/>
    </w:rPr>
  </w:style>
  <w:style w:type="paragraph" w:customStyle="1" w:styleId="xl95">
    <w:name w:val="xl95"/>
    <w:basedOn w:val="Normal"/>
    <w:rsid w:val="002C253E"/>
    <w:pPr>
      <w:pBdr>
        <w:top w:val="single" w:sz="4" w:space="0" w:color="auto"/>
        <w:left w:val="single" w:sz="8" w:space="14" w:color="auto"/>
        <w:bottom w:val="single" w:sz="4" w:space="0" w:color="auto"/>
        <w:right w:val="single" w:sz="8" w:space="0" w:color="auto"/>
      </w:pBdr>
      <w:spacing w:before="100" w:beforeAutospacing="1" w:after="100" w:afterAutospacing="1"/>
      <w:ind w:firstLineChars="100" w:firstLine="0"/>
      <w:jc w:val="left"/>
    </w:pPr>
    <w:rPr>
      <w:rFonts w:eastAsia="Times New Roman" w:cs="Times New Roman"/>
      <w:i/>
      <w:iCs/>
      <w:sz w:val="20"/>
      <w:szCs w:val="20"/>
    </w:rPr>
  </w:style>
  <w:style w:type="paragraph" w:customStyle="1" w:styleId="xl96">
    <w:name w:val="xl96"/>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97">
    <w:name w:val="xl97"/>
    <w:basedOn w:val="Normal"/>
    <w:rsid w:val="002C253E"/>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98">
    <w:name w:val="xl98"/>
    <w:basedOn w:val="Normal"/>
    <w:rsid w:val="002C253E"/>
    <w:pPr>
      <w:pBdr>
        <w:top w:val="single" w:sz="4" w:space="0" w:color="auto"/>
        <w:left w:val="single" w:sz="8" w:space="0" w:color="auto"/>
        <w:bottom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99">
    <w:name w:val="xl99"/>
    <w:basedOn w:val="Normal"/>
    <w:rsid w:val="002C253E"/>
    <w:pPr>
      <w:pBdr>
        <w:top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00">
    <w:name w:val="xl100"/>
    <w:basedOn w:val="Normal"/>
    <w:rsid w:val="002C253E"/>
    <w:pPr>
      <w:pBdr>
        <w:top w:val="single" w:sz="4" w:space="0" w:color="auto"/>
        <w:left w:val="single" w:sz="8" w:space="27" w:color="auto"/>
        <w:bottom w:val="single" w:sz="4" w:space="0" w:color="auto"/>
        <w:right w:val="single" w:sz="8" w:space="0" w:color="auto"/>
      </w:pBdr>
      <w:spacing w:before="100" w:beforeAutospacing="1" w:after="100" w:afterAutospacing="1"/>
      <w:ind w:firstLineChars="200" w:firstLine="0"/>
      <w:jc w:val="left"/>
    </w:pPr>
    <w:rPr>
      <w:rFonts w:eastAsia="Times New Roman" w:cs="Times New Roman"/>
      <w:sz w:val="20"/>
      <w:szCs w:val="20"/>
    </w:rPr>
  </w:style>
  <w:style w:type="paragraph" w:customStyle="1" w:styleId="xl101">
    <w:name w:val="xl101"/>
    <w:basedOn w:val="Normal"/>
    <w:rsid w:val="002C253E"/>
    <w:pPr>
      <w:pBdr>
        <w:top w:val="single" w:sz="4" w:space="0" w:color="auto"/>
        <w:left w:val="single" w:sz="8" w:space="0" w:color="auto"/>
        <w:bottom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02">
    <w:name w:val="xl102"/>
    <w:basedOn w:val="Normal"/>
    <w:rsid w:val="002C253E"/>
    <w:pPr>
      <w:pBdr>
        <w:top w:val="single" w:sz="4" w:space="0" w:color="auto"/>
        <w:left w:val="single" w:sz="8" w:space="27" w:color="auto"/>
        <w:bottom w:val="single" w:sz="4" w:space="0" w:color="auto"/>
        <w:right w:val="single" w:sz="8" w:space="0" w:color="auto"/>
      </w:pBdr>
      <w:spacing w:before="100" w:beforeAutospacing="1" w:after="100" w:afterAutospacing="1"/>
      <w:ind w:firstLineChars="200" w:firstLine="0"/>
      <w:jc w:val="left"/>
      <w:textAlignment w:val="top"/>
    </w:pPr>
    <w:rPr>
      <w:rFonts w:eastAsia="Times New Roman" w:cs="Times New Roman"/>
      <w:sz w:val="20"/>
      <w:szCs w:val="20"/>
    </w:rPr>
  </w:style>
  <w:style w:type="paragraph" w:customStyle="1" w:styleId="xl103">
    <w:name w:val="xl103"/>
    <w:basedOn w:val="Normal"/>
    <w:rsid w:val="002C253E"/>
    <w:pPr>
      <w:spacing w:before="100" w:beforeAutospacing="1" w:after="100" w:afterAutospacing="1"/>
      <w:ind w:firstLine="0"/>
      <w:jc w:val="left"/>
    </w:pPr>
    <w:rPr>
      <w:rFonts w:eastAsia="Times New Roman" w:cs="Times New Roman"/>
      <w:sz w:val="20"/>
      <w:szCs w:val="20"/>
    </w:rPr>
  </w:style>
  <w:style w:type="paragraph" w:customStyle="1" w:styleId="xl104">
    <w:name w:val="xl104"/>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textAlignment w:val="top"/>
    </w:pPr>
    <w:rPr>
      <w:rFonts w:eastAsia="Times New Roman" w:cs="Times New Roman"/>
      <w:sz w:val="20"/>
      <w:szCs w:val="20"/>
    </w:rPr>
  </w:style>
  <w:style w:type="paragraph" w:customStyle="1" w:styleId="xl105">
    <w:name w:val="xl105"/>
    <w:basedOn w:val="Normal"/>
    <w:rsid w:val="002C253E"/>
    <w:pPr>
      <w:pBdr>
        <w:top w:val="single" w:sz="4" w:space="0" w:color="auto"/>
        <w:left w:val="single" w:sz="8" w:space="14" w:color="auto"/>
        <w:bottom w:val="single" w:sz="4" w:space="0" w:color="auto"/>
        <w:right w:val="single" w:sz="8" w:space="0" w:color="auto"/>
      </w:pBdr>
      <w:spacing w:before="100" w:beforeAutospacing="1" w:after="100" w:afterAutospacing="1"/>
      <w:ind w:firstLineChars="100" w:firstLine="0"/>
      <w:jc w:val="left"/>
    </w:pPr>
    <w:rPr>
      <w:rFonts w:eastAsia="Times New Roman" w:cs="Times New Roman"/>
      <w:sz w:val="20"/>
      <w:szCs w:val="20"/>
    </w:rPr>
  </w:style>
  <w:style w:type="paragraph" w:customStyle="1" w:styleId="xl106">
    <w:name w:val="xl106"/>
    <w:basedOn w:val="Normal"/>
    <w:rsid w:val="002C253E"/>
    <w:pPr>
      <w:pBdr>
        <w:top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07">
    <w:name w:val="xl107"/>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sz w:val="20"/>
      <w:szCs w:val="20"/>
    </w:rPr>
  </w:style>
  <w:style w:type="paragraph" w:customStyle="1" w:styleId="xl108">
    <w:name w:val="xl108"/>
    <w:basedOn w:val="Normal"/>
    <w:rsid w:val="002C253E"/>
    <w:pPr>
      <w:pBdr>
        <w:top w:val="single" w:sz="4" w:space="0" w:color="auto"/>
        <w:left w:val="single" w:sz="8" w:space="0" w:color="auto"/>
        <w:bottom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09">
    <w:name w:val="xl109"/>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10">
    <w:name w:val="xl110"/>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2"/>
    </w:rPr>
  </w:style>
  <w:style w:type="paragraph" w:customStyle="1" w:styleId="xl111">
    <w:name w:val="xl111"/>
    <w:basedOn w:val="Normal"/>
    <w:rsid w:val="002C253E"/>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b/>
      <w:bCs/>
      <w:sz w:val="20"/>
      <w:szCs w:val="20"/>
    </w:rPr>
  </w:style>
  <w:style w:type="paragraph" w:customStyle="1" w:styleId="xl112">
    <w:name w:val="xl112"/>
    <w:basedOn w:val="Normal"/>
    <w:rsid w:val="002C253E"/>
    <w:pPr>
      <w:pBdr>
        <w:top w:val="single" w:sz="4" w:space="0" w:color="auto"/>
        <w:left w:val="single" w:sz="8" w:space="0" w:color="auto"/>
        <w:bottom w:val="single" w:sz="4" w:space="0" w:color="auto"/>
      </w:pBdr>
      <w:spacing w:before="100" w:beforeAutospacing="1" w:after="100" w:afterAutospacing="1"/>
      <w:ind w:firstLine="0"/>
      <w:jc w:val="right"/>
    </w:pPr>
    <w:rPr>
      <w:rFonts w:eastAsia="Times New Roman" w:cs="Times New Roman"/>
      <w:b/>
      <w:bCs/>
      <w:sz w:val="20"/>
      <w:szCs w:val="20"/>
    </w:rPr>
  </w:style>
  <w:style w:type="paragraph" w:customStyle="1" w:styleId="xl113">
    <w:name w:val="xl113"/>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b/>
      <w:bCs/>
      <w:sz w:val="20"/>
      <w:szCs w:val="20"/>
    </w:rPr>
  </w:style>
  <w:style w:type="paragraph" w:customStyle="1" w:styleId="xl114">
    <w:name w:val="xl114"/>
    <w:basedOn w:val="Normal"/>
    <w:rsid w:val="002C253E"/>
    <w:pPr>
      <w:pBdr>
        <w:left w:val="single" w:sz="8" w:space="0" w:color="auto"/>
        <w:bottom w:val="single" w:sz="4" w:space="0" w:color="auto"/>
        <w:right w:val="single" w:sz="8" w:space="0" w:color="auto"/>
      </w:pBdr>
      <w:spacing w:before="100" w:beforeAutospacing="1" w:after="100" w:afterAutospacing="1"/>
      <w:ind w:firstLine="0"/>
      <w:jc w:val="left"/>
      <w:textAlignment w:val="top"/>
    </w:pPr>
    <w:rPr>
      <w:rFonts w:eastAsia="Times New Roman" w:cs="Times New Roman"/>
      <w:sz w:val="22"/>
    </w:rPr>
  </w:style>
  <w:style w:type="paragraph" w:customStyle="1" w:styleId="xl115">
    <w:name w:val="xl115"/>
    <w:basedOn w:val="Normal"/>
    <w:rsid w:val="002C253E"/>
    <w:pPr>
      <w:pBdr>
        <w:left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16">
    <w:name w:val="xl116"/>
    <w:basedOn w:val="Normal"/>
    <w:rsid w:val="002C253E"/>
    <w:pPr>
      <w:spacing w:before="100" w:beforeAutospacing="1" w:after="100" w:afterAutospacing="1"/>
      <w:ind w:firstLine="0"/>
      <w:jc w:val="left"/>
    </w:pPr>
    <w:rPr>
      <w:rFonts w:eastAsia="Times New Roman" w:cs="Times New Roman"/>
      <w:sz w:val="22"/>
    </w:rPr>
  </w:style>
  <w:style w:type="paragraph" w:customStyle="1" w:styleId="xl117">
    <w:name w:val="xl117"/>
    <w:basedOn w:val="Normal"/>
    <w:rsid w:val="002C253E"/>
    <w:pPr>
      <w:pBdr>
        <w:top w:val="single" w:sz="4" w:space="0" w:color="auto"/>
        <w:left w:val="single" w:sz="8" w:space="27" w:color="auto"/>
        <w:bottom w:val="single" w:sz="4" w:space="0" w:color="auto"/>
        <w:right w:val="single" w:sz="8" w:space="0" w:color="auto"/>
      </w:pBdr>
      <w:spacing w:before="100" w:beforeAutospacing="1" w:after="100" w:afterAutospacing="1"/>
      <w:ind w:firstLineChars="200" w:firstLine="0"/>
      <w:jc w:val="left"/>
      <w:textAlignment w:val="top"/>
    </w:pPr>
    <w:rPr>
      <w:rFonts w:eastAsia="Times New Roman" w:cs="Times New Roman"/>
      <w:sz w:val="20"/>
      <w:szCs w:val="20"/>
    </w:rPr>
  </w:style>
  <w:style w:type="paragraph" w:customStyle="1" w:styleId="xl118">
    <w:name w:val="xl118"/>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textAlignment w:val="top"/>
    </w:pPr>
    <w:rPr>
      <w:rFonts w:eastAsia="Times New Roman" w:cs="Times New Roman"/>
      <w:sz w:val="22"/>
    </w:rPr>
  </w:style>
  <w:style w:type="paragraph" w:customStyle="1" w:styleId="xl119">
    <w:name w:val="xl119"/>
    <w:basedOn w:val="Normal"/>
    <w:rsid w:val="002C253E"/>
    <w:pPr>
      <w:pBdr>
        <w:right w:val="single" w:sz="8" w:space="0" w:color="auto"/>
      </w:pBdr>
      <w:spacing w:before="100" w:beforeAutospacing="1" w:after="100" w:afterAutospacing="1"/>
      <w:ind w:firstLine="0"/>
      <w:jc w:val="left"/>
    </w:pPr>
    <w:rPr>
      <w:rFonts w:eastAsia="Times New Roman" w:cs="Times New Roman"/>
      <w:sz w:val="20"/>
      <w:szCs w:val="20"/>
    </w:rPr>
  </w:style>
  <w:style w:type="paragraph" w:customStyle="1" w:styleId="xl120">
    <w:name w:val="xl120"/>
    <w:basedOn w:val="Normal"/>
    <w:rsid w:val="002C253E"/>
    <w:pPr>
      <w:pBdr>
        <w:left w:val="single" w:sz="8" w:space="0" w:color="auto"/>
      </w:pBdr>
      <w:spacing w:before="100" w:beforeAutospacing="1" w:after="100" w:afterAutospacing="1"/>
      <w:ind w:firstLine="0"/>
      <w:jc w:val="left"/>
    </w:pPr>
    <w:rPr>
      <w:rFonts w:eastAsia="Times New Roman" w:cs="Times New Roman"/>
      <w:sz w:val="20"/>
      <w:szCs w:val="20"/>
    </w:rPr>
  </w:style>
  <w:style w:type="paragraph" w:customStyle="1" w:styleId="xl121">
    <w:name w:val="xl121"/>
    <w:basedOn w:val="Normal"/>
    <w:rsid w:val="002C253E"/>
    <w:pPr>
      <w:pBdr>
        <w:left w:val="single" w:sz="4" w:space="0" w:color="auto"/>
        <w:right w:val="single" w:sz="4" w:space="0" w:color="auto"/>
      </w:pBdr>
      <w:spacing w:before="100" w:beforeAutospacing="1" w:after="100" w:afterAutospacing="1"/>
      <w:ind w:firstLine="0"/>
      <w:jc w:val="left"/>
    </w:pPr>
    <w:rPr>
      <w:rFonts w:eastAsia="Times New Roman" w:cs="Times New Roman"/>
      <w:sz w:val="20"/>
      <w:szCs w:val="20"/>
    </w:rPr>
  </w:style>
  <w:style w:type="paragraph" w:customStyle="1" w:styleId="xl122">
    <w:name w:val="xl122"/>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2"/>
    </w:rPr>
  </w:style>
  <w:style w:type="paragraph" w:customStyle="1" w:styleId="xl123">
    <w:name w:val="xl123"/>
    <w:basedOn w:val="Normal"/>
    <w:rsid w:val="002C253E"/>
    <w:pPr>
      <w:pBdr>
        <w:top w:val="single" w:sz="4" w:space="0" w:color="auto"/>
        <w:left w:val="single" w:sz="8" w:space="27" w:color="auto"/>
        <w:bottom w:val="single" w:sz="4" w:space="0" w:color="auto"/>
        <w:right w:val="single" w:sz="8" w:space="0" w:color="auto"/>
      </w:pBdr>
      <w:spacing w:before="100" w:beforeAutospacing="1" w:after="100" w:afterAutospacing="1"/>
      <w:ind w:firstLineChars="200" w:firstLine="0"/>
      <w:jc w:val="left"/>
      <w:textAlignment w:val="center"/>
    </w:pPr>
    <w:rPr>
      <w:rFonts w:eastAsia="Times New Roman" w:cs="Times New Roman"/>
      <w:sz w:val="20"/>
      <w:szCs w:val="20"/>
    </w:rPr>
  </w:style>
  <w:style w:type="paragraph" w:customStyle="1" w:styleId="xl124">
    <w:name w:val="xl124"/>
    <w:basedOn w:val="Normal"/>
    <w:rsid w:val="002C253E"/>
    <w:pPr>
      <w:pBdr>
        <w:top w:val="single" w:sz="4" w:space="0" w:color="auto"/>
        <w:left w:val="single" w:sz="8" w:space="27" w:color="auto"/>
        <w:right w:val="single" w:sz="8" w:space="0" w:color="auto"/>
      </w:pBdr>
      <w:spacing w:before="100" w:beforeAutospacing="1" w:after="100" w:afterAutospacing="1"/>
      <w:ind w:firstLineChars="200" w:firstLine="0"/>
      <w:jc w:val="left"/>
      <w:textAlignment w:val="center"/>
    </w:pPr>
    <w:rPr>
      <w:rFonts w:eastAsia="Times New Roman" w:cs="Times New Roman"/>
      <w:sz w:val="20"/>
      <w:szCs w:val="20"/>
    </w:rPr>
  </w:style>
  <w:style w:type="paragraph" w:customStyle="1" w:styleId="xl125">
    <w:name w:val="xl125"/>
    <w:basedOn w:val="Normal"/>
    <w:rsid w:val="002C253E"/>
    <w:pPr>
      <w:pBdr>
        <w:top w:val="single" w:sz="4" w:space="0" w:color="auto"/>
        <w:lef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26">
    <w:name w:val="xl126"/>
    <w:basedOn w:val="Normal"/>
    <w:rsid w:val="002C253E"/>
    <w:pPr>
      <w:pBdr>
        <w:top w:val="single" w:sz="4" w:space="0" w:color="auto"/>
        <w:left w:val="single" w:sz="4" w:space="0" w:color="auto"/>
        <w:right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27">
    <w:name w:val="xl127"/>
    <w:basedOn w:val="Normal"/>
    <w:rsid w:val="002C253E"/>
    <w:pPr>
      <w:pBdr>
        <w:top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28">
    <w:name w:val="xl128"/>
    <w:basedOn w:val="Normal"/>
    <w:rsid w:val="002C253E"/>
    <w:pPr>
      <w:pBdr>
        <w:top w:val="single" w:sz="4" w:space="0" w:color="auto"/>
        <w:left w:val="single" w:sz="8" w:space="14" w:color="auto"/>
        <w:right w:val="single" w:sz="8" w:space="0" w:color="auto"/>
      </w:pBdr>
      <w:spacing w:before="100" w:beforeAutospacing="1" w:after="100" w:afterAutospacing="1"/>
      <w:ind w:firstLineChars="100" w:firstLine="0"/>
      <w:jc w:val="left"/>
    </w:pPr>
    <w:rPr>
      <w:rFonts w:eastAsia="Times New Roman" w:cs="Times New Roman"/>
      <w:sz w:val="20"/>
      <w:szCs w:val="20"/>
    </w:rPr>
  </w:style>
  <w:style w:type="paragraph" w:customStyle="1" w:styleId="xl129">
    <w:name w:val="xl129"/>
    <w:basedOn w:val="Normal"/>
    <w:rsid w:val="002C253E"/>
    <w:pPr>
      <w:pBdr>
        <w:top w:val="single" w:sz="4" w:space="0" w:color="auto"/>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sz w:val="20"/>
      <w:szCs w:val="20"/>
    </w:rPr>
  </w:style>
  <w:style w:type="paragraph" w:customStyle="1" w:styleId="xl130">
    <w:name w:val="xl130"/>
    <w:basedOn w:val="Normal"/>
    <w:rsid w:val="002C253E"/>
    <w:pPr>
      <w:pBdr>
        <w:top w:val="single" w:sz="4" w:space="0" w:color="auto"/>
        <w:left w:val="single" w:sz="8" w:space="0" w:color="auto"/>
        <w:bottom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31">
    <w:name w:val="xl131"/>
    <w:basedOn w:val="Normal"/>
    <w:rsid w:val="002C253E"/>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32">
    <w:name w:val="xl132"/>
    <w:basedOn w:val="Normal"/>
    <w:rsid w:val="002C253E"/>
    <w:pPr>
      <w:pBdr>
        <w:top w:val="single" w:sz="4" w:space="0" w:color="auto"/>
        <w:bottom w:val="single" w:sz="8"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33">
    <w:name w:val="xl133"/>
    <w:basedOn w:val="Normal"/>
    <w:rsid w:val="002C253E"/>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4">
    <w:name w:val="xl134"/>
    <w:basedOn w:val="Normal"/>
    <w:rsid w:val="002C253E"/>
    <w:pPr>
      <w:pBdr>
        <w:top w:val="single" w:sz="8"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5">
    <w:name w:val="xl135"/>
    <w:basedOn w:val="Normal"/>
    <w:rsid w:val="002C253E"/>
    <w:pPr>
      <w:pBdr>
        <w:top w:val="single" w:sz="8" w:space="0" w:color="auto"/>
        <w:left w:val="single" w:sz="4" w:space="0" w:color="auto"/>
        <w:bottom w:val="single" w:sz="8"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6">
    <w:name w:val="xl136"/>
    <w:basedOn w:val="Normal"/>
    <w:rsid w:val="002C253E"/>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7">
    <w:name w:val="xl137"/>
    <w:basedOn w:val="Normal"/>
    <w:rsid w:val="002C253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8">
    <w:name w:val="xl138"/>
    <w:basedOn w:val="Normal"/>
    <w:rsid w:val="002C253E"/>
    <w:pPr>
      <w:spacing w:before="100" w:beforeAutospacing="1" w:after="100" w:afterAutospacing="1"/>
      <w:ind w:firstLine="0"/>
      <w:jc w:val="left"/>
    </w:pPr>
    <w:rPr>
      <w:rFonts w:ascii="Aptos Narrow" w:eastAsia="Times New Roman" w:hAnsi="Aptos Narrow" w:cs="Times New Roman"/>
      <w:sz w:val="20"/>
      <w:szCs w:val="20"/>
    </w:rPr>
  </w:style>
  <w:style w:type="paragraph" w:customStyle="1" w:styleId="xl139">
    <w:name w:val="xl139"/>
    <w:basedOn w:val="Normal"/>
    <w:rsid w:val="002C253E"/>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140">
    <w:name w:val="xl140"/>
    <w:basedOn w:val="Normal"/>
    <w:rsid w:val="002C253E"/>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141">
    <w:name w:val="xl141"/>
    <w:basedOn w:val="Normal"/>
    <w:rsid w:val="002C253E"/>
    <w:pPr>
      <w:pBdr>
        <w:top w:val="single" w:sz="8" w:space="0" w:color="auto"/>
        <w:left w:val="single" w:sz="8" w:space="0" w:color="auto"/>
        <w:bottom w:val="single" w:sz="4" w:space="0" w:color="auto"/>
      </w:pBdr>
      <w:spacing w:before="100" w:beforeAutospacing="1" w:after="100" w:afterAutospacing="1"/>
      <w:ind w:firstLine="0"/>
      <w:jc w:val="center"/>
      <w:textAlignment w:val="center"/>
    </w:pPr>
    <w:rPr>
      <w:rFonts w:eastAsia="Times New Roman" w:cs="Times New Roman"/>
      <w:b/>
      <w:bCs/>
      <w:sz w:val="20"/>
      <w:szCs w:val="20"/>
    </w:rPr>
  </w:style>
  <w:style w:type="paragraph" w:customStyle="1" w:styleId="xl142">
    <w:name w:val="xl142"/>
    <w:basedOn w:val="Normal"/>
    <w:rsid w:val="002C253E"/>
    <w:pPr>
      <w:pBdr>
        <w:top w:val="single" w:sz="8" w:space="0" w:color="auto"/>
        <w:bottom w:val="single" w:sz="4" w:space="0" w:color="auto"/>
      </w:pBdr>
      <w:spacing w:before="100" w:beforeAutospacing="1" w:after="100" w:afterAutospacing="1"/>
      <w:ind w:firstLine="0"/>
      <w:jc w:val="center"/>
      <w:textAlignment w:val="center"/>
    </w:pPr>
    <w:rPr>
      <w:rFonts w:ascii="Arial" w:eastAsia="Times New Roman" w:hAnsi="Arial" w:cs="Arial"/>
      <w:b/>
      <w:bCs/>
      <w:sz w:val="20"/>
      <w:szCs w:val="20"/>
    </w:rPr>
  </w:style>
  <w:style w:type="paragraph" w:customStyle="1" w:styleId="xl143">
    <w:name w:val="xl143"/>
    <w:basedOn w:val="Normal"/>
    <w:rsid w:val="002C253E"/>
    <w:pPr>
      <w:pBdr>
        <w:top w:val="single" w:sz="8" w:space="0" w:color="auto"/>
        <w:bottom w:val="single" w:sz="4" w:space="0" w:color="auto"/>
        <w:right w:val="single" w:sz="8" w:space="0" w:color="auto"/>
      </w:pBdr>
      <w:spacing w:before="100" w:beforeAutospacing="1" w:after="100" w:afterAutospacing="1"/>
      <w:ind w:firstLine="0"/>
      <w:jc w:val="center"/>
      <w:textAlignment w:val="center"/>
    </w:pPr>
    <w:rPr>
      <w:rFonts w:ascii="Arial" w:eastAsia="Times New Roman" w:hAnsi="Arial" w:cs="Arial"/>
      <w:b/>
      <w:bCs/>
      <w:sz w:val="20"/>
      <w:szCs w:val="20"/>
    </w:rPr>
  </w:style>
  <w:style w:type="paragraph" w:customStyle="1" w:styleId="teksts">
    <w:name w:val="teksts"/>
    <w:rsid w:val="00854F1A"/>
    <w:pPr>
      <w:spacing w:after="120"/>
      <w:jc w:val="both"/>
    </w:pPr>
    <w:rPr>
      <w:rFonts w:ascii="Garamond" w:eastAsia="Times New Roman" w:hAnsi="Garamond" w:cs="Times New Roman"/>
      <w:sz w:val="24"/>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605412">
      <w:bodyDiv w:val="1"/>
      <w:marLeft w:val="0"/>
      <w:marRight w:val="0"/>
      <w:marTop w:val="0"/>
      <w:marBottom w:val="0"/>
      <w:divBdr>
        <w:top w:val="none" w:sz="0" w:space="0" w:color="auto"/>
        <w:left w:val="none" w:sz="0" w:space="0" w:color="auto"/>
        <w:bottom w:val="none" w:sz="0" w:space="0" w:color="auto"/>
        <w:right w:val="none" w:sz="0" w:space="0" w:color="auto"/>
      </w:divBdr>
    </w:div>
    <w:div w:id="190607874">
      <w:bodyDiv w:val="1"/>
      <w:marLeft w:val="0"/>
      <w:marRight w:val="0"/>
      <w:marTop w:val="0"/>
      <w:marBottom w:val="0"/>
      <w:divBdr>
        <w:top w:val="none" w:sz="0" w:space="0" w:color="auto"/>
        <w:left w:val="none" w:sz="0" w:space="0" w:color="auto"/>
        <w:bottom w:val="none" w:sz="0" w:space="0" w:color="auto"/>
        <w:right w:val="none" w:sz="0" w:space="0" w:color="auto"/>
      </w:divBdr>
    </w:div>
    <w:div w:id="198706664">
      <w:bodyDiv w:val="1"/>
      <w:marLeft w:val="0"/>
      <w:marRight w:val="0"/>
      <w:marTop w:val="0"/>
      <w:marBottom w:val="0"/>
      <w:divBdr>
        <w:top w:val="none" w:sz="0" w:space="0" w:color="auto"/>
        <w:left w:val="none" w:sz="0" w:space="0" w:color="auto"/>
        <w:bottom w:val="none" w:sz="0" w:space="0" w:color="auto"/>
        <w:right w:val="none" w:sz="0" w:space="0" w:color="auto"/>
      </w:divBdr>
    </w:div>
    <w:div w:id="259073485">
      <w:bodyDiv w:val="1"/>
      <w:marLeft w:val="0"/>
      <w:marRight w:val="0"/>
      <w:marTop w:val="0"/>
      <w:marBottom w:val="0"/>
      <w:divBdr>
        <w:top w:val="none" w:sz="0" w:space="0" w:color="auto"/>
        <w:left w:val="none" w:sz="0" w:space="0" w:color="auto"/>
        <w:bottom w:val="none" w:sz="0" w:space="0" w:color="auto"/>
        <w:right w:val="none" w:sz="0" w:space="0" w:color="auto"/>
      </w:divBdr>
    </w:div>
    <w:div w:id="268244028">
      <w:bodyDiv w:val="1"/>
      <w:marLeft w:val="0"/>
      <w:marRight w:val="0"/>
      <w:marTop w:val="0"/>
      <w:marBottom w:val="0"/>
      <w:divBdr>
        <w:top w:val="none" w:sz="0" w:space="0" w:color="auto"/>
        <w:left w:val="none" w:sz="0" w:space="0" w:color="auto"/>
        <w:bottom w:val="none" w:sz="0" w:space="0" w:color="auto"/>
        <w:right w:val="none" w:sz="0" w:space="0" w:color="auto"/>
      </w:divBdr>
    </w:div>
    <w:div w:id="269044894">
      <w:bodyDiv w:val="1"/>
      <w:marLeft w:val="0"/>
      <w:marRight w:val="0"/>
      <w:marTop w:val="0"/>
      <w:marBottom w:val="0"/>
      <w:divBdr>
        <w:top w:val="none" w:sz="0" w:space="0" w:color="auto"/>
        <w:left w:val="none" w:sz="0" w:space="0" w:color="auto"/>
        <w:bottom w:val="none" w:sz="0" w:space="0" w:color="auto"/>
        <w:right w:val="none" w:sz="0" w:space="0" w:color="auto"/>
      </w:divBdr>
    </w:div>
    <w:div w:id="270012822">
      <w:bodyDiv w:val="1"/>
      <w:marLeft w:val="0"/>
      <w:marRight w:val="0"/>
      <w:marTop w:val="0"/>
      <w:marBottom w:val="0"/>
      <w:divBdr>
        <w:top w:val="none" w:sz="0" w:space="0" w:color="auto"/>
        <w:left w:val="none" w:sz="0" w:space="0" w:color="auto"/>
        <w:bottom w:val="none" w:sz="0" w:space="0" w:color="auto"/>
        <w:right w:val="none" w:sz="0" w:space="0" w:color="auto"/>
      </w:divBdr>
    </w:div>
    <w:div w:id="271017895">
      <w:bodyDiv w:val="1"/>
      <w:marLeft w:val="0"/>
      <w:marRight w:val="0"/>
      <w:marTop w:val="0"/>
      <w:marBottom w:val="0"/>
      <w:divBdr>
        <w:top w:val="none" w:sz="0" w:space="0" w:color="auto"/>
        <w:left w:val="none" w:sz="0" w:space="0" w:color="auto"/>
        <w:bottom w:val="none" w:sz="0" w:space="0" w:color="auto"/>
        <w:right w:val="none" w:sz="0" w:space="0" w:color="auto"/>
      </w:divBdr>
    </w:div>
    <w:div w:id="277757542">
      <w:bodyDiv w:val="1"/>
      <w:marLeft w:val="0"/>
      <w:marRight w:val="0"/>
      <w:marTop w:val="0"/>
      <w:marBottom w:val="0"/>
      <w:divBdr>
        <w:top w:val="none" w:sz="0" w:space="0" w:color="auto"/>
        <w:left w:val="none" w:sz="0" w:space="0" w:color="auto"/>
        <w:bottom w:val="none" w:sz="0" w:space="0" w:color="auto"/>
        <w:right w:val="none" w:sz="0" w:space="0" w:color="auto"/>
      </w:divBdr>
    </w:div>
    <w:div w:id="278032043">
      <w:bodyDiv w:val="1"/>
      <w:marLeft w:val="0"/>
      <w:marRight w:val="0"/>
      <w:marTop w:val="0"/>
      <w:marBottom w:val="0"/>
      <w:divBdr>
        <w:top w:val="none" w:sz="0" w:space="0" w:color="auto"/>
        <w:left w:val="none" w:sz="0" w:space="0" w:color="auto"/>
        <w:bottom w:val="none" w:sz="0" w:space="0" w:color="auto"/>
        <w:right w:val="none" w:sz="0" w:space="0" w:color="auto"/>
      </w:divBdr>
    </w:div>
    <w:div w:id="280376969">
      <w:bodyDiv w:val="1"/>
      <w:marLeft w:val="0"/>
      <w:marRight w:val="0"/>
      <w:marTop w:val="0"/>
      <w:marBottom w:val="0"/>
      <w:divBdr>
        <w:top w:val="none" w:sz="0" w:space="0" w:color="auto"/>
        <w:left w:val="none" w:sz="0" w:space="0" w:color="auto"/>
        <w:bottom w:val="none" w:sz="0" w:space="0" w:color="auto"/>
        <w:right w:val="none" w:sz="0" w:space="0" w:color="auto"/>
      </w:divBdr>
    </w:div>
    <w:div w:id="291249682">
      <w:bodyDiv w:val="1"/>
      <w:marLeft w:val="0"/>
      <w:marRight w:val="0"/>
      <w:marTop w:val="0"/>
      <w:marBottom w:val="0"/>
      <w:divBdr>
        <w:top w:val="none" w:sz="0" w:space="0" w:color="auto"/>
        <w:left w:val="none" w:sz="0" w:space="0" w:color="auto"/>
        <w:bottom w:val="none" w:sz="0" w:space="0" w:color="auto"/>
        <w:right w:val="none" w:sz="0" w:space="0" w:color="auto"/>
      </w:divBdr>
    </w:div>
    <w:div w:id="319385878">
      <w:bodyDiv w:val="1"/>
      <w:marLeft w:val="0"/>
      <w:marRight w:val="0"/>
      <w:marTop w:val="0"/>
      <w:marBottom w:val="0"/>
      <w:divBdr>
        <w:top w:val="none" w:sz="0" w:space="0" w:color="auto"/>
        <w:left w:val="none" w:sz="0" w:space="0" w:color="auto"/>
        <w:bottom w:val="none" w:sz="0" w:space="0" w:color="auto"/>
        <w:right w:val="none" w:sz="0" w:space="0" w:color="auto"/>
      </w:divBdr>
    </w:div>
    <w:div w:id="327175122">
      <w:bodyDiv w:val="1"/>
      <w:marLeft w:val="0"/>
      <w:marRight w:val="0"/>
      <w:marTop w:val="0"/>
      <w:marBottom w:val="0"/>
      <w:divBdr>
        <w:top w:val="none" w:sz="0" w:space="0" w:color="auto"/>
        <w:left w:val="none" w:sz="0" w:space="0" w:color="auto"/>
        <w:bottom w:val="none" w:sz="0" w:space="0" w:color="auto"/>
        <w:right w:val="none" w:sz="0" w:space="0" w:color="auto"/>
      </w:divBdr>
    </w:div>
    <w:div w:id="379717966">
      <w:bodyDiv w:val="1"/>
      <w:marLeft w:val="0"/>
      <w:marRight w:val="0"/>
      <w:marTop w:val="0"/>
      <w:marBottom w:val="0"/>
      <w:divBdr>
        <w:top w:val="none" w:sz="0" w:space="0" w:color="auto"/>
        <w:left w:val="none" w:sz="0" w:space="0" w:color="auto"/>
        <w:bottom w:val="none" w:sz="0" w:space="0" w:color="auto"/>
        <w:right w:val="none" w:sz="0" w:space="0" w:color="auto"/>
      </w:divBdr>
    </w:div>
    <w:div w:id="412510232">
      <w:bodyDiv w:val="1"/>
      <w:marLeft w:val="0"/>
      <w:marRight w:val="0"/>
      <w:marTop w:val="0"/>
      <w:marBottom w:val="0"/>
      <w:divBdr>
        <w:top w:val="none" w:sz="0" w:space="0" w:color="auto"/>
        <w:left w:val="none" w:sz="0" w:space="0" w:color="auto"/>
        <w:bottom w:val="none" w:sz="0" w:space="0" w:color="auto"/>
        <w:right w:val="none" w:sz="0" w:space="0" w:color="auto"/>
      </w:divBdr>
    </w:div>
    <w:div w:id="413014617">
      <w:bodyDiv w:val="1"/>
      <w:marLeft w:val="0"/>
      <w:marRight w:val="0"/>
      <w:marTop w:val="0"/>
      <w:marBottom w:val="0"/>
      <w:divBdr>
        <w:top w:val="none" w:sz="0" w:space="0" w:color="auto"/>
        <w:left w:val="none" w:sz="0" w:space="0" w:color="auto"/>
        <w:bottom w:val="none" w:sz="0" w:space="0" w:color="auto"/>
        <w:right w:val="none" w:sz="0" w:space="0" w:color="auto"/>
      </w:divBdr>
    </w:div>
    <w:div w:id="446393978">
      <w:bodyDiv w:val="1"/>
      <w:marLeft w:val="0"/>
      <w:marRight w:val="0"/>
      <w:marTop w:val="0"/>
      <w:marBottom w:val="0"/>
      <w:divBdr>
        <w:top w:val="none" w:sz="0" w:space="0" w:color="auto"/>
        <w:left w:val="none" w:sz="0" w:space="0" w:color="auto"/>
        <w:bottom w:val="none" w:sz="0" w:space="0" w:color="auto"/>
        <w:right w:val="none" w:sz="0" w:space="0" w:color="auto"/>
      </w:divBdr>
    </w:div>
    <w:div w:id="449057483">
      <w:bodyDiv w:val="1"/>
      <w:marLeft w:val="0"/>
      <w:marRight w:val="0"/>
      <w:marTop w:val="0"/>
      <w:marBottom w:val="0"/>
      <w:divBdr>
        <w:top w:val="none" w:sz="0" w:space="0" w:color="auto"/>
        <w:left w:val="none" w:sz="0" w:space="0" w:color="auto"/>
        <w:bottom w:val="none" w:sz="0" w:space="0" w:color="auto"/>
        <w:right w:val="none" w:sz="0" w:space="0" w:color="auto"/>
      </w:divBdr>
    </w:div>
    <w:div w:id="491140470">
      <w:bodyDiv w:val="1"/>
      <w:marLeft w:val="0"/>
      <w:marRight w:val="0"/>
      <w:marTop w:val="0"/>
      <w:marBottom w:val="0"/>
      <w:divBdr>
        <w:top w:val="none" w:sz="0" w:space="0" w:color="auto"/>
        <w:left w:val="none" w:sz="0" w:space="0" w:color="auto"/>
        <w:bottom w:val="none" w:sz="0" w:space="0" w:color="auto"/>
        <w:right w:val="none" w:sz="0" w:space="0" w:color="auto"/>
      </w:divBdr>
    </w:div>
    <w:div w:id="512305232">
      <w:bodyDiv w:val="1"/>
      <w:marLeft w:val="0"/>
      <w:marRight w:val="0"/>
      <w:marTop w:val="0"/>
      <w:marBottom w:val="0"/>
      <w:divBdr>
        <w:top w:val="none" w:sz="0" w:space="0" w:color="auto"/>
        <w:left w:val="none" w:sz="0" w:space="0" w:color="auto"/>
        <w:bottom w:val="none" w:sz="0" w:space="0" w:color="auto"/>
        <w:right w:val="none" w:sz="0" w:space="0" w:color="auto"/>
      </w:divBdr>
    </w:div>
    <w:div w:id="557984467">
      <w:bodyDiv w:val="1"/>
      <w:marLeft w:val="0"/>
      <w:marRight w:val="0"/>
      <w:marTop w:val="0"/>
      <w:marBottom w:val="0"/>
      <w:divBdr>
        <w:top w:val="none" w:sz="0" w:space="0" w:color="auto"/>
        <w:left w:val="none" w:sz="0" w:space="0" w:color="auto"/>
        <w:bottom w:val="none" w:sz="0" w:space="0" w:color="auto"/>
        <w:right w:val="none" w:sz="0" w:space="0" w:color="auto"/>
      </w:divBdr>
    </w:div>
    <w:div w:id="561447098">
      <w:bodyDiv w:val="1"/>
      <w:marLeft w:val="0"/>
      <w:marRight w:val="0"/>
      <w:marTop w:val="0"/>
      <w:marBottom w:val="0"/>
      <w:divBdr>
        <w:top w:val="none" w:sz="0" w:space="0" w:color="auto"/>
        <w:left w:val="none" w:sz="0" w:space="0" w:color="auto"/>
        <w:bottom w:val="none" w:sz="0" w:space="0" w:color="auto"/>
        <w:right w:val="none" w:sz="0" w:space="0" w:color="auto"/>
      </w:divBdr>
    </w:div>
    <w:div w:id="562182638">
      <w:bodyDiv w:val="1"/>
      <w:marLeft w:val="0"/>
      <w:marRight w:val="0"/>
      <w:marTop w:val="0"/>
      <w:marBottom w:val="0"/>
      <w:divBdr>
        <w:top w:val="none" w:sz="0" w:space="0" w:color="auto"/>
        <w:left w:val="none" w:sz="0" w:space="0" w:color="auto"/>
        <w:bottom w:val="none" w:sz="0" w:space="0" w:color="auto"/>
        <w:right w:val="none" w:sz="0" w:space="0" w:color="auto"/>
      </w:divBdr>
    </w:div>
    <w:div w:id="565603933">
      <w:bodyDiv w:val="1"/>
      <w:marLeft w:val="0"/>
      <w:marRight w:val="0"/>
      <w:marTop w:val="0"/>
      <w:marBottom w:val="0"/>
      <w:divBdr>
        <w:top w:val="none" w:sz="0" w:space="0" w:color="auto"/>
        <w:left w:val="none" w:sz="0" w:space="0" w:color="auto"/>
        <w:bottom w:val="none" w:sz="0" w:space="0" w:color="auto"/>
        <w:right w:val="none" w:sz="0" w:space="0" w:color="auto"/>
      </w:divBdr>
    </w:div>
    <w:div w:id="584848970">
      <w:bodyDiv w:val="1"/>
      <w:marLeft w:val="0"/>
      <w:marRight w:val="0"/>
      <w:marTop w:val="0"/>
      <w:marBottom w:val="0"/>
      <w:divBdr>
        <w:top w:val="none" w:sz="0" w:space="0" w:color="auto"/>
        <w:left w:val="none" w:sz="0" w:space="0" w:color="auto"/>
        <w:bottom w:val="none" w:sz="0" w:space="0" w:color="auto"/>
        <w:right w:val="none" w:sz="0" w:space="0" w:color="auto"/>
      </w:divBdr>
    </w:div>
    <w:div w:id="623193182">
      <w:bodyDiv w:val="1"/>
      <w:marLeft w:val="0"/>
      <w:marRight w:val="0"/>
      <w:marTop w:val="0"/>
      <w:marBottom w:val="0"/>
      <w:divBdr>
        <w:top w:val="none" w:sz="0" w:space="0" w:color="auto"/>
        <w:left w:val="none" w:sz="0" w:space="0" w:color="auto"/>
        <w:bottom w:val="none" w:sz="0" w:space="0" w:color="auto"/>
        <w:right w:val="none" w:sz="0" w:space="0" w:color="auto"/>
      </w:divBdr>
    </w:div>
    <w:div w:id="636373467">
      <w:bodyDiv w:val="1"/>
      <w:marLeft w:val="0"/>
      <w:marRight w:val="0"/>
      <w:marTop w:val="0"/>
      <w:marBottom w:val="0"/>
      <w:divBdr>
        <w:top w:val="none" w:sz="0" w:space="0" w:color="auto"/>
        <w:left w:val="none" w:sz="0" w:space="0" w:color="auto"/>
        <w:bottom w:val="none" w:sz="0" w:space="0" w:color="auto"/>
        <w:right w:val="none" w:sz="0" w:space="0" w:color="auto"/>
      </w:divBdr>
    </w:div>
    <w:div w:id="657613361">
      <w:bodyDiv w:val="1"/>
      <w:marLeft w:val="0"/>
      <w:marRight w:val="0"/>
      <w:marTop w:val="0"/>
      <w:marBottom w:val="0"/>
      <w:divBdr>
        <w:top w:val="none" w:sz="0" w:space="0" w:color="auto"/>
        <w:left w:val="none" w:sz="0" w:space="0" w:color="auto"/>
        <w:bottom w:val="none" w:sz="0" w:space="0" w:color="auto"/>
        <w:right w:val="none" w:sz="0" w:space="0" w:color="auto"/>
      </w:divBdr>
    </w:div>
    <w:div w:id="660503338">
      <w:bodyDiv w:val="1"/>
      <w:marLeft w:val="0"/>
      <w:marRight w:val="0"/>
      <w:marTop w:val="0"/>
      <w:marBottom w:val="0"/>
      <w:divBdr>
        <w:top w:val="none" w:sz="0" w:space="0" w:color="auto"/>
        <w:left w:val="none" w:sz="0" w:space="0" w:color="auto"/>
        <w:bottom w:val="none" w:sz="0" w:space="0" w:color="auto"/>
        <w:right w:val="none" w:sz="0" w:space="0" w:color="auto"/>
      </w:divBdr>
    </w:div>
    <w:div w:id="666518074">
      <w:bodyDiv w:val="1"/>
      <w:marLeft w:val="0"/>
      <w:marRight w:val="0"/>
      <w:marTop w:val="0"/>
      <w:marBottom w:val="0"/>
      <w:divBdr>
        <w:top w:val="none" w:sz="0" w:space="0" w:color="auto"/>
        <w:left w:val="none" w:sz="0" w:space="0" w:color="auto"/>
        <w:bottom w:val="none" w:sz="0" w:space="0" w:color="auto"/>
        <w:right w:val="none" w:sz="0" w:space="0" w:color="auto"/>
      </w:divBdr>
    </w:div>
    <w:div w:id="669256709">
      <w:bodyDiv w:val="1"/>
      <w:marLeft w:val="0"/>
      <w:marRight w:val="0"/>
      <w:marTop w:val="0"/>
      <w:marBottom w:val="0"/>
      <w:divBdr>
        <w:top w:val="none" w:sz="0" w:space="0" w:color="auto"/>
        <w:left w:val="none" w:sz="0" w:space="0" w:color="auto"/>
        <w:bottom w:val="none" w:sz="0" w:space="0" w:color="auto"/>
        <w:right w:val="none" w:sz="0" w:space="0" w:color="auto"/>
      </w:divBdr>
    </w:div>
    <w:div w:id="674500201">
      <w:bodyDiv w:val="1"/>
      <w:marLeft w:val="0"/>
      <w:marRight w:val="0"/>
      <w:marTop w:val="0"/>
      <w:marBottom w:val="0"/>
      <w:divBdr>
        <w:top w:val="none" w:sz="0" w:space="0" w:color="auto"/>
        <w:left w:val="none" w:sz="0" w:space="0" w:color="auto"/>
        <w:bottom w:val="none" w:sz="0" w:space="0" w:color="auto"/>
        <w:right w:val="none" w:sz="0" w:space="0" w:color="auto"/>
      </w:divBdr>
    </w:div>
    <w:div w:id="696077186">
      <w:bodyDiv w:val="1"/>
      <w:marLeft w:val="0"/>
      <w:marRight w:val="0"/>
      <w:marTop w:val="0"/>
      <w:marBottom w:val="0"/>
      <w:divBdr>
        <w:top w:val="none" w:sz="0" w:space="0" w:color="auto"/>
        <w:left w:val="none" w:sz="0" w:space="0" w:color="auto"/>
        <w:bottom w:val="none" w:sz="0" w:space="0" w:color="auto"/>
        <w:right w:val="none" w:sz="0" w:space="0" w:color="auto"/>
      </w:divBdr>
    </w:div>
    <w:div w:id="701857415">
      <w:bodyDiv w:val="1"/>
      <w:marLeft w:val="0"/>
      <w:marRight w:val="0"/>
      <w:marTop w:val="0"/>
      <w:marBottom w:val="0"/>
      <w:divBdr>
        <w:top w:val="none" w:sz="0" w:space="0" w:color="auto"/>
        <w:left w:val="none" w:sz="0" w:space="0" w:color="auto"/>
        <w:bottom w:val="none" w:sz="0" w:space="0" w:color="auto"/>
        <w:right w:val="none" w:sz="0" w:space="0" w:color="auto"/>
      </w:divBdr>
    </w:div>
    <w:div w:id="716272518">
      <w:bodyDiv w:val="1"/>
      <w:marLeft w:val="0"/>
      <w:marRight w:val="0"/>
      <w:marTop w:val="0"/>
      <w:marBottom w:val="0"/>
      <w:divBdr>
        <w:top w:val="none" w:sz="0" w:space="0" w:color="auto"/>
        <w:left w:val="none" w:sz="0" w:space="0" w:color="auto"/>
        <w:bottom w:val="none" w:sz="0" w:space="0" w:color="auto"/>
        <w:right w:val="none" w:sz="0" w:space="0" w:color="auto"/>
      </w:divBdr>
    </w:div>
    <w:div w:id="718355823">
      <w:bodyDiv w:val="1"/>
      <w:marLeft w:val="0"/>
      <w:marRight w:val="0"/>
      <w:marTop w:val="0"/>
      <w:marBottom w:val="0"/>
      <w:divBdr>
        <w:top w:val="none" w:sz="0" w:space="0" w:color="auto"/>
        <w:left w:val="none" w:sz="0" w:space="0" w:color="auto"/>
        <w:bottom w:val="none" w:sz="0" w:space="0" w:color="auto"/>
        <w:right w:val="none" w:sz="0" w:space="0" w:color="auto"/>
      </w:divBdr>
    </w:div>
    <w:div w:id="718626433">
      <w:bodyDiv w:val="1"/>
      <w:marLeft w:val="0"/>
      <w:marRight w:val="0"/>
      <w:marTop w:val="0"/>
      <w:marBottom w:val="0"/>
      <w:divBdr>
        <w:top w:val="none" w:sz="0" w:space="0" w:color="auto"/>
        <w:left w:val="none" w:sz="0" w:space="0" w:color="auto"/>
        <w:bottom w:val="none" w:sz="0" w:space="0" w:color="auto"/>
        <w:right w:val="none" w:sz="0" w:space="0" w:color="auto"/>
      </w:divBdr>
    </w:div>
    <w:div w:id="723941628">
      <w:bodyDiv w:val="1"/>
      <w:marLeft w:val="0"/>
      <w:marRight w:val="0"/>
      <w:marTop w:val="0"/>
      <w:marBottom w:val="0"/>
      <w:divBdr>
        <w:top w:val="none" w:sz="0" w:space="0" w:color="auto"/>
        <w:left w:val="none" w:sz="0" w:space="0" w:color="auto"/>
        <w:bottom w:val="none" w:sz="0" w:space="0" w:color="auto"/>
        <w:right w:val="none" w:sz="0" w:space="0" w:color="auto"/>
      </w:divBdr>
    </w:div>
    <w:div w:id="751970453">
      <w:bodyDiv w:val="1"/>
      <w:marLeft w:val="0"/>
      <w:marRight w:val="0"/>
      <w:marTop w:val="0"/>
      <w:marBottom w:val="0"/>
      <w:divBdr>
        <w:top w:val="none" w:sz="0" w:space="0" w:color="auto"/>
        <w:left w:val="none" w:sz="0" w:space="0" w:color="auto"/>
        <w:bottom w:val="none" w:sz="0" w:space="0" w:color="auto"/>
        <w:right w:val="none" w:sz="0" w:space="0" w:color="auto"/>
      </w:divBdr>
    </w:div>
    <w:div w:id="780875226">
      <w:bodyDiv w:val="1"/>
      <w:marLeft w:val="0"/>
      <w:marRight w:val="0"/>
      <w:marTop w:val="0"/>
      <w:marBottom w:val="0"/>
      <w:divBdr>
        <w:top w:val="none" w:sz="0" w:space="0" w:color="auto"/>
        <w:left w:val="none" w:sz="0" w:space="0" w:color="auto"/>
        <w:bottom w:val="none" w:sz="0" w:space="0" w:color="auto"/>
        <w:right w:val="none" w:sz="0" w:space="0" w:color="auto"/>
      </w:divBdr>
    </w:div>
    <w:div w:id="824050867">
      <w:bodyDiv w:val="1"/>
      <w:marLeft w:val="0"/>
      <w:marRight w:val="0"/>
      <w:marTop w:val="0"/>
      <w:marBottom w:val="0"/>
      <w:divBdr>
        <w:top w:val="none" w:sz="0" w:space="0" w:color="auto"/>
        <w:left w:val="none" w:sz="0" w:space="0" w:color="auto"/>
        <w:bottom w:val="none" w:sz="0" w:space="0" w:color="auto"/>
        <w:right w:val="none" w:sz="0" w:space="0" w:color="auto"/>
      </w:divBdr>
    </w:div>
    <w:div w:id="831334811">
      <w:bodyDiv w:val="1"/>
      <w:marLeft w:val="0"/>
      <w:marRight w:val="0"/>
      <w:marTop w:val="0"/>
      <w:marBottom w:val="0"/>
      <w:divBdr>
        <w:top w:val="none" w:sz="0" w:space="0" w:color="auto"/>
        <w:left w:val="none" w:sz="0" w:space="0" w:color="auto"/>
        <w:bottom w:val="none" w:sz="0" w:space="0" w:color="auto"/>
        <w:right w:val="none" w:sz="0" w:space="0" w:color="auto"/>
      </w:divBdr>
    </w:div>
    <w:div w:id="849412361">
      <w:bodyDiv w:val="1"/>
      <w:marLeft w:val="0"/>
      <w:marRight w:val="0"/>
      <w:marTop w:val="0"/>
      <w:marBottom w:val="0"/>
      <w:divBdr>
        <w:top w:val="none" w:sz="0" w:space="0" w:color="auto"/>
        <w:left w:val="none" w:sz="0" w:space="0" w:color="auto"/>
        <w:bottom w:val="none" w:sz="0" w:space="0" w:color="auto"/>
        <w:right w:val="none" w:sz="0" w:space="0" w:color="auto"/>
      </w:divBdr>
    </w:div>
    <w:div w:id="854149806">
      <w:bodyDiv w:val="1"/>
      <w:marLeft w:val="0"/>
      <w:marRight w:val="0"/>
      <w:marTop w:val="0"/>
      <w:marBottom w:val="0"/>
      <w:divBdr>
        <w:top w:val="none" w:sz="0" w:space="0" w:color="auto"/>
        <w:left w:val="none" w:sz="0" w:space="0" w:color="auto"/>
        <w:bottom w:val="none" w:sz="0" w:space="0" w:color="auto"/>
        <w:right w:val="none" w:sz="0" w:space="0" w:color="auto"/>
      </w:divBdr>
    </w:div>
    <w:div w:id="858930409">
      <w:bodyDiv w:val="1"/>
      <w:marLeft w:val="0"/>
      <w:marRight w:val="0"/>
      <w:marTop w:val="0"/>
      <w:marBottom w:val="0"/>
      <w:divBdr>
        <w:top w:val="none" w:sz="0" w:space="0" w:color="auto"/>
        <w:left w:val="none" w:sz="0" w:space="0" w:color="auto"/>
        <w:bottom w:val="none" w:sz="0" w:space="0" w:color="auto"/>
        <w:right w:val="none" w:sz="0" w:space="0" w:color="auto"/>
      </w:divBdr>
    </w:div>
    <w:div w:id="883248460">
      <w:bodyDiv w:val="1"/>
      <w:marLeft w:val="0"/>
      <w:marRight w:val="0"/>
      <w:marTop w:val="0"/>
      <w:marBottom w:val="0"/>
      <w:divBdr>
        <w:top w:val="none" w:sz="0" w:space="0" w:color="auto"/>
        <w:left w:val="none" w:sz="0" w:space="0" w:color="auto"/>
        <w:bottom w:val="none" w:sz="0" w:space="0" w:color="auto"/>
        <w:right w:val="none" w:sz="0" w:space="0" w:color="auto"/>
      </w:divBdr>
    </w:div>
    <w:div w:id="905068837">
      <w:bodyDiv w:val="1"/>
      <w:marLeft w:val="0"/>
      <w:marRight w:val="0"/>
      <w:marTop w:val="0"/>
      <w:marBottom w:val="0"/>
      <w:divBdr>
        <w:top w:val="none" w:sz="0" w:space="0" w:color="auto"/>
        <w:left w:val="none" w:sz="0" w:space="0" w:color="auto"/>
        <w:bottom w:val="none" w:sz="0" w:space="0" w:color="auto"/>
        <w:right w:val="none" w:sz="0" w:space="0" w:color="auto"/>
      </w:divBdr>
    </w:div>
    <w:div w:id="914630294">
      <w:bodyDiv w:val="1"/>
      <w:marLeft w:val="0"/>
      <w:marRight w:val="0"/>
      <w:marTop w:val="0"/>
      <w:marBottom w:val="0"/>
      <w:divBdr>
        <w:top w:val="none" w:sz="0" w:space="0" w:color="auto"/>
        <w:left w:val="none" w:sz="0" w:space="0" w:color="auto"/>
        <w:bottom w:val="none" w:sz="0" w:space="0" w:color="auto"/>
        <w:right w:val="none" w:sz="0" w:space="0" w:color="auto"/>
      </w:divBdr>
    </w:div>
    <w:div w:id="941378968">
      <w:bodyDiv w:val="1"/>
      <w:marLeft w:val="0"/>
      <w:marRight w:val="0"/>
      <w:marTop w:val="0"/>
      <w:marBottom w:val="0"/>
      <w:divBdr>
        <w:top w:val="none" w:sz="0" w:space="0" w:color="auto"/>
        <w:left w:val="none" w:sz="0" w:space="0" w:color="auto"/>
        <w:bottom w:val="none" w:sz="0" w:space="0" w:color="auto"/>
        <w:right w:val="none" w:sz="0" w:space="0" w:color="auto"/>
      </w:divBdr>
      <w:divsChild>
        <w:div w:id="1844129730">
          <w:marLeft w:val="0"/>
          <w:marRight w:val="0"/>
          <w:marTop w:val="0"/>
          <w:marBottom w:val="0"/>
          <w:divBdr>
            <w:top w:val="none" w:sz="0" w:space="0" w:color="auto"/>
            <w:left w:val="none" w:sz="0" w:space="0" w:color="auto"/>
            <w:bottom w:val="single" w:sz="6" w:space="0" w:color="D8D8D8"/>
            <w:right w:val="none" w:sz="0" w:space="0" w:color="auto"/>
          </w:divBdr>
        </w:div>
        <w:div w:id="944340312">
          <w:marLeft w:val="0"/>
          <w:marRight w:val="0"/>
          <w:marTop w:val="0"/>
          <w:marBottom w:val="0"/>
          <w:divBdr>
            <w:top w:val="none" w:sz="0" w:space="0" w:color="auto"/>
            <w:left w:val="none" w:sz="0" w:space="0" w:color="auto"/>
            <w:bottom w:val="single" w:sz="6" w:space="0" w:color="D8D8D8"/>
            <w:right w:val="none" w:sz="0" w:space="0" w:color="auto"/>
          </w:divBdr>
        </w:div>
        <w:div w:id="907109144">
          <w:marLeft w:val="0"/>
          <w:marRight w:val="0"/>
          <w:marTop w:val="0"/>
          <w:marBottom w:val="0"/>
          <w:divBdr>
            <w:top w:val="none" w:sz="0" w:space="0" w:color="auto"/>
            <w:left w:val="none" w:sz="0" w:space="0" w:color="auto"/>
            <w:bottom w:val="single" w:sz="6" w:space="0" w:color="D8D8D8"/>
            <w:right w:val="none" w:sz="0" w:space="0" w:color="auto"/>
          </w:divBdr>
        </w:div>
      </w:divsChild>
    </w:div>
    <w:div w:id="1040398008">
      <w:bodyDiv w:val="1"/>
      <w:marLeft w:val="0"/>
      <w:marRight w:val="0"/>
      <w:marTop w:val="0"/>
      <w:marBottom w:val="0"/>
      <w:divBdr>
        <w:top w:val="none" w:sz="0" w:space="0" w:color="auto"/>
        <w:left w:val="none" w:sz="0" w:space="0" w:color="auto"/>
        <w:bottom w:val="none" w:sz="0" w:space="0" w:color="auto"/>
        <w:right w:val="none" w:sz="0" w:space="0" w:color="auto"/>
      </w:divBdr>
    </w:div>
    <w:div w:id="1040469889">
      <w:bodyDiv w:val="1"/>
      <w:marLeft w:val="0"/>
      <w:marRight w:val="0"/>
      <w:marTop w:val="0"/>
      <w:marBottom w:val="0"/>
      <w:divBdr>
        <w:top w:val="none" w:sz="0" w:space="0" w:color="auto"/>
        <w:left w:val="none" w:sz="0" w:space="0" w:color="auto"/>
        <w:bottom w:val="none" w:sz="0" w:space="0" w:color="auto"/>
        <w:right w:val="none" w:sz="0" w:space="0" w:color="auto"/>
      </w:divBdr>
    </w:div>
    <w:div w:id="1056470907">
      <w:bodyDiv w:val="1"/>
      <w:marLeft w:val="0"/>
      <w:marRight w:val="0"/>
      <w:marTop w:val="0"/>
      <w:marBottom w:val="0"/>
      <w:divBdr>
        <w:top w:val="none" w:sz="0" w:space="0" w:color="auto"/>
        <w:left w:val="none" w:sz="0" w:space="0" w:color="auto"/>
        <w:bottom w:val="none" w:sz="0" w:space="0" w:color="auto"/>
        <w:right w:val="none" w:sz="0" w:space="0" w:color="auto"/>
      </w:divBdr>
    </w:div>
    <w:div w:id="1063215626">
      <w:bodyDiv w:val="1"/>
      <w:marLeft w:val="0"/>
      <w:marRight w:val="0"/>
      <w:marTop w:val="0"/>
      <w:marBottom w:val="0"/>
      <w:divBdr>
        <w:top w:val="none" w:sz="0" w:space="0" w:color="auto"/>
        <w:left w:val="none" w:sz="0" w:space="0" w:color="auto"/>
        <w:bottom w:val="none" w:sz="0" w:space="0" w:color="auto"/>
        <w:right w:val="none" w:sz="0" w:space="0" w:color="auto"/>
      </w:divBdr>
    </w:div>
    <w:div w:id="1207067559">
      <w:bodyDiv w:val="1"/>
      <w:marLeft w:val="0"/>
      <w:marRight w:val="0"/>
      <w:marTop w:val="0"/>
      <w:marBottom w:val="0"/>
      <w:divBdr>
        <w:top w:val="none" w:sz="0" w:space="0" w:color="auto"/>
        <w:left w:val="none" w:sz="0" w:space="0" w:color="auto"/>
        <w:bottom w:val="none" w:sz="0" w:space="0" w:color="auto"/>
        <w:right w:val="none" w:sz="0" w:space="0" w:color="auto"/>
      </w:divBdr>
    </w:div>
    <w:div w:id="1254626063">
      <w:bodyDiv w:val="1"/>
      <w:marLeft w:val="0"/>
      <w:marRight w:val="0"/>
      <w:marTop w:val="0"/>
      <w:marBottom w:val="0"/>
      <w:divBdr>
        <w:top w:val="none" w:sz="0" w:space="0" w:color="auto"/>
        <w:left w:val="none" w:sz="0" w:space="0" w:color="auto"/>
        <w:bottom w:val="none" w:sz="0" w:space="0" w:color="auto"/>
        <w:right w:val="none" w:sz="0" w:space="0" w:color="auto"/>
      </w:divBdr>
    </w:div>
    <w:div w:id="1268463191">
      <w:bodyDiv w:val="1"/>
      <w:marLeft w:val="0"/>
      <w:marRight w:val="0"/>
      <w:marTop w:val="0"/>
      <w:marBottom w:val="0"/>
      <w:divBdr>
        <w:top w:val="none" w:sz="0" w:space="0" w:color="auto"/>
        <w:left w:val="none" w:sz="0" w:space="0" w:color="auto"/>
        <w:bottom w:val="none" w:sz="0" w:space="0" w:color="auto"/>
        <w:right w:val="none" w:sz="0" w:space="0" w:color="auto"/>
      </w:divBdr>
    </w:div>
    <w:div w:id="1270506521">
      <w:bodyDiv w:val="1"/>
      <w:marLeft w:val="0"/>
      <w:marRight w:val="0"/>
      <w:marTop w:val="0"/>
      <w:marBottom w:val="0"/>
      <w:divBdr>
        <w:top w:val="none" w:sz="0" w:space="0" w:color="auto"/>
        <w:left w:val="none" w:sz="0" w:space="0" w:color="auto"/>
        <w:bottom w:val="none" w:sz="0" w:space="0" w:color="auto"/>
        <w:right w:val="none" w:sz="0" w:space="0" w:color="auto"/>
      </w:divBdr>
    </w:div>
    <w:div w:id="1317994622">
      <w:bodyDiv w:val="1"/>
      <w:marLeft w:val="0"/>
      <w:marRight w:val="0"/>
      <w:marTop w:val="0"/>
      <w:marBottom w:val="0"/>
      <w:divBdr>
        <w:top w:val="none" w:sz="0" w:space="0" w:color="auto"/>
        <w:left w:val="none" w:sz="0" w:space="0" w:color="auto"/>
        <w:bottom w:val="none" w:sz="0" w:space="0" w:color="auto"/>
        <w:right w:val="none" w:sz="0" w:space="0" w:color="auto"/>
      </w:divBdr>
    </w:div>
    <w:div w:id="1321692281">
      <w:bodyDiv w:val="1"/>
      <w:marLeft w:val="0"/>
      <w:marRight w:val="0"/>
      <w:marTop w:val="0"/>
      <w:marBottom w:val="0"/>
      <w:divBdr>
        <w:top w:val="none" w:sz="0" w:space="0" w:color="auto"/>
        <w:left w:val="none" w:sz="0" w:space="0" w:color="auto"/>
        <w:bottom w:val="none" w:sz="0" w:space="0" w:color="auto"/>
        <w:right w:val="none" w:sz="0" w:space="0" w:color="auto"/>
      </w:divBdr>
    </w:div>
    <w:div w:id="1341815551">
      <w:bodyDiv w:val="1"/>
      <w:marLeft w:val="0"/>
      <w:marRight w:val="0"/>
      <w:marTop w:val="0"/>
      <w:marBottom w:val="0"/>
      <w:divBdr>
        <w:top w:val="none" w:sz="0" w:space="0" w:color="auto"/>
        <w:left w:val="none" w:sz="0" w:space="0" w:color="auto"/>
        <w:bottom w:val="none" w:sz="0" w:space="0" w:color="auto"/>
        <w:right w:val="none" w:sz="0" w:space="0" w:color="auto"/>
      </w:divBdr>
      <w:divsChild>
        <w:div w:id="997347489">
          <w:marLeft w:val="446"/>
          <w:marRight w:val="0"/>
          <w:marTop w:val="0"/>
          <w:marBottom w:val="0"/>
          <w:divBdr>
            <w:top w:val="none" w:sz="0" w:space="0" w:color="auto"/>
            <w:left w:val="none" w:sz="0" w:space="0" w:color="auto"/>
            <w:bottom w:val="none" w:sz="0" w:space="0" w:color="auto"/>
            <w:right w:val="none" w:sz="0" w:space="0" w:color="auto"/>
          </w:divBdr>
        </w:div>
      </w:divsChild>
    </w:div>
    <w:div w:id="1353337988">
      <w:bodyDiv w:val="1"/>
      <w:marLeft w:val="0"/>
      <w:marRight w:val="0"/>
      <w:marTop w:val="0"/>
      <w:marBottom w:val="0"/>
      <w:divBdr>
        <w:top w:val="none" w:sz="0" w:space="0" w:color="auto"/>
        <w:left w:val="none" w:sz="0" w:space="0" w:color="auto"/>
        <w:bottom w:val="none" w:sz="0" w:space="0" w:color="auto"/>
        <w:right w:val="none" w:sz="0" w:space="0" w:color="auto"/>
      </w:divBdr>
    </w:div>
    <w:div w:id="1362590867">
      <w:bodyDiv w:val="1"/>
      <w:marLeft w:val="0"/>
      <w:marRight w:val="0"/>
      <w:marTop w:val="0"/>
      <w:marBottom w:val="0"/>
      <w:divBdr>
        <w:top w:val="none" w:sz="0" w:space="0" w:color="auto"/>
        <w:left w:val="none" w:sz="0" w:space="0" w:color="auto"/>
        <w:bottom w:val="none" w:sz="0" w:space="0" w:color="auto"/>
        <w:right w:val="none" w:sz="0" w:space="0" w:color="auto"/>
      </w:divBdr>
    </w:div>
    <w:div w:id="1392390946">
      <w:bodyDiv w:val="1"/>
      <w:marLeft w:val="0"/>
      <w:marRight w:val="0"/>
      <w:marTop w:val="0"/>
      <w:marBottom w:val="0"/>
      <w:divBdr>
        <w:top w:val="none" w:sz="0" w:space="0" w:color="auto"/>
        <w:left w:val="none" w:sz="0" w:space="0" w:color="auto"/>
        <w:bottom w:val="none" w:sz="0" w:space="0" w:color="auto"/>
        <w:right w:val="none" w:sz="0" w:space="0" w:color="auto"/>
      </w:divBdr>
    </w:div>
    <w:div w:id="1402210682">
      <w:bodyDiv w:val="1"/>
      <w:marLeft w:val="0"/>
      <w:marRight w:val="0"/>
      <w:marTop w:val="0"/>
      <w:marBottom w:val="0"/>
      <w:divBdr>
        <w:top w:val="none" w:sz="0" w:space="0" w:color="auto"/>
        <w:left w:val="none" w:sz="0" w:space="0" w:color="auto"/>
        <w:bottom w:val="none" w:sz="0" w:space="0" w:color="auto"/>
        <w:right w:val="none" w:sz="0" w:space="0" w:color="auto"/>
      </w:divBdr>
    </w:div>
    <w:div w:id="1413041532">
      <w:bodyDiv w:val="1"/>
      <w:marLeft w:val="0"/>
      <w:marRight w:val="0"/>
      <w:marTop w:val="0"/>
      <w:marBottom w:val="0"/>
      <w:divBdr>
        <w:top w:val="none" w:sz="0" w:space="0" w:color="auto"/>
        <w:left w:val="none" w:sz="0" w:space="0" w:color="auto"/>
        <w:bottom w:val="none" w:sz="0" w:space="0" w:color="auto"/>
        <w:right w:val="none" w:sz="0" w:space="0" w:color="auto"/>
      </w:divBdr>
    </w:div>
    <w:div w:id="1417944854">
      <w:bodyDiv w:val="1"/>
      <w:marLeft w:val="0"/>
      <w:marRight w:val="0"/>
      <w:marTop w:val="0"/>
      <w:marBottom w:val="0"/>
      <w:divBdr>
        <w:top w:val="none" w:sz="0" w:space="0" w:color="auto"/>
        <w:left w:val="none" w:sz="0" w:space="0" w:color="auto"/>
        <w:bottom w:val="none" w:sz="0" w:space="0" w:color="auto"/>
        <w:right w:val="none" w:sz="0" w:space="0" w:color="auto"/>
      </w:divBdr>
    </w:div>
    <w:div w:id="1473522522">
      <w:bodyDiv w:val="1"/>
      <w:marLeft w:val="0"/>
      <w:marRight w:val="0"/>
      <w:marTop w:val="0"/>
      <w:marBottom w:val="0"/>
      <w:divBdr>
        <w:top w:val="none" w:sz="0" w:space="0" w:color="auto"/>
        <w:left w:val="none" w:sz="0" w:space="0" w:color="auto"/>
        <w:bottom w:val="none" w:sz="0" w:space="0" w:color="auto"/>
        <w:right w:val="none" w:sz="0" w:space="0" w:color="auto"/>
      </w:divBdr>
    </w:div>
    <w:div w:id="1478648647">
      <w:bodyDiv w:val="1"/>
      <w:marLeft w:val="0"/>
      <w:marRight w:val="0"/>
      <w:marTop w:val="0"/>
      <w:marBottom w:val="0"/>
      <w:divBdr>
        <w:top w:val="none" w:sz="0" w:space="0" w:color="auto"/>
        <w:left w:val="none" w:sz="0" w:space="0" w:color="auto"/>
        <w:bottom w:val="none" w:sz="0" w:space="0" w:color="auto"/>
        <w:right w:val="none" w:sz="0" w:space="0" w:color="auto"/>
      </w:divBdr>
    </w:div>
    <w:div w:id="1529955105">
      <w:bodyDiv w:val="1"/>
      <w:marLeft w:val="0"/>
      <w:marRight w:val="0"/>
      <w:marTop w:val="0"/>
      <w:marBottom w:val="0"/>
      <w:divBdr>
        <w:top w:val="none" w:sz="0" w:space="0" w:color="auto"/>
        <w:left w:val="none" w:sz="0" w:space="0" w:color="auto"/>
        <w:bottom w:val="none" w:sz="0" w:space="0" w:color="auto"/>
        <w:right w:val="none" w:sz="0" w:space="0" w:color="auto"/>
      </w:divBdr>
    </w:div>
    <w:div w:id="1560242460">
      <w:bodyDiv w:val="1"/>
      <w:marLeft w:val="0"/>
      <w:marRight w:val="0"/>
      <w:marTop w:val="0"/>
      <w:marBottom w:val="0"/>
      <w:divBdr>
        <w:top w:val="none" w:sz="0" w:space="0" w:color="auto"/>
        <w:left w:val="none" w:sz="0" w:space="0" w:color="auto"/>
        <w:bottom w:val="none" w:sz="0" w:space="0" w:color="auto"/>
        <w:right w:val="none" w:sz="0" w:space="0" w:color="auto"/>
      </w:divBdr>
    </w:div>
    <w:div w:id="1589847894">
      <w:bodyDiv w:val="1"/>
      <w:marLeft w:val="0"/>
      <w:marRight w:val="0"/>
      <w:marTop w:val="0"/>
      <w:marBottom w:val="0"/>
      <w:divBdr>
        <w:top w:val="none" w:sz="0" w:space="0" w:color="auto"/>
        <w:left w:val="none" w:sz="0" w:space="0" w:color="auto"/>
        <w:bottom w:val="none" w:sz="0" w:space="0" w:color="auto"/>
        <w:right w:val="none" w:sz="0" w:space="0" w:color="auto"/>
      </w:divBdr>
    </w:div>
    <w:div w:id="1618373516">
      <w:bodyDiv w:val="1"/>
      <w:marLeft w:val="0"/>
      <w:marRight w:val="0"/>
      <w:marTop w:val="0"/>
      <w:marBottom w:val="0"/>
      <w:divBdr>
        <w:top w:val="none" w:sz="0" w:space="0" w:color="auto"/>
        <w:left w:val="none" w:sz="0" w:space="0" w:color="auto"/>
        <w:bottom w:val="none" w:sz="0" w:space="0" w:color="auto"/>
        <w:right w:val="none" w:sz="0" w:space="0" w:color="auto"/>
      </w:divBdr>
    </w:div>
    <w:div w:id="1633487707">
      <w:bodyDiv w:val="1"/>
      <w:marLeft w:val="0"/>
      <w:marRight w:val="0"/>
      <w:marTop w:val="0"/>
      <w:marBottom w:val="0"/>
      <w:divBdr>
        <w:top w:val="none" w:sz="0" w:space="0" w:color="auto"/>
        <w:left w:val="none" w:sz="0" w:space="0" w:color="auto"/>
        <w:bottom w:val="none" w:sz="0" w:space="0" w:color="auto"/>
        <w:right w:val="none" w:sz="0" w:space="0" w:color="auto"/>
      </w:divBdr>
    </w:div>
    <w:div w:id="1659650139">
      <w:bodyDiv w:val="1"/>
      <w:marLeft w:val="0"/>
      <w:marRight w:val="0"/>
      <w:marTop w:val="0"/>
      <w:marBottom w:val="0"/>
      <w:divBdr>
        <w:top w:val="none" w:sz="0" w:space="0" w:color="auto"/>
        <w:left w:val="none" w:sz="0" w:space="0" w:color="auto"/>
        <w:bottom w:val="none" w:sz="0" w:space="0" w:color="auto"/>
        <w:right w:val="none" w:sz="0" w:space="0" w:color="auto"/>
      </w:divBdr>
    </w:div>
    <w:div w:id="1671829188">
      <w:bodyDiv w:val="1"/>
      <w:marLeft w:val="0"/>
      <w:marRight w:val="0"/>
      <w:marTop w:val="0"/>
      <w:marBottom w:val="0"/>
      <w:divBdr>
        <w:top w:val="none" w:sz="0" w:space="0" w:color="auto"/>
        <w:left w:val="none" w:sz="0" w:space="0" w:color="auto"/>
        <w:bottom w:val="none" w:sz="0" w:space="0" w:color="auto"/>
        <w:right w:val="none" w:sz="0" w:space="0" w:color="auto"/>
      </w:divBdr>
    </w:div>
    <w:div w:id="1686397229">
      <w:bodyDiv w:val="1"/>
      <w:marLeft w:val="0"/>
      <w:marRight w:val="0"/>
      <w:marTop w:val="0"/>
      <w:marBottom w:val="0"/>
      <w:divBdr>
        <w:top w:val="none" w:sz="0" w:space="0" w:color="auto"/>
        <w:left w:val="none" w:sz="0" w:space="0" w:color="auto"/>
        <w:bottom w:val="none" w:sz="0" w:space="0" w:color="auto"/>
        <w:right w:val="none" w:sz="0" w:space="0" w:color="auto"/>
      </w:divBdr>
    </w:div>
    <w:div w:id="1703095822">
      <w:bodyDiv w:val="1"/>
      <w:marLeft w:val="0"/>
      <w:marRight w:val="0"/>
      <w:marTop w:val="0"/>
      <w:marBottom w:val="0"/>
      <w:divBdr>
        <w:top w:val="none" w:sz="0" w:space="0" w:color="auto"/>
        <w:left w:val="none" w:sz="0" w:space="0" w:color="auto"/>
        <w:bottom w:val="none" w:sz="0" w:space="0" w:color="auto"/>
        <w:right w:val="none" w:sz="0" w:space="0" w:color="auto"/>
      </w:divBdr>
    </w:div>
    <w:div w:id="1754273884">
      <w:bodyDiv w:val="1"/>
      <w:marLeft w:val="0"/>
      <w:marRight w:val="0"/>
      <w:marTop w:val="0"/>
      <w:marBottom w:val="0"/>
      <w:divBdr>
        <w:top w:val="none" w:sz="0" w:space="0" w:color="auto"/>
        <w:left w:val="none" w:sz="0" w:space="0" w:color="auto"/>
        <w:bottom w:val="none" w:sz="0" w:space="0" w:color="auto"/>
        <w:right w:val="none" w:sz="0" w:space="0" w:color="auto"/>
      </w:divBdr>
    </w:div>
    <w:div w:id="1774468958">
      <w:bodyDiv w:val="1"/>
      <w:marLeft w:val="0"/>
      <w:marRight w:val="0"/>
      <w:marTop w:val="0"/>
      <w:marBottom w:val="0"/>
      <w:divBdr>
        <w:top w:val="none" w:sz="0" w:space="0" w:color="auto"/>
        <w:left w:val="none" w:sz="0" w:space="0" w:color="auto"/>
        <w:bottom w:val="none" w:sz="0" w:space="0" w:color="auto"/>
        <w:right w:val="none" w:sz="0" w:space="0" w:color="auto"/>
      </w:divBdr>
    </w:div>
    <w:div w:id="1790078946">
      <w:bodyDiv w:val="1"/>
      <w:marLeft w:val="0"/>
      <w:marRight w:val="0"/>
      <w:marTop w:val="0"/>
      <w:marBottom w:val="0"/>
      <w:divBdr>
        <w:top w:val="none" w:sz="0" w:space="0" w:color="auto"/>
        <w:left w:val="none" w:sz="0" w:space="0" w:color="auto"/>
        <w:bottom w:val="none" w:sz="0" w:space="0" w:color="auto"/>
        <w:right w:val="none" w:sz="0" w:space="0" w:color="auto"/>
      </w:divBdr>
      <w:divsChild>
        <w:div w:id="50345720">
          <w:marLeft w:val="0"/>
          <w:marRight w:val="0"/>
          <w:marTop w:val="0"/>
          <w:marBottom w:val="0"/>
          <w:divBdr>
            <w:top w:val="none" w:sz="0" w:space="0" w:color="auto"/>
            <w:left w:val="none" w:sz="0" w:space="0" w:color="auto"/>
            <w:bottom w:val="none" w:sz="0" w:space="0" w:color="auto"/>
            <w:right w:val="none" w:sz="0" w:space="0" w:color="auto"/>
          </w:divBdr>
          <w:divsChild>
            <w:div w:id="746460962">
              <w:marLeft w:val="0"/>
              <w:marRight w:val="0"/>
              <w:marTop w:val="0"/>
              <w:marBottom w:val="0"/>
              <w:divBdr>
                <w:top w:val="none" w:sz="0" w:space="0" w:color="auto"/>
                <w:left w:val="none" w:sz="0" w:space="0" w:color="auto"/>
                <w:bottom w:val="none" w:sz="0" w:space="0" w:color="auto"/>
                <w:right w:val="none" w:sz="0" w:space="0" w:color="auto"/>
              </w:divBdr>
              <w:divsChild>
                <w:div w:id="1699429011">
                  <w:marLeft w:val="-240"/>
                  <w:marRight w:val="-240"/>
                  <w:marTop w:val="0"/>
                  <w:marBottom w:val="0"/>
                  <w:divBdr>
                    <w:top w:val="none" w:sz="0" w:space="0" w:color="auto"/>
                    <w:left w:val="none" w:sz="0" w:space="0" w:color="auto"/>
                    <w:bottom w:val="none" w:sz="0" w:space="0" w:color="auto"/>
                    <w:right w:val="none" w:sz="0" w:space="0" w:color="auto"/>
                  </w:divBdr>
                  <w:divsChild>
                    <w:div w:id="1558857879">
                      <w:marLeft w:val="0"/>
                      <w:marRight w:val="0"/>
                      <w:marTop w:val="0"/>
                      <w:marBottom w:val="0"/>
                      <w:divBdr>
                        <w:top w:val="none" w:sz="0" w:space="0" w:color="auto"/>
                        <w:left w:val="none" w:sz="0" w:space="0" w:color="auto"/>
                        <w:bottom w:val="none" w:sz="0" w:space="0" w:color="auto"/>
                        <w:right w:val="none" w:sz="0" w:space="0" w:color="auto"/>
                      </w:divBdr>
                      <w:divsChild>
                        <w:div w:id="83304659">
                          <w:marLeft w:val="0"/>
                          <w:marRight w:val="0"/>
                          <w:marTop w:val="0"/>
                          <w:marBottom w:val="0"/>
                          <w:divBdr>
                            <w:top w:val="none" w:sz="0" w:space="0" w:color="auto"/>
                            <w:left w:val="none" w:sz="0" w:space="0" w:color="auto"/>
                            <w:bottom w:val="none" w:sz="0" w:space="0" w:color="auto"/>
                            <w:right w:val="none" w:sz="0" w:space="0" w:color="auto"/>
                          </w:divBdr>
                          <w:divsChild>
                            <w:div w:id="1257903476">
                              <w:marLeft w:val="165"/>
                              <w:marRight w:val="165"/>
                              <w:marTop w:val="0"/>
                              <w:marBottom w:val="0"/>
                              <w:divBdr>
                                <w:top w:val="none" w:sz="0" w:space="0" w:color="auto"/>
                                <w:left w:val="none" w:sz="0" w:space="0" w:color="auto"/>
                                <w:bottom w:val="none" w:sz="0" w:space="0" w:color="auto"/>
                                <w:right w:val="none" w:sz="0" w:space="0" w:color="auto"/>
                              </w:divBdr>
                              <w:divsChild>
                                <w:div w:id="2054847829">
                                  <w:marLeft w:val="0"/>
                                  <w:marRight w:val="0"/>
                                  <w:marTop w:val="0"/>
                                  <w:marBottom w:val="0"/>
                                  <w:divBdr>
                                    <w:top w:val="none" w:sz="0" w:space="0" w:color="auto"/>
                                    <w:left w:val="none" w:sz="0" w:space="0" w:color="auto"/>
                                    <w:bottom w:val="none" w:sz="0" w:space="0" w:color="auto"/>
                                    <w:right w:val="none" w:sz="0" w:space="0" w:color="auto"/>
                                  </w:divBdr>
                                  <w:divsChild>
                                    <w:div w:id="158132983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111291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4669021">
      <w:bodyDiv w:val="1"/>
      <w:marLeft w:val="0"/>
      <w:marRight w:val="0"/>
      <w:marTop w:val="0"/>
      <w:marBottom w:val="0"/>
      <w:divBdr>
        <w:top w:val="none" w:sz="0" w:space="0" w:color="auto"/>
        <w:left w:val="none" w:sz="0" w:space="0" w:color="auto"/>
        <w:bottom w:val="none" w:sz="0" w:space="0" w:color="auto"/>
        <w:right w:val="none" w:sz="0" w:space="0" w:color="auto"/>
      </w:divBdr>
    </w:div>
    <w:div w:id="1872960733">
      <w:bodyDiv w:val="1"/>
      <w:marLeft w:val="0"/>
      <w:marRight w:val="0"/>
      <w:marTop w:val="0"/>
      <w:marBottom w:val="0"/>
      <w:divBdr>
        <w:top w:val="none" w:sz="0" w:space="0" w:color="auto"/>
        <w:left w:val="none" w:sz="0" w:space="0" w:color="auto"/>
        <w:bottom w:val="none" w:sz="0" w:space="0" w:color="auto"/>
        <w:right w:val="none" w:sz="0" w:space="0" w:color="auto"/>
      </w:divBdr>
    </w:div>
    <w:div w:id="1902908197">
      <w:bodyDiv w:val="1"/>
      <w:marLeft w:val="0"/>
      <w:marRight w:val="0"/>
      <w:marTop w:val="0"/>
      <w:marBottom w:val="0"/>
      <w:divBdr>
        <w:top w:val="none" w:sz="0" w:space="0" w:color="auto"/>
        <w:left w:val="none" w:sz="0" w:space="0" w:color="auto"/>
        <w:bottom w:val="none" w:sz="0" w:space="0" w:color="auto"/>
        <w:right w:val="none" w:sz="0" w:space="0" w:color="auto"/>
      </w:divBdr>
    </w:div>
    <w:div w:id="1916695945">
      <w:bodyDiv w:val="1"/>
      <w:marLeft w:val="0"/>
      <w:marRight w:val="0"/>
      <w:marTop w:val="0"/>
      <w:marBottom w:val="0"/>
      <w:divBdr>
        <w:top w:val="none" w:sz="0" w:space="0" w:color="auto"/>
        <w:left w:val="none" w:sz="0" w:space="0" w:color="auto"/>
        <w:bottom w:val="none" w:sz="0" w:space="0" w:color="auto"/>
        <w:right w:val="none" w:sz="0" w:space="0" w:color="auto"/>
      </w:divBdr>
    </w:div>
    <w:div w:id="1958369383">
      <w:bodyDiv w:val="1"/>
      <w:marLeft w:val="0"/>
      <w:marRight w:val="0"/>
      <w:marTop w:val="0"/>
      <w:marBottom w:val="0"/>
      <w:divBdr>
        <w:top w:val="none" w:sz="0" w:space="0" w:color="auto"/>
        <w:left w:val="none" w:sz="0" w:space="0" w:color="auto"/>
        <w:bottom w:val="none" w:sz="0" w:space="0" w:color="auto"/>
        <w:right w:val="none" w:sz="0" w:space="0" w:color="auto"/>
      </w:divBdr>
    </w:div>
    <w:div w:id="1973363704">
      <w:bodyDiv w:val="1"/>
      <w:marLeft w:val="0"/>
      <w:marRight w:val="0"/>
      <w:marTop w:val="0"/>
      <w:marBottom w:val="0"/>
      <w:divBdr>
        <w:top w:val="none" w:sz="0" w:space="0" w:color="auto"/>
        <w:left w:val="none" w:sz="0" w:space="0" w:color="auto"/>
        <w:bottom w:val="none" w:sz="0" w:space="0" w:color="auto"/>
        <w:right w:val="none" w:sz="0" w:space="0" w:color="auto"/>
      </w:divBdr>
    </w:div>
    <w:div w:id="1979646637">
      <w:bodyDiv w:val="1"/>
      <w:marLeft w:val="0"/>
      <w:marRight w:val="0"/>
      <w:marTop w:val="0"/>
      <w:marBottom w:val="0"/>
      <w:divBdr>
        <w:top w:val="none" w:sz="0" w:space="0" w:color="auto"/>
        <w:left w:val="none" w:sz="0" w:space="0" w:color="auto"/>
        <w:bottom w:val="none" w:sz="0" w:space="0" w:color="auto"/>
        <w:right w:val="none" w:sz="0" w:space="0" w:color="auto"/>
      </w:divBdr>
    </w:div>
    <w:div w:id="1986735925">
      <w:bodyDiv w:val="1"/>
      <w:marLeft w:val="0"/>
      <w:marRight w:val="0"/>
      <w:marTop w:val="0"/>
      <w:marBottom w:val="0"/>
      <w:divBdr>
        <w:top w:val="none" w:sz="0" w:space="0" w:color="auto"/>
        <w:left w:val="none" w:sz="0" w:space="0" w:color="auto"/>
        <w:bottom w:val="none" w:sz="0" w:space="0" w:color="auto"/>
        <w:right w:val="none" w:sz="0" w:space="0" w:color="auto"/>
      </w:divBdr>
    </w:div>
    <w:div w:id="1988240941">
      <w:bodyDiv w:val="1"/>
      <w:marLeft w:val="0"/>
      <w:marRight w:val="0"/>
      <w:marTop w:val="0"/>
      <w:marBottom w:val="0"/>
      <w:divBdr>
        <w:top w:val="none" w:sz="0" w:space="0" w:color="auto"/>
        <w:left w:val="none" w:sz="0" w:space="0" w:color="auto"/>
        <w:bottom w:val="none" w:sz="0" w:space="0" w:color="auto"/>
        <w:right w:val="none" w:sz="0" w:space="0" w:color="auto"/>
      </w:divBdr>
    </w:div>
    <w:div w:id="2007711456">
      <w:bodyDiv w:val="1"/>
      <w:marLeft w:val="0"/>
      <w:marRight w:val="0"/>
      <w:marTop w:val="0"/>
      <w:marBottom w:val="0"/>
      <w:divBdr>
        <w:top w:val="none" w:sz="0" w:space="0" w:color="auto"/>
        <w:left w:val="none" w:sz="0" w:space="0" w:color="auto"/>
        <w:bottom w:val="none" w:sz="0" w:space="0" w:color="auto"/>
        <w:right w:val="none" w:sz="0" w:space="0" w:color="auto"/>
      </w:divBdr>
    </w:div>
    <w:div w:id="2026205893">
      <w:bodyDiv w:val="1"/>
      <w:marLeft w:val="0"/>
      <w:marRight w:val="0"/>
      <w:marTop w:val="0"/>
      <w:marBottom w:val="0"/>
      <w:divBdr>
        <w:top w:val="none" w:sz="0" w:space="0" w:color="auto"/>
        <w:left w:val="none" w:sz="0" w:space="0" w:color="auto"/>
        <w:bottom w:val="none" w:sz="0" w:space="0" w:color="auto"/>
        <w:right w:val="none" w:sz="0" w:space="0" w:color="auto"/>
      </w:divBdr>
    </w:div>
    <w:div w:id="2039041136">
      <w:bodyDiv w:val="1"/>
      <w:marLeft w:val="0"/>
      <w:marRight w:val="0"/>
      <w:marTop w:val="0"/>
      <w:marBottom w:val="0"/>
      <w:divBdr>
        <w:top w:val="none" w:sz="0" w:space="0" w:color="auto"/>
        <w:left w:val="none" w:sz="0" w:space="0" w:color="auto"/>
        <w:bottom w:val="none" w:sz="0" w:space="0" w:color="auto"/>
        <w:right w:val="none" w:sz="0" w:space="0" w:color="auto"/>
      </w:divBdr>
    </w:div>
    <w:div w:id="2063670481">
      <w:bodyDiv w:val="1"/>
      <w:marLeft w:val="0"/>
      <w:marRight w:val="0"/>
      <w:marTop w:val="0"/>
      <w:marBottom w:val="0"/>
      <w:divBdr>
        <w:top w:val="none" w:sz="0" w:space="0" w:color="auto"/>
        <w:left w:val="none" w:sz="0" w:space="0" w:color="auto"/>
        <w:bottom w:val="none" w:sz="0" w:space="0" w:color="auto"/>
        <w:right w:val="none" w:sz="0" w:space="0" w:color="auto"/>
      </w:divBdr>
    </w:div>
    <w:div w:id="2099132773">
      <w:bodyDiv w:val="1"/>
      <w:marLeft w:val="0"/>
      <w:marRight w:val="0"/>
      <w:marTop w:val="0"/>
      <w:marBottom w:val="0"/>
      <w:divBdr>
        <w:top w:val="none" w:sz="0" w:space="0" w:color="auto"/>
        <w:left w:val="none" w:sz="0" w:space="0" w:color="auto"/>
        <w:bottom w:val="none" w:sz="0" w:space="0" w:color="auto"/>
        <w:right w:val="none" w:sz="0" w:space="0" w:color="auto"/>
      </w:divBdr>
    </w:div>
    <w:div w:id="2121410606">
      <w:bodyDiv w:val="1"/>
      <w:marLeft w:val="0"/>
      <w:marRight w:val="0"/>
      <w:marTop w:val="0"/>
      <w:marBottom w:val="0"/>
      <w:divBdr>
        <w:top w:val="none" w:sz="0" w:space="0" w:color="auto"/>
        <w:left w:val="none" w:sz="0" w:space="0" w:color="auto"/>
        <w:bottom w:val="none" w:sz="0" w:space="0" w:color="auto"/>
        <w:right w:val="none" w:sz="0" w:space="0" w:color="auto"/>
      </w:divBdr>
    </w:div>
    <w:div w:id="21356339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image" Target="media/image3.emf"/><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image" Target="media/image6.png"/><Relationship Id="rId47" Type="http://schemas.openxmlformats.org/officeDocument/2006/relationships/image" Target="media/image11.png"/><Relationship Id="rId50" Type="http://schemas.openxmlformats.org/officeDocument/2006/relationships/image" Target="media/image14.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image" Target="media/image4.png"/><Relationship Id="rId45" Type="http://schemas.openxmlformats.org/officeDocument/2006/relationships/image" Target="media/image9.png"/><Relationship Id="rId53"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4" Type="http://schemas.openxmlformats.org/officeDocument/2006/relationships/image" Target="media/image8.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image" Target="media/image7.png"/><Relationship Id="rId48" Type="http://schemas.openxmlformats.org/officeDocument/2006/relationships/image" Target="media/image12.png"/><Relationship Id="rId56" Type="http://schemas.openxmlformats.org/officeDocument/2006/relationships/theme" Target="theme/theme1.xml"/><Relationship Id="rId8" Type="http://schemas.openxmlformats.org/officeDocument/2006/relationships/chart" Target="charts/chart1.xml"/><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image" Target="media/image2.png"/><Relationship Id="rId46" Type="http://schemas.openxmlformats.org/officeDocument/2006/relationships/image" Target="media/image10.png"/><Relationship Id="rId20" Type="http://schemas.openxmlformats.org/officeDocument/2006/relationships/chart" Target="charts/chart13.xml"/><Relationship Id="rId41" Type="http://schemas.openxmlformats.org/officeDocument/2006/relationships/image" Target="media/image5.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image" Target="media/image13.png"/></Relationships>
</file>

<file path=word/_rels/footnotes.xml.rels><?xml version="1.0" encoding="UTF-8" standalone="yes"?>
<Relationships xmlns="http://schemas.openxmlformats.org/package/2006/relationships"><Relationship Id="rId8" Type="http://schemas.openxmlformats.org/officeDocument/2006/relationships/hyperlink" Target="https://www.mk.gov.lv/lv/media/16704/download?attachment" TargetMode="External"/><Relationship Id="rId13" Type="http://schemas.openxmlformats.org/officeDocument/2006/relationships/hyperlink" Target="https://vktap.mk.gov.lv/meetings/headers/77c697b4-97a6-410d-a1e8-829bc4b1f3d2" TargetMode="External"/><Relationship Id="rId18" Type="http://schemas.openxmlformats.org/officeDocument/2006/relationships/hyperlink" Target="https://tapportals.mk.gov.lv/legal_acts/efd239f3-9bcd-4b5c-ae73-60750ace3d9d" TargetMode="External"/><Relationship Id="rId3" Type="http://schemas.openxmlformats.org/officeDocument/2006/relationships/hyperlink" Target="https://eur-lex.europa.eu/legal-content/LV/TXT/PDF/?uri=OJ:L_202401265&amp;qid=1727436207155" TargetMode="External"/><Relationship Id="rId7" Type="http://schemas.openxmlformats.org/officeDocument/2006/relationships/hyperlink" Target="https://tapportals.mk.gov.lv/meetings/cabinet_ministers/5f1c22e3-0989-43ab-93a2-7b1d5d3fecf2" TargetMode="External"/><Relationship Id="rId12" Type="http://schemas.openxmlformats.org/officeDocument/2006/relationships/hyperlink" Target="https://tools.csb.gov.lv/isk/lv" TargetMode="External"/><Relationship Id="rId17" Type="http://schemas.openxmlformats.org/officeDocument/2006/relationships/hyperlink" Target="https://tapportals.mk.gov.lv/legal_acts/c1294df5-abd1-4808-9547-e49ad5494929" TargetMode="External"/><Relationship Id="rId2" Type="http://schemas.openxmlformats.org/officeDocument/2006/relationships/hyperlink" Target="https://eur-lex.europa.eu/legal-content/LV/TXT/?uri=OJ:L_202401264" TargetMode="External"/><Relationship Id="rId16" Type="http://schemas.openxmlformats.org/officeDocument/2006/relationships/hyperlink" Target="https://tapportals.mk.gov.lv/legal_acts/4b64813a-3464-47ab-b910-33b059e7f284" TargetMode="External"/><Relationship Id="rId20" Type="http://schemas.openxmlformats.org/officeDocument/2006/relationships/hyperlink" Target="https://www.kase.gov.lv/valsts-parada-vadiba/kas-ir-valsts-parads" TargetMode="External"/><Relationship Id="rId1" Type="http://schemas.openxmlformats.org/officeDocument/2006/relationships/hyperlink" Target="https://eur-lex.europa.eu/legal-content/LV/TXT/?uri=OJ:L_202401263" TargetMode="External"/><Relationship Id="rId6" Type="http://schemas.openxmlformats.org/officeDocument/2006/relationships/hyperlink" Target="https://www.mk.gov.lv/lv/media/16704/download?attachment" TargetMode="External"/><Relationship Id="rId11" Type="http://schemas.openxmlformats.org/officeDocument/2006/relationships/hyperlink" Target="https://tapportals.mk.gov.lv/legal_acts/38f8bbd5-6811-4034-b5dc-dd56b744a009" TargetMode="External"/><Relationship Id="rId5" Type="http://schemas.openxmlformats.org/officeDocument/2006/relationships/hyperlink" Target="https://tapportals.mk.gov.lv/legal_acts/4aa5676b-953b-4490-8e90-55a972d3f0d6" TargetMode="External"/><Relationship Id="rId15" Type="http://schemas.openxmlformats.org/officeDocument/2006/relationships/hyperlink" Target="https://ec.europa.eu/eurostat/databrowser/view/gov_10a_exp/default/table?lang=en" TargetMode="External"/><Relationship Id="rId10" Type="http://schemas.openxmlformats.org/officeDocument/2006/relationships/hyperlink" Target="https://tapportals.mk.gov.lv/legal_acts/b75ce8f5-2802-4b1d-b2a6-5da803f49442" TargetMode="External"/><Relationship Id="rId19" Type="http://schemas.openxmlformats.org/officeDocument/2006/relationships/hyperlink" Target="https://data.europa.eu/data/datasets/dxhij18bl61dkx4xdskolw?locale=lv" TargetMode="External"/><Relationship Id="rId4" Type="http://schemas.openxmlformats.org/officeDocument/2006/relationships/hyperlink" Target="https://likumi.lv/ta/id/350802-par-likumprojekta-par-valsts-budzetu-2025-gadam-un-budzeta-ietvaru-2025-2026-un-2027-gadam-sagatavosanas-grafiku" TargetMode="External"/><Relationship Id="rId9" Type="http://schemas.openxmlformats.org/officeDocument/2006/relationships/hyperlink" Target="https://www.fm.gov.lv/lv/fiskali-strukturalais-plans" TargetMode="External"/><Relationship Id="rId14" Type="http://schemas.openxmlformats.org/officeDocument/2006/relationships/hyperlink" Target="https://tapportals.mk.gov.lv/legal_acts/4b64813a-3464-47ab-b910-33b059e7f284"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8.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fk\tand\TAND\Maris%20Katkovskis\B&#363;vniec&#299;ba\B&#363;vn.%20apjomi.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9.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0.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1.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fk\tand\TAND\_Budzeta%20paskaidrojumi\bu_2025\AJ\Infl&#257;cija_.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fk\tand\TAND\Aleksejs%20Jur&#353;a\MAKRO\Infl&#257;cija\Preses%20rel&#299;zes\Grafiks_infl&#257;cija.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fk\tand\TAND\_Makro_modeli\Infl&#257;cija\Inflation_main.xlsx" TargetMode="Externa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3.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9.xml"/><Relationship Id="rId1" Type="http://schemas.microsoft.com/office/2011/relationships/chartStyle" Target="style19.xml"/><Relationship Id="rId5" Type="http://schemas.openxmlformats.org/officeDocument/2006/relationships/chartUserShapes" Target="../drawings/drawing1.xml"/><Relationship Id="rId4" Type="http://schemas.openxmlformats.org/officeDocument/2006/relationships/package" Target="../embeddings/Microsoft_Excel_Worksheet14.xlsx"/></Relationships>
</file>

<file path=word/charts/_rels/chart21.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fk\tand\TAND\Ieva%20Veja\bud&#382;eta%20paskaidrojumi\2020\iedz&#299;vot&#257;ju%20ien&#257;kumi\ien&#257;kumi%20p&#275;c%20PPS%20no%20ES%20vid&#275;j&#257;.xlsx" TargetMode="External"/><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fk\tand\TAND\_Prezentacija\Prezentacijas-DATA.xlsx" TargetMode="External"/></Relationships>
</file>

<file path=word/charts/_rels/chart23.xml.rels><?xml version="1.0" encoding="UTF-8" standalone="yes"?>
<Relationships xmlns="http://schemas.openxmlformats.org/package/2006/relationships"><Relationship Id="rId2" Type="http://schemas.openxmlformats.org/officeDocument/2006/relationships/oleObject" Target="file:///\\fk\tand\TAND\_Prezentacija\Prezentacijas-DATA.xlsx" TargetMode="External"/><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fk\tand\TAND\_Prezentacija\Prezentacijas-DATA.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fk\tand\TAND\_Prezentacija\Prezentacijas-DATA.xlsx" TargetMode="External"/></Relationships>
</file>

<file path=word/charts/_rels/chart26.xml.rels><?xml version="1.0" encoding="UTF-8" standalone="yes"?>
<Relationships xmlns="http://schemas.openxmlformats.org/package/2006/relationships"><Relationship Id="rId2" Type="http://schemas.openxmlformats.org/officeDocument/2006/relationships/oleObject" Target="file:///\\fk\tand\TAND\_Prezentacija\Prezentacijas-DATA.xlsx" TargetMode="External"/><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oleObject" Target="file:///\\fk\tand\TAND\_Prezentacija\Prezentacijas-DATA.xlsx" TargetMode="External"/><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15.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fk\tand\TAND\_Budzeta%20paskaidrojumi\bu_2025\Prognozes-Scen&#257;riji\Prognozu%20sal&#299;dzin&#257;jums%202025.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fk\tand\TAND\_Budzeta%20paskaidrojumi\bu_2025\Prognozes-Scen&#257;riji\Prognozu%20sal&#299;dzin&#257;jums%202025.xlsx" TargetMode="External"/><Relationship Id="rId1" Type="http://schemas.openxmlformats.org/officeDocument/2006/relationships/themeOverride" Target="../theme/themeOverride30.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fk\tand\TAND\Maris%20Katkovskis\R&#363;pniec&#299;ba\R&#362;PNIEC&#298;BA%20pa%20m&#275;ne&#353;iem.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6.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472490260220604"/>
          <c:y val="3.0598052851182198E-2"/>
          <c:w val="0.50890963786102938"/>
          <c:h val="0.84790818393876011"/>
        </c:manualLayout>
      </c:layout>
      <c:barChart>
        <c:barDir val="bar"/>
        <c:grouping val="clustered"/>
        <c:varyColors val="0"/>
        <c:ser>
          <c:idx val="2"/>
          <c:order val="0"/>
          <c:tx>
            <c:strRef>
              <c:f>nozares!$E$3</c:f>
              <c:strCache>
                <c:ptCount val="1"/>
                <c:pt idx="0">
                  <c:v>2023</c:v>
                </c:pt>
              </c:strCache>
            </c:strRef>
          </c:tx>
          <c:spPr>
            <a:solidFill>
              <a:sysClr val="window" lastClr="FFFFFF">
                <a:lumMod val="65000"/>
              </a:sysClr>
            </a:solidFill>
            <a:ln>
              <a:noFill/>
            </a:ln>
            <a:effectLst/>
          </c:spPr>
          <c:invertIfNegative val="0"/>
          <c:cat>
            <c:strRef>
              <c:f>nozares!$C$4:$C$19</c:f>
              <c:strCache>
                <c:ptCount val="16"/>
                <c:pt idx="0">
                  <c:v>Kopējā pievienotā vērtība</c:v>
                </c:pt>
                <c:pt idx="1">
                  <c:v>Lauksaimniecība, mežs</c:v>
                </c:pt>
                <c:pt idx="2">
                  <c:v>Apstrādes rūpniecība</c:v>
                </c:pt>
                <c:pt idx="3">
                  <c:v>Ieguves rūpn, enerģētika</c:v>
                </c:pt>
                <c:pt idx="4">
                  <c:v>Būvniecība</c:v>
                </c:pt>
                <c:pt idx="5">
                  <c:v>Tirdzniecība</c:v>
                </c:pt>
                <c:pt idx="6">
                  <c:v>Transports</c:v>
                </c:pt>
                <c:pt idx="7">
                  <c:v>Izmitināšana, ēdināšana</c:v>
                </c:pt>
                <c:pt idx="8">
                  <c:v>Informācijas pakalpojumi</c:v>
                </c:pt>
                <c:pt idx="9">
                  <c:v>Finanšu pakalpojumi</c:v>
                </c:pt>
                <c:pt idx="10">
                  <c:v>Nekustamā īpašuma oper</c:v>
                </c:pt>
                <c:pt idx="11">
                  <c:v>Komercpakalpojumi</c:v>
                </c:pt>
                <c:pt idx="12">
                  <c:v>Valsts pārvalde</c:v>
                </c:pt>
                <c:pt idx="13">
                  <c:v>Izglītība</c:v>
                </c:pt>
                <c:pt idx="14">
                  <c:v>Veselība</c:v>
                </c:pt>
                <c:pt idx="15">
                  <c:v>Māksla, izklaide</c:v>
                </c:pt>
              </c:strCache>
            </c:strRef>
          </c:cat>
          <c:val>
            <c:numRef>
              <c:f>nozares!$E$4:$E$19</c:f>
              <c:numCache>
                <c:formatCode>0.0</c:formatCode>
                <c:ptCount val="16"/>
                <c:pt idx="0">
                  <c:v>0.18873951821105628</c:v>
                </c:pt>
                <c:pt idx="1">
                  <c:v>-8.0547981606858166</c:v>
                </c:pt>
                <c:pt idx="2">
                  <c:v>-5.1577215282576976</c:v>
                </c:pt>
                <c:pt idx="3">
                  <c:v>-0.4</c:v>
                </c:pt>
                <c:pt idx="4">
                  <c:v>18.644233511954212</c:v>
                </c:pt>
                <c:pt idx="5">
                  <c:v>-5.07633934569931</c:v>
                </c:pt>
                <c:pt idx="6">
                  <c:v>-7.7987905075614483</c:v>
                </c:pt>
                <c:pt idx="7">
                  <c:v>7.4496932554665829</c:v>
                </c:pt>
                <c:pt idx="8">
                  <c:v>2.490778820143813</c:v>
                </c:pt>
                <c:pt idx="9">
                  <c:v>2.2899062028687522</c:v>
                </c:pt>
                <c:pt idx="10">
                  <c:v>3.1325906219760835</c:v>
                </c:pt>
                <c:pt idx="11">
                  <c:v>1.1000000000000001</c:v>
                </c:pt>
                <c:pt idx="12">
                  <c:v>6.11196162694434</c:v>
                </c:pt>
                <c:pt idx="13">
                  <c:v>7.8213834284967199</c:v>
                </c:pt>
                <c:pt idx="14">
                  <c:v>-1.456081696155187</c:v>
                </c:pt>
                <c:pt idx="15">
                  <c:v>11.722607116432361</c:v>
                </c:pt>
              </c:numCache>
            </c:numRef>
          </c:val>
          <c:extLst>
            <c:ext xmlns:c16="http://schemas.microsoft.com/office/drawing/2014/chart" uri="{C3380CC4-5D6E-409C-BE32-E72D297353CC}">
              <c16:uniqueId val="{00000000-7669-49DC-B31B-5C6F3D9E228F}"/>
            </c:ext>
          </c:extLst>
        </c:ser>
        <c:ser>
          <c:idx val="1"/>
          <c:order val="1"/>
          <c:tx>
            <c:strRef>
              <c:f>nozares!$F$3</c:f>
              <c:strCache>
                <c:ptCount val="1"/>
                <c:pt idx="0">
                  <c:v>2024 1.puse</c:v>
                </c:pt>
              </c:strCache>
            </c:strRef>
          </c:tx>
          <c:spPr>
            <a:solidFill>
              <a:srgbClr val="70AD47">
                <a:lumMod val="75000"/>
              </a:srgb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nozares!$C$4:$C$19</c:f>
              <c:strCache>
                <c:ptCount val="16"/>
                <c:pt idx="0">
                  <c:v>Kopējā pievienotā vērtība</c:v>
                </c:pt>
                <c:pt idx="1">
                  <c:v>Lauksaimniecība, mežs</c:v>
                </c:pt>
                <c:pt idx="2">
                  <c:v>Apstrādes rūpniecība</c:v>
                </c:pt>
                <c:pt idx="3">
                  <c:v>Ieguves rūpn, enerģētika</c:v>
                </c:pt>
                <c:pt idx="4">
                  <c:v>Būvniecība</c:v>
                </c:pt>
                <c:pt idx="5">
                  <c:v>Tirdzniecība</c:v>
                </c:pt>
                <c:pt idx="6">
                  <c:v>Transports</c:v>
                </c:pt>
                <c:pt idx="7">
                  <c:v>Izmitināšana, ēdināšana</c:v>
                </c:pt>
                <c:pt idx="8">
                  <c:v>Informācijas pakalpojumi</c:v>
                </c:pt>
                <c:pt idx="9">
                  <c:v>Finanšu pakalpojumi</c:v>
                </c:pt>
                <c:pt idx="10">
                  <c:v>Nekustamā īpašuma oper</c:v>
                </c:pt>
                <c:pt idx="11">
                  <c:v>Komercpakalpojumi</c:v>
                </c:pt>
                <c:pt idx="12">
                  <c:v>Valsts pārvalde</c:v>
                </c:pt>
                <c:pt idx="13">
                  <c:v>Izglītība</c:v>
                </c:pt>
                <c:pt idx="14">
                  <c:v>Veselība</c:v>
                </c:pt>
                <c:pt idx="15">
                  <c:v>Māksla, izklaide</c:v>
                </c:pt>
              </c:strCache>
            </c:strRef>
          </c:cat>
          <c:val>
            <c:numRef>
              <c:f>nozares!$F$4:$F$19</c:f>
              <c:numCache>
                <c:formatCode>0.0</c:formatCode>
                <c:ptCount val="16"/>
                <c:pt idx="0">
                  <c:v>-0.2</c:v>
                </c:pt>
                <c:pt idx="1">
                  <c:v>4.0999999999999996</c:v>
                </c:pt>
                <c:pt idx="2">
                  <c:v>-3.7</c:v>
                </c:pt>
                <c:pt idx="3">
                  <c:v>3</c:v>
                </c:pt>
                <c:pt idx="4">
                  <c:v>-5.5</c:v>
                </c:pt>
                <c:pt idx="5">
                  <c:v>-1.3</c:v>
                </c:pt>
                <c:pt idx="6">
                  <c:v>-8.4</c:v>
                </c:pt>
                <c:pt idx="7">
                  <c:v>-0.3</c:v>
                </c:pt>
                <c:pt idx="8">
                  <c:v>1.2</c:v>
                </c:pt>
                <c:pt idx="9">
                  <c:v>-3.5</c:v>
                </c:pt>
                <c:pt idx="10">
                  <c:v>-1.9</c:v>
                </c:pt>
                <c:pt idx="11">
                  <c:v>-1.3</c:v>
                </c:pt>
                <c:pt idx="12">
                  <c:v>7.1</c:v>
                </c:pt>
                <c:pt idx="13">
                  <c:v>6.9</c:v>
                </c:pt>
                <c:pt idx="14">
                  <c:v>6.9</c:v>
                </c:pt>
                <c:pt idx="15">
                  <c:v>2</c:v>
                </c:pt>
              </c:numCache>
            </c:numRef>
          </c:val>
          <c:extLst>
            <c:ext xmlns:c16="http://schemas.microsoft.com/office/drawing/2014/chart" uri="{C3380CC4-5D6E-409C-BE32-E72D297353CC}">
              <c16:uniqueId val="{00000001-7669-49DC-B31B-5C6F3D9E228F}"/>
            </c:ext>
          </c:extLst>
        </c:ser>
        <c:dLbls>
          <c:showLegendKey val="0"/>
          <c:showVal val="0"/>
          <c:showCatName val="0"/>
          <c:showSerName val="0"/>
          <c:showPercent val="0"/>
          <c:showBubbleSize val="0"/>
        </c:dLbls>
        <c:gapWidth val="32"/>
        <c:axId val="1182926320"/>
        <c:axId val="1182925488"/>
      </c:barChart>
      <c:catAx>
        <c:axId val="1182926320"/>
        <c:scaling>
          <c:orientation val="maxMin"/>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5488"/>
        <c:crosses val="autoZero"/>
        <c:auto val="1"/>
        <c:lblAlgn val="ctr"/>
        <c:lblOffset val="100"/>
        <c:noMultiLvlLbl val="0"/>
      </c:catAx>
      <c:valAx>
        <c:axId val="1182925488"/>
        <c:scaling>
          <c:orientation val="minMax"/>
          <c:max val="20"/>
          <c:min val="-15"/>
        </c:scaling>
        <c:delete val="0"/>
        <c:axPos val="t"/>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6320"/>
        <c:crosses val="autoZero"/>
        <c:crossBetween val="between"/>
        <c:majorUnit val="5"/>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Verdana" panose="020B0604030504040204" pitchFamily="34" charset="0"/>
          <a:ea typeface="Verdana" panose="020B0604030504040204" pitchFamily="34" charset="0"/>
        </a:defRPr>
      </a:pPr>
      <a:endParaRPr lang="lv-LV"/>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804156373061119E-2"/>
          <c:y val="6.1230169774561645E-2"/>
          <c:w val="0.8997089666705218"/>
          <c:h val="0.61530160081341179"/>
        </c:manualLayout>
      </c:layout>
      <c:areaChart>
        <c:grouping val="standard"/>
        <c:varyColors val="0"/>
        <c:ser>
          <c:idx val="0"/>
          <c:order val="0"/>
          <c:tx>
            <c:strRef>
              <c:f>Mēneši!$B$11</c:f>
              <c:strCache>
                <c:ptCount val="1"/>
                <c:pt idx="0">
                  <c:v>Būvniecība kopā</c:v>
                </c:pt>
              </c:strCache>
            </c:strRef>
          </c:tx>
          <c:spPr>
            <a:pattFill prst="pct70">
              <a:fgClr>
                <a:schemeClr val="bg1">
                  <a:lumMod val="65000"/>
                </a:schemeClr>
              </a:fgClr>
              <a:bgClr>
                <a:schemeClr val="bg1"/>
              </a:bgClr>
            </a:pattFill>
            <a:ln>
              <a:noFill/>
            </a:ln>
            <a:effectLst/>
          </c:spPr>
          <c:cat>
            <c:multiLvlStrRef>
              <c:f>Mēneši!$BK$9:$CO$10</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2022</c:v>
                  </c:pt>
                  <c:pt idx="12">
                    <c:v>2023</c:v>
                  </c:pt>
                  <c:pt idx="24">
                    <c:v>2024</c:v>
                  </c:pt>
                </c:lvl>
              </c:multiLvlStrCache>
              <c:extLst/>
            </c:multiLvlStrRef>
          </c:cat>
          <c:val>
            <c:numRef>
              <c:f>Mēneši!$BK$11:$CO$11</c:f>
              <c:numCache>
                <c:formatCode>0.0%</c:formatCode>
                <c:ptCount val="31"/>
                <c:pt idx="0">
                  <c:v>0.14240170031880983</c:v>
                </c:pt>
                <c:pt idx="1">
                  <c:v>0.1693121693121693</c:v>
                </c:pt>
                <c:pt idx="2">
                  <c:v>0.18645833333333339</c:v>
                </c:pt>
                <c:pt idx="3">
                  <c:v>0.21739130434782616</c:v>
                </c:pt>
                <c:pt idx="4">
                  <c:v>0.22301425661914442</c:v>
                </c:pt>
                <c:pt idx="5">
                  <c:v>0.21931589537223339</c:v>
                </c:pt>
                <c:pt idx="6">
                  <c:v>0.21343873517786549</c:v>
                </c:pt>
                <c:pt idx="7">
                  <c:v>0.20547945205479445</c:v>
                </c:pt>
                <c:pt idx="8">
                  <c:v>0.20194174757281558</c:v>
                </c:pt>
                <c:pt idx="9">
                  <c:v>0.19636015325670497</c:v>
                </c:pt>
                <c:pt idx="10">
                  <c:v>0.1954242135367017</c:v>
                </c:pt>
                <c:pt idx="11">
                  <c:v>0.19241706161137428</c:v>
                </c:pt>
                <c:pt idx="12">
                  <c:v>0.17674418604651154</c:v>
                </c:pt>
                <c:pt idx="13">
                  <c:v>0.14298642533936645</c:v>
                </c:pt>
                <c:pt idx="14">
                  <c:v>0.10974539069359079</c:v>
                </c:pt>
                <c:pt idx="15">
                  <c:v>7.3979591836734748E-2</c:v>
                </c:pt>
                <c:pt idx="16">
                  <c:v>5.2456286427976728E-2</c:v>
                </c:pt>
                <c:pt idx="17">
                  <c:v>4.0429042904290391E-2</c:v>
                </c:pt>
                <c:pt idx="18">
                  <c:v>3.1758957654723252E-2</c:v>
                </c:pt>
                <c:pt idx="19">
                  <c:v>3.0032467532467466E-2</c:v>
                </c:pt>
                <c:pt idx="20">
                  <c:v>2.7463651050080751E-2</c:v>
                </c:pt>
                <c:pt idx="21">
                  <c:v>1.6813450760608362E-2</c:v>
                </c:pt>
                <c:pt idx="22">
                  <c:v>1.5948963317384379E-2</c:v>
                </c:pt>
                <c:pt idx="23">
                  <c:v>1.5103338632750374E-2</c:v>
                </c:pt>
                <c:pt idx="24">
                  <c:v>1.5810276679841806E-2</c:v>
                </c:pt>
                <c:pt idx="25">
                  <c:v>1.9002375296911955E-2</c:v>
                </c:pt>
                <c:pt idx="26">
                  <c:v>1.8987341772152E-2</c:v>
                </c:pt>
                <c:pt idx="27">
                  <c:v>2.2169437846397466E-2</c:v>
                </c:pt>
                <c:pt idx="28">
                  <c:v>2.2151898734177111E-2</c:v>
                </c:pt>
                <c:pt idx="29">
                  <c:v>2.4583663758921404E-2</c:v>
                </c:pt>
                <c:pt idx="30">
                  <c:v>2.3677979479084232E-2</c:v>
                </c:pt>
              </c:numCache>
              <c:extLst/>
            </c:numRef>
          </c:val>
          <c:extLst>
            <c:ext xmlns:c16="http://schemas.microsoft.com/office/drawing/2014/chart" uri="{C3380CC4-5D6E-409C-BE32-E72D297353CC}">
              <c16:uniqueId val="{00000000-27AF-486C-9AD5-09F36E35F538}"/>
            </c:ext>
          </c:extLst>
        </c:ser>
        <c:dLbls>
          <c:showLegendKey val="0"/>
          <c:showVal val="0"/>
          <c:showCatName val="0"/>
          <c:showSerName val="0"/>
          <c:showPercent val="0"/>
          <c:showBubbleSize val="0"/>
        </c:dLbls>
        <c:axId val="993400208"/>
        <c:axId val="993598960"/>
      </c:areaChart>
      <c:lineChart>
        <c:grouping val="standard"/>
        <c:varyColors val="0"/>
        <c:ser>
          <c:idx val="1"/>
          <c:order val="1"/>
          <c:tx>
            <c:strRef>
              <c:f>Mēneši!$B$12</c:f>
              <c:strCache>
                <c:ptCount val="1"/>
                <c:pt idx="0">
                  <c:v>Strādnieku darba samaksa</c:v>
                </c:pt>
              </c:strCache>
            </c:strRef>
          </c:tx>
          <c:spPr>
            <a:ln w="28575" cap="rnd">
              <a:solidFill>
                <a:schemeClr val="accent5">
                  <a:lumMod val="75000"/>
                </a:schemeClr>
              </a:solidFill>
              <a:round/>
            </a:ln>
            <a:effectLst/>
          </c:spPr>
          <c:marker>
            <c:symbol val="none"/>
          </c:marker>
          <c:cat>
            <c:strLit>
              <c:ptCount val="31"/>
              <c:pt idx="0">
                <c:v>2022 I</c:v>
              </c:pt>
              <c:pt idx="1">
                <c:v>2022 II</c:v>
              </c:pt>
              <c:pt idx="2">
                <c:v>2022 III</c:v>
              </c:pt>
              <c:pt idx="3">
                <c:v>2022 IV</c:v>
              </c:pt>
              <c:pt idx="4">
                <c:v>2022 V</c:v>
              </c:pt>
              <c:pt idx="5">
                <c:v>2022 VI</c:v>
              </c:pt>
              <c:pt idx="6">
                <c:v>2022 VII</c:v>
              </c:pt>
              <c:pt idx="7">
                <c:v>2022 VIII</c:v>
              </c:pt>
              <c:pt idx="8">
                <c:v>2022 IX</c:v>
              </c:pt>
              <c:pt idx="9">
                <c:v>2022 X</c:v>
              </c:pt>
              <c:pt idx="10">
                <c:v>2022 XI</c:v>
              </c:pt>
              <c:pt idx="11">
                <c:v>2022 XII</c:v>
              </c:pt>
              <c:pt idx="12">
                <c:v>2023 I</c:v>
              </c:pt>
              <c:pt idx="13">
                <c:v>2023 II</c:v>
              </c:pt>
              <c:pt idx="14">
                <c:v>2023 III</c:v>
              </c:pt>
              <c:pt idx="15">
                <c:v>2023 IV</c:v>
              </c:pt>
              <c:pt idx="16">
                <c:v>2023 V</c:v>
              </c:pt>
              <c:pt idx="17">
                <c:v>2023 VI</c:v>
              </c:pt>
              <c:pt idx="18">
                <c:v>2023 VII</c:v>
              </c:pt>
              <c:pt idx="19">
                <c:v>2023 VIII</c:v>
              </c:pt>
              <c:pt idx="20">
                <c:v>2023 IX</c:v>
              </c:pt>
              <c:pt idx="21">
                <c:v>2023 X</c:v>
              </c:pt>
              <c:pt idx="22">
                <c:v>2023 XI</c:v>
              </c:pt>
              <c:pt idx="23">
                <c:v>2023 XII</c:v>
              </c:pt>
              <c:pt idx="24">
                <c:v>2024 I</c:v>
              </c:pt>
              <c:pt idx="25">
                <c:v>2024 II</c:v>
              </c:pt>
              <c:pt idx="26">
                <c:v>2024 III</c:v>
              </c:pt>
              <c:pt idx="27">
                <c:v>2024 IV</c:v>
              </c:pt>
              <c:pt idx="28">
                <c:v>2024 V</c:v>
              </c:pt>
              <c:pt idx="29">
                <c:v>2024 VI</c:v>
              </c:pt>
              <c:pt idx="30">
                <c:v>2024 VII</c:v>
              </c:pt>
              <c:extLst>
                <c:ext xmlns:c15="http://schemas.microsoft.com/office/drawing/2012/chart" uri="{02D57815-91ED-43cb-92C2-25804820EDAC}">
                  <c15:autoCat val="1"/>
                </c:ext>
              </c:extLst>
            </c:strLit>
          </c:cat>
          <c:val>
            <c:numRef>
              <c:f>Mēneši!$BK$12:$CO$12</c:f>
              <c:numCache>
                <c:formatCode>0.0%</c:formatCode>
                <c:ptCount val="31"/>
                <c:pt idx="0">
                  <c:v>5.9548254620123142E-2</c:v>
                </c:pt>
                <c:pt idx="1">
                  <c:v>7.6288659793814384E-2</c:v>
                </c:pt>
                <c:pt idx="2">
                  <c:v>8.7900723888314269E-2</c:v>
                </c:pt>
                <c:pt idx="3">
                  <c:v>9.0263691683569958E-2</c:v>
                </c:pt>
                <c:pt idx="4">
                  <c:v>9.1365461847389584E-2</c:v>
                </c:pt>
                <c:pt idx="5">
                  <c:v>9.5522388059701369E-2</c:v>
                </c:pt>
                <c:pt idx="6">
                  <c:v>0.10437375745526833</c:v>
                </c:pt>
                <c:pt idx="7">
                  <c:v>9.9703849950641743E-2</c:v>
                </c:pt>
                <c:pt idx="8">
                  <c:v>9.8039215686274606E-2</c:v>
                </c:pt>
                <c:pt idx="9">
                  <c:v>0.1041257367387034</c:v>
                </c:pt>
                <c:pt idx="10">
                  <c:v>0.10422812192723696</c:v>
                </c:pt>
                <c:pt idx="11">
                  <c:v>0.10418695228821817</c:v>
                </c:pt>
                <c:pt idx="12">
                  <c:v>0.10465116279069764</c:v>
                </c:pt>
                <c:pt idx="13">
                  <c:v>9.7701149425287293E-2</c:v>
                </c:pt>
                <c:pt idx="14">
                  <c:v>9.1254752851710919E-2</c:v>
                </c:pt>
                <c:pt idx="15">
                  <c:v>8.558139534883713E-2</c:v>
                </c:pt>
                <c:pt idx="16">
                  <c:v>8.0036798528059006E-2</c:v>
                </c:pt>
                <c:pt idx="17">
                  <c:v>6.7211625794732166E-2</c:v>
                </c:pt>
                <c:pt idx="18">
                  <c:v>6.8406840684068548E-2</c:v>
                </c:pt>
                <c:pt idx="19">
                  <c:v>6.7324955116696561E-2</c:v>
                </c:pt>
                <c:pt idx="20">
                  <c:v>7.0535714285714368E-2</c:v>
                </c:pt>
                <c:pt idx="21">
                  <c:v>6.6725978647686812E-2</c:v>
                </c:pt>
                <c:pt idx="22">
                  <c:v>7.2128227960819302E-2</c:v>
                </c:pt>
                <c:pt idx="23">
                  <c:v>6.6137566137566051E-2</c:v>
                </c:pt>
                <c:pt idx="24">
                  <c:v>6.8421052631578938E-2</c:v>
                </c:pt>
                <c:pt idx="25">
                  <c:v>6.2827225130890119E-2</c:v>
                </c:pt>
                <c:pt idx="26">
                  <c:v>6.7944250871080136E-2</c:v>
                </c:pt>
                <c:pt idx="27">
                  <c:v>5.9125964010282805E-2</c:v>
                </c:pt>
                <c:pt idx="28">
                  <c:v>6.1328790459965754E-2</c:v>
                </c:pt>
                <c:pt idx="29">
                  <c:v>6.893617021276599E-2</c:v>
                </c:pt>
                <c:pt idx="30">
                  <c:v>6.3184498736309935E-2</c:v>
                </c:pt>
              </c:numCache>
              <c:extLst/>
            </c:numRef>
          </c:val>
          <c:smooth val="0"/>
          <c:extLst>
            <c:ext xmlns:c16="http://schemas.microsoft.com/office/drawing/2014/chart" uri="{C3380CC4-5D6E-409C-BE32-E72D297353CC}">
              <c16:uniqueId val="{00000001-27AF-486C-9AD5-09F36E35F538}"/>
            </c:ext>
          </c:extLst>
        </c:ser>
        <c:ser>
          <c:idx val="2"/>
          <c:order val="2"/>
          <c:tx>
            <c:strRef>
              <c:f>Mēneši!$B$13</c:f>
              <c:strCache>
                <c:ptCount val="1"/>
                <c:pt idx="0">
                  <c:v>Iekārtas un mehānismi</c:v>
                </c:pt>
              </c:strCache>
            </c:strRef>
          </c:tx>
          <c:spPr>
            <a:ln w="28575" cap="rnd">
              <a:solidFill>
                <a:schemeClr val="accent2">
                  <a:lumMod val="75000"/>
                </a:schemeClr>
              </a:solidFill>
              <a:round/>
            </a:ln>
            <a:effectLst/>
          </c:spPr>
          <c:marker>
            <c:symbol val="none"/>
          </c:marker>
          <c:cat>
            <c:strLit>
              <c:ptCount val="31"/>
              <c:pt idx="0">
                <c:v>2022 I</c:v>
              </c:pt>
              <c:pt idx="1">
                <c:v>2022 II</c:v>
              </c:pt>
              <c:pt idx="2">
                <c:v>2022 III</c:v>
              </c:pt>
              <c:pt idx="3">
                <c:v>2022 IV</c:v>
              </c:pt>
              <c:pt idx="4">
                <c:v>2022 V</c:v>
              </c:pt>
              <c:pt idx="5">
                <c:v>2022 VI</c:v>
              </c:pt>
              <c:pt idx="6">
                <c:v>2022 VII</c:v>
              </c:pt>
              <c:pt idx="7">
                <c:v>2022 VIII</c:v>
              </c:pt>
              <c:pt idx="8">
                <c:v>2022 IX</c:v>
              </c:pt>
              <c:pt idx="9">
                <c:v>2022 X</c:v>
              </c:pt>
              <c:pt idx="10">
                <c:v>2022 XI</c:v>
              </c:pt>
              <c:pt idx="11">
                <c:v>2022 XII</c:v>
              </c:pt>
              <c:pt idx="12">
                <c:v>2023 I</c:v>
              </c:pt>
              <c:pt idx="13">
                <c:v>2023 II</c:v>
              </c:pt>
              <c:pt idx="14">
                <c:v>2023 III</c:v>
              </c:pt>
              <c:pt idx="15">
                <c:v>2023 IV</c:v>
              </c:pt>
              <c:pt idx="16">
                <c:v>2023 V</c:v>
              </c:pt>
              <c:pt idx="17">
                <c:v>2023 VI</c:v>
              </c:pt>
              <c:pt idx="18">
                <c:v>2023 VII</c:v>
              </c:pt>
              <c:pt idx="19">
                <c:v>2023 VIII</c:v>
              </c:pt>
              <c:pt idx="20">
                <c:v>2023 IX</c:v>
              </c:pt>
              <c:pt idx="21">
                <c:v>2023 X</c:v>
              </c:pt>
              <c:pt idx="22">
                <c:v>2023 XI</c:v>
              </c:pt>
              <c:pt idx="23">
                <c:v>2023 XII</c:v>
              </c:pt>
              <c:pt idx="24">
                <c:v>2024 I</c:v>
              </c:pt>
              <c:pt idx="25">
                <c:v>2024 II</c:v>
              </c:pt>
              <c:pt idx="26">
                <c:v>2024 III</c:v>
              </c:pt>
              <c:pt idx="27">
                <c:v>2024 IV</c:v>
              </c:pt>
              <c:pt idx="28">
                <c:v>2024 V</c:v>
              </c:pt>
              <c:pt idx="29">
                <c:v>2024 VI</c:v>
              </c:pt>
              <c:pt idx="30">
                <c:v>2024 VII</c:v>
              </c:pt>
              <c:extLst>
                <c:ext xmlns:c15="http://schemas.microsoft.com/office/drawing/2012/chart" uri="{02D57815-91ED-43cb-92C2-25804820EDAC}">
                  <c15:autoCat val="1"/>
                </c:ext>
              </c:extLst>
            </c:strLit>
          </c:cat>
          <c:val>
            <c:numRef>
              <c:f>Mēneši!$BK$13:$CO$13</c:f>
              <c:numCache>
                <c:formatCode>0.0%</c:formatCode>
                <c:ptCount val="31"/>
                <c:pt idx="0">
                  <c:v>9.6273291925465854E-2</c:v>
                </c:pt>
                <c:pt idx="1">
                  <c:v>0.13236814891416748</c:v>
                </c:pt>
                <c:pt idx="2">
                  <c:v>0.1531346351490237</c:v>
                </c:pt>
                <c:pt idx="3">
                  <c:v>0.17192268565615465</c:v>
                </c:pt>
                <c:pt idx="4">
                  <c:v>0.17860746720484366</c:v>
                </c:pt>
                <c:pt idx="5">
                  <c:v>0.18391959798994972</c:v>
                </c:pt>
                <c:pt idx="6">
                  <c:v>0.18562874251497008</c:v>
                </c:pt>
                <c:pt idx="7">
                  <c:v>0.18217821782178234</c:v>
                </c:pt>
                <c:pt idx="8">
                  <c:v>0.17629774730656211</c:v>
                </c:pt>
                <c:pt idx="9">
                  <c:v>0.1845703125</c:v>
                </c:pt>
                <c:pt idx="10">
                  <c:v>0.18155339805825244</c:v>
                </c:pt>
                <c:pt idx="11">
                  <c:v>0.17437379576107914</c:v>
                </c:pt>
                <c:pt idx="12">
                  <c:v>0.16052880075542975</c:v>
                </c:pt>
                <c:pt idx="13">
                  <c:v>0.1260273972602739</c:v>
                </c:pt>
                <c:pt idx="14">
                  <c:v>0.10071301247771824</c:v>
                </c:pt>
                <c:pt idx="15">
                  <c:v>7.899305555555558E-2</c:v>
                </c:pt>
                <c:pt idx="16">
                  <c:v>6.7636986301369939E-2</c:v>
                </c:pt>
                <c:pt idx="17">
                  <c:v>5.7724957555178147E-2</c:v>
                </c:pt>
                <c:pt idx="18">
                  <c:v>5.3030303030302983E-2</c:v>
                </c:pt>
                <c:pt idx="19">
                  <c:v>4.7738693467336502E-2</c:v>
                </c:pt>
                <c:pt idx="20">
                  <c:v>4.9125728559533677E-2</c:v>
                </c:pt>
                <c:pt idx="21">
                  <c:v>4.2044517724649788E-2</c:v>
                </c:pt>
                <c:pt idx="22">
                  <c:v>3.9441248972884146E-2</c:v>
                </c:pt>
                <c:pt idx="23">
                  <c:v>3.855619360131235E-2</c:v>
                </c:pt>
                <c:pt idx="24">
                  <c:v>3.6615134255492343E-2</c:v>
                </c:pt>
                <c:pt idx="25">
                  <c:v>3.5685320356853234E-2</c:v>
                </c:pt>
                <c:pt idx="26">
                  <c:v>3.4817813765182226E-2</c:v>
                </c:pt>
                <c:pt idx="27">
                  <c:v>3.137570394207545E-2</c:v>
                </c:pt>
                <c:pt idx="28">
                  <c:v>3.2076984763432126E-2</c:v>
                </c:pt>
                <c:pt idx="29">
                  <c:v>3.3707865168539408E-2</c:v>
                </c:pt>
                <c:pt idx="30">
                  <c:v>3.1974420463629194E-2</c:v>
                </c:pt>
              </c:numCache>
              <c:extLst/>
            </c:numRef>
          </c:val>
          <c:smooth val="0"/>
          <c:extLst>
            <c:ext xmlns:c16="http://schemas.microsoft.com/office/drawing/2014/chart" uri="{C3380CC4-5D6E-409C-BE32-E72D297353CC}">
              <c16:uniqueId val="{00000002-27AF-486C-9AD5-09F36E35F538}"/>
            </c:ext>
          </c:extLst>
        </c:ser>
        <c:ser>
          <c:idx val="3"/>
          <c:order val="3"/>
          <c:tx>
            <c:strRef>
              <c:f>Mēneši!$B$14</c:f>
              <c:strCache>
                <c:ptCount val="1"/>
                <c:pt idx="0">
                  <c:v>Būvmateriāli</c:v>
                </c:pt>
              </c:strCache>
            </c:strRef>
          </c:tx>
          <c:spPr>
            <a:ln w="28575" cap="rnd">
              <a:solidFill>
                <a:schemeClr val="accent6">
                  <a:lumMod val="75000"/>
                </a:schemeClr>
              </a:solidFill>
              <a:round/>
            </a:ln>
            <a:effectLst/>
          </c:spPr>
          <c:marker>
            <c:symbol val="none"/>
          </c:marker>
          <c:cat>
            <c:strLit>
              <c:ptCount val="31"/>
              <c:pt idx="0">
                <c:v>2022 I</c:v>
              </c:pt>
              <c:pt idx="1">
                <c:v>2022 II</c:v>
              </c:pt>
              <c:pt idx="2">
                <c:v>2022 III</c:v>
              </c:pt>
              <c:pt idx="3">
                <c:v>2022 IV</c:v>
              </c:pt>
              <c:pt idx="4">
                <c:v>2022 V</c:v>
              </c:pt>
              <c:pt idx="5">
                <c:v>2022 VI</c:v>
              </c:pt>
              <c:pt idx="6">
                <c:v>2022 VII</c:v>
              </c:pt>
              <c:pt idx="7">
                <c:v>2022 VIII</c:v>
              </c:pt>
              <c:pt idx="8">
                <c:v>2022 IX</c:v>
              </c:pt>
              <c:pt idx="9">
                <c:v>2022 X</c:v>
              </c:pt>
              <c:pt idx="10">
                <c:v>2022 XI</c:v>
              </c:pt>
              <c:pt idx="11">
                <c:v>2022 XII</c:v>
              </c:pt>
              <c:pt idx="12">
                <c:v>2023 I</c:v>
              </c:pt>
              <c:pt idx="13">
                <c:v>2023 II</c:v>
              </c:pt>
              <c:pt idx="14">
                <c:v>2023 III</c:v>
              </c:pt>
              <c:pt idx="15">
                <c:v>2023 IV</c:v>
              </c:pt>
              <c:pt idx="16">
                <c:v>2023 V</c:v>
              </c:pt>
              <c:pt idx="17">
                <c:v>2023 VI</c:v>
              </c:pt>
              <c:pt idx="18">
                <c:v>2023 VII</c:v>
              </c:pt>
              <c:pt idx="19">
                <c:v>2023 VIII</c:v>
              </c:pt>
              <c:pt idx="20">
                <c:v>2023 IX</c:v>
              </c:pt>
              <c:pt idx="21">
                <c:v>2023 X</c:v>
              </c:pt>
              <c:pt idx="22">
                <c:v>2023 XI</c:v>
              </c:pt>
              <c:pt idx="23">
                <c:v>2023 XII</c:v>
              </c:pt>
              <c:pt idx="24">
                <c:v>2024 I</c:v>
              </c:pt>
              <c:pt idx="25">
                <c:v>2024 II</c:v>
              </c:pt>
              <c:pt idx="26">
                <c:v>2024 III</c:v>
              </c:pt>
              <c:pt idx="27">
                <c:v>2024 IV</c:v>
              </c:pt>
              <c:pt idx="28">
                <c:v>2024 V</c:v>
              </c:pt>
              <c:pt idx="29">
                <c:v>2024 VI</c:v>
              </c:pt>
              <c:pt idx="30">
                <c:v>2024 VII</c:v>
              </c:pt>
              <c:extLst>
                <c:ext xmlns:c15="http://schemas.microsoft.com/office/drawing/2012/chart" uri="{02D57815-91ED-43cb-92C2-25804820EDAC}">
                  <c15:autoCat val="1"/>
                </c:ext>
              </c:extLst>
            </c:strLit>
          </c:cat>
          <c:val>
            <c:numRef>
              <c:f>Mēneši!$BK$14:$CO$14</c:f>
              <c:numCache>
                <c:formatCode>0.0%</c:formatCode>
                <c:ptCount val="31"/>
                <c:pt idx="0">
                  <c:v>0.20414847161572047</c:v>
                </c:pt>
                <c:pt idx="1">
                  <c:v>0.2326839826839826</c:v>
                </c:pt>
                <c:pt idx="2">
                  <c:v>0.25131440588853837</c:v>
                </c:pt>
                <c:pt idx="3">
                  <c:v>0.30347734457323483</c:v>
                </c:pt>
                <c:pt idx="4">
                  <c:v>0.31101956745623083</c:v>
                </c:pt>
                <c:pt idx="5">
                  <c:v>0.29828109201213349</c:v>
                </c:pt>
                <c:pt idx="6">
                  <c:v>0.28066732090284585</c:v>
                </c:pt>
                <c:pt idx="7">
                  <c:v>0.26841085271317833</c:v>
                </c:pt>
                <c:pt idx="8">
                  <c:v>0.26685934489402707</c:v>
                </c:pt>
                <c:pt idx="9">
                  <c:v>0.24694835680751193</c:v>
                </c:pt>
                <c:pt idx="10">
                  <c:v>0.24626865671641784</c:v>
                </c:pt>
                <c:pt idx="11">
                  <c:v>0.24558139534883727</c:v>
                </c:pt>
                <c:pt idx="12">
                  <c:v>0.2184950135992747</c:v>
                </c:pt>
                <c:pt idx="13">
                  <c:v>0.17295873573309906</c:v>
                </c:pt>
                <c:pt idx="14">
                  <c:v>0.12268907563025211</c:v>
                </c:pt>
                <c:pt idx="15">
                  <c:v>6.7097817299919038E-2</c:v>
                </c:pt>
                <c:pt idx="16">
                  <c:v>3.4564021995286742E-2</c:v>
                </c:pt>
                <c:pt idx="17">
                  <c:v>2.1806853582554409E-2</c:v>
                </c:pt>
                <c:pt idx="18">
                  <c:v>7.6628352490422103E-3</c:v>
                </c:pt>
                <c:pt idx="19">
                  <c:v>6.1115355233001267E-3</c:v>
                </c:pt>
                <c:pt idx="20">
                  <c:v>-7.6045627376419844E-4</c:v>
                </c:pt>
                <c:pt idx="21">
                  <c:v>-1.4307228915662717E-2</c:v>
                </c:pt>
                <c:pt idx="22">
                  <c:v>-1.6467065868263409E-2</c:v>
                </c:pt>
                <c:pt idx="23">
                  <c:v>-1.7176997759522084E-2</c:v>
                </c:pt>
                <c:pt idx="24">
                  <c:v>-1.4880952380952328E-2</c:v>
                </c:pt>
                <c:pt idx="25">
                  <c:v>-6.7365269461078237E-3</c:v>
                </c:pt>
                <c:pt idx="26">
                  <c:v>-9.7305389221555849E-3</c:v>
                </c:pt>
                <c:pt idx="27">
                  <c:v>1.5151515151514694E-3</c:v>
                </c:pt>
                <c:pt idx="28">
                  <c:v>-7.593014426726663E-4</c:v>
                </c:pt>
                <c:pt idx="29">
                  <c:v>-3.0487804878046587E-3</c:v>
                </c:pt>
                <c:pt idx="30">
                  <c:v>-1.5209125475283969E-3</c:v>
                </c:pt>
              </c:numCache>
              <c:extLst/>
            </c:numRef>
          </c:val>
          <c:smooth val="0"/>
          <c:extLst>
            <c:ext xmlns:c16="http://schemas.microsoft.com/office/drawing/2014/chart" uri="{C3380CC4-5D6E-409C-BE32-E72D297353CC}">
              <c16:uniqueId val="{00000003-27AF-486C-9AD5-09F36E35F538}"/>
            </c:ext>
          </c:extLst>
        </c:ser>
        <c:dLbls>
          <c:showLegendKey val="0"/>
          <c:showVal val="0"/>
          <c:showCatName val="0"/>
          <c:showSerName val="0"/>
          <c:showPercent val="0"/>
          <c:showBubbleSize val="0"/>
        </c:dLbls>
        <c:marker val="1"/>
        <c:smooth val="0"/>
        <c:axId val="993400208"/>
        <c:axId val="993598960"/>
      </c:lineChart>
      <c:catAx>
        <c:axId val="9934002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993598960"/>
        <c:crosses val="autoZero"/>
        <c:auto val="1"/>
        <c:lblAlgn val="ctr"/>
        <c:lblOffset val="100"/>
        <c:noMultiLvlLbl val="0"/>
      </c:catAx>
      <c:valAx>
        <c:axId val="9935989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993400208"/>
        <c:crosses val="autoZero"/>
        <c:crossBetween val="between"/>
      </c:valAx>
      <c:spPr>
        <a:noFill/>
        <a:ln>
          <a:noFill/>
        </a:ln>
        <a:effectLst/>
      </c:spPr>
    </c:plotArea>
    <c:legend>
      <c:legendPos val="b"/>
      <c:layout>
        <c:manualLayout>
          <c:xMode val="edge"/>
          <c:yMode val="edge"/>
          <c:x val="2.3331582709397058E-2"/>
          <c:y val="0.9040873439386734"/>
          <c:w val="0.96296842620172096"/>
          <c:h val="9.5912656061326595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888271017091007E-2"/>
          <c:y val="7.228822236635242E-2"/>
          <c:w val="0.91393886934345969"/>
          <c:h val="0.49837195806913581"/>
        </c:manualLayout>
      </c:layout>
      <c:barChart>
        <c:barDir val="col"/>
        <c:grouping val="stacked"/>
        <c:varyColors val="0"/>
        <c:ser>
          <c:idx val="6"/>
          <c:order val="0"/>
          <c:tx>
            <c:strRef>
              <c:f>Atļaujas!$B$66</c:f>
              <c:strCache>
                <c:ptCount val="1"/>
                <c:pt idx="0">
                  <c:v>Pārējās</c:v>
                </c:pt>
              </c:strCache>
            </c:strRef>
          </c:tx>
          <c:spPr>
            <a:solidFill>
              <a:srgbClr val="0070C0"/>
            </a:solidFill>
            <a:ln>
              <a:noFill/>
            </a:ln>
            <a:effectLst/>
          </c:spPr>
          <c:invertIfNegative val="0"/>
          <c:cat>
            <c:multiLvlStrRef>
              <c:f>Atļaujas!$BW$50:$CL$51</c:f>
              <c:multiLvlStrCache>
                <c:ptCount val="1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lvl>
                <c:lvl>
                  <c:pt idx="0">
                    <c:v>2021</c:v>
                  </c:pt>
                  <c:pt idx="4">
                    <c:v>2022</c:v>
                  </c:pt>
                  <c:pt idx="8">
                    <c:v>2023</c:v>
                  </c:pt>
                  <c:pt idx="12">
                    <c:v>2024</c:v>
                  </c:pt>
                </c:lvl>
              </c:multiLvlStrCache>
              <c:extLst/>
            </c:multiLvlStrRef>
          </c:cat>
          <c:val>
            <c:numRef>
              <c:f>Atļaujas!$BW$66:$CJ$66</c:f>
              <c:numCache>
                <c:formatCode>0</c:formatCode>
                <c:ptCount val="14"/>
                <c:pt idx="0">
                  <c:v>90</c:v>
                </c:pt>
                <c:pt idx="1">
                  <c:v>66</c:v>
                </c:pt>
                <c:pt idx="2">
                  <c:v>159.70000000000005</c:v>
                </c:pt>
                <c:pt idx="3">
                  <c:v>66.099999999999966</c:v>
                </c:pt>
                <c:pt idx="4">
                  <c:v>78</c:v>
                </c:pt>
                <c:pt idx="5">
                  <c:v>81.5</c:v>
                </c:pt>
                <c:pt idx="6">
                  <c:v>78.200000000000045</c:v>
                </c:pt>
                <c:pt idx="7">
                  <c:v>68.000000000000057</c:v>
                </c:pt>
                <c:pt idx="8">
                  <c:v>84.900000000000034</c:v>
                </c:pt>
                <c:pt idx="9">
                  <c:v>81.800000000000068</c:v>
                </c:pt>
                <c:pt idx="10">
                  <c:v>75.89999999999992</c:v>
                </c:pt>
                <c:pt idx="11">
                  <c:v>61.100000000000023</c:v>
                </c:pt>
                <c:pt idx="12">
                  <c:v>76.199999999999989</c:v>
                </c:pt>
                <c:pt idx="13">
                  <c:v>99.100000000000136</c:v>
                </c:pt>
              </c:numCache>
              <c:extLst/>
            </c:numRef>
          </c:val>
          <c:extLst>
            <c:ext xmlns:c16="http://schemas.microsoft.com/office/drawing/2014/chart" uri="{C3380CC4-5D6E-409C-BE32-E72D297353CC}">
              <c16:uniqueId val="{00000000-6AAB-4E4F-A9EB-E37ADC616712}"/>
            </c:ext>
          </c:extLst>
        </c:ser>
        <c:ser>
          <c:idx val="3"/>
          <c:order val="1"/>
          <c:tx>
            <c:strRef>
              <c:f>Atļaujas!$B$58</c:f>
              <c:strCache>
                <c:ptCount val="1"/>
                <c:pt idx="0">
                  <c:v>Biroju ēkas</c:v>
                </c:pt>
              </c:strCache>
            </c:strRef>
          </c:tx>
          <c:spPr>
            <a:solidFill>
              <a:schemeClr val="accent4">
                <a:lumMod val="60000"/>
                <a:lumOff val="40000"/>
              </a:schemeClr>
            </a:solidFill>
            <a:ln>
              <a:noFill/>
            </a:ln>
            <a:effectLst/>
          </c:spPr>
          <c:invertIfNegative val="0"/>
          <c:cat>
            <c:multiLvlStrRef>
              <c:f>Atļaujas!$BW$50:$CL$51</c:f>
              <c:multiLvlStrCache>
                <c:ptCount val="1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lvl>
                <c:lvl>
                  <c:pt idx="0">
                    <c:v>2021</c:v>
                  </c:pt>
                  <c:pt idx="4">
                    <c:v>2022</c:v>
                  </c:pt>
                  <c:pt idx="8">
                    <c:v>2023</c:v>
                  </c:pt>
                  <c:pt idx="12">
                    <c:v>2024</c:v>
                  </c:pt>
                </c:lvl>
              </c:multiLvlStrCache>
              <c:extLst/>
            </c:multiLvlStrRef>
          </c:cat>
          <c:val>
            <c:numRef>
              <c:f>Atļaujas!$BW$58:$CJ$58</c:f>
              <c:numCache>
                <c:formatCode>0.0</c:formatCode>
                <c:ptCount val="14"/>
                <c:pt idx="0">
                  <c:v>6.5</c:v>
                </c:pt>
                <c:pt idx="1">
                  <c:v>25.6</c:v>
                </c:pt>
                <c:pt idx="2" formatCode="General">
                  <c:v>126.8</c:v>
                </c:pt>
                <c:pt idx="3" formatCode="General">
                  <c:v>13.8</c:v>
                </c:pt>
                <c:pt idx="4" formatCode="General">
                  <c:v>30.3</c:v>
                </c:pt>
                <c:pt idx="5" formatCode="General">
                  <c:v>17.5</c:v>
                </c:pt>
                <c:pt idx="6" formatCode="General">
                  <c:v>8.9</c:v>
                </c:pt>
                <c:pt idx="7" formatCode="General">
                  <c:v>3.8</c:v>
                </c:pt>
                <c:pt idx="8" formatCode="General">
                  <c:v>82.2</c:v>
                </c:pt>
                <c:pt idx="9" formatCode="General">
                  <c:v>5.7</c:v>
                </c:pt>
                <c:pt idx="10" formatCode="General">
                  <c:v>11.9</c:v>
                </c:pt>
                <c:pt idx="11" formatCode="General">
                  <c:v>12.3</c:v>
                </c:pt>
                <c:pt idx="12" formatCode="General">
                  <c:v>7.7</c:v>
                </c:pt>
                <c:pt idx="13" formatCode="General">
                  <c:v>27.5</c:v>
                </c:pt>
              </c:numCache>
              <c:extLst/>
            </c:numRef>
          </c:val>
          <c:extLst>
            <c:ext xmlns:c16="http://schemas.microsoft.com/office/drawing/2014/chart" uri="{C3380CC4-5D6E-409C-BE32-E72D297353CC}">
              <c16:uniqueId val="{00000001-6AAB-4E4F-A9EB-E37ADC616712}"/>
            </c:ext>
          </c:extLst>
        </c:ser>
        <c:ser>
          <c:idx val="5"/>
          <c:order val="2"/>
          <c:tx>
            <c:strRef>
              <c:f>Atļaujas!$B$61</c:f>
              <c:strCache>
                <c:ptCount val="1"/>
                <c:pt idx="0">
                  <c:v>Ražošanas</c:v>
                </c:pt>
              </c:strCache>
            </c:strRef>
          </c:tx>
          <c:spPr>
            <a:solidFill>
              <a:schemeClr val="tx1">
                <a:lumMod val="65000"/>
                <a:lumOff val="35000"/>
              </a:schemeClr>
            </a:solidFill>
            <a:ln>
              <a:noFill/>
            </a:ln>
            <a:effectLst/>
          </c:spPr>
          <c:invertIfNegative val="0"/>
          <c:cat>
            <c:multiLvlStrRef>
              <c:f>Atļaujas!$BW$50:$CL$51</c:f>
              <c:multiLvlStrCache>
                <c:ptCount val="1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lvl>
                <c:lvl>
                  <c:pt idx="0">
                    <c:v>2021</c:v>
                  </c:pt>
                  <c:pt idx="4">
                    <c:v>2022</c:v>
                  </c:pt>
                  <c:pt idx="8">
                    <c:v>2023</c:v>
                  </c:pt>
                  <c:pt idx="12">
                    <c:v>2024</c:v>
                  </c:pt>
                </c:lvl>
              </c:multiLvlStrCache>
              <c:extLst/>
            </c:multiLvlStrRef>
          </c:cat>
          <c:val>
            <c:numRef>
              <c:f>Atļaujas!$BW$61:$CJ$61</c:f>
              <c:numCache>
                <c:formatCode>0.0</c:formatCode>
                <c:ptCount val="14"/>
                <c:pt idx="0">
                  <c:v>95.9</c:v>
                </c:pt>
                <c:pt idx="1">
                  <c:v>171.7</c:v>
                </c:pt>
                <c:pt idx="2" formatCode="General">
                  <c:v>132.30000000000001</c:v>
                </c:pt>
                <c:pt idx="3" formatCode="General">
                  <c:v>93.3</c:v>
                </c:pt>
                <c:pt idx="4" formatCode="General">
                  <c:v>70.2</c:v>
                </c:pt>
                <c:pt idx="5" formatCode="General">
                  <c:v>76.2</c:v>
                </c:pt>
                <c:pt idx="6" formatCode="General">
                  <c:v>144.5</c:v>
                </c:pt>
                <c:pt idx="7" formatCode="General">
                  <c:v>149.1</c:v>
                </c:pt>
                <c:pt idx="8" formatCode="General">
                  <c:v>116.9</c:v>
                </c:pt>
                <c:pt idx="9" formatCode="General">
                  <c:v>95.7</c:v>
                </c:pt>
                <c:pt idx="10" formatCode="General">
                  <c:v>103.7</c:v>
                </c:pt>
                <c:pt idx="11" formatCode="General">
                  <c:v>158.5</c:v>
                </c:pt>
                <c:pt idx="12" formatCode="General">
                  <c:v>43.5</c:v>
                </c:pt>
                <c:pt idx="13" formatCode="General">
                  <c:v>174.3</c:v>
                </c:pt>
              </c:numCache>
              <c:extLst/>
            </c:numRef>
          </c:val>
          <c:extLst>
            <c:ext xmlns:c16="http://schemas.microsoft.com/office/drawing/2014/chart" uri="{C3380CC4-5D6E-409C-BE32-E72D297353CC}">
              <c16:uniqueId val="{00000002-6AAB-4E4F-A9EB-E37ADC616712}"/>
            </c:ext>
          </c:extLst>
        </c:ser>
        <c:ser>
          <c:idx val="0"/>
          <c:order val="3"/>
          <c:tx>
            <c:strRef>
              <c:f>Atļaujas!$B$52</c:f>
              <c:strCache>
                <c:ptCount val="1"/>
                <c:pt idx="0">
                  <c:v>Viena dzīvokļa/vasarnīcas</c:v>
                </c:pt>
              </c:strCache>
            </c:strRef>
          </c:tx>
          <c:spPr>
            <a:solidFill>
              <a:schemeClr val="accent6"/>
            </a:solidFill>
            <a:ln>
              <a:noFill/>
            </a:ln>
            <a:effectLst/>
          </c:spPr>
          <c:invertIfNegative val="0"/>
          <c:cat>
            <c:multiLvlStrRef>
              <c:f>Atļaujas!$BW$50:$CL$51</c:f>
              <c:multiLvlStrCache>
                <c:ptCount val="1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lvl>
                <c:lvl>
                  <c:pt idx="0">
                    <c:v>2021</c:v>
                  </c:pt>
                  <c:pt idx="4">
                    <c:v>2022</c:v>
                  </c:pt>
                  <c:pt idx="8">
                    <c:v>2023</c:v>
                  </c:pt>
                  <c:pt idx="12">
                    <c:v>2024</c:v>
                  </c:pt>
                </c:lvl>
              </c:multiLvlStrCache>
              <c:extLst/>
            </c:multiLvlStrRef>
          </c:cat>
          <c:val>
            <c:numRef>
              <c:f>Atļaujas!$BW$52:$CJ$52</c:f>
              <c:numCache>
                <c:formatCode>0.0</c:formatCode>
                <c:ptCount val="14"/>
                <c:pt idx="0">
                  <c:v>122.6</c:v>
                </c:pt>
                <c:pt idx="1">
                  <c:v>180.3</c:v>
                </c:pt>
                <c:pt idx="2" formatCode="General">
                  <c:v>179.8</c:v>
                </c:pt>
                <c:pt idx="3" formatCode="General">
                  <c:v>137.1</c:v>
                </c:pt>
                <c:pt idx="4" formatCode="General">
                  <c:v>108.6</c:v>
                </c:pt>
                <c:pt idx="5" formatCode="General">
                  <c:v>172.7</c:v>
                </c:pt>
                <c:pt idx="6" formatCode="General">
                  <c:v>174.7</c:v>
                </c:pt>
                <c:pt idx="7" formatCode="General">
                  <c:v>139.6</c:v>
                </c:pt>
                <c:pt idx="8" formatCode="General">
                  <c:v>129</c:v>
                </c:pt>
                <c:pt idx="9" formatCode="General">
                  <c:v>161</c:v>
                </c:pt>
                <c:pt idx="10" formatCode="General">
                  <c:v>162.5</c:v>
                </c:pt>
                <c:pt idx="11" formatCode="General">
                  <c:v>114.2</c:v>
                </c:pt>
                <c:pt idx="12" formatCode="General">
                  <c:v>124.3</c:v>
                </c:pt>
                <c:pt idx="13" formatCode="General">
                  <c:v>183.7</c:v>
                </c:pt>
              </c:numCache>
              <c:extLst/>
            </c:numRef>
          </c:val>
          <c:extLst>
            <c:ext xmlns:c16="http://schemas.microsoft.com/office/drawing/2014/chart" uri="{C3380CC4-5D6E-409C-BE32-E72D297353CC}">
              <c16:uniqueId val="{00000003-6AAB-4E4F-A9EB-E37ADC616712}"/>
            </c:ext>
          </c:extLst>
        </c:ser>
        <c:ser>
          <c:idx val="8"/>
          <c:order val="4"/>
          <c:tx>
            <c:strRef>
              <c:f>Atļaujas!$B$55</c:f>
              <c:strCache>
                <c:ptCount val="1"/>
                <c:pt idx="0">
                  <c:v>Vairāku dzīvokļu</c:v>
                </c:pt>
              </c:strCache>
            </c:strRef>
          </c:tx>
          <c:spPr>
            <a:solidFill>
              <a:srgbClr val="FF0000"/>
            </a:solidFill>
            <a:ln>
              <a:noFill/>
            </a:ln>
            <a:effectLst/>
          </c:spPr>
          <c:invertIfNegative val="0"/>
          <c:cat>
            <c:multiLvlStrRef>
              <c:f>Atļaujas!$BW$50:$CL$51</c:f>
              <c:multiLvlStrCache>
                <c:ptCount val="1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lvl>
                <c:lvl>
                  <c:pt idx="0">
                    <c:v>2021</c:v>
                  </c:pt>
                  <c:pt idx="4">
                    <c:v>2022</c:v>
                  </c:pt>
                  <c:pt idx="8">
                    <c:v>2023</c:v>
                  </c:pt>
                  <c:pt idx="12">
                    <c:v>2024</c:v>
                  </c:pt>
                </c:lvl>
              </c:multiLvlStrCache>
              <c:extLst/>
            </c:multiLvlStrRef>
          </c:cat>
          <c:val>
            <c:numRef>
              <c:f>Atļaujas!$BW$55:$CJ$55</c:f>
              <c:numCache>
                <c:formatCode>0.0</c:formatCode>
                <c:ptCount val="14"/>
                <c:pt idx="0">
                  <c:v>45.3</c:v>
                </c:pt>
                <c:pt idx="1">
                  <c:v>60.3</c:v>
                </c:pt>
                <c:pt idx="2" formatCode="General">
                  <c:v>68.3</c:v>
                </c:pt>
                <c:pt idx="3" formatCode="General">
                  <c:v>103.1</c:v>
                </c:pt>
                <c:pt idx="4" formatCode="General">
                  <c:v>113.6</c:v>
                </c:pt>
                <c:pt idx="5" formatCode="General">
                  <c:v>61.5</c:v>
                </c:pt>
                <c:pt idx="6" formatCode="General">
                  <c:v>63.1</c:v>
                </c:pt>
                <c:pt idx="7" formatCode="General">
                  <c:v>53.6</c:v>
                </c:pt>
                <c:pt idx="8" formatCode="General">
                  <c:v>41.2</c:v>
                </c:pt>
                <c:pt idx="9" formatCode="General">
                  <c:v>80.5</c:v>
                </c:pt>
                <c:pt idx="10" formatCode="General">
                  <c:v>59.9</c:v>
                </c:pt>
                <c:pt idx="11" formatCode="General">
                  <c:v>68.8</c:v>
                </c:pt>
                <c:pt idx="12" formatCode="General">
                  <c:v>26.3</c:v>
                </c:pt>
                <c:pt idx="13" formatCode="General">
                  <c:v>105.4</c:v>
                </c:pt>
              </c:numCache>
              <c:extLst/>
            </c:numRef>
          </c:val>
          <c:extLst>
            <c:ext xmlns:c16="http://schemas.microsoft.com/office/drawing/2014/chart" uri="{C3380CC4-5D6E-409C-BE32-E72D297353CC}">
              <c16:uniqueId val="{00000004-6AAB-4E4F-A9EB-E37ADC616712}"/>
            </c:ext>
          </c:extLst>
        </c:ser>
        <c:ser>
          <c:idx val="9"/>
          <c:order val="5"/>
          <c:tx>
            <c:strRef>
              <c:f>Atļaujas!$B$59</c:f>
              <c:strCache>
                <c:ptCount val="1"/>
                <c:pt idx="0">
                  <c:v>Tirdzniecības</c:v>
                </c:pt>
              </c:strCache>
            </c:strRef>
          </c:tx>
          <c:spPr>
            <a:solidFill>
              <a:schemeClr val="accent4">
                <a:lumMod val="60000"/>
              </a:schemeClr>
            </a:solidFill>
            <a:ln>
              <a:noFill/>
            </a:ln>
            <a:effectLst/>
          </c:spPr>
          <c:invertIfNegative val="0"/>
          <c:cat>
            <c:multiLvlStrRef>
              <c:f>Atļaujas!$BW$50:$CL$51</c:f>
              <c:multiLvlStrCache>
                <c:ptCount val="1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lvl>
                <c:lvl>
                  <c:pt idx="0">
                    <c:v>2021</c:v>
                  </c:pt>
                  <c:pt idx="4">
                    <c:v>2022</c:v>
                  </c:pt>
                  <c:pt idx="8">
                    <c:v>2023</c:v>
                  </c:pt>
                  <c:pt idx="12">
                    <c:v>2024</c:v>
                  </c:pt>
                </c:lvl>
              </c:multiLvlStrCache>
              <c:extLst/>
            </c:multiLvlStrRef>
          </c:cat>
          <c:val>
            <c:numRef>
              <c:f>Atļaujas!$BW$59:$CJ$59</c:f>
              <c:numCache>
                <c:formatCode>0.0</c:formatCode>
                <c:ptCount val="14"/>
                <c:pt idx="0">
                  <c:v>11.3</c:v>
                </c:pt>
                <c:pt idx="1">
                  <c:v>44.6</c:v>
                </c:pt>
                <c:pt idx="2" formatCode="General">
                  <c:v>43.2</c:v>
                </c:pt>
                <c:pt idx="3" formatCode="General">
                  <c:v>22.2</c:v>
                </c:pt>
                <c:pt idx="4" formatCode="General">
                  <c:v>32.1</c:v>
                </c:pt>
                <c:pt idx="5" formatCode="General">
                  <c:v>23.1</c:v>
                </c:pt>
                <c:pt idx="6" formatCode="General">
                  <c:v>19.2</c:v>
                </c:pt>
                <c:pt idx="7" formatCode="General">
                  <c:v>11.6</c:v>
                </c:pt>
                <c:pt idx="8" formatCode="General">
                  <c:v>14.8</c:v>
                </c:pt>
                <c:pt idx="9" formatCode="General">
                  <c:v>27.3</c:v>
                </c:pt>
                <c:pt idx="10" formatCode="General">
                  <c:v>17.899999999999999</c:v>
                </c:pt>
                <c:pt idx="11" formatCode="General">
                  <c:v>45.2</c:v>
                </c:pt>
                <c:pt idx="12" formatCode="General">
                  <c:v>60.9</c:v>
                </c:pt>
                <c:pt idx="13" formatCode="General">
                  <c:v>41.4</c:v>
                </c:pt>
              </c:numCache>
              <c:extLst/>
            </c:numRef>
          </c:val>
          <c:extLst>
            <c:ext xmlns:c16="http://schemas.microsoft.com/office/drawing/2014/chart" uri="{C3380CC4-5D6E-409C-BE32-E72D297353CC}">
              <c16:uniqueId val="{00000005-6AAB-4E4F-A9EB-E37ADC616712}"/>
            </c:ext>
          </c:extLst>
        </c:ser>
        <c:ser>
          <c:idx val="10"/>
          <c:order val="6"/>
          <c:tx>
            <c:strRef>
              <c:f>Atļaujas!$B$62</c:f>
              <c:strCache>
                <c:ptCount val="1"/>
                <c:pt idx="0">
                  <c:v>Publiskās</c:v>
                </c:pt>
              </c:strCache>
            </c:strRef>
          </c:tx>
          <c:spPr>
            <a:solidFill>
              <a:srgbClr val="7030A0"/>
            </a:solidFill>
            <a:ln>
              <a:noFill/>
            </a:ln>
            <a:effectLst/>
          </c:spPr>
          <c:invertIfNegative val="0"/>
          <c:cat>
            <c:multiLvlStrRef>
              <c:f>Atļaujas!$BW$50:$CL$51</c:f>
              <c:multiLvlStrCache>
                <c:ptCount val="1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lvl>
                <c:lvl>
                  <c:pt idx="0">
                    <c:v>2021</c:v>
                  </c:pt>
                  <c:pt idx="4">
                    <c:v>2022</c:v>
                  </c:pt>
                  <c:pt idx="8">
                    <c:v>2023</c:v>
                  </c:pt>
                  <c:pt idx="12">
                    <c:v>2024</c:v>
                  </c:pt>
                </c:lvl>
              </c:multiLvlStrCache>
              <c:extLst/>
            </c:multiLvlStrRef>
          </c:cat>
          <c:val>
            <c:numRef>
              <c:f>Atļaujas!$BW$62:$CJ$62</c:f>
              <c:numCache>
                <c:formatCode>0.0</c:formatCode>
                <c:ptCount val="14"/>
                <c:pt idx="0">
                  <c:v>32.799999999999997</c:v>
                </c:pt>
                <c:pt idx="1">
                  <c:v>89.1</c:v>
                </c:pt>
                <c:pt idx="2" formatCode="General">
                  <c:v>476.6</c:v>
                </c:pt>
                <c:pt idx="3" formatCode="General">
                  <c:v>85.3</c:v>
                </c:pt>
                <c:pt idx="4" formatCode="General">
                  <c:v>16.3</c:v>
                </c:pt>
                <c:pt idx="5" formatCode="General">
                  <c:v>29.5</c:v>
                </c:pt>
                <c:pt idx="6" formatCode="General">
                  <c:v>31</c:v>
                </c:pt>
                <c:pt idx="7" formatCode="General">
                  <c:v>61.9</c:v>
                </c:pt>
                <c:pt idx="8" formatCode="General">
                  <c:v>38.6</c:v>
                </c:pt>
                <c:pt idx="9" formatCode="General">
                  <c:v>24.7</c:v>
                </c:pt>
                <c:pt idx="10" formatCode="General">
                  <c:v>34.4</c:v>
                </c:pt>
                <c:pt idx="11" formatCode="General">
                  <c:v>18.7</c:v>
                </c:pt>
                <c:pt idx="12" formatCode="General">
                  <c:v>10.9</c:v>
                </c:pt>
                <c:pt idx="13" formatCode="General">
                  <c:v>24.1</c:v>
                </c:pt>
              </c:numCache>
              <c:extLst/>
            </c:numRef>
          </c:val>
          <c:extLst>
            <c:ext xmlns:c16="http://schemas.microsoft.com/office/drawing/2014/chart" uri="{C3380CC4-5D6E-409C-BE32-E72D297353CC}">
              <c16:uniqueId val="{00000006-6AAB-4E4F-A9EB-E37ADC616712}"/>
            </c:ext>
          </c:extLst>
        </c:ser>
        <c:dLbls>
          <c:showLegendKey val="0"/>
          <c:showVal val="0"/>
          <c:showCatName val="0"/>
          <c:showSerName val="0"/>
          <c:showPercent val="0"/>
          <c:showBubbleSize val="0"/>
        </c:dLbls>
        <c:gapWidth val="75"/>
        <c:overlap val="100"/>
        <c:axId val="281642072"/>
        <c:axId val="281639120"/>
      </c:barChart>
      <c:catAx>
        <c:axId val="281642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81639120"/>
        <c:crosses val="autoZero"/>
        <c:auto val="1"/>
        <c:lblAlgn val="ctr"/>
        <c:lblOffset val="100"/>
        <c:noMultiLvlLbl val="0"/>
      </c:catAx>
      <c:valAx>
        <c:axId val="281639120"/>
        <c:scaling>
          <c:orientation val="minMax"/>
          <c:max val="7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81642072"/>
        <c:crosses val="autoZero"/>
        <c:crossBetween val="between"/>
      </c:valAx>
      <c:spPr>
        <a:noFill/>
        <a:ln>
          <a:noFill/>
        </a:ln>
        <a:effectLst/>
      </c:spPr>
    </c:plotArea>
    <c:legend>
      <c:legendPos val="b"/>
      <c:layout>
        <c:manualLayout>
          <c:xMode val="edge"/>
          <c:yMode val="edge"/>
          <c:x val="2.5426264288598888E-2"/>
          <c:y val="0.81437500332742385"/>
          <c:w val="0.94927279587282509"/>
          <c:h val="0.1822901194145863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'Jaunie kredīti'!$B$14</c:f>
              <c:strCache>
                <c:ptCount val="1"/>
                <c:pt idx="0">
                  <c:v>mājsaimniecībām mājokļa iegādei</c:v>
                </c:pt>
              </c:strCache>
            </c:strRef>
          </c:tx>
          <c:spPr>
            <a:solidFill>
              <a:schemeClr val="accent1"/>
            </a:solidFill>
            <a:ln>
              <a:noFill/>
            </a:ln>
            <a:effectLst/>
          </c:spPr>
          <c:invertIfNegative val="0"/>
          <c:cat>
            <c:numRef>
              <c:f>'Jaunie kredīti'!$AY$13:$DM$13</c:f>
              <c:numCache>
                <c:formatCode>mmm\-yy</c:formatCode>
                <c:ptCount val="6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pt idx="45">
                  <c:v>44835</c:v>
                </c:pt>
                <c:pt idx="46">
                  <c:v>44866</c:v>
                </c:pt>
                <c:pt idx="47">
                  <c:v>44896</c:v>
                </c:pt>
                <c:pt idx="48">
                  <c:v>44927</c:v>
                </c:pt>
                <c:pt idx="49">
                  <c:v>44958</c:v>
                </c:pt>
                <c:pt idx="50">
                  <c:v>44986</c:v>
                </c:pt>
                <c:pt idx="51">
                  <c:v>45017</c:v>
                </c:pt>
                <c:pt idx="52">
                  <c:v>45047</c:v>
                </c:pt>
                <c:pt idx="53">
                  <c:v>45078</c:v>
                </c:pt>
                <c:pt idx="54">
                  <c:v>45108</c:v>
                </c:pt>
                <c:pt idx="55">
                  <c:v>45139</c:v>
                </c:pt>
                <c:pt idx="56">
                  <c:v>45170</c:v>
                </c:pt>
                <c:pt idx="57">
                  <c:v>45200</c:v>
                </c:pt>
                <c:pt idx="58">
                  <c:v>45231</c:v>
                </c:pt>
                <c:pt idx="59">
                  <c:v>45261</c:v>
                </c:pt>
                <c:pt idx="60">
                  <c:v>45292</c:v>
                </c:pt>
                <c:pt idx="61">
                  <c:v>45323</c:v>
                </c:pt>
                <c:pt idx="62">
                  <c:v>45352</c:v>
                </c:pt>
                <c:pt idx="63">
                  <c:v>45383</c:v>
                </c:pt>
                <c:pt idx="64">
                  <c:v>45413</c:v>
                </c:pt>
                <c:pt idx="65">
                  <c:v>45444</c:v>
                </c:pt>
                <c:pt idx="66">
                  <c:v>45474</c:v>
                </c:pt>
              </c:numCache>
            </c:numRef>
          </c:cat>
          <c:val>
            <c:numRef>
              <c:f>'Jaunie kredīti'!$AY$14:$DM$14</c:f>
              <c:numCache>
                <c:formatCode>#\ ##0.0</c:formatCode>
                <c:ptCount val="67"/>
                <c:pt idx="0">
                  <c:v>46.400000000000006</c:v>
                </c:pt>
                <c:pt idx="1">
                  <c:v>45.7</c:v>
                </c:pt>
                <c:pt idx="2">
                  <c:v>47.599999999999994</c:v>
                </c:pt>
                <c:pt idx="3">
                  <c:v>49.000000000000007</c:v>
                </c:pt>
                <c:pt idx="4">
                  <c:v>52.4</c:v>
                </c:pt>
                <c:pt idx="5">
                  <c:v>46.6</c:v>
                </c:pt>
                <c:pt idx="6">
                  <c:v>50.9</c:v>
                </c:pt>
                <c:pt idx="7">
                  <c:v>47.2</c:v>
                </c:pt>
                <c:pt idx="8">
                  <c:v>47.599999999999994</c:v>
                </c:pt>
                <c:pt idx="9">
                  <c:v>49.300000000000004</c:v>
                </c:pt>
                <c:pt idx="10">
                  <c:v>45.099999999999994</c:v>
                </c:pt>
                <c:pt idx="11">
                  <c:v>42.7</c:v>
                </c:pt>
                <c:pt idx="12">
                  <c:v>41.1</c:v>
                </c:pt>
                <c:pt idx="13">
                  <c:v>43.399999999999991</c:v>
                </c:pt>
                <c:pt idx="14">
                  <c:v>40.999999999999986</c:v>
                </c:pt>
                <c:pt idx="15">
                  <c:v>26.799999999999997</c:v>
                </c:pt>
                <c:pt idx="16">
                  <c:v>27.6</c:v>
                </c:pt>
                <c:pt idx="17">
                  <c:v>39.4</c:v>
                </c:pt>
                <c:pt idx="18">
                  <c:v>53.800000000000004</c:v>
                </c:pt>
                <c:pt idx="19">
                  <c:v>51.2</c:v>
                </c:pt>
                <c:pt idx="20">
                  <c:v>59.3</c:v>
                </c:pt>
                <c:pt idx="21">
                  <c:v>58.099999999999994</c:v>
                </c:pt>
                <c:pt idx="22">
                  <c:v>52.500000000000007</c:v>
                </c:pt>
                <c:pt idx="23">
                  <c:v>51.900000000000006</c:v>
                </c:pt>
                <c:pt idx="24">
                  <c:v>47.9</c:v>
                </c:pt>
                <c:pt idx="25">
                  <c:v>55.999999999999993</c:v>
                </c:pt>
                <c:pt idx="26">
                  <c:v>78</c:v>
                </c:pt>
                <c:pt idx="27">
                  <c:v>74</c:v>
                </c:pt>
                <c:pt idx="28">
                  <c:v>79.699999999999989</c:v>
                </c:pt>
                <c:pt idx="29">
                  <c:v>70.8</c:v>
                </c:pt>
                <c:pt idx="30">
                  <c:v>71.8</c:v>
                </c:pt>
                <c:pt idx="31">
                  <c:v>73.5</c:v>
                </c:pt>
                <c:pt idx="32">
                  <c:v>74.800000000000011</c:v>
                </c:pt>
                <c:pt idx="33">
                  <c:v>74</c:v>
                </c:pt>
                <c:pt idx="34">
                  <c:v>77.400000000000006</c:v>
                </c:pt>
                <c:pt idx="35">
                  <c:v>71.699999999999989</c:v>
                </c:pt>
                <c:pt idx="36">
                  <c:v>57.9</c:v>
                </c:pt>
                <c:pt idx="37">
                  <c:v>70</c:v>
                </c:pt>
                <c:pt idx="38">
                  <c:v>79.599999999999994</c:v>
                </c:pt>
                <c:pt idx="39">
                  <c:v>69.7</c:v>
                </c:pt>
                <c:pt idx="40">
                  <c:v>83.300000000000011</c:v>
                </c:pt>
                <c:pt idx="41">
                  <c:v>81.999999999999986</c:v>
                </c:pt>
                <c:pt idx="42">
                  <c:v>77.2</c:v>
                </c:pt>
                <c:pt idx="43">
                  <c:v>82.8</c:v>
                </c:pt>
                <c:pt idx="44">
                  <c:v>73.7</c:v>
                </c:pt>
                <c:pt idx="45">
                  <c:v>62.099999999999994</c:v>
                </c:pt>
                <c:pt idx="46">
                  <c:v>54.600000000000009</c:v>
                </c:pt>
                <c:pt idx="47">
                  <c:v>56.9</c:v>
                </c:pt>
                <c:pt idx="48">
                  <c:v>50.1</c:v>
                </c:pt>
                <c:pt idx="49">
                  <c:v>53.800000000000004</c:v>
                </c:pt>
                <c:pt idx="50">
                  <c:v>69.699999999999989</c:v>
                </c:pt>
                <c:pt idx="51">
                  <c:v>62.3</c:v>
                </c:pt>
                <c:pt idx="52">
                  <c:v>67.400000000000006</c:v>
                </c:pt>
                <c:pt idx="53">
                  <c:v>71.900000000000006</c:v>
                </c:pt>
                <c:pt idx="54">
                  <c:v>61.3</c:v>
                </c:pt>
                <c:pt idx="55">
                  <c:v>70.800000000000011</c:v>
                </c:pt>
                <c:pt idx="56">
                  <c:v>63.099999999999994</c:v>
                </c:pt>
                <c:pt idx="57">
                  <c:v>61.500000000000014</c:v>
                </c:pt>
                <c:pt idx="58">
                  <c:v>50.600000000000009</c:v>
                </c:pt>
                <c:pt idx="59">
                  <c:v>43.400000000000006</c:v>
                </c:pt>
                <c:pt idx="60">
                  <c:v>49.5</c:v>
                </c:pt>
                <c:pt idx="61">
                  <c:v>57.2</c:v>
                </c:pt>
                <c:pt idx="62">
                  <c:v>57.699999999999996</c:v>
                </c:pt>
                <c:pt idx="63">
                  <c:v>74.3</c:v>
                </c:pt>
                <c:pt idx="64">
                  <c:v>79.099999999999994</c:v>
                </c:pt>
                <c:pt idx="65">
                  <c:v>71.099999999999994</c:v>
                </c:pt>
                <c:pt idx="66">
                  <c:v>91</c:v>
                </c:pt>
              </c:numCache>
            </c:numRef>
          </c:val>
          <c:extLst>
            <c:ext xmlns:c16="http://schemas.microsoft.com/office/drawing/2014/chart" uri="{C3380CC4-5D6E-409C-BE32-E72D297353CC}">
              <c16:uniqueId val="{00000000-7FA2-4AA1-87AC-0D08FFCFC5AF}"/>
            </c:ext>
          </c:extLst>
        </c:ser>
        <c:ser>
          <c:idx val="1"/>
          <c:order val="1"/>
          <c:tx>
            <c:strRef>
              <c:f>'Jaunie kredīti'!$B$15</c:f>
              <c:strCache>
                <c:ptCount val="1"/>
                <c:pt idx="0">
                  <c:v> patēriņa kredīti mājsaimniecībām</c:v>
                </c:pt>
              </c:strCache>
            </c:strRef>
          </c:tx>
          <c:spPr>
            <a:solidFill>
              <a:schemeClr val="accent2"/>
            </a:solidFill>
            <a:ln>
              <a:noFill/>
            </a:ln>
            <a:effectLst/>
          </c:spPr>
          <c:invertIfNegative val="0"/>
          <c:cat>
            <c:numRef>
              <c:f>'Jaunie kredīti'!$AY$13:$DM$13</c:f>
              <c:numCache>
                <c:formatCode>mmm\-yy</c:formatCode>
                <c:ptCount val="6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pt idx="45">
                  <c:v>44835</c:v>
                </c:pt>
                <c:pt idx="46">
                  <c:v>44866</c:v>
                </c:pt>
                <c:pt idx="47">
                  <c:v>44896</c:v>
                </c:pt>
                <c:pt idx="48">
                  <c:v>44927</c:v>
                </c:pt>
                <c:pt idx="49">
                  <c:v>44958</c:v>
                </c:pt>
                <c:pt idx="50">
                  <c:v>44986</c:v>
                </c:pt>
                <c:pt idx="51">
                  <c:v>45017</c:v>
                </c:pt>
                <c:pt idx="52">
                  <c:v>45047</c:v>
                </c:pt>
                <c:pt idx="53">
                  <c:v>45078</c:v>
                </c:pt>
                <c:pt idx="54">
                  <c:v>45108</c:v>
                </c:pt>
                <c:pt idx="55">
                  <c:v>45139</c:v>
                </c:pt>
                <c:pt idx="56">
                  <c:v>45170</c:v>
                </c:pt>
                <c:pt idx="57">
                  <c:v>45200</c:v>
                </c:pt>
                <c:pt idx="58">
                  <c:v>45231</c:v>
                </c:pt>
                <c:pt idx="59">
                  <c:v>45261</c:v>
                </c:pt>
                <c:pt idx="60">
                  <c:v>45292</c:v>
                </c:pt>
                <c:pt idx="61">
                  <c:v>45323</c:v>
                </c:pt>
                <c:pt idx="62">
                  <c:v>45352</c:v>
                </c:pt>
                <c:pt idx="63">
                  <c:v>45383</c:v>
                </c:pt>
                <c:pt idx="64">
                  <c:v>45413</c:v>
                </c:pt>
                <c:pt idx="65">
                  <c:v>45444</c:v>
                </c:pt>
                <c:pt idx="66">
                  <c:v>45474</c:v>
                </c:pt>
              </c:numCache>
            </c:numRef>
          </c:cat>
          <c:val>
            <c:numRef>
              <c:f>'Jaunie kredīti'!$AY$15:$DM$15</c:f>
              <c:numCache>
                <c:formatCode>#\ ##0.0</c:formatCode>
                <c:ptCount val="67"/>
                <c:pt idx="0">
                  <c:v>17.900000000000002</c:v>
                </c:pt>
                <c:pt idx="1">
                  <c:v>17</c:v>
                </c:pt>
                <c:pt idx="2">
                  <c:v>19.399999999999999</c:v>
                </c:pt>
                <c:pt idx="3">
                  <c:v>21</c:v>
                </c:pt>
                <c:pt idx="4">
                  <c:v>23.599999999999998</c:v>
                </c:pt>
                <c:pt idx="5">
                  <c:v>20.599999999999998</c:v>
                </c:pt>
                <c:pt idx="6">
                  <c:v>19.100000000000001</c:v>
                </c:pt>
                <c:pt idx="7">
                  <c:v>18.3</c:v>
                </c:pt>
                <c:pt idx="8">
                  <c:v>17.700000000000003</c:v>
                </c:pt>
                <c:pt idx="9">
                  <c:v>20.5</c:v>
                </c:pt>
                <c:pt idx="10">
                  <c:v>18.400000000000002</c:v>
                </c:pt>
                <c:pt idx="11">
                  <c:v>15.399999999999999</c:v>
                </c:pt>
                <c:pt idx="12">
                  <c:v>15.2</c:v>
                </c:pt>
                <c:pt idx="13">
                  <c:v>15.2</c:v>
                </c:pt>
                <c:pt idx="14">
                  <c:v>13.8</c:v>
                </c:pt>
                <c:pt idx="15">
                  <c:v>8</c:v>
                </c:pt>
                <c:pt idx="16">
                  <c:v>12.2</c:v>
                </c:pt>
                <c:pt idx="17">
                  <c:v>13.7</c:v>
                </c:pt>
                <c:pt idx="18">
                  <c:v>16.3</c:v>
                </c:pt>
                <c:pt idx="19">
                  <c:v>16.5</c:v>
                </c:pt>
                <c:pt idx="20">
                  <c:v>18.5</c:v>
                </c:pt>
                <c:pt idx="21">
                  <c:v>15.900000000000002</c:v>
                </c:pt>
                <c:pt idx="22">
                  <c:v>13.499999999999998</c:v>
                </c:pt>
                <c:pt idx="23">
                  <c:v>12.4</c:v>
                </c:pt>
                <c:pt idx="24">
                  <c:v>11.3</c:v>
                </c:pt>
                <c:pt idx="25">
                  <c:v>11.700000000000001</c:v>
                </c:pt>
                <c:pt idx="26">
                  <c:v>16.299999999999997</c:v>
                </c:pt>
                <c:pt idx="27">
                  <c:v>17.899999999999999</c:v>
                </c:pt>
                <c:pt idx="28">
                  <c:v>17.600000000000001</c:v>
                </c:pt>
                <c:pt idx="29">
                  <c:v>17.400000000000002</c:v>
                </c:pt>
                <c:pt idx="30">
                  <c:v>19.7</c:v>
                </c:pt>
                <c:pt idx="31">
                  <c:v>18.900000000000002</c:v>
                </c:pt>
                <c:pt idx="32">
                  <c:v>23.6</c:v>
                </c:pt>
                <c:pt idx="33">
                  <c:v>20.3</c:v>
                </c:pt>
                <c:pt idx="34">
                  <c:v>22</c:v>
                </c:pt>
                <c:pt idx="35">
                  <c:v>18.900000000000002</c:v>
                </c:pt>
                <c:pt idx="36">
                  <c:v>18.7</c:v>
                </c:pt>
                <c:pt idx="37">
                  <c:v>19.3</c:v>
                </c:pt>
                <c:pt idx="38">
                  <c:v>23.200000000000003</c:v>
                </c:pt>
                <c:pt idx="39">
                  <c:v>25.7</c:v>
                </c:pt>
                <c:pt idx="40">
                  <c:v>28.6</c:v>
                </c:pt>
                <c:pt idx="41">
                  <c:v>28.400000000000002</c:v>
                </c:pt>
                <c:pt idx="42">
                  <c:v>30.099999999999998</c:v>
                </c:pt>
                <c:pt idx="43">
                  <c:v>32.800000000000004</c:v>
                </c:pt>
                <c:pt idx="44">
                  <c:v>30.400000000000002</c:v>
                </c:pt>
                <c:pt idx="45">
                  <c:v>27.400000000000002</c:v>
                </c:pt>
                <c:pt idx="46">
                  <c:v>27.2</c:v>
                </c:pt>
                <c:pt idx="47">
                  <c:v>29.099999999999998</c:v>
                </c:pt>
                <c:pt idx="48">
                  <c:v>24.700000000000003</c:v>
                </c:pt>
                <c:pt idx="49">
                  <c:v>26.3</c:v>
                </c:pt>
                <c:pt idx="50">
                  <c:v>34.799999999999997</c:v>
                </c:pt>
                <c:pt idx="51">
                  <c:v>32.4</c:v>
                </c:pt>
                <c:pt idx="52">
                  <c:v>37.1</c:v>
                </c:pt>
                <c:pt idx="53">
                  <c:v>34.200000000000003</c:v>
                </c:pt>
                <c:pt idx="54">
                  <c:v>34.6</c:v>
                </c:pt>
                <c:pt idx="55">
                  <c:v>36.800000000000004</c:v>
                </c:pt>
                <c:pt idx="56">
                  <c:v>34.099999999999994</c:v>
                </c:pt>
                <c:pt idx="57">
                  <c:v>31.900000000000002</c:v>
                </c:pt>
                <c:pt idx="58">
                  <c:v>31.9</c:v>
                </c:pt>
                <c:pt idx="59">
                  <c:v>32.199999999999996</c:v>
                </c:pt>
                <c:pt idx="60">
                  <c:v>29.2</c:v>
                </c:pt>
                <c:pt idx="61">
                  <c:v>33.299999999999997</c:v>
                </c:pt>
                <c:pt idx="62">
                  <c:v>34.4</c:v>
                </c:pt>
                <c:pt idx="63">
                  <c:v>39.6</c:v>
                </c:pt>
                <c:pt idx="64">
                  <c:v>40.299999999999997</c:v>
                </c:pt>
                <c:pt idx="65">
                  <c:v>37.799999999999997</c:v>
                </c:pt>
                <c:pt idx="66">
                  <c:v>43.800000000000004</c:v>
                </c:pt>
              </c:numCache>
            </c:numRef>
          </c:val>
          <c:extLst>
            <c:ext xmlns:c16="http://schemas.microsoft.com/office/drawing/2014/chart" uri="{C3380CC4-5D6E-409C-BE32-E72D297353CC}">
              <c16:uniqueId val="{00000001-7FA2-4AA1-87AC-0D08FFCFC5AF}"/>
            </c:ext>
          </c:extLst>
        </c:ser>
        <c:ser>
          <c:idx val="2"/>
          <c:order val="2"/>
          <c:tx>
            <c:strRef>
              <c:f>'Jaunie kredīti'!$B$16</c:f>
              <c:strCache>
                <c:ptCount val="1"/>
                <c:pt idx="0">
                  <c:v> pārējie kredīti mājsaimniecībām</c:v>
                </c:pt>
              </c:strCache>
            </c:strRef>
          </c:tx>
          <c:spPr>
            <a:solidFill>
              <a:schemeClr val="accent3"/>
            </a:solidFill>
            <a:ln>
              <a:noFill/>
            </a:ln>
            <a:effectLst/>
          </c:spPr>
          <c:invertIfNegative val="0"/>
          <c:cat>
            <c:numRef>
              <c:f>'Jaunie kredīti'!$AY$13:$DM$13</c:f>
              <c:numCache>
                <c:formatCode>mmm\-yy</c:formatCode>
                <c:ptCount val="6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pt idx="45">
                  <c:v>44835</c:v>
                </c:pt>
                <c:pt idx="46">
                  <c:v>44866</c:v>
                </c:pt>
                <c:pt idx="47">
                  <c:v>44896</c:v>
                </c:pt>
                <c:pt idx="48">
                  <c:v>44927</c:v>
                </c:pt>
                <c:pt idx="49">
                  <c:v>44958</c:v>
                </c:pt>
                <c:pt idx="50">
                  <c:v>44986</c:v>
                </c:pt>
                <c:pt idx="51">
                  <c:v>45017</c:v>
                </c:pt>
                <c:pt idx="52">
                  <c:v>45047</c:v>
                </c:pt>
                <c:pt idx="53">
                  <c:v>45078</c:v>
                </c:pt>
                <c:pt idx="54">
                  <c:v>45108</c:v>
                </c:pt>
                <c:pt idx="55">
                  <c:v>45139</c:v>
                </c:pt>
                <c:pt idx="56">
                  <c:v>45170</c:v>
                </c:pt>
                <c:pt idx="57">
                  <c:v>45200</c:v>
                </c:pt>
                <c:pt idx="58">
                  <c:v>45231</c:v>
                </c:pt>
                <c:pt idx="59">
                  <c:v>45261</c:v>
                </c:pt>
                <c:pt idx="60">
                  <c:v>45292</c:v>
                </c:pt>
                <c:pt idx="61">
                  <c:v>45323</c:v>
                </c:pt>
                <c:pt idx="62">
                  <c:v>45352</c:v>
                </c:pt>
                <c:pt idx="63">
                  <c:v>45383</c:v>
                </c:pt>
                <c:pt idx="64">
                  <c:v>45413</c:v>
                </c:pt>
                <c:pt idx="65">
                  <c:v>45444</c:v>
                </c:pt>
                <c:pt idx="66">
                  <c:v>45474</c:v>
                </c:pt>
              </c:numCache>
            </c:numRef>
          </c:cat>
          <c:val>
            <c:numRef>
              <c:f>'Jaunie kredīti'!$AY$16:$DM$16</c:f>
              <c:numCache>
                <c:formatCode>#\ ##0.0</c:formatCode>
                <c:ptCount val="67"/>
                <c:pt idx="0">
                  <c:v>4.7</c:v>
                </c:pt>
                <c:pt idx="1">
                  <c:v>4.0999999999999996</c:v>
                </c:pt>
                <c:pt idx="2">
                  <c:v>5.6000000000000005</c:v>
                </c:pt>
                <c:pt idx="3">
                  <c:v>5.0999999999999979</c:v>
                </c:pt>
                <c:pt idx="4">
                  <c:v>5.2</c:v>
                </c:pt>
                <c:pt idx="5">
                  <c:v>5.5</c:v>
                </c:pt>
                <c:pt idx="6">
                  <c:v>5.3999999999999986</c:v>
                </c:pt>
                <c:pt idx="7">
                  <c:v>4.6000000000000014</c:v>
                </c:pt>
                <c:pt idx="8">
                  <c:v>6.8999999999999986</c:v>
                </c:pt>
                <c:pt idx="9">
                  <c:v>5.9</c:v>
                </c:pt>
                <c:pt idx="10">
                  <c:v>7.3999999999999995</c:v>
                </c:pt>
                <c:pt idx="11">
                  <c:v>6.1</c:v>
                </c:pt>
                <c:pt idx="12">
                  <c:v>3.5999999999999996</c:v>
                </c:pt>
                <c:pt idx="13">
                  <c:v>5</c:v>
                </c:pt>
                <c:pt idx="14">
                  <c:v>4.5</c:v>
                </c:pt>
                <c:pt idx="15">
                  <c:v>8.6999999999999993</c:v>
                </c:pt>
                <c:pt idx="16">
                  <c:v>6.7999999999999989</c:v>
                </c:pt>
                <c:pt idx="17">
                  <c:v>4.3999999999999995</c:v>
                </c:pt>
                <c:pt idx="18">
                  <c:v>6</c:v>
                </c:pt>
                <c:pt idx="19">
                  <c:v>8.3000000000000007</c:v>
                </c:pt>
                <c:pt idx="20">
                  <c:v>11.4</c:v>
                </c:pt>
                <c:pt idx="21">
                  <c:v>4.7000000000000011</c:v>
                </c:pt>
                <c:pt idx="22">
                  <c:v>3.0000000000000009</c:v>
                </c:pt>
                <c:pt idx="23">
                  <c:v>4.2</c:v>
                </c:pt>
                <c:pt idx="24">
                  <c:v>3.1999999999999993</c:v>
                </c:pt>
                <c:pt idx="25">
                  <c:v>4</c:v>
                </c:pt>
                <c:pt idx="26">
                  <c:v>5.5</c:v>
                </c:pt>
                <c:pt idx="27">
                  <c:v>3.3000000000000007</c:v>
                </c:pt>
                <c:pt idx="28">
                  <c:v>3.3999999999999995</c:v>
                </c:pt>
                <c:pt idx="29">
                  <c:v>3.2</c:v>
                </c:pt>
                <c:pt idx="30">
                  <c:v>3.5999999999999996</c:v>
                </c:pt>
                <c:pt idx="31">
                  <c:v>7.1999999999999993</c:v>
                </c:pt>
                <c:pt idx="32">
                  <c:v>11.500000000000002</c:v>
                </c:pt>
                <c:pt idx="33">
                  <c:v>5.4999999999999991</c:v>
                </c:pt>
                <c:pt idx="34">
                  <c:v>6.3000000000000007</c:v>
                </c:pt>
                <c:pt idx="35">
                  <c:v>4.5</c:v>
                </c:pt>
                <c:pt idx="36">
                  <c:v>5.6</c:v>
                </c:pt>
                <c:pt idx="37">
                  <c:v>4.1999999999999993</c:v>
                </c:pt>
                <c:pt idx="38">
                  <c:v>3.9</c:v>
                </c:pt>
                <c:pt idx="39">
                  <c:v>5.0000000000000009</c:v>
                </c:pt>
                <c:pt idx="40">
                  <c:v>7.3000000000000007</c:v>
                </c:pt>
                <c:pt idx="41">
                  <c:v>7.3000000000000007</c:v>
                </c:pt>
                <c:pt idx="42">
                  <c:v>6.1999999999999993</c:v>
                </c:pt>
                <c:pt idx="43">
                  <c:v>9.8000000000000007</c:v>
                </c:pt>
                <c:pt idx="44">
                  <c:v>12.5</c:v>
                </c:pt>
                <c:pt idx="45">
                  <c:v>5.9</c:v>
                </c:pt>
                <c:pt idx="46">
                  <c:v>5.8999999999999995</c:v>
                </c:pt>
                <c:pt idx="47">
                  <c:v>4.5999999999999996</c:v>
                </c:pt>
                <c:pt idx="48">
                  <c:v>3.0000000000000018</c:v>
                </c:pt>
                <c:pt idx="49">
                  <c:v>4.0999999999999996</c:v>
                </c:pt>
                <c:pt idx="50">
                  <c:v>3.4000000000000004</c:v>
                </c:pt>
                <c:pt idx="51">
                  <c:v>4.3</c:v>
                </c:pt>
                <c:pt idx="52">
                  <c:v>4.8</c:v>
                </c:pt>
                <c:pt idx="53">
                  <c:v>4.1999999999999993</c:v>
                </c:pt>
                <c:pt idx="54">
                  <c:v>4.8</c:v>
                </c:pt>
                <c:pt idx="55">
                  <c:v>8</c:v>
                </c:pt>
                <c:pt idx="56">
                  <c:v>12.5</c:v>
                </c:pt>
                <c:pt idx="57">
                  <c:v>4.9999999999999991</c:v>
                </c:pt>
                <c:pt idx="58">
                  <c:v>4.0999999999999996</c:v>
                </c:pt>
                <c:pt idx="59">
                  <c:v>4.5</c:v>
                </c:pt>
                <c:pt idx="60">
                  <c:v>3.5</c:v>
                </c:pt>
                <c:pt idx="61">
                  <c:v>5.7000000000000011</c:v>
                </c:pt>
                <c:pt idx="62">
                  <c:v>4.5999999999999996</c:v>
                </c:pt>
                <c:pt idx="63">
                  <c:v>6.8000000000000007</c:v>
                </c:pt>
                <c:pt idx="64">
                  <c:v>7.7</c:v>
                </c:pt>
                <c:pt idx="65">
                  <c:v>4.5</c:v>
                </c:pt>
                <c:pt idx="66">
                  <c:v>7.1999999999999993</c:v>
                </c:pt>
              </c:numCache>
            </c:numRef>
          </c:val>
          <c:extLst>
            <c:ext xmlns:c16="http://schemas.microsoft.com/office/drawing/2014/chart" uri="{C3380CC4-5D6E-409C-BE32-E72D297353CC}">
              <c16:uniqueId val="{00000002-7FA2-4AA1-87AC-0D08FFCFC5AF}"/>
            </c:ext>
          </c:extLst>
        </c:ser>
        <c:ser>
          <c:idx val="3"/>
          <c:order val="3"/>
          <c:tx>
            <c:strRef>
              <c:f>'Jaunie kredīti'!$B$17</c:f>
              <c:strCache>
                <c:ptCount val="1"/>
                <c:pt idx="0">
                  <c:v> kredīti nefinanšu sabiedrībām</c:v>
                </c:pt>
              </c:strCache>
            </c:strRef>
          </c:tx>
          <c:spPr>
            <a:solidFill>
              <a:schemeClr val="accent4"/>
            </a:solidFill>
            <a:ln>
              <a:noFill/>
            </a:ln>
            <a:effectLst/>
          </c:spPr>
          <c:invertIfNegative val="0"/>
          <c:cat>
            <c:numRef>
              <c:f>'Jaunie kredīti'!$AY$13:$DM$13</c:f>
              <c:numCache>
                <c:formatCode>mmm\-yy</c:formatCode>
                <c:ptCount val="6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pt idx="45">
                  <c:v>44835</c:v>
                </c:pt>
                <c:pt idx="46">
                  <c:v>44866</c:v>
                </c:pt>
                <c:pt idx="47">
                  <c:v>44896</c:v>
                </c:pt>
                <c:pt idx="48">
                  <c:v>44927</c:v>
                </c:pt>
                <c:pt idx="49">
                  <c:v>44958</c:v>
                </c:pt>
                <c:pt idx="50">
                  <c:v>44986</c:v>
                </c:pt>
                <c:pt idx="51">
                  <c:v>45017</c:v>
                </c:pt>
                <c:pt idx="52">
                  <c:v>45047</c:v>
                </c:pt>
                <c:pt idx="53">
                  <c:v>45078</c:v>
                </c:pt>
                <c:pt idx="54">
                  <c:v>45108</c:v>
                </c:pt>
                <c:pt idx="55">
                  <c:v>45139</c:v>
                </c:pt>
                <c:pt idx="56">
                  <c:v>45170</c:v>
                </c:pt>
                <c:pt idx="57">
                  <c:v>45200</c:v>
                </c:pt>
                <c:pt idx="58">
                  <c:v>45231</c:v>
                </c:pt>
                <c:pt idx="59">
                  <c:v>45261</c:v>
                </c:pt>
                <c:pt idx="60">
                  <c:v>45292</c:v>
                </c:pt>
                <c:pt idx="61">
                  <c:v>45323</c:v>
                </c:pt>
                <c:pt idx="62">
                  <c:v>45352</c:v>
                </c:pt>
                <c:pt idx="63">
                  <c:v>45383</c:v>
                </c:pt>
                <c:pt idx="64">
                  <c:v>45413</c:v>
                </c:pt>
                <c:pt idx="65">
                  <c:v>45444</c:v>
                </c:pt>
                <c:pt idx="66">
                  <c:v>45474</c:v>
                </c:pt>
              </c:numCache>
            </c:numRef>
          </c:cat>
          <c:val>
            <c:numRef>
              <c:f>'Jaunie kredīti'!$AY$17:$DM$17</c:f>
              <c:numCache>
                <c:formatCode>#\ ##0.0</c:formatCode>
                <c:ptCount val="67"/>
                <c:pt idx="0">
                  <c:v>53</c:v>
                </c:pt>
                <c:pt idx="1">
                  <c:v>87.600000000000023</c:v>
                </c:pt>
                <c:pt idx="2">
                  <c:v>118.60000000000002</c:v>
                </c:pt>
                <c:pt idx="3">
                  <c:v>78.800000000000011</c:v>
                </c:pt>
                <c:pt idx="4">
                  <c:v>132.39999999999998</c:v>
                </c:pt>
                <c:pt idx="5">
                  <c:v>76.699999999999989</c:v>
                </c:pt>
                <c:pt idx="6">
                  <c:v>94</c:v>
                </c:pt>
                <c:pt idx="7">
                  <c:v>49.300000000000011</c:v>
                </c:pt>
                <c:pt idx="8">
                  <c:v>112.10000000000002</c:v>
                </c:pt>
                <c:pt idx="9">
                  <c:v>94.9</c:v>
                </c:pt>
                <c:pt idx="10">
                  <c:v>18.099999999999994</c:v>
                </c:pt>
                <c:pt idx="11">
                  <c:v>82.800000000000011</c:v>
                </c:pt>
                <c:pt idx="12">
                  <c:v>72.599999999999994</c:v>
                </c:pt>
                <c:pt idx="13">
                  <c:v>128.70000000000002</c:v>
                </c:pt>
                <c:pt idx="14">
                  <c:v>139</c:v>
                </c:pt>
                <c:pt idx="15">
                  <c:v>33.299999999999955</c:v>
                </c:pt>
                <c:pt idx="16">
                  <c:v>16.800000000000011</c:v>
                </c:pt>
                <c:pt idx="17">
                  <c:v>165</c:v>
                </c:pt>
                <c:pt idx="18">
                  <c:v>48.399999999999977</c:v>
                </c:pt>
                <c:pt idx="19">
                  <c:v>50.199999999999989</c:v>
                </c:pt>
                <c:pt idx="20">
                  <c:v>69</c:v>
                </c:pt>
                <c:pt idx="21">
                  <c:v>76.5</c:v>
                </c:pt>
                <c:pt idx="22">
                  <c:v>101.39999999999998</c:v>
                </c:pt>
                <c:pt idx="23">
                  <c:v>91.599999999999966</c:v>
                </c:pt>
                <c:pt idx="24">
                  <c:v>53.299999999999955</c:v>
                </c:pt>
                <c:pt idx="25">
                  <c:v>43.299999999999955</c:v>
                </c:pt>
                <c:pt idx="26">
                  <c:v>156.30000000000001</c:v>
                </c:pt>
                <c:pt idx="27">
                  <c:v>117</c:v>
                </c:pt>
                <c:pt idx="28">
                  <c:v>71.300000000000068</c:v>
                </c:pt>
                <c:pt idx="29">
                  <c:v>38</c:v>
                </c:pt>
                <c:pt idx="30">
                  <c:v>93.800000000000011</c:v>
                </c:pt>
                <c:pt idx="31">
                  <c:v>169.10000000000002</c:v>
                </c:pt>
                <c:pt idx="32">
                  <c:v>71.699999999999989</c:v>
                </c:pt>
                <c:pt idx="33">
                  <c:v>87.399999999999977</c:v>
                </c:pt>
                <c:pt idx="34">
                  <c:v>117.10000000000002</c:v>
                </c:pt>
                <c:pt idx="35">
                  <c:v>72.399999999999977</c:v>
                </c:pt>
                <c:pt idx="36">
                  <c:v>60.700000000000017</c:v>
                </c:pt>
                <c:pt idx="37">
                  <c:v>65.800000000000011</c:v>
                </c:pt>
                <c:pt idx="38">
                  <c:v>89.399999999999977</c:v>
                </c:pt>
                <c:pt idx="39">
                  <c:v>94.5</c:v>
                </c:pt>
                <c:pt idx="40">
                  <c:v>235.7</c:v>
                </c:pt>
                <c:pt idx="41">
                  <c:v>103.69999999999999</c:v>
                </c:pt>
                <c:pt idx="42">
                  <c:v>227.10000000000002</c:v>
                </c:pt>
                <c:pt idx="43">
                  <c:v>169.7</c:v>
                </c:pt>
                <c:pt idx="44">
                  <c:v>124.00000000000003</c:v>
                </c:pt>
                <c:pt idx="45">
                  <c:v>178.39999999999998</c:v>
                </c:pt>
                <c:pt idx="46">
                  <c:v>297.5</c:v>
                </c:pt>
                <c:pt idx="47">
                  <c:v>107</c:v>
                </c:pt>
                <c:pt idx="48">
                  <c:v>73.399999999999977</c:v>
                </c:pt>
                <c:pt idx="49">
                  <c:v>75.800000000000011</c:v>
                </c:pt>
                <c:pt idx="50">
                  <c:v>116.39999999999998</c:v>
                </c:pt>
                <c:pt idx="51">
                  <c:v>79.100000000000023</c:v>
                </c:pt>
                <c:pt idx="52">
                  <c:v>156.39999999999998</c:v>
                </c:pt>
                <c:pt idx="53">
                  <c:v>148.09999999999997</c:v>
                </c:pt>
                <c:pt idx="54">
                  <c:v>130.20000000000002</c:v>
                </c:pt>
                <c:pt idx="55">
                  <c:v>203.70000000000005</c:v>
                </c:pt>
                <c:pt idx="56">
                  <c:v>140.10000000000002</c:v>
                </c:pt>
                <c:pt idx="57">
                  <c:v>114.5</c:v>
                </c:pt>
                <c:pt idx="58">
                  <c:v>128.20000000000002</c:v>
                </c:pt>
                <c:pt idx="59">
                  <c:v>109.5</c:v>
                </c:pt>
                <c:pt idx="60">
                  <c:v>74.899999999999977</c:v>
                </c:pt>
                <c:pt idx="61">
                  <c:v>87.199999999999989</c:v>
                </c:pt>
                <c:pt idx="62">
                  <c:v>75.699999999999989</c:v>
                </c:pt>
                <c:pt idx="63">
                  <c:v>126.69999999999999</c:v>
                </c:pt>
                <c:pt idx="64">
                  <c:v>109.40000000000003</c:v>
                </c:pt>
                <c:pt idx="65">
                  <c:v>150</c:v>
                </c:pt>
                <c:pt idx="66">
                  <c:v>140.30000000000001</c:v>
                </c:pt>
              </c:numCache>
            </c:numRef>
          </c:val>
          <c:extLst>
            <c:ext xmlns:c16="http://schemas.microsoft.com/office/drawing/2014/chart" uri="{C3380CC4-5D6E-409C-BE32-E72D297353CC}">
              <c16:uniqueId val="{00000003-7FA2-4AA1-87AC-0D08FFCFC5AF}"/>
            </c:ext>
          </c:extLst>
        </c:ser>
        <c:dLbls>
          <c:showLegendKey val="0"/>
          <c:showVal val="0"/>
          <c:showCatName val="0"/>
          <c:showSerName val="0"/>
          <c:showPercent val="0"/>
          <c:showBubbleSize val="0"/>
        </c:dLbls>
        <c:gapWidth val="21"/>
        <c:overlap val="100"/>
        <c:axId val="1602556559"/>
        <c:axId val="1602560719"/>
      </c:barChart>
      <c:dateAx>
        <c:axId val="1602556559"/>
        <c:scaling>
          <c:orientation val="minMax"/>
        </c:scaling>
        <c:delete val="0"/>
        <c:axPos val="b"/>
        <c:majorGridlines>
          <c:spPr>
            <a:ln w="9525" cap="flat" cmpd="sng" algn="ctr">
              <a:solidFill>
                <a:schemeClr val="tx1">
                  <a:lumMod val="15000"/>
                  <a:lumOff val="85000"/>
                </a:schemeClr>
              </a:solidFill>
              <a:round/>
            </a:ln>
            <a:effectLst/>
          </c:spPr>
        </c:majorGridlines>
        <c:numFmt formatCode="mmm/yyyy" sourceLinked="0"/>
        <c:majorTickMark val="out"/>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02560719"/>
        <c:crosses val="autoZero"/>
        <c:auto val="0"/>
        <c:lblOffset val="100"/>
        <c:baseTimeUnit val="months"/>
        <c:majorUnit val="1"/>
        <c:majorTimeUnit val="years"/>
      </c:dateAx>
      <c:valAx>
        <c:axId val="16025607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02556559"/>
        <c:crosses val="autoZero"/>
        <c:crossBetween val="between"/>
      </c:valAx>
      <c:spPr>
        <a:noFill/>
        <a:ln w="25400" cap="flat" cmpd="sng">
          <a:solidFill>
            <a:schemeClr val="bg1"/>
          </a:solidFill>
          <a:miter lim="800000"/>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25400"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0"/>
          <c:tx>
            <c:strRef>
              <c:f>Kopā!$B$3</c:f>
              <c:strCache>
                <c:ptCount val="1"/>
                <c:pt idx="0">
                  <c:v>Lauksaimniecības produkcija kopā</c:v>
                </c:pt>
              </c:strCache>
            </c:strRef>
          </c:tx>
          <c:spPr>
            <a:solidFill>
              <a:sysClr val="window" lastClr="FFFFFF">
                <a:lumMod val="75000"/>
              </a:sysClr>
            </a:solidFill>
            <a:ln>
              <a:solidFill>
                <a:schemeClr val="tx1">
                  <a:lumMod val="50000"/>
                  <a:lumOff val="50000"/>
                </a:schemeClr>
              </a:solidFill>
            </a:ln>
            <a:effectLst/>
          </c:spPr>
          <c:cat>
            <c:strRef>
              <c:f>Kopā!$A$10:$A$18</c:f>
              <c:strCache>
                <c:ptCount val="9"/>
                <c:pt idx="0">
                  <c:v>2015</c:v>
                </c:pt>
                <c:pt idx="1">
                  <c:v>2016</c:v>
                </c:pt>
                <c:pt idx="2">
                  <c:v>2017</c:v>
                </c:pt>
                <c:pt idx="3">
                  <c:v>2018</c:v>
                </c:pt>
                <c:pt idx="4">
                  <c:v>2019</c:v>
                </c:pt>
                <c:pt idx="5">
                  <c:v>2020</c:v>
                </c:pt>
                <c:pt idx="6">
                  <c:v>2021</c:v>
                </c:pt>
                <c:pt idx="7">
                  <c:v>2022</c:v>
                </c:pt>
                <c:pt idx="8">
                  <c:v>2023</c:v>
                </c:pt>
              </c:strCache>
            </c:strRef>
          </c:cat>
          <c:val>
            <c:numRef>
              <c:f>Kopā!$B$10:$B$18</c:f>
              <c:numCache>
                <c:formatCode>0.0</c:formatCode>
                <c:ptCount val="9"/>
                <c:pt idx="0">
                  <c:v>100</c:v>
                </c:pt>
                <c:pt idx="1">
                  <c:v>94.2</c:v>
                </c:pt>
                <c:pt idx="2">
                  <c:v>95.4</c:v>
                </c:pt>
                <c:pt idx="3">
                  <c:v>85</c:v>
                </c:pt>
                <c:pt idx="4" formatCode="General">
                  <c:v>103.7</c:v>
                </c:pt>
                <c:pt idx="5" formatCode="General">
                  <c:v>110.4</c:v>
                </c:pt>
                <c:pt idx="6" formatCode="General">
                  <c:v>98.8</c:v>
                </c:pt>
                <c:pt idx="7" formatCode="General">
                  <c:v>100.6</c:v>
                </c:pt>
                <c:pt idx="8" formatCode="General">
                  <c:v>93.6</c:v>
                </c:pt>
              </c:numCache>
            </c:numRef>
          </c:val>
          <c:extLst>
            <c:ext xmlns:c16="http://schemas.microsoft.com/office/drawing/2014/chart" uri="{C3380CC4-5D6E-409C-BE32-E72D297353CC}">
              <c16:uniqueId val="{00000000-FA87-4AE8-BA4F-0589369041E8}"/>
            </c:ext>
          </c:extLst>
        </c:ser>
        <c:dLbls>
          <c:showLegendKey val="0"/>
          <c:showVal val="0"/>
          <c:showCatName val="0"/>
          <c:showSerName val="0"/>
          <c:showPercent val="0"/>
          <c:showBubbleSize val="0"/>
        </c:dLbls>
        <c:axId val="962158304"/>
        <c:axId val="962144160"/>
      </c:areaChart>
      <c:lineChart>
        <c:grouping val="standard"/>
        <c:varyColors val="0"/>
        <c:ser>
          <c:idx val="1"/>
          <c:order val="1"/>
          <c:tx>
            <c:strRef>
              <c:f>Kopā!$C$3</c:f>
              <c:strCache>
                <c:ptCount val="1"/>
                <c:pt idx="0">
                  <c:v>Augkopība</c:v>
                </c:pt>
              </c:strCache>
            </c:strRef>
          </c:tx>
          <c:spPr>
            <a:ln w="28575" cap="rnd">
              <a:solidFill>
                <a:srgbClr val="0070C0"/>
              </a:solidFill>
              <a:round/>
            </a:ln>
            <a:effectLst/>
          </c:spPr>
          <c:marker>
            <c:symbol val="diamond"/>
            <c:size val="8"/>
            <c:spPr>
              <a:solidFill>
                <a:srgbClr val="0070C0"/>
              </a:solidFill>
              <a:ln w="9525">
                <a:solidFill>
                  <a:srgbClr val="0070C0"/>
                </a:solidFill>
              </a:ln>
              <a:effectLst/>
            </c:spPr>
          </c:marker>
          <c:cat>
            <c:strRef>
              <c:f>Kopā!$A$10:$A$18</c:f>
              <c:strCache>
                <c:ptCount val="9"/>
                <c:pt idx="0">
                  <c:v>2015</c:v>
                </c:pt>
                <c:pt idx="1">
                  <c:v>2016</c:v>
                </c:pt>
                <c:pt idx="2">
                  <c:v>2017</c:v>
                </c:pt>
                <c:pt idx="3">
                  <c:v>2018</c:v>
                </c:pt>
                <c:pt idx="4">
                  <c:v>2019</c:v>
                </c:pt>
                <c:pt idx="5">
                  <c:v>2020</c:v>
                </c:pt>
                <c:pt idx="6">
                  <c:v>2021</c:v>
                </c:pt>
                <c:pt idx="7">
                  <c:v>2022</c:v>
                </c:pt>
                <c:pt idx="8">
                  <c:v>2023</c:v>
                </c:pt>
              </c:strCache>
            </c:strRef>
          </c:cat>
          <c:val>
            <c:numRef>
              <c:f>Kopā!$C$10:$C$18</c:f>
              <c:numCache>
                <c:formatCode>0.0</c:formatCode>
                <c:ptCount val="9"/>
                <c:pt idx="0">
                  <c:v>100</c:v>
                </c:pt>
                <c:pt idx="1">
                  <c:v>90.1</c:v>
                </c:pt>
                <c:pt idx="2">
                  <c:v>90.9</c:v>
                </c:pt>
                <c:pt idx="3">
                  <c:v>74</c:v>
                </c:pt>
                <c:pt idx="4" formatCode="General">
                  <c:v>103.5</c:v>
                </c:pt>
                <c:pt idx="5" formatCode="General">
                  <c:v>114.2</c:v>
                </c:pt>
                <c:pt idx="6" formatCode="General">
                  <c:v>95.3</c:v>
                </c:pt>
                <c:pt idx="7" formatCode="General">
                  <c:v>98.2</c:v>
                </c:pt>
                <c:pt idx="8" formatCode="General">
                  <c:v>87.2</c:v>
                </c:pt>
              </c:numCache>
            </c:numRef>
          </c:val>
          <c:smooth val="1"/>
          <c:extLst>
            <c:ext xmlns:c16="http://schemas.microsoft.com/office/drawing/2014/chart" uri="{C3380CC4-5D6E-409C-BE32-E72D297353CC}">
              <c16:uniqueId val="{00000001-FA87-4AE8-BA4F-0589369041E8}"/>
            </c:ext>
          </c:extLst>
        </c:ser>
        <c:ser>
          <c:idx val="2"/>
          <c:order val="2"/>
          <c:tx>
            <c:strRef>
              <c:f>Kopā!$D$3</c:f>
              <c:strCache>
                <c:ptCount val="1"/>
                <c:pt idx="0">
                  <c:v>Lopkopība</c:v>
                </c:pt>
              </c:strCache>
            </c:strRef>
          </c:tx>
          <c:spPr>
            <a:ln w="28575" cap="rnd">
              <a:solidFill>
                <a:srgbClr val="00B050"/>
              </a:solidFill>
              <a:round/>
            </a:ln>
            <a:effectLst/>
          </c:spPr>
          <c:marker>
            <c:symbol val="diamond"/>
            <c:size val="9"/>
            <c:spPr>
              <a:solidFill>
                <a:srgbClr val="00B050"/>
              </a:solidFill>
              <a:ln w="9525">
                <a:noFill/>
              </a:ln>
              <a:effectLst/>
            </c:spPr>
          </c:marker>
          <c:cat>
            <c:strRef>
              <c:f>Kopā!$A$10:$A$18</c:f>
              <c:strCache>
                <c:ptCount val="9"/>
                <c:pt idx="0">
                  <c:v>2015</c:v>
                </c:pt>
                <c:pt idx="1">
                  <c:v>2016</c:v>
                </c:pt>
                <c:pt idx="2">
                  <c:v>2017</c:v>
                </c:pt>
                <c:pt idx="3">
                  <c:v>2018</c:v>
                </c:pt>
                <c:pt idx="4">
                  <c:v>2019</c:v>
                </c:pt>
                <c:pt idx="5">
                  <c:v>2020</c:v>
                </c:pt>
                <c:pt idx="6">
                  <c:v>2021</c:v>
                </c:pt>
                <c:pt idx="7">
                  <c:v>2022</c:v>
                </c:pt>
                <c:pt idx="8">
                  <c:v>2023</c:v>
                </c:pt>
              </c:strCache>
            </c:strRef>
          </c:cat>
          <c:val>
            <c:numRef>
              <c:f>Kopā!$D$10:$D$18</c:f>
              <c:numCache>
                <c:formatCode>0.0</c:formatCode>
                <c:ptCount val="9"/>
                <c:pt idx="0">
                  <c:v>100</c:v>
                </c:pt>
                <c:pt idx="1">
                  <c:v>98.5</c:v>
                </c:pt>
                <c:pt idx="2">
                  <c:v>103.4</c:v>
                </c:pt>
                <c:pt idx="3">
                  <c:v>102.7</c:v>
                </c:pt>
                <c:pt idx="4" formatCode="General">
                  <c:v>103.2</c:v>
                </c:pt>
                <c:pt idx="5" formatCode="General">
                  <c:v>103</c:v>
                </c:pt>
                <c:pt idx="6" formatCode="General">
                  <c:v>103.8</c:v>
                </c:pt>
                <c:pt idx="7" formatCode="General">
                  <c:v>103.6</c:v>
                </c:pt>
                <c:pt idx="8" formatCode="General">
                  <c:v>103.7</c:v>
                </c:pt>
              </c:numCache>
            </c:numRef>
          </c:val>
          <c:smooth val="1"/>
          <c:extLst>
            <c:ext xmlns:c16="http://schemas.microsoft.com/office/drawing/2014/chart" uri="{C3380CC4-5D6E-409C-BE32-E72D297353CC}">
              <c16:uniqueId val="{00000002-FA87-4AE8-BA4F-0589369041E8}"/>
            </c:ext>
          </c:extLst>
        </c:ser>
        <c:dLbls>
          <c:showLegendKey val="0"/>
          <c:showVal val="0"/>
          <c:showCatName val="0"/>
          <c:showSerName val="0"/>
          <c:showPercent val="0"/>
          <c:showBubbleSize val="0"/>
        </c:dLbls>
        <c:marker val="1"/>
        <c:smooth val="0"/>
        <c:axId val="962158304"/>
        <c:axId val="962144160"/>
      </c:lineChart>
      <c:catAx>
        <c:axId val="96215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62144160"/>
        <c:crosses val="autoZero"/>
        <c:auto val="1"/>
        <c:lblAlgn val="ctr"/>
        <c:lblOffset val="100"/>
        <c:noMultiLvlLbl val="0"/>
      </c:catAx>
      <c:valAx>
        <c:axId val="962144160"/>
        <c:scaling>
          <c:orientation val="minMax"/>
          <c:min val="7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62158304"/>
        <c:crosses val="autoZero"/>
        <c:crossBetween val="between"/>
        <c:majorUnit val="1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Cenas!$A$7</c:f>
              <c:strCache>
                <c:ptCount val="1"/>
                <c:pt idx="0">
                  <c:v>Graudi</c:v>
                </c:pt>
              </c:strCache>
            </c:strRef>
          </c:tx>
          <c:spPr>
            <a:ln w="28575" cap="rnd">
              <a:solidFill>
                <a:srgbClr val="FF0000"/>
              </a:solidFill>
              <a:round/>
            </a:ln>
            <a:effectLst/>
          </c:spPr>
          <c:marker>
            <c:symbol val="none"/>
          </c:marker>
          <c:cat>
            <c:multiLvlStrRef>
              <c:f>Cenas!$V$3:$AM$4</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2020</c:v>
                  </c:pt>
                  <c:pt idx="4">
                    <c:v>2021</c:v>
                  </c:pt>
                  <c:pt idx="8">
                    <c:v>2022</c:v>
                  </c:pt>
                  <c:pt idx="12">
                    <c:v>2023</c:v>
                  </c:pt>
                  <c:pt idx="16">
                    <c:v>2024</c:v>
                  </c:pt>
                </c:lvl>
              </c:multiLvlStrCache>
            </c:multiLvlStrRef>
          </c:cat>
          <c:val>
            <c:numRef>
              <c:f>Cenas!$V$7:$AM$7</c:f>
              <c:numCache>
                <c:formatCode>0.0</c:formatCode>
                <c:ptCount val="18"/>
                <c:pt idx="0">
                  <c:v>107.9</c:v>
                </c:pt>
                <c:pt idx="1">
                  <c:v>112.2</c:v>
                </c:pt>
                <c:pt idx="2">
                  <c:v>95.8</c:v>
                </c:pt>
                <c:pt idx="3">
                  <c:v>108.6</c:v>
                </c:pt>
                <c:pt idx="4">
                  <c:v>117.9</c:v>
                </c:pt>
                <c:pt idx="5">
                  <c:v>121.5</c:v>
                </c:pt>
                <c:pt idx="6">
                  <c:v>114.4</c:v>
                </c:pt>
                <c:pt idx="7">
                  <c:v>138.1</c:v>
                </c:pt>
                <c:pt idx="8">
                  <c:v>177.7</c:v>
                </c:pt>
                <c:pt idx="9">
                  <c:v>213.9</c:v>
                </c:pt>
                <c:pt idx="10" formatCode="General">
                  <c:v>170.9</c:v>
                </c:pt>
                <c:pt idx="11" formatCode="General">
                  <c:v>175.3</c:v>
                </c:pt>
                <c:pt idx="12" formatCode="General">
                  <c:v>158.6</c:v>
                </c:pt>
                <c:pt idx="13" formatCode="General">
                  <c:v>135.6</c:v>
                </c:pt>
                <c:pt idx="14" formatCode="General">
                  <c:v>117.8</c:v>
                </c:pt>
                <c:pt idx="15" formatCode="General">
                  <c:v>128.19999999999999</c:v>
                </c:pt>
                <c:pt idx="16" formatCode="General">
                  <c:v>111.7</c:v>
                </c:pt>
                <c:pt idx="17" formatCode="General">
                  <c:v>133.4</c:v>
                </c:pt>
              </c:numCache>
            </c:numRef>
          </c:val>
          <c:smooth val="1"/>
          <c:extLst>
            <c:ext xmlns:c16="http://schemas.microsoft.com/office/drawing/2014/chart" uri="{C3380CC4-5D6E-409C-BE32-E72D297353CC}">
              <c16:uniqueId val="{00000000-36E8-4CA9-A495-9E1303E49C84}"/>
            </c:ext>
          </c:extLst>
        </c:ser>
        <c:ser>
          <c:idx val="2"/>
          <c:order val="2"/>
          <c:tx>
            <c:strRef>
              <c:f>Cenas!$A$27</c:f>
              <c:strCache>
                <c:ptCount val="1"/>
                <c:pt idx="0">
                  <c:v>Piens</c:v>
                </c:pt>
              </c:strCache>
            </c:strRef>
          </c:tx>
          <c:spPr>
            <a:ln w="28575" cap="rnd">
              <a:solidFill>
                <a:sysClr val="window" lastClr="FFFFFF">
                  <a:lumMod val="50000"/>
                </a:sysClr>
              </a:solidFill>
              <a:round/>
            </a:ln>
            <a:effectLst/>
          </c:spPr>
          <c:marker>
            <c:symbol val="none"/>
          </c:marker>
          <c:cat>
            <c:multiLvlStrRef>
              <c:f>Cenas!$V$3:$AM$4</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2020</c:v>
                  </c:pt>
                  <c:pt idx="4">
                    <c:v>2021</c:v>
                  </c:pt>
                  <c:pt idx="8">
                    <c:v>2022</c:v>
                  </c:pt>
                  <c:pt idx="12">
                    <c:v>2023</c:v>
                  </c:pt>
                  <c:pt idx="16">
                    <c:v>2024</c:v>
                  </c:pt>
                </c:lvl>
              </c:multiLvlStrCache>
            </c:multiLvlStrRef>
          </c:cat>
          <c:val>
            <c:numRef>
              <c:f>Cenas!$V$27:$AM$27</c:f>
              <c:numCache>
                <c:formatCode>0.0</c:formatCode>
                <c:ptCount val="18"/>
                <c:pt idx="0">
                  <c:v>108.6</c:v>
                </c:pt>
                <c:pt idx="1">
                  <c:v>94.1</c:v>
                </c:pt>
                <c:pt idx="2">
                  <c:v>96</c:v>
                </c:pt>
                <c:pt idx="3">
                  <c:v>102.9</c:v>
                </c:pt>
                <c:pt idx="4">
                  <c:v>105.4</c:v>
                </c:pt>
                <c:pt idx="5">
                  <c:v>108.4</c:v>
                </c:pt>
                <c:pt idx="6">
                  <c:v>110.6</c:v>
                </c:pt>
                <c:pt idx="7">
                  <c:v>128.69999999999999</c:v>
                </c:pt>
                <c:pt idx="8">
                  <c:v>151.6</c:v>
                </c:pt>
                <c:pt idx="9">
                  <c:v>167.6</c:v>
                </c:pt>
                <c:pt idx="10" formatCode="General">
                  <c:v>176.4</c:v>
                </c:pt>
                <c:pt idx="11" formatCode="General">
                  <c:v>173.9</c:v>
                </c:pt>
                <c:pt idx="12" formatCode="General">
                  <c:v>132.30000000000001</c:v>
                </c:pt>
                <c:pt idx="13" formatCode="General">
                  <c:v>122.2</c:v>
                </c:pt>
                <c:pt idx="14" formatCode="General">
                  <c:v>123.5</c:v>
                </c:pt>
                <c:pt idx="15" formatCode="General">
                  <c:v>131</c:v>
                </c:pt>
                <c:pt idx="16" formatCode="General">
                  <c:v>140.30000000000001</c:v>
                </c:pt>
                <c:pt idx="17" formatCode="General">
                  <c:v>139.1</c:v>
                </c:pt>
              </c:numCache>
            </c:numRef>
          </c:val>
          <c:smooth val="1"/>
          <c:extLst>
            <c:ext xmlns:c16="http://schemas.microsoft.com/office/drawing/2014/chart" uri="{C3380CC4-5D6E-409C-BE32-E72D297353CC}">
              <c16:uniqueId val="{00000001-36E8-4CA9-A495-9E1303E49C84}"/>
            </c:ext>
          </c:extLst>
        </c:ser>
        <c:ser>
          <c:idx val="1"/>
          <c:order val="1"/>
          <c:tx>
            <c:strRef>
              <c:f>Cenas!$A$20</c:f>
              <c:strCache>
                <c:ptCount val="1"/>
                <c:pt idx="0">
                  <c:v>Lauksaimniecības dzīvnieki</c:v>
                </c:pt>
              </c:strCache>
            </c:strRef>
          </c:tx>
          <c:spPr>
            <a:ln w="28575" cap="rnd">
              <a:solidFill>
                <a:srgbClr val="0070C0"/>
              </a:solidFill>
              <a:round/>
            </a:ln>
            <a:effectLst/>
          </c:spPr>
          <c:marker>
            <c:symbol val="none"/>
          </c:marker>
          <c:cat>
            <c:multiLvlStrRef>
              <c:f>Cenas!$V$3:$AM$4</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2020</c:v>
                  </c:pt>
                  <c:pt idx="4">
                    <c:v>2021</c:v>
                  </c:pt>
                  <c:pt idx="8">
                    <c:v>2022</c:v>
                  </c:pt>
                  <c:pt idx="12">
                    <c:v>2023</c:v>
                  </c:pt>
                  <c:pt idx="16">
                    <c:v>2024</c:v>
                  </c:pt>
                </c:lvl>
              </c:multiLvlStrCache>
            </c:multiLvlStrRef>
          </c:cat>
          <c:val>
            <c:numRef>
              <c:f>Cenas!$V$20:$AM$20</c:f>
              <c:numCache>
                <c:formatCode>0.0</c:formatCode>
                <c:ptCount val="18"/>
                <c:pt idx="0">
                  <c:v>108.6</c:v>
                </c:pt>
                <c:pt idx="1">
                  <c:v>102.7</c:v>
                </c:pt>
                <c:pt idx="2">
                  <c:v>97.5</c:v>
                </c:pt>
                <c:pt idx="3">
                  <c:v>91.2</c:v>
                </c:pt>
                <c:pt idx="4">
                  <c:v>96.3</c:v>
                </c:pt>
                <c:pt idx="5">
                  <c:v>106.6</c:v>
                </c:pt>
                <c:pt idx="6">
                  <c:v>105.9</c:v>
                </c:pt>
                <c:pt idx="7">
                  <c:v>102.5</c:v>
                </c:pt>
                <c:pt idx="8">
                  <c:v>116.3</c:v>
                </c:pt>
                <c:pt idx="9">
                  <c:v>137.30000000000001</c:v>
                </c:pt>
                <c:pt idx="10" formatCode="General">
                  <c:v>142.4</c:v>
                </c:pt>
                <c:pt idx="11" formatCode="General">
                  <c:v>138.4</c:v>
                </c:pt>
                <c:pt idx="12" formatCode="General">
                  <c:v>146.5</c:v>
                </c:pt>
                <c:pt idx="13" formatCode="General">
                  <c:v>158.80000000000001</c:v>
                </c:pt>
                <c:pt idx="14" formatCode="General">
                  <c:v>149.1</c:v>
                </c:pt>
                <c:pt idx="15" formatCode="General">
                  <c:v>147.4</c:v>
                </c:pt>
                <c:pt idx="16" formatCode="General">
                  <c:v>163.5</c:v>
                </c:pt>
                <c:pt idx="17" formatCode="General">
                  <c:v>162.19999999999999</c:v>
                </c:pt>
              </c:numCache>
            </c:numRef>
          </c:val>
          <c:smooth val="1"/>
          <c:extLst>
            <c:ext xmlns:c16="http://schemas.microsoft.com/office/drawing/2014/chart" uri="{C3380CC4-5D6E-409C-BE32-E72D297353CC}">
              <c16:uniqueId val="{00000002-36E8-4CA9-A495-9E1303E49C84}"/>
            </c:ext>
          </c:extLst>
        </c:ser>
        <c:ser>
          <c:idx val="3"/>
          <c:order val="3"/>
          <c:tx>
            <c:strRef>
              <c:f>Cenas!$A$16</c:f>
              <c:strCache>
                <c:ptCount val="1"/>
                <c:pt idx="0">
                  <c:v>Kartupeļi</c:v>
                </c:pt>
              </c:strCache>
            </c:strRef>
          </c:tx>
          <c:spPr>
            <a:ln w="28575" cap="rnd">
              <a:solidFill>
                <a:srgbClr val="00B050"/>
              </a:solidFill>
              <a:round/>
            </a:ln>
            <a:effectLst/>
          </c:spPr>
          <c:marker>
            <c:symbol val="none"/>
          </c:marker>
          <c:cat>
            <c:multiLvlStrRef>
              <c:f>Cenas!$V$3:$AM$4</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2020</c:v>
                  </c:pt>
                  <c:pt idx="4">
                    <c:v>2021</c:v>
                  </c:pt>
                  <c:pt idx="8">
                    <c:v>2022</c:v>
                  </c:pt>
                  <c:pt idx="12">
                    <c:v>2023</c:v>
                  </c:pt>
                  <c:pt idx="16">
                    <c:v>2024</c:v>
                  </c:pt>
                </c:lvl>
              </c:multiLvlStrCache>
            </c:multiLvlStrRef>
          </c:cat>
          <c:val>
            <c:numRef>
              <c:f>Cenas!$V$16:$AM$16</c:f>
              <c:numCache>
                <c:formatCode>0.0</c:formatCode>
                <c:ptCount val="18"/>
                <c:pt idx="0">
                  <c:v>103</c:v>
                </c:pt>
                <c:pt idx="1">
                  <c:v>103.2</c:v>
                </c:pt>
                <c:pt idx="2">
                  <c:v>104.5</c:v>
                </c:pt>
                <c:pt idx="3">
                  <c:v>94.1</c:v>
                </c:pt>
                <c:pt idx="4">
                  <c:v>92.7</c:v>
                </c:pt>
                <c:pt idx="5">
                  <c:v>98.9</c:v>
                </c:pt>
                <c:pt idx="6">
                  <c:v>152.1</c:v>
                </c:pt>
                <c:pt idx="7">
                  <c:v>129.30000000000001</c:v>
                </c:pt>
                <c:pt idx="8">
                  <c:v>168.5</c:v>
                </c:pt>
                <c:pt idx="9">
                  <c:v>147.1</c:v>
                </c:pt>
                <c:pt idx="10" formatCode="General">
                  <c:v>165.8</c:v>
                </c:pt>
                <c:pt idx="11" formatCode="General">
                  <c:v>152.9</c:v>
                </c:pt>
                <c:pt idx="12" formatCode="General">
                  <c:v>166.4</c:v>
                </c:pt>
                <c:pt idx="13" formatCode="General">
                  <c:v>176.5</c:v>
                </c:pt>
                <c:pt idx="14" formatCode="General">
                  <c:v>195.3</c:v>
                </c:pt>
                <c:pt idx="15" formatCode="General">
                  <c:v>142.6</c:v>
                </c:pt>
                <c:pt idx="16" formatCode="General">
                  <c:v>183.1</c:v>
                </c:pt>
                <c:pt idx="17" formatCode="General">
                  <c:v>212.5</c:v>
                </c:pt>
              </c:numCache>
            </c:numRef>
          </c:val>
          <c:smooth val="1"/>
          <c:extLst>
            <c:ext xmlns:c16="http://schemas.microsoft.com/office/drawing/2014/chart" uri="{C3380CC4-5D6E-409C-BE32-E72D297353CC}">
              <c16:uniqueId val="{00000003-36E8-4CA9-A495-9E1303E49C84}"/>
            </c:ext>
          </c:extLst>
        </c:ser>
        <c:ser>
          <c:idx val="4"/>
          <c:order val="4"/>
          <c:tx>
            <c:strRef>
              <c:f>Cenas!$A$17</c:f>
              <c:strCache>
                <c:ptCount val="1"/>
                <c:pt idx="0">
                  <c:v>Augļi un ogas</c:v>
                </c:pt>
              </c:strCache>
            </c:strRef>
          </c:tx>
          <c:spPr>
            <a:ln w="28575" cap="rnd">
              <a:solidFill>
                <a:srgbClr val="FFC000">
                  <a:lumMod val="60000"/>
                  <a:lumOff val="40000"/>
                </a:srgbClr>
              </a:solidFill>
              <a:round/>
            </a:ln>
            <a:effectLst/>
          </c:spPr>
          <c:marker>
            <c:symbol val="none"/>
          </c:marker>
          <c:cat>
            <c:multiLvlStrRef>
              <c:f>Cenas!$V$3:$AM$4</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2020</c:v>
                  </c:pt>
                  <c:pt idx="4">
                    <c:v>2021</c:v>
                  </c:pt>
                  <c:pt idx="8">
                    <c:v>2022</c:v>
                  </c:pt>
                  <c:pt idx="12">
                    <c:v>2023</c:v>
                  </c:pt>
                  <c:pt idx="16">
                    <c:v>2024</c:v>
                  </c:pt>
                </c:lvl>
              </c:multiLvlStrCache>
            </c:multiLvlStrRef>
          </c:cat>
          <c:val>
            <c:numRef>
              <c:f>Cenas!$V$17:$AM$17</c:f>
              <c:numCache>
                <c:formatCode>0.0</c:formatCode>
                <c:ptCount val="18"/>
                <c:pt idx="0">
                  <c:v>111.7</c:v>
                </c:pt>
                <c:pt idx="1">
                  <c:v>99.9</c:v>
                </c:pt>
                <c:pt idx="2">
                  <c:v>101.9</c:v>
                </c:pt>
                <c:pt idx="3">
                  <c:v>94.8</c:v>
                </c:pt>
                <c:pt idx="4">
                  <c:v>88.8</c:v>
                </c:pt>
                <c:pt idx="5">
                  <c:v>96.2</c:v>
                </c:pt>
                <c:pt idx="6">
                  <c:v>117</c:v>
                </c:pt>
                <c:pt idx="7">
                  <c:v>119.4</c:v>
                </c:pt>
                <c:pt idx="8">
                  <c:v>120.6</c:v>
                </c:pt>
                <c:pt idx="9">
                  <c:v>153.9</c:v>
                </c:pt>
                <c:pt idx="10" formatCode="General">
                  <c:v>110.3</c:v>
                </c:pt>
                <c:pt idx="11" formatCode="General">
                  <c:v>149.5</c:v>
                </c:pt>
                <c:pt idx="12" formatCode="General">
                  <c:v>105.5</c:v>
                </c:pt>
                <c:pt idx="13" formatCode="General">
                  <c:v>170.7</c:v>
                </c:pt>
                <c:pt idx="14" formatCode="General">
                  <c:v>155.4</c:v>
                </c:pt>
                <c:pt idx="15" formatCode="General">
                  <c:v>151.1</c:v>
                </c:pt>
                <c:pt idx="16" formatCode="General">
                  <c:v>125.6</c:v>
                </c:pt>
                <c:pt idx="17" formatCode="General">
                  <c:v>190.9</c:v>
                </c:pt>
              </c:numCache>
            </c:numRef>
          </c:val>
          <c:smooth val="1"/>
          <c:extLst>
            <c:ext xmlns:c16="http://schemas.microsoft.com/office/drawing/2014/chart" uri="{C3380CC4-5D6E-409C-BE32-E72D297353CC}">
              <c16:uniqueId val="{00000004-36E8-4CA9-A495-9E1303E49C84}"/>
            </c:ext>
          </c:extLst>
        </c:ser>
        <c:dLbls>
          <c:showLegendKey val="0"/>
          <c:showVal val="0"/>
          <c:showCatName val="0"/>
          <c:showSerName val="0"/>
          <c:showPercent val="0"/>
          <c:showBubbleSize val="0"/>
        </c:dLbls>
        <c:smooth val="0"/>
        <c:axId val="956682448"/>
        <c:axId val="956676208"/>
      </c:lineChart>
      <c:catAx>
        <c:axId val="95668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56676208"/>
        <c:crosses val="autoZero"/>
        <c:auto val="1"/>
        <c:lblAlgn val="ctr"/>
        <c:lblOffset val="100"/>
        <c:noMultiLvlLbl val="0"/>
      </c:catAx>
      <c:valAx>
        <c:axId val="9566762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566824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Sheet1!$C$2</c:f>
              <c:strCache>
                <c:ptCount val="1"/>
                <c:pt idx="0">
                  <c:v>2022.gads</c:v>
                </c:pt>
              </c:strCache>
            </c:strRef>
          </c:tx>
          <c:spPr>
            <a:solidFill>
              <a:schemeClr val="accent5">
                <a:lumMod val="60000"/>
                <a:lumOff val="40000"/>
              </a:schemeClr>
            </a:solidFill>
            <a:ln>
              <a:noFill/>
            </a:ln>
            <a:effectLst>
              <a:softEdge rad="12700"/>
            </a:effectLst>
          </c:spPr>
          <c:invertIfNegative val="0"/>
          <c:dPt>
            <c:idx val="2"/>
            <c:invertIfNegative val="0"/>
            <c:bubble3D val="0"/>
            <c:spPr>
              <a:solidFill>
                <a:schemeClr val="accent5">
                  <a:lumMod val="60000"/>
                  <a:lumOff val="40000"/>
                </a:schemeClr>
              </a:solidFill>
              <a:ln>
                <a:solidFill>
                  <a:srgbClr val="FF0000"/>
                </a:solidFill>
              </a:ln>
              <a:effectLst>
                <a:softEdge rad="12700"/>
              </a:effectLst>
            </c:spPr>
            <c:extLst>
              <c:ext xmlns:c16="http://schemas.microsoft.com/office/drawing/2014/chart" uri="{C3380CC4-5D6E-409C-BE32-E72D297353CC}">
                <c16:uniqueId val="{00000001-08AC-4EA8-95C5-F2620245AD48}"/>
              </c:ext>
            </c:extLst>
          </c:dPt>
          <c:dPt>
            <c:idx val="14"/>
            <c:invertIfNegative val="0"/>
            <c:bubble3D val="0"/>
            <c:spPr>
              <a:solidFill>
                <a:schemeClr val="accent5">
                  <a:lumMod val="60000"/>
                  <a:lumOff val="40000"/>
                </a:schemeClr>
              </a:solidFill>
              <a:ln>
                <a:solidFill>
                  <a:srgbClr val="FF0000"/>
                </a:solidFill>
              </a:ln>
              <a:effectLst>
                <a:softEdge rad="12700"/>
              </a:effectLst>
            </c:spPr>
            <c:extLst>
              <c:ext xmlns:c16="http://schemas.microsoft.com/office/drawing/2014/chart" uri="{C3380CC4-5D6E-409C-BE32-E72D297353CC}">
                <c16:uniqueId val="{00000003-08AC-4EA8-95C5-F2620245AD48}"/>
              </c:ext>
            </c:extLst>
          </c:dPt>
          <c:dPt>
            <c:idx val="19"/>
            <c:invertIfNegative val="0"/>
            <c:bubble3D val="0"/>
            <c:spPr>
              <a:solidFill>
                <a:schemeClr val="accent5">
                  <a:lumMod val="60000"/>
                  <a:lumOff val="40000"/>
                </a:schemeClr>
              </a:solidFill>
              <a:ln>
                <a:solidFill>
                  <a:srgbClr val="FF0000"/>
                </a:solidFill>
              </a:ln>
              <a:effectLst>
                <a:softEdge rad="12700"/>
              </a:effectLst>
            </c:spPr>
            <c:extLst>
              <c:ext xmlns:c16="http://schemas.microsoft.com/office/drawing/2014/chart" uri="{C3380CC4-5D6E-409C-BE32-E72D297353CC}">
                <c16:uniqueId val="{00000005-08AC-4EA8-95C5-F2620245AD48}"/>
              </c:ext>
            </c:extLst>
          </c:dPt>
          <c:cat>
            <c:strRef>
              <c:f>Sheet1!$B$3:$B$31</c:f>
              <c:strCache>
                <c:ptCount val="29"/>
                <c:pt idx="0">
                  <c:v>Igaunija</c:v>
                </c:pt>
                <c:pt idx="1">
                  <c:v>Lietuva</c:v>
                </c:pt>
                <c:pt idx="2">
                  <c:v>Latvija</c:v>
                </c:pt>
                <c:pt idx="3">
                  <c:v>Ungārija</c:v>
                </c:pt>
                <c:pt idx="4">
                  <c:v>Čehija</c:v>
                </c:pt>
                <c:pt idx="5">
                  <c:v>Polija</c:v>
                </c:pt>
                <c:pt idx="6">
                  <c:v>Bulgārija</c:v>
                </c:pt>
                <c:pt idx="7">
                  <c:v>Slovākija</c:v>
                </c:pt>
                <c:pt idx="8">
                  <c:v>Rumānija</c:v>
                </c:pt>
                <c:pt idx="9">
                  <c:v>Nīderlande</c:v>
                </c:pt>
                <c:pt idx="10">
                  <c:v>Horvātija</c:v>
                </c:pt>
                <c:pt idx="11">
                  <c:v>Beļģija</c:v>
                </c:pt>
                <c:pt idx="12">
                  <c:v>Grieķija</c:v>
                </c:pt>
                <c:pt idx="13">
                  <c:v>Slovēnija</c:v>
                </c:pt>
                <c:pt idx="14">
                  <c:v>ES(27)</c:v>
                </c:pt>
                <c:pt idx="15">
                  <c:v>Vācija</c:v>
                </c:pt>
                <c:pt idx="16">
                  <c:v>Itālija</c:v>
                </c:pt>
                <c:pt idx="17">
                  <c:v>Austrija</c:v>
                </c:pt>
                <c:pt idx="18">
                  <c:v>Dānija</c:v>
                </c:pt>
                <c:pt idx="19">
                  <c:v>Eirozona</c:v>
                </c:pt>
                <c:pt idx="20">
                  <c:v>Spānija</c:v>
                </c:pt>
                <c:pt idx="21">
                  <c:v>Luksemburga</c:v>
                </c:pt>
                <c:pt idx="22">
                  <c:v>Īrija</c:v>
                </c:pt>
                <c:pt idx="23">
                  <c:v>Kipra</c:v>
                </c:pt>
                <c:pt idx="24">
                  <c:v>Portugāle</c:v>
                </c:pt>
                <c:pt idx="25">
                  <c:v>Zviedrija</c:v>
                </c:pt>
                <c:pt idx="26">
                  <c:v>Somija</c:v>
                </c:pt>
                <c:pt idx="27">
                  <c:v>Malta</c:v>
                </c:pt>
                <c:pt idx="28">
                  <c:v>Frāncija</c:v>
                </c:pt>
              </c:strCache>
            </c:strRef>
          </c:cat>
          <c:val>
            <c:numRef>
              <c:f>Sheet1!$C$3:$C$31</c:f>
              <c:numCache>
                <c:formatCode>0.0</c:formatCode>
                <c:ptCount val="29"/>
                <c:pt idx="0">
                  <c:v>19.399999999999999</c:v>
                </c:pt>
                <c:pt idx="1">
                  <c:v>18.899999999999999</c:v>
                </c:pt>
                <c:pt idx="2">
                  <c:v>17.2</c:v>
                </c:pt>
                <c:pt idx="3">
                  <c:v>15.3</c:v>
                </c:pt>
                <c:pt idx="4">
                  <c:v>14.8</c:v>
                </c:pt>
                <c:pt idx="5">
                  <c:v>13.2</c:v>
                </c:pt>
                <c:pt idx="6">
                  <c:v>13</c:v>
                </c:pt>
                <c:pt idx="7">
                  <c:v>12.1</c:v>
                </c:pt>
                <c:pt idx="8">
                  <c:v>12</c:v>
                </c:pt>
                <c:pt idx="9">
                  <c:v>11.6</c:v>
                </c:pt>
                <c:pt idx="10">
                  <c:v>10.7</c:v>
                </c:pt>
                <c:pt idx="11">
                  <c:v>10.3</c:v>
                </c:pt>
                <c:pt idx="12">
                  <c:v>9.3000000000000007</c:v>
                </c:pt>
                <c:pt idx="13">
                  <c:v>9.3000000000000007</c:v>
                </c:pt>
                <c:pt idx="14">
                  <c:v>9.1999999999999993</c:v>
                </c:pt>
                <c:pt idx="15">
                  <c:v>8.6999999999999993</c:v>
                </c:pt>
                <c:pt idx="16">
                  <c:v>8.6999999999999993</c:v>
                </c:pt>
                <c:pt idx="17">
                  <c:v>8.6</c:v>
                </c:pt>
                <c:pt idx="18">
                  <c:v>8.5</c:v>
                </c:pt>
                <c:pt idx="19">
                  <c:v>8.4</c:v>
                </c:pt>
                <c:pt idx="20">
                  <c:v>8.3000000000000007</c:v>
                </c:pt>
                <c:pt idx="21">
                  <c:v>8.1999999999999993</c:v>
                </c:pt>
                <c:pt idx="22">
                  <c:v>8.1</c:v>
                </c:pt>
                <c:pt idx="23">
                  <c:v>8.1</c:v>
                </c:pt>
                <c:pt idx="24">
                  <c:v>8.1</c:v>
                </c:pt>
                <c:pt idx="25">
                  <c:v>8.1</c:v>
                </c:pt>
                <c:pt idx="26">
                  <c:v>7.2</c:v>
                </c:pt>
                <c:pt idx="27">
                  <c:v>6.1</c:v>
                </c:pt>
                <c:pt idx="28">
                  <c:v>5.9</c:v>
                </c:pt>
              </c:numCache>
            </c:numRef>
          </c:val>
          <c:extLst>
            <c:ext xmlns:c16="http://schemas.microsoft.com/office/drawing/2014/chart" uri="{C3380CC4-5D6E-409C-BE32-E72D297353CC}">
              <c16:uniqueId val="{00000006-08AC-4EA8-95C5-F2620245AD48}"/>
            </c:ext>
          </c:extLst>
        </c:ser>
        <c:dLbls>
          <c:showLegendKey val="0"/>
          <c:showVal val="0"/>
          <c:showCatName val="0"/>
          <c:showSerName val="0"/>
          <c:showPercent val="0"/>
          <c:showBubbleSize val="0"/>
        </c:dLbls>
        <c:gapWidth val="30"/>
        <c:axId val="1948408751"/>
        <c:axId val="1948410831"/>
      </c:barChart>
      <c:lineChart>
        <c:grouping val="standard"/>
        <c:varyColors val="0"/>
        <c:ser>
          <c:idx val="1"/>
          <c:order val="1"/>
          <c:tx>
            <c:strRef>
              <c:f>Sheet1!$D$2</c:f>
              <c:strCache>
                <c:ptCount val="1"/>
                <c:pt idx="0">
                  <c:v>2023</c:v>
                </c:pt>
              </c:strCache>
            </c:strRef>
          </c:tx>
          <c:spPr>
            <a:ln w="28575" cap="rnd">
              <a:solidFill>
                <a:schemeClr val="accent1">
                  <a:alpha val="0"/>
                </a:schemeClr>
              </a:solidFill>
              <a:round/>
            </a:ln>
            <a:effectLst/>
          </c:spPr>
          <c:marker>
            <c:symbol val="circle"/>
            <c:size val="7"/>
            <c:spPr>
              <a:solidFill>
                <a:schemeClr val="accent2"/>
              </a:solidFill>
              <a:ln w="9525">
                <a:solidFill>
                  <a:schemeClr val="accent2"/>
                </a:solidFill>
              </a:ln>
              <a:effectLst/>
            </c:spPr>
          </c:marker>
          <c:cat>
            <c:strRef>
              <c:f>Sheet1!$B$3:$B$31</c:f>
              <c:strCache>
                <c:ptCount val="29"/>
                <c:pt idx="0">
                  <c:v>Igaunija</c:v>
                </c:pt>
                <c:pt idx="1">
                  <c:v>Lietuva</c:v>
                </c:pt>
                <c:pt idx="2">
                  <c:v>Latvija</c:v>
                </c:pt>
                <c:pt idx="3">
                  <c:v>Ungārija</c:v>
                </c:pt>
                <c:pt idx="4">
                  <c:v>Čehija</c:v>
                </c:pt>
                <c:pt idx="5">
                  <c:v>Polija</c:v>
                </c:pt>
                <c:pt idx="6">
                  <c:v>Bulgārija</c:v>
                </c:pt>
                <c:pt idx="7">
                  <c:v>Slovākija</c:v>
                </c:pt>
                <c:pt idx="8">
                  <c:v>Rumānija</c:v>
                </c:pt>
                <c:pt idx="9">
                  <c:v>Nīderlande</c:v>
                </c:pt>
                <c:pt idx="10">
                  <c:v>Horvātija</c:v>
                </c:pt>
                <c:pt idx="11">
                  <c:v>Beļģija</c:v>
                </c:pt>
                <c:pt idx="12">
                  <c:v>Grieķija</c:v>
                </c:pt>
                <c:pt idx="13">
                  <c:v>Slovēnija</c:v>
                </c:pt>
                <c:pt idx="14">
                  <c:v>ES(27)</c:v>
                </c:pt>
                <c:pt idx="15">
                  <c:v>Vācija</c:v>
                </c:pt>
                <c:pt idx="16">
                  <c:v>Itālija</c:v>
                </c:pt>
                <c:pt idx="17">
                  <c:v>Austrija</c:v>
                </c:pt>
                <c:pt idx="18">
                  <c:v>Dānija</c:v>
                </c:pt>
                <c:pt idx="19">
                  <c:v>Eirozona</c:v>
                </c:pt>
                <c:pt idx="20">
                  <c:v>Spānija</c:v>
                </c:pt>
                <c:pt idx="21">
                  <c:v>Luksemburga</c:v>
                </c:pt>
                <c:pt idx="22">
                  <c:v>Īrija</c:v>
                </c:pt>
                <c:pt idx="23">
                  <c:v>Kipra</c:v>
                </c:pt>
                <c:pt idx="24">
                  <c:v>Portugāle</c:v>
                </c:pt>
                <c:pt idx="25">
                  <c:v>Zviedrija</c:v>
                </c:pt>
                <c:pt idx="26">
                  <c:v>Somija</c:v>
                </c:pt>
                <c:pt idx="27">
                  <c:v>Malta</c:v>
                </c:pt>
                <c:pt idx="28">
                  <c:v>Frāncija</c:v>
                </c:pt>
              </c:strCache>
            </c:strRef>
          </c:cat>
          <c:val>
            <c:numRef>
              <c:f>Sheet1!$D$3:$D$31</c:f>
              <c:numCache>
                <c:formatCode>0.0</c:formatCode>
                <c:ptCount val="29"/>
                <c:pt idx="0">
                  <c:v>9.1</c:v>
                </c:pt>
                <c:pt idx="1">
                  <c:v>8.6999999999999993</c:v>
                </c:pt>
                <c:pt idx="2">
                  <c:v>9.1</c:v>
                </c:pt>
                <c:pt idx="3">
                  <c:v>17</c:v>
                </c:pt>
                <c:pt idx="4">
                  <c:v>12</c:v>
                </c:pt>
                <c:pt idx="5">
                  <c:v>10.9</c:v>
                </c:pt>
                <c:pt idx="6">
                  <c:v>8.6</c:v>
                </c:pt>
                <c:pt idx="7">
                  <c:v>11</c:v>
                </c:pt>
                <c:pt idx="8">
                  <c:v>9.6999999999999993</c:v>
                </c:pt>
                <c:pt idx="9">
                  <c:v>4.0999999999999996</c:v>
                </c:pt>
                <c:pt idx="10">
                  <c:v>8.4</c:v>
                </c:pt>
                <c:pt idx="11">
                  <c:v>2.2999999999999998</c:v>
                </c:pt>
                <c:pt idx="12">
                  <c:v>4.2</c:v>
                </c:pt>
                <c:pt idx="13">
                  <c:v>7.2</c:v>
                </c:pt>
                <c:pt idx="14">
                  <c:v>6.4</c:v>
                </c:pt>
                <c:pt idx="15">
                  <c:v>6</c:v>
                </c:pt>
                <c:pt idx="16">
                  <c:v>5.9</c:v>
                </c:pt>
                <c:pt idx="17">
                  <c:v>7.7</c:v>
                </c:pt>
                <c:pt idx="18">
                  <c:v>3.4</c:v>
                </c:pt>
                <c:pt idx="19">
                  <c:v>5.4</c:v>
                </c:pt>
                <c:pt idx="20">
                  <c:v>3.4</c:v>
                </c:pt>
                <c:pt idx="21">
                  <c:v>2.9</c:v>
                </c:pt>
                <c:pt idx="22">
                  <c:v>5.2</c:v>
                </c:pt>
                <c:pt idx="23">
                  <c:v>3.9</c:v>
                </c:pt>
                <c:pt idx="24">
                  <c:v>5.3</c:v>
                </c:pt>
                <c:pt idx="25">
                  <c:v>5.9</c:v>
                </c:pt>
                <c:pt idx="26">
                  <c:v>4.3</c:v>
                </c:pt>
                <c:pt idx="27">
                  <c:v>5.6</c:v>
                </c:pt>
                <c:pt idx="28">
                  <c:v>5.7</c:v>
                </c:pt>
              </c:numCache>
            </c:numRef>
          </c:val>
          <c:smooth val="0"/>
          <c:extLst>
            <c:ext xmlns:c16="http://schemas.microsoft.com/office/drawing/2014/chart" uri="{C3380CC4-5D6E-409C-BE32-E72D297353CC}">
              <c16:uniqueId val="{00000007-08AC-4EA8-95C5-F2620245AD48}"/>
            </c:ext>
          </c:extLst>
        </c:ser>
        <c:ser>
          <c:idx val="2"/>
          <c:order val="2"/>
          <c:tx>
            <c:strRef>
              <c:f>Sheet1!$E$2</c:f>
              <c:strCache>
                <c:ptCount val="1"/>
                <c:pt idx="0">
                  <c:v>Jan-Aug 2024</c:v>
                </c:pt>
              </c:strCache>
            </c:strRef>
          </c:tx>
          <c:spPr>
            <a:ln w="28575" cap="rnd">
              <a:solidFill>
                <a:schemeClr val="accent1">
                  <a:alpha val="0"/>
                </a:schemeClr>
              </a:solidFill>
              <a:round/>
            </a:ln>
            <a:effectLst/>
          </c:spPr>
          <c:marker>
            <c:symbol val="star"/>
            <c:size val="7"/>
            <c:spPr>
              <a:noFill/>
              <a:ln w="9525">
                <a:solidFill>
                  <a:srgbClr val="002060"/>
                </a:solidFill>
              </a:ln>
              <a:effectLst/>
            </c:spPr>
          </c:marker>
          <c:cat>
            <c:strRef>
              <c:f>Sheet1!$B$3:$B$31</c:f>
              <c:strCache>
                <c:ptCount val="29"/>
                <c:pt idx="0">
                  <c:v>Igaunija</c:v>
                </c:pt>
                <c:pt idx="1">
                  <c:v>Lietuva</c:v>
                </c:pt>
                <c:pt idx="2">
                  <c:v>Latvija</c:v>
                </c:pt>
                <c:pt idx="3">
                  <c:v>Ungārija</c:v>
                </c:pt>
                <c:pt idx="4">
                  <c:v>Čehija</c:v>
                </c:pt>
                <c:pt idx="5">
                  <c:v>Polija</c:v>
                </c:pt>
                <c:pt idx="6">
                  <c:v>Bulgārija</c:v>
                </c:pt>
                <c:pt idx="7">
                  <c:v>Slovākija</c:v>
                </c:pt>
                <c:pt idx="8">
                  <c:v>Rumānija</c:v>
                </c:pt>
                <c:pt idx="9">
                  <c:v>Nīderlande</c:v>
                </c:pt>
                <c:pt idx="10">
                  <c:v>Horvātija</c:v>
                </c:pt>
                <c:pt idx="11">
                  <c:v>Beļģija</c:v>
                </c:pt>
                <c:pt idx="12">
                  <c:v>Grieķija</c:v>
                </c:pt>
                <c:pt idx="13">
                  <c:v>Slovēnija</c:v>
                </c:pt>
                <c:pt idx="14">
                  <c:v>ES(27)</c:v>
                </c:pt>
                <c:pt idx="15">
                  <c:v>Vācija</c:v>
                </c:pt>
                <c:pt idx="16">
                  <c:v>Itālija</c:v>
                </c:pt>
                <c:pt idx="17">
                  <c:v>Austrija</c:v>
                </c:pt>
                <c:pt idx="18">
                  <c:v>Dānija</c:v>
                </c:pt>
                <c:pt idx="19">
                  <c:v>Eirozona</c:v>
                </c:pt>
                <c:pt idx="20">
                  <c:v>Spānija</c:v>
                </c:pt>
                <c:pt idx="21">
                  <c:v>Luksemburga</c:v>
                </c:pt>
                <c:pt idx="22">
                  <c:v>Īrija</c:v>
                </c:pt>
                <c:pt idx="23">
                  <c:v>Kipra</c:v>
                </c:pt>
                <c:pt idx="24">
                  <c:v>Portugāle</c:v>
                </c:pt>
                <c:pt idx="25">
                  <c:v>Zviedrija</c:v>
                </c:pt>
                <c:pt idx="26">
                  <c:v>Somija</c:v>
                </c:pt>
                <c:pt idx="27">
                  <c:v>Malta</c:v>
                </c:pt>
                <c:pt idx="28">
                  <c:v>Frāncija</c:v>
                </c:pt>
              </c:strCache>
            </c:strRef>
          </c:cat>
          <c:val>
            <c:numRef>
              <c:f>Sheet1!$E$3:$E$31</c:f>
              <c:numCache>
                <c:formatCode>0.0</c:formatCode>
                <c:ptCount val="29"/>
                <c:pt idx="0">
                  <c:v>3.6535121210341233</c:v>
                </c:pt>
                <c:pt idx="1">
                  <c:v>0.83909056651174319</c:v>
                </c:pt>
                <c:pt idx="2">
                  <c:v>0.86117659339417452</c:v>
                </c:pt>
                <c:pt idx="3">
                  <c:v>3.7320651297759322</c:v>
                </c:pt>
                <c:pt idx="4">
                  <c:v>2.5145067698259047</c:v>
                </c:pt>
                <c:pt idx="5">
                  <c:v>3.3827061649319403</c:v>
                </c:pt>
                <c:pt idx="6">
                  <c:v>3.030303030303017</c:v>
                </c:pt>
                <c:pt idx="7">
                  <c:v>3.0719563035240949</c:v>
                </c:pt>
                <c:pt idx="8">
                  <c:v>6.3224619159595026</c:v>
                </c:pt>
                <c:pt idx="9">
                  <c:v>3.0398117277897967</c:v>
                </c:pt>
                <c:pt idx="10">
                  <c:v>4.1427521696820246</c:v>
                </c:pt>
                <c:pt idx="11">
                  <c:v>4.2372543548451489</c:v>
                </c:pt>
                <c:pt idx="12">
                  <c:v>2.9772386356224994</c:v>
                </c:pt>
                <c:pt idx="13">
                  <c:v>2.4577896967688173</c:v>
                </c:pt>
                <c:pt idx="14">
                  <c:v>2.7485843714609199</c:v>
                </c:pt>
                <c:pt idx="15">
                  <c:v>2.5625685512014971</c:v>
                </c:pt>
                <c:pt idx="16">
                  <c:v>1.0686864494708517</c:v>
                </c:pt>
                <c:pt idx="17">
                  <c:v>3.4435793906844752</c:v>
                </c:pt>
                <c:pt idx="18">
                  <c:v>1.0934272870853898</c:v>
                </c:pt>
                <c:pt idx="19">
                  <c:v>2.4985218862769871</c:v>
                </c:pt>
                <c:pt idx="20">
                  <c:v>3.2134579282425717</c:v>
                </c:pt>
                <c:pt idx="21">
                  <c:v>2.8442079427445925</c:v>
                </c:pt>
                <c:pt idx="22">
                  <c:v>1.8022821798016397</c:v>
                </c:pt>
                <c:pt idx="23">
                  <c:v>2.3273966578715872</c:v>
                </c:pt>
                <c:pt idx="24">
                  <c:v>2.6352156804827502</c:v>
                </c:pt>
                <c:pt idx="25">
                  <c:v>2.3289896729189525</c:v>
                </c:pt>
                <c:pt idx="26">
                  <c:v>0.75195888448899151</c:v>
                </c:pt>
                <c:pt idx="27">
                  <c:v>2.6270177710025653</c:v>
                </c:pt>
                <c:pt idx="28">
                  <c:v>2.6777902762154651</c:v>
                </c:pt>
              </c:numCache>
            </c:numRef>
          </c:val>
          <c:smooth val="0"/>
          <c:extLst>
            <c:ext xmlns:c16="http://schemas.microsoft.com/office/drawing/2014/chart" uri="{C3380CC4-5D6E-409C-BE32-E72D297353CC}">
              <c16:uniqueId val="{00000008-08AC-4EA8-95C5-F2620245AD48}"/>
            </c:ext>
          </c:extLst>
        </c:ser>
        <c:dLbls>
          <c:showLegendKey val="0"/>
          <c:showVal val="0"/>
          <c:showCatName val="0"/>
          <c:showSerName val="0"/>
          <c:showPercent val="0"/>
          <c:showBubbleSize val="0"/>
        </c:dLbls>
        <c:marker val="1"/>
        <c:smooth val="0"/>
        <c:axId val="1948408751"/>
        <c:axId val="1948410831"/>
      </c:lineChart>
      <c:catAx>
        <c:axId val="1948408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948410831"/>
        <c:crosses val="autoZero"/>
        <c:auto val="1"/>
        <c:lblAlgn val="ctr"/>
        <c:lblOffset val="100"/>
        <c:noMultiLvlLbl val="0"/>
      </c:catAx>
      <c:valAx>
        <c:axId val="1948410831"/>
        <c:scaling>
          <c:orientation val="minMax"/>
          <c:max val="2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948408751"/>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34815643432025"/>
          <c:y val="3.5132545512615777E-2"/>
          <c:w val="0.85236402068745099"/>
          <c:h val="0.59449900285939183"/>
        </c:manualLayout>
      </c:layout>
      <c:barChart>
        <c:barDir val="col"/>
        <c:grouping val="stacked"/>
        <c:varyColors val="0"/>
        <c:ser>
          <c:idx val="0"/>
          <c:order val="0"/>
          <c:tx>
            <c:strRef>
              <c:f>PCI020m6!$BX$314</c:f>
              <c:strCache>
                <c:ptCount val="1"/>
                <c:pt idx="0">
                  <c:v>Pārtika</c:v>
                </c:pt>
              </c:strCache>
            </c:strRef>
          </c:tx>
          <c:spPr>
            <a:solidFill>
              <a:schemeClr val="accent5">
                <a:lumMod val="40000"/>
                <a:lumOff val="60000"/>
              </a:schemeClr>
            </a:solidFill>
            <a:ln>
              <a:noFill/>
            </a:ln>
            <a:effectLst/>
          </c:spPr>
          <c:invertIfNegative val="0"/>
          <c:cat>
            <c:multiLvlStrRef>
              <c:f>PCI020m6!$DU$2:$EN$3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 Jūl</c:v>
                  </c:pt>
                  <c:pt idx="19">
                    <c:v>Aug</c:v>
                  </c:pt>
                </c:lvl>
                <c:lvl>
                  <c:pt idx="0">
                    <c:v>2023</c:v>
                  </c:pt>
                  <c:pt idx="12">
                    <c:v>2024</c:v>
                  </c:pt>
                </c:lvl>
              </c:multiLvlStrCache>
            </c:multiLvlStrRef>
          </c:cat>
          <c:val>
            <c:numRef>
              <c:f>PCI020m6!$DU$314:$EN$314</c:f>
              <c:numCache>
                <c:formatCode>0.0</c:formatCode>
                <c:ptCount val="20"/>
                <c:pt idx="0">
                  <c:v>7.1909999999999998</c:v>
                </c:pt>
                <c:pt idx="1">
                  <c:v>6.4515000000000002</c:v>
                </c:pt>
                <c:pt idx="2">
                  <c:v>6.1455000000000002</c:v>
                </c:pt>
                <c:pt idx="3">
                  <c:v>5.1509999999999998</c:v>
                </c:pt>
                <c:pt idx="4">
                  <c:v>4.5644999999999998</c:v>
                </c:pt>
                <c:pt idx="5">
                  <c:v>3.6720000000000002</c:v>
                </c:pt>
                <c:pt idx="6">
                  <c:v>2.8559999999999999</c:v>
                </c:pt>
                <c:pt idx="7">
                  <c:v>2.0909999999999997</c:v>
                </c:pt>
                <c:pt idx="8">
                  <c:v>1.4535</c:v>
                </c:pt>
                <c:pt idx="9">
                  <c:v>1.0965</c:v>
                </c:pt>
                <c:pt idx="10">
                  <c:v>0.94350000000000012</c:v>
                </c:pt>
                <c:pt idx="11">
                  <c:v>0.68850000000000011</c:v>
                </c:pt>
                <c:pt idx="12">
                  <c:v>0.75980000000000003</c:v>
                </c:pt>
                <c:pt idx="13">
                  <c:v>0.39300000000000002</c:v>
                </c:pt>
                <c:pt idx="14">
                  <c:v>0.18340000000000001</c:v>
                </c:pt>
                <c:pt idx="15">
                  <c:v>0.15720000000000001</c:v>
                </c:pt>
                <c:pt idx="16">
                  <c:v>0.20960000000000001</c:v>
                </c:pt>
                <c:pt idx="17">
                  <c:v>0.39300000000000002</c:v>
                </c:pt>
                <c:pt idx="18">
                  <c:v>0.62880000000000003</c:v>
                </c:pt>
                <c:pt idx="19">
                  <c:v>0.91700000000000004</c:v>
                </c:pt>
              </c:numCache>
            </c:numRef>
          </c:val>
          <c:extLst>
            <c:ext xmlns:c16="http://schemas.microsoft.com/office/drawing/2014/chart" uri="{C3380CC4-5D6E-409C-BE32-E72D297353CC}">
              <c16:uniqueId val="{00000000-9662-49E2-B798-2312D41F02ED}"/>
            </c:ext>
          </c:extLst>
        </c:ser>
        <c:ser>
          <c:idx val="1"/>
          <c:order val="1"/>
          <c:tx>
            <c:strRef>
              <c:f>PCI020m6!$BX$315</c:f>
              <c:strCache>
                <c:ptCount val="1"/>
                <c:pt idx="0">
                  <c:v>Enerģija*</c:v>
                </c:pt>
              </c:strCache>
            </c:strRef>
          </c:tx>
          <c:spPr>
            <a:solidFill>
              <a:schemeClr val="accent2">
                <a:lumMod val="60000"/>
                <a:lumOff val="40000"/>
              </a:schemeClr>
            </a:solidFill>
            <a:ln>
              <a:noFill/>
            </a:ln>
            <a:effectLst/>
          </c:spPr>
          <c:invertIfNegative val="0"/>
          <c:cat>
            <c:multiLvlStrRef>
              <c:f>PCI020m6!$DU$2:$EN$3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 Jūl</c:v>
                  </c:pt>
                  <c:pt idx="19">
                    <c:v>Aug</c:v>
                  </c:pt>
                </c:lvl>
                <c:lvl>
                  <c:pt idx="0">
                    <c:v>2023</c:v>
                  </c:pt>
                  <c:pt idx="12">
                    <c:v>2024</c:v>
                  </c:pt>
                </c:lvl>
              </c:multiLvlStrCache>
            </c:multiLvlStrRef>
          </c:cat>
          <c:val>
            <c:numRef>
              <c:f>PCI020m6!$DU$315:$EN$315</c:f>
              <c:numCache>
                <c:formatCode>0.0</c:formatCode>
                <c:ptCount val="20"/>
                <c:pt idx="0">
                  <c:v>7.6355999999999993</c:v>
                </c:pt>
                <c:pt idx="1">
                  <c:v>7.3527999999999993</c:v>
                </c:pt>
                <c:pt idx="2">
                  <c:v>6.1912999999999991</c:v>
                </c:pt>
                <c:pt idx="3">
                  <c:v>5.4237000000000002</c:v>
                </c:pt>
                <c:pt idx="4">
                  <c:v>3.3430999999999997</c:v>
                </c:pt>
                <c:pt idx="5">
                  <c:v>1.5554000000000001</c:v>
                </c:pt>
                <c:pt idx="6">
                  <c:v>0.49490000000000006</c:v>
                </c:pt>
                <c:pt idx="7">
                  <c:v>-0.1313</c:v>
                </c:pt>
                <c:pt idx="8">
                  <c:v>-1.3534000000000002</c:v>
                </c:pt>
                <c:pt idx="9">
                  <c:v>-1.3331999999999999</c:v>
                </c:pt>
                <c:pt idx="10">
                  <c:v>-1.6463000000000001</c:v>
                </c:pt>
                <c:pt idx="11">
                  <c:v>-1.8079000000000001</c:v>
                </c:pt>
                <c:pt idx="12">
                  <c:v>-1.7407999999999999</c:v>
                </c:pt>
                <c:pt idx="13">
                  <c:v>-1.8688</c:v>
                </c:pt>
                <c:pt idx="14">
                  <c:v>-1.7407999999999999</c:v>
                </c:pt>
                <c:pt idx="15">
                  <c:v>-1.5872000000000002</c:v>
                </c:pt>
                <c:pt idx="16">
                  <c:v>-2.8544</c:v>
                </c:pt>
                <c:pt idx="17">
                  <c:v>-2.0735999999999999</c:v>
                </c:pt>
                <c:pt idx="18">
                  <c:v>-2.6111999999999997</c:v>
                </c:pt>
                <c:pt idx="19">
                  <c:v>-2.3552</c:v>
                </c:pt>
              </c:numCache>
            </c:numRef>
          </c:val>
          <c:extLst>
            <c:ext xmlns:c16="http://schemas.microsoft.com/office/drawing/2014/chart" uri="{C3380CC4-5D6E-409C-BE32-E72D297353CC}">
              <c16:uniqueId val="{00000001-9662-49E2-B798-2312D41F02ED}"/>
            </c:ext>
          </c:extLst>
        </c:ser>
        <c:ser>
          <c:idx val="2"/>
          <c:order val="2"/>
          <c:tx>
            <c:strRef>
              <c:f>PCI020m6!$BX$316</c:f>
              <c:strCache>
                <c:ptCount val="1"/>
                <c:pt idx="0">
                  <c:v>Degviela</c:v>
                </c:pt>
              </c:strCache>
            </c:strRef>
          </c:tx>
          <c:spPr>
            <a:solidFill>
              <a:schemeClr val="accent6">
                <a:lumMod val="40000"/>
                <a:lumOff val="60000"/>
              </a:schemeClr>
            </a:solidFill>
            <a:ln>
              <a:noFill/>
            </a:ln>
            <a:effectLst/>
          </c:spPr>
          <c:invertIfNegative val="0"/>
          <c:cat>
            <c:multiLvlStrRef>
              <c:f>PCI020m6!$DU$2:$EN$3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 Jūl</c:v>
                  </c:pt>
                  <c:pt idx="19">
                    <c:v>Aug</c:v>
                  </c:pt>
                </c:lvl>
                <c:lvl>
                  <c:pt idx="0">
                    <c:v>2023</c:v>
                  </c:pt>
                  <c:pt idx="12">
                    <c:v>2024</c:v>
                  </c:pt>
                </c:lvl>
              </c:multiLvlStrCache>
            </c:multiLvlStrRef>
          </c:cat>
          <c:val>
            <c:numRef>
              <c:f>PCI020m6!$DU$316:$EN$316</c:f>
              <c:numCache>
                <c:formatCode>0.0</c:formatCode>
                <c:ptCount val="20"/>
                <c:pt idx="0">
                  <c:v>1.1926000000000001</c:v>
                </c:pt>
                <c:pt idx="1">
                  <c:v>0.80400000000000005</c:v>
                </c:pt>
                <c:pt idx="2">
                  <c:v>-0.50250000000000006</c:v>
                </c:pt>
                <c:pt idx="3">
                  <c:v>-0.72360000000000013</c:v>
                </c:pt>
                <c:pt idx="4">
                  <c:v>-1.2931000000000001</c:v>
                </c:pt>
                <c:pt idx="5">
                  <c:v>-1.7687999999999999</c:v>
                </c:pt>
                <c:pt idx="6">
                  <c:v>-1.4606000000000001</c:v>
                </c:pt>
                <c:pt idx="7">
                  <c:v>-0.71020000000000005</c:v>
                </c:pt>
                <c:pt idx="8">
                  <c:v>-0.28810000000000002</c:v>
                </c:pt>
                <c:pt idx="9">
                  <c:v>-0.56280000000000008</c:v>
                </c:pt>
                <c:pt idx="10">
                  <c:v>-0.80400000000000005</c:v>
                </c:pt>
                <c:pt idx="11">
                  <c:v>-0.37519999999999998</c:v>
                </c:pt>
                <c:pt idx="12">
                  <c:v>-0.44729999999999992</c:v>
                </c:pt>
                <c:pt idx="13">
                  <c:v>-0.1278</c:v>
                </c:pt>
                <c:pt idx="14">
                  <c:v>0.19170000000000001</c:v>
                </c:pt>
                <c:pt idx="15">
                  <c:v>0.31949999999999995</c:v>
                </c:pt>
                <c:pt idx="16">
                  <c:v>0.63190000000000002</c:v>
                </c:pt>
                <c:pt idx="17">
                  <c:v>0.48279999999999995</c:v>
                </c:pt>
                <c:pt idx="18">
                  <c:v>0.42599999999999993</c:v>
                </c:pt>
                <c:pt idx="19">
                  <c:v>-0.31240000000000001</c:v>
                </c:pt>
              </c:numCache>
            </c:numRef>
          </c:val>
          <c:extLst>
            <c:ext xmlns:c16="http://schemas.microsoft.com/office/drawing/2014/chart" uri="{C3380CC4-5D6E-409C-BE32-E72D297353CC}">
              <c16:uniqueId val="{00000002-9662-49E2-B798-2312D41F02ED}"/>
            </c:ext>
          </c:extLst>
        </c:ser>
        <c:ser>
          <c:idx val="3"/>
          <c:order val="3"/>
          <c:tx>
            <c:strRef>
              <c:f>PCI020m6!$BX$317</c:f>
              <c:strCache>
                <c:ptCount val="1"/>
                <c:pt idx="0">
                  <c:v>Pārējās preces 
un pakalpojumi</c:v>
                </c:pt>
              </c:strCache>
            </c:strRef>
          </c:tx>
          <c:spPr>
            <a:solidFill>
              <a:schemeClr val="accent3">
                <a:lumMod val="60000"/>
                <a:lumOff val="40000"/>
              </a:schemeClr>
            </a:solidFill>
            <a:ln>
              <a:noFill/>
            </a:ln>
            <a:effectLst/>
          </c:spPr>
          <c:invertIfNegative val="0"/>
          <c:cat>
            <c:multiLvlStrRef>
              <c:f>PCI020m6!$DU$2:$EN$3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 Jūl</c:v>
                  </c:pt>
                  <c:pt idx="19">
                    <c:v>Aug</c:v>
                  </c:pt>
                </c:lvl>
                <c:lvl>
                  <c:pt idx="0">
                    <c:v>2023</c:v>
                  </c:pt>
                  <c:pt idx="12">
                    <c:v>2024</c:v>
                  </c:pt>
                </c:lvl>
              </c:multiLvlStrCache>
            </c:multiLvlStrRef>
          </c:cat>
          <c:val>
            <c:numRef>
              <c:f>PCI020m6!$DU$317:$EN$317</c:f>
              <c:numCache>
                <c:formatCode>0.0</c:formatCode>
                <c:ptCount val="20"/>
                <c:pt idx="0">
                  <c:v>5.4808000000000021</c:v>
                </c:pt>
                <c:pt idx="1">
                  <c:v>5.6917000000000018</c:v>
                </c:pt>
                <c:pt idx="2">
                  <c:v>5.4657000000000018</c:v>
                </c:pt>
                <c:pt idx="3">
                  <c:v>5.2488999999999999</c:v>
                </c:pt>
                <c:pt idx="4">
                  <c:v>5.4855</c:v>
                </c:pt>
                <c:pt idx="5">
                  <c:v>4.4413999999999998</c:v>
                </c:pt>
                <c:pt idx="6">
                  <c:v>4.5097000000000005</c:v>
                </c:pt>
                <c:pt idx="7">
                  <c:v>4.150500000000001</c:v>
                </c:pt>
                <c:pt idx="8">
                  <c:v>3.488</c:v>
                </c:pt>
                <c:pt idx="9">
                  <c:v>2.8995000000000002</c:v>
                </c:pt>
                <c:pt idx="10">
                  <c:v>2.5068000000000001</c:v>
                </c:pt>
                <c:pt idx="11">
                  <c:v>2.0945999999999998</c:v>
                </c:pt>
                <c:pt idx="12">
                  <c:v>2.3282999999999996</c:v>
                </c:pt>
                <c:pt idx="13">
                  <c:v>2.0036</c:v>
                </c:pt>
                <c:pt idx="14">
                  <c:v>2.2656999999999998</c:v>
                </c:pt>
                <c:pt idx="15">
                  <c:v>2.2105000000000001</c:v>
                </c:pt>
                <c:pt idx="16">
                  <c:v>2.1129000000000002</c:v>
                </c:pt>
                <c:pt idx="17">
                  <c:v>2.5977999999999994</c:v>
                </c:pt>
                <c:pt idx="18">
                  <c:v>2.2563999999999993</c:v>
                </c:pt>
                <c:pt idx="19">
                  <c:v>2.4505999999999997</c:v>
                </c:pt>
              </c:numCache>
            </c:numRef>
          </c:val>
          <c:extLst>
            <c:ext xmlns:c16="http://schemas.microsoft.com/office/drawing/2014/chart" uri="{C3380CC4-5D6E-409C-BE32-E72D297353CC}">
              <c16:uniqueId val="{00000003-9662-49E2-B798-2312D41F02ED}"/>
            </c:ext>
          </c:extLst>
        </c:ser>
        <c:dLbls>
          <c:showLegendKey val="0"/>
          <c:showVal val="0"/>
          <c:showCatName val="0"/>
          <c:showSerName val="0"/>
          <c:showPercent val="0"/>
          <c:showBubbleSize val="0"/>
        </c:dLbls>
        <c:gapWidth val="30"/>
        <c:overlap val="100"/>
        <c:axId val="1032225743"/>
        <c:axId val="1032226159"/>
      </c:barChart>
      <c:lineChart>
        <c:grouping val="standard"/>
        <c:varyColors val="0"/>
        <c:ser>
          <c:idx val="4"/>
          <c:order val="4"/>
          <c:tx>
            <c:strRef>
              <c:f>PCI020m6!$BX$318</c:f>
              <c:strCache>
                <c:ptCount val="1"/>
                <c:pt idx="0">
                  <c:v>PCI, %</c:v>
                </c:pt>
              </c:strCache>
            </c:strRef>
          </c:tx>
          <c:spPr>
            <a:ln w="19050" cap="rnd">
              <a:solidFill>
                <a:schemeClr val="tx1"/>
              </a:solidFill>
              <a:round/>
            </a:ln>
            <a:effectLst/>
          </c:spPr>
          <c:marker>
            <c:symbol val="none"/>
          </c:marker>
          <c:cat>
            <c:multiLvlStrRef>
              <c:f>PCI020m6!$DU$2:$EN$3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 Jūl</c:v>
                  </c:pt>
                  <c:pt idx="19">
                    <c:v>Aug</c:v>
                  </c:pt>
                </c:lvl>
                <c:lvl>
                  <c:pt idx="0">
                    <c:v>2023</c:v>
                  </c:pt>
                  <c:pt idx="12">
                    <c:v>2024</c:v>
                  </c:pt>
                </c:lvl>
              </c:multiLvlStrCache>
            </c:multiLvlStrRef>
          </c:cat>
          <c:val>
            <c:numRef>
              <c:f>PCI020m6!$DU$318:$EN$318</c:f>
              <c:numCache>
                <c:formatCode>0.0</c:formatCode>
                <c:ptCount val="20"/>
                <c:pt idx="0">
                  <c:v>21.5</c:v>
                </c:pt>
                <c:pt idx="1">
                  <c:v>20.3</c:v>
                </c:pt>
                <c:pt idx="2">
                  <c:v>17.3</c:v>
                </c:pt>
                <c:pt idx="3">
                  <c:v>15.1</c:v>
                </c:pt>
                <c:pt idx="4">
                  <c:v>12.1</c:v>
                </c:pt>
                <c:pt idx="5">
                  <c:v>7.9</c:v>
                </c:pt>
                <c:pt idx="6">
                  <c:v>6.4</c:v>
                </c:pt>
                <c:pt idx="7">
                  <c:v>5.4</c:v>
                </c:pt>
                <c:pt idx="8">
                  <c:v>3.3</c:v>
                </c:pt>
                <c:pt idx="9">
                  <c:v>2.1</c:v>
                </c:pt>
                <c:pt idx="10">
                  <c:v>1</c:v>
                </c:pt>
                <c:pt idx="11">
                  <c:v>0.6</c:v>
                </c:pt>
                <c:pt idx="12">
                  <c:v>0.9</c:v>
                </c:pt>
                <c:pt idx="13">
                  <c:v>0.4</c:v>
                </c:pt>
                <c:pt idx="14">
                  <c:v>0.9</c:v>
                </c:pt>
                <c:pt idx="15">
                  <c:v>1.1000000000000001</c:v>
                </c:pt>
                <c:pt idx="16">
                  <c:v>0.1</c:v>
                </c:pt>
                <c:pt idx="17">
                  <c:v>1.4</c:v>
                </c:pt>
                <c:pt idx="18">
                  <c:v>0.7</c:v>
                </c:pt>
                <c:pt idx="19">
                  <c:v>0.7</c:v>
                </c:pt>
              </c:numCache>
            </c:numRef>
          </c:val>
          <c:smooth val="0"/>
          <c:extLst>
            <c:ext xmlns:c16="http://schemas.microsoft.com/office/drawing/2014/chart" uri="{C3380CC4-5D6E-409C-BE32-E72D297353CC}">
              <c16:uniqueId val="{00000004-9662-49E2-B798-2312D41F02ED}"/>
            </c:ext>
          </c:extLst>
        </c:ser>
        <c:dLbls>
          <c:showLegendKey val="0"/>
          <c:showVal val="0"/>
          <c:showCatName val="0"/>
          <c:showSerName val="0"/>
          <c:showPercent val="0"/>
          <c:showBubbleSize val="0"/>
        </c:dLbls>
        <c:marker val="1"/>
        <c:smooth val="0"/>
        <c:axId val="1032225743"/>
        <c:axId val="1032226159"/>
      </c:lineChart>
      <c:catAx>
        <c:axId val="1032225743"/>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5400000" spcFirstLastPara="1" vertOverflow="ellipsis"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032226159"/>
        <c:crosses val="autoZero"/>
        <c:auto val="1"/>
        <c:lblAlgn val="ctr"/>
        <c:lblOffset val="100"/>
        <c:noMultiLvlLbl val="0"/>
      </c:catAx>
      <c:valAx>
        <c:axId val="1032226159"/>
        <c:scaling>
          <c:orientation val="minMax"/>
          <c:max val="24"/>
          <c:min val="-4"/>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032225743"/>
        <c:crosses val="autoZero"/>
        <c:crossBetween val="between"/>
        <c:majorUnit val="2"/>
      </c:valAx>
      <c:spPr>
        <a:noFill/>
        <a:ln>
          <a:noFill/>
        </a:ln>
        <a:effectLst/>
      </c:spPr>
    </c:plotArea>
    <c:legend>
      <c:legendPos val="b"/>
      <c:layout>
        <c:manualLayout>
          <c:xMode val="edge"/>
          <c:yMode val="edge"/>
          <c:x val="3.4161490683229809E-2"/>
          <c:y val="0.78330512502609162"/>
          <c:w val="0.9364548494983278"/>
          <c:h val="0.1936799140925014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BySource!$L$1</c:f>
              <c:strCache>
                <c:ptCount val="1"/>
                <c:pt idx="0">
                  <c:v>Pamatinflācija</c:v>
                </c:pt>
              </c:strCache>
            </c:strRef>
          </c:tx>
          <c:spPr>
            <a:solidFill>
              <a:schemeClr val="tx2">
                <a:lumMod val="60000"/>
                <a:lumOff val="40000"/>
              </a:schemeClr>
            </a:solidFill>
            <a:ln>
              <a:noFill/>
            </a:ln>
            <a:effectLst/>
          </c:spPr>
          <c:invertIfNegative val="0"/>
          <c:cat>
            <c:multiLvlStrRef>
              <c:f>BySource!$A$230:$B$249</c:f>
              <c:multiLvlStrCache>
                <c:ptCount val="20"/>
                <c:lvl>
                  <c:pt idx="0">
                    <c:v>Jan</c:v>
                  </c:pt>
                  <c:pt idx="1">
                    <c:v>Feb</c:v>
                  </c:pt>
                  <c:pt idx="2">
                    <c:v>Mar</c:v>
                  </c:pt>
                  <c:pt idx="3">
                    <c:v>Apr</c:v>
                  </c:pt>
                  <c:pt idx="4">
                    <c:v>Mai</c:v>
                  </c:pt>
                  <c:pt idx="5">
                    <c:v>Jūn</c:v>
                  </c:pt>
                  <c:pt idx="6">
                    <c:v>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2023</c:v>
                  </c:pt>
                  <c:pt idx="12">
                    <c:v>2024</c:v>
                  </c:pt>
                </c:lvl>
              </c:multiLvlStrCache>
            </c:multiLvlStrRef>
          </c:cat>
          <c:val>
            <c:numRef>
              <c:f>BySource!$L$230:$L$249</c:f>
              <c:numCache>
                <c:formatCode>0.000</c:formatCode>
                <c:ptCount val="20"/>
                <c:pt idx="0">
                  <c:v>10.316592925326884</c:v>
                </c:pt>
                <c:pt idx="1">
                  <c:v>9.7925096369610536</c:v>
                </c:pt>
                <c:pt idx="2">
                  <c:v>9.2106534943931511</c:v>
                </c:pt>
                <c:pt idx="3">
                  <c:v>8.627017796780013</c:v>
                </c:pt>
                <c:pt idx="4">
                  <c:v>8.2680071044224803</c:v>
                </c:pt>
                <c:pt idx="5">
                  <c:v>6.817192604484962</c:v>
                </c:pt>
                <c:pt idx="6">
                  <c:v>6.1228723948131245</c:v>
                </c:pt>
                <c:pt idx="7">
                  <c:v>5.142774173479804</c:v>
                </c:pt>
                <c:pt idx="8">
                  <c:v>4.3328539029530946</c:v>
                </c:pt>
                <c:pt idx="9">
                  <c:v>3.7412548679444444</c:v>
                </c:pt>
                <c:pt idx="10">
                  <c:v>3.1374187404545939</c:v>
                </c:pt>
                <c:pt idx="11">
                  <c:v>2.6729590650626811</c:v>
                </c:pt>
                <c:pt idx="12">
                  <c:v>2.3063196113002458</c:v>
                </c:pt>
                <c:pt idx="13">
                  <c:v>1.8527574255329387</c:v>
                </c:pt>
                <c:pt idx="14">
                  <c:v>2.0210517602868414</c:v>
                </c:pt>
                <c:pt idx="15">
                  <c:v>1.7786418439746197</c:v>
                </c:pt>
                <c:pt idx="16">
                  <c:v>2.0305810539219484</c:v>
                </c:pt>
                <c:pt idx="17">
                  <c:v>2.3298321071769803</c:v>
                </c:pt>
                <c:pt idx="18">
                  <c:v>2.3966575934689494</c:v>
                </c:pt>
                <c:pt idx="19">
                  <c:v>2.7511983579687262</c:v>
                </c:pt>
              </c:numCache>
            </c:numRef>
          </c:val>
          <c:extLst>
            <c:ext xmlns:c16="http://schemas.microsoft.com/office/drawing/2014/chart" uri="{C3380CC4-5D6E-409C-BE32-E72D297353CC}">
              <c16:uniqueId val="{00000000-CC12-4874-870C-95B6D77328D7}"/>
            </c:ext>
          </c:extLst>
        </c:ser>
        <c:ser>
          <c:idx val="2"/>
          <c:order val="1"/>
          <c:tx>
            <c:strRef>
              <c:f>BySource!$D$1</c:f>
              <c:strCache>
                <c:ptCount val="1"/>
                <c:pt idx="0">
                  <c:v>Nodokļi</c:v>
                </c:pt>
              </c:strCache>
            </c:strRef>
          </c:tx>
          <c:spPr>
            <a:solidFill>
              <a:srgbClr val="FF0000"/>
            </a:solidFill>
            <a:ln>
              <a:noFill/>
            </a:ln>
            <a:effectLst/>
          </c:spPr>
          <c:invertIfNegative val="0"/>
          <c:cat>
            <c:multiLvlStrRef>
              <c:f>BySource!$A$230:$B$249</c:f>
              <c:multiLvlStrCache>
                <c:ptCount val="20"/>
                <c:lvl>
                  <c:pt idx="0">
                    <c:v>Jan</c:v>
                  </c:pt>
                  <c:pt idx="1">
                    <c:v>Feb</c:v>
                  </c:pt>
                  <c:pt idx="2">
                    <c:v>Mar</c:v>
                  </c:pt>
                  <c:pt idx="3">
                    <c:v>Apr</c:v>
                  </c:pt>
                  <c:pt idx="4">
                    <c:v>Mai</c:v>
                  </c:pt>
                  <c:pt idx="5">
                    <c:v>Jūn</c:v>
                  </c:pt>
                  <c:pt idx="6">
                    <c:v>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2023</c:v>
                  </c:pt>
                  <c:pt idx="12">
                    <c:v>2024</c:v>
                  </c:pt>
                </c:lvl>
              </c:multiLvlStrCache>
            </c:multiLvlStrRef>
          </c:cat>
          <c:val>
            <c:numRef>
              <c:f>BySource!$D$230:$D$249</c:f>
              <c:numCache>
                <c:formatCode>0.000</c:formatCode>
                <c:ptCount val="20"/>
                <c:pt idx="0">
                  <c:v>0.1066189542535021</c:v>
                </c:pt>
                <c:pt idx="1">
                  <c:v>9.6159225937686443E-2</c:v>
                </c:pt>
                <c:pt idx="2">
                  <c:v>0.11193021118849344</c:v>
                </c:pt>
                <c:pt idx="3">
                  <c:v>0.10390040976970738</c:v>
                </c:pt>
                <c:pt idx="4">
                  <c:v>0.10289096782889473</c:v>
                </c:pt>
                <c:pt idx="5">
                  <c:v>0.10868873354010944</c:v>
                </c:pt>
                <c:pt idx="6">
                  <c:v>0.10183980233933188</c:v>
                </c:pt>
                <c:pt idx="7">
                  <c:v>0.10594902413545437</c:v>
                </c:pt>
                <c:pt idx="8">
                  <c:v>9.9487392754316062E-2</c:v>
                </c:pt>
                <c:pt idx="9">
                  <c:v>0.10085276212290495</c:v>
                </c:pt>
                <c:pt idx="10">
                  <c:v>0.10766110069821977</c:v>
                </c:pt>
                <c:pt idx="11">
                  <c:v>0.10658662890712378</c:v>
                </c:pt>
                <c:pt idx="12">
                  <c:v>0.16498948753751463</c:v>
                </c:pt>
                <c:pt idx="13">
                  <c:v>0.16790951420759814</c:v>
                </c:pt>
                <c:pt idx="14">
                  <c:v>0.52112958811525445</c:v>
                </c:pt>
                <c:pt idx="15">
                  <c:v>0.5163415059989962</c:v>
                </c:pt>
                <c:pt idx="16">
                  <c:v>0.50960679933467201</c:v>
                </c:pt>
                <c:pt idx="17">
                  <c:v>0.5161608857369826</c:v>
                </c:pt>
                <c:pt idx="18">
                  <c:v>0.51229824070841978</c:v>
                </c:pt>
                <c:pt idx="19">
                  <c:v>0.49821485510719299</c:v>
                </c:pt>
              </c:numCache>
            </c:numRef>
          </c:val>
          <c:extLst>
            <c:ext xmlns:c16="http://schemas.microsoft.com/office/drawing/2014/chart" uri="{C3380CC4-5D6E-409C-BE32-E72D297353CC}">
              <c16:uniqueId val="{00000001-CC12-4874-870C-95B6D77328D7}"/>
            </c:ext>
          </c:extLst>
        </c:ser>
        <c:ser>
          <c:idx val="1"/>
          <c:order val="2"/>
          <c:tx>
            <c:strRef>
              <c:f>BySource!$N$1</c:f>
              <c:strCache>
                <c:ptCount val="1"/>
                <c:pt idx="0">
                  <c:v>Importētā inflācija</c:v>
                </c:pt>
              </c:strCache>
            </c:strRef>
          </c:tx>
          <c:spPr>
            <a:solidFill>
              <a:schemeClr val="accent4">
                <a:lumMod val="40000"/>
                <a:lumOff val="60000"/>
              </a:schemeClr>
            </a:solidFill>
            <a:ln>
              <a:noFill/>
            </a:ln>
            <a:effectLst/>
          </c:spPr>
          <c:invertIfNegative val="0"/>
          <c:cat>
            <c:multiLvlStrRef>
              <c:f>BySource!$A$230:$B$249</c:f>
              <c:multiLvlStrCache>
                <c:ptCount val="20"/>
                <c:lvl>
                  <c:pt idx="0">
                    <c:v>Jan</c:v>
                  </c:pt>
                  <c:pt idx="1">
                    <c:v>Feb</c:v>
                  </c:pt>
                  <c:pt idx="2">
                    <c:v>Mar</c:v>
                  </c:pt>
                  <c:pt idx="3">
                    <c:v>Apr</c:v>
                  </c:pt>
                  <c:pt idx="4">
                    <c:v>Mai</c:v>
                  </c:pt>
                  <c:pt idx="5">
                    <c:v>Jūn</c:v>
                  </c:pt>
                  <c:pt idx="6">
                    <c:v>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2023</c:v>
                  </c:pt>
                  <c:pt idx="12">
                    <c:v>2024</c:v>
                  </c:pt>
                </c:lvl>
              </c:multiLvlStrCache>
            </c:multiLvlStrRef>
          </c:cat>
          <c:val>
            <c:numRef>
              <c:f>BySource!$N$230:$N$249</c:f>
              <c:numCache>
                <c:formatCode>0.000</c:formatCode>
                <c:ptCount val="20"/>
                <c:pt idx="0">
                  <c:v>11.076788120419614</c:v>
                </c:pt>
                <c:pt idx="1">
                  <c:v>10.411331137101261</c:v>
                </c:pt>
                <c:pt idx="2">
                  <c:v>7.9774162944183562</c:v>
                </c:pt>
                <c:pt idx="3">
                  <c:v>6.3690817934502784</c:v>
                </c:pt>
                <c:pt idx="4">
                  <c:v>3.7291019277486241</c:v>
                </c:pt>
                <c:pt idx="5">
                  <c:v>0.97411866197492891</c:v>
                </c:pt>
                <c:pt idx="6">
                  <c:v>0.17528780284754417</c:v>
                </c:pt>
                <c:pt idx="7">
                  <c:v>0.15127680238474167</c:v>
                </c:pt>
                <c:pt idx="8">
                  <c:v>-1.1323412957074108</c:v>
                </c:pt>
                <c:pt idx="9">
                  <c:v>-1.7421076300673493</c:v>
                </c:pt>
                <c:pt idx="10">
                  <c:v>-2.2450798411528137</c:v>
                </c:pt>
                <c:pt idx="11">
                  <c:v>-2.1795456939698048</c:v>
                </c:pt>
                <c:pt idx="12">
                  <c:v>-1.5713090988377605</c:v>
                </c:pt>
                <c:pt idx="13">
                  <c:v>-1.6206669397405367</c:v>
                </c:pt>
                <c:pt idx="14">
                  <c:v>-1.642181348402096</c:v>
                </c:pt>
                <c:pt idx="15">
                  <c:v>-1.1949833499736158</c:v>
                </c:pt>
                <c:pt idx="16">
                  <c:v>-2.4401878532566208</c:v>
                </c:pt>
                <c:pt idx="17">
                  <c:v>-1.445992992913963</c:v>
                </c:pt>
                <c:pt idx="18">
                  <c:v>-2.2089558341773694</c:v>
                </c:pt>
                <c:pt idx="19">
                  <c:v>-2.5494132130759199</c:v>
                </c:pt>
              </c:numCache>
            </c:numRef>
          </c:val>
          <c:extLst>
            <c:ext xmlns:c16="http://schemas.microsoft.com/office/drawing/2014/chart" uri="{C3380CC4-5D6E-409C-BE32-E72D297353CC}">
              <c16:uniqueId val="{00000002-CC12-4874-870C-95B6D77328D7}"/>
            </c:ext>
          </c:extLst>
        </c:ser>
        <c:dLbls>
          <c:showLegendKey val="0"/>
          <c:showVal val="0"/>
          <c:showCatName val="0"/>
          <c:showSerName val="0"/>
          <c:showPercent val="0"/>
          <c:showBubbleSize val="0"/>
        </c:dLbls>
        <c:gapWidth val="22"/>
        <c:overlap val="100"/>
        <c:axId val="348883032"/>
        <c:axId val="348885384"/>
      </c:barChart>
      <c:lineChart>
        <c:grouping val="standard"/>
        <c:varyColors val="0"/>
        <c:ser>
          <c:idx val="3"/>
          <c:order val="3"/>
          <c:tx>
            <c:strRef>
              <c:f>BySource!$C$1</c:f>
              <c:strCache>
                <c:ptCount val="1"/>
                <c:pt idx="0">
                  <c:v>PCI, %</c:v>
                </c:pt>
              </c:strCache>
            </c:strRef>
          </c:tx>
          <c:spPr>
            <a:ln w="19050" cap="rnd">
              <a:solidFill>
                <a:schemeClr val="tx1"/>
              </a:solidFill>
              <a:round/>
            </a:ln>
            <a:effectLst/>
          </c:spPr>
          <c:marker>
            <c:symbol val="none"/>
          </c:marker>
          <c:val>
            <c:numRef>
              <c:f>BySource!$C$230:$C$249</c:f>
              <c:numCache>
                <c:formatCode>0.000</c:formatCode>
                <c:ptCount val="20"/>
                <c:pt idx="0">
                  <c:v>21.5</c:v>
                </c:pt>
                <c:pt idx="1">
                  <c:v>20.3</c:v>
                </c:pt>
                <c:pt idx="2">
                  <c:v>17.3</c:v>
                </c:pt>
                <c:pt idx="3">
                  <c:v>15.1</c:v>
                </c:pt>
                <c:pt idx="4">
                  <c:v>12.1</c:v>
                </c:pt>
                <c:pt idx="5" formatCode="General">
                  <c:v>7.9</c:v>
                </c:pt>
                <c:pt idx="6" formatCode="General">
                  <c:v>6.4</c:v>
                </c:pt>
                <c:pt idx="7" formatCode="General">
                  <c:v>5.4</c:v>
                </c:pt>
                <c:pt idx="8" formatCode="General">
                  <c:v>3.3</c:v>
                </c:pt>
                <c:pt idx="9" formatCode="General">
                  <c:v>2.1</c:v>
                </c:pt>
                <c:pt idx="10" formatCode="General">
                  <c:v>1</c:v>
                </c:pt>
                <c:pt idx="11" formatCode="General">
                  <c:v>0.6</c:v>
                </c:pt>
                <c:pt idx="12" formatCode="General">
                  <c:v>0.9</c:v>
                </c:pt>
                <c:pt idx="13" formatCode="General">
                  <c:v>0.4</c:v>
                </c:pt>
                <c:pt idx="14" formatCode="General">
                  <c:v>0.9</c:v>
                </c:pt>
                <c:pt idx="15" formatCode="General">
                  <c:v>1.1000000000000001</c:v>
                </c:pt>
                <c:pt idx="16" formatCode="General">
                  <c:v>0.1</c:v>
                </c:pt>
                <c:pt idx="17" formatCode="General">
                  <c:v>1.4</c:v>
                </c:pt>
                <c:pt idx="18" formatCode="General">
                  <c:v>0.7</c:v>
                </c:pt>
                <c:pt idx="19" formatCode="General">
                  <c:v>0.7</c:v>
                </c:pt>
              </c:numCache>
            </c:numRef>
          </c:val>
          <c:smooth val="0"/>
          <c:extLst>
            <c:ext xmlns:c16="http://schemas.microsoft.com/office/drawing/2014/chart" uri="{C3380CC4-5D6E-409C-BE32-E72D297353CC}">
              <c16:uniqueId val="{00000003-CC12-4874-870C-95B6D77328D7}"/>
            </c:ext>
          </c:extLst>
        </c:ser>
        <c:dLbls>
          <c:showLegendKey val="0"/>
          <c:showVal val="0"/>
          <c:showCatName val="0"/>
          <c:showSerName val="0"/>
          <c:showPercent val="0"/>
          <c:showBubbleSize val="0"/>
        </c:dLbls>
        <c:marker val="1"/>
        <c:smooth val="0"/>
        <c:axId val="348883032"/>
        <c:axId val="348885384"/>
      </c:lineChart>
      <c:catAx>
        <c:axId val="348883032"/>
        <c:scaling>
          <c:orientation val="minMax"/>
        </c:scaling>
        <c:delete val="0"/>
        <c:axPos val="b"/>
        <c:numFmt formatCode="General" sourceLinked="0"/>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348885384"/>
        <c:crosses val="autoZero"/>
        <c:auto val="1"/>
        <c:lblAlgn val="ctr"/>
        <c:lblOffset val="100"/>
        <c:noMultiLvlLbl val="0"/>
      </c:catAx>
      <c:valAx>
        <c:axId val="348885384"/>
        <c:scaling>
          <c:orientation val="minMax"/>
          <c:max val="24"/>
          <c:min val="-4"/>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348883032"/>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8175969937299862E-2"/>
          <c:y val="4.2742611718989673E-2"/>
          <c:w val="0.91690723525920925"/>
          <c:h val="0.66317755735078565"/>
        </c:manualLayout>
      </c:layout>
      <c:barChart>
        <c:barDir val="col"/>
        <c:grouping val="clustered"/>
        <c:varyColors val="0"/>
        <c:ser>
          <c:idx val="0"/>
          <c:order val="0"/>
          <c:tx>
            <c:strRef>
              <c:f>'2 graf'!$J$3</c:f>
              <c:strCache>
                <c:ptCount val="1"/>
                <c:pt idx="0">
                  <c:v>Nodarbināto skaits, tūkstoši (labā ass)</c:v>
                </c:pt>
              </c:strCache>
            </c:strRef>
          </c:tx>
          <c:invertIfNegative val="0"/>
          <c:cat>
            <c:numRef>
              <c:f>'2 graf'!$K$2:$AE$2</c:f>
              <c:numCache>
                <c:formatCode>General</c:formatCode>
                <c:ptCount val="21"/>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c:v>
                </c:pt>
                <c:pt idx="18">
                  <c:v>2026</c:v>
                </c:pt>
                <c:pt idx="19">
                  <c:v>2027</c:v>
                </c:pt>
                <c:pt idx="20">
                  <c:v>2028</c:v>
                </c:pt>
              </c:numCache>
            </c:numRef>
          </c:cat>
          <c:val>
            <c:numRef>
              <c:f>'2 graf'!$K$3:$AE$3</c:f>
              <c:numCache>
                <c:formatCode>0.0</c:formatCode>
                <c:ptCount val="21"/>
                <c:pt idx="0">
                  <c:v>1054.9000000000001</c:v>
                </c:pt>
                <c:pt idx="1">
                  <c:v>908.5</c:v>
                </c:pt>
                <c:pt idx="2">
                  <c:v>851</c:v>
                </c:pt>
                <c:pt idx="3">
                  <c:v>862</c:v>
                </c:pt>
                <c:pt idx="4">
                  <c:v>876</c:v>
                </c:pt>
                <c:pt idx="5">
                  <c:v>894</c:v>
                </c:pt>
                <c:pt idx="6">
                  <c:v>885</c:v>
                </c:pt>
                <c:pt idx="7">
                  <c:v>896</c:v>
                </c:pt>
                <c:pt idx="8">
                  <c:v>893</c:v>
                </c:pt>
                <c:pt idx="9">
                  <c:v>895</c:v>
                </c:pt>
                <c:pt idx="10">
                  <c:v>909</c:v>
                </c:pt>
                <c:pt idx="11" formatCode="0">
                  <c:v>910</c:v>
                </c:pt>
                <c:pt idx="12" formatCode="0">
                  <c:v>893</c:v>
                </c:pt>
                <c:pt idx="13" formatCode="0">
                  <c:v>864</c:v>
                </c:pt>
                <c:pt idx="14" formatCode="0">
                  <c:v>886</c:v>
                </c:pt>
                <c:pt idx="15" formatCode="0">
                  <c:v>884</c:v>
                </c:pt>
                <c:pt idx="16" formatCode="General">
                  <c:v>884</c:v>
                </c:pt>
                <c:pt idx="17" formatCode="General">
                  <c:v>884</c:v>
                </c:pt>
                <c:pt idx="18" formatCode="General">
                  <c:v>883</c:v>
                </c:pt>
                <c:pt idx="19" formatCode="General">
                  <c:v>882</c:v>
                </c:pt>
                <c:pt idx="20" formatCode="General">
                  <c:v>878</c:v>
                </c:pt>
              </c:numCache>
            </c:numRef>
          </c:val>
          <c:extLst>
            <c:ext xmlns:c16="http://schemas.microsoft.com/office/drawing/2014/chart" uri="{C3380CC4-5D6E-409C-BE32-E72D297353CC}">
              <c16:uniqueId val="{00000000-4177-4EF8-9515-077E7F33AEB5}"/>
            </c:ext>
          </c:extLst>
        </c:ser>
        <c:dLbls>
          <c:showLegendKey val="0"/>
          <c:showVal val="0"/>
          <c:showCatName val="0"/>
          <c:showSerName val="0"/>
          <c:showPercent val="0"/>
          <c:showBubbleSize val="0"/>
        </c:dLbls>
        <c:gapWidth val="65"/>
        <c:axId val="396118440"/>
        <c:axId val="393060176"/>
      </c:barChart>
      <c:lineChart>
        <c:grouping val="standard"/>
        <c:varyColors val="0"/>
        <c:ser>
          <c:idx val="1"/>
          <c:order val="1"/>
          <c:tx>
            <c:strRef>
              <c:f>'2 graf'!$J$4</c:f>
              <c:strCache>
                <c:ptCount val="1"/>
                <c:pt idx="0">
                  <c:v>Darba meklētāji, % no ekonomiski aktīvajiem iedzīvotājiem (kreisā ass)</c:v>
                </c:pt>
              </c:strCache>
            </c:strRef>
          </c:tx>
          <c:spPr>
            <a:ln>
              <a:solidFill>
                <a:srgbClr val="FF0000"/>
              </a:solidFill>
              <a:prstDash val="solid"/>
            </a:ln>
          </c:spPr>
          <c:marker>
            <c:symbol val="none"/>
          </c:marker>
          <c:dPt>
            <c:idx val="0"/>
            <c:bubble3D val="0"/>
            <c:extLst>
              <c:ext xmlns:c16="http://schemas.microsoft.com/office/drawing/2014/chart" uri="{C3380CC4-5D6E-409C-BE32-E72D297353CC}">
                <c16:uniqueId val="{00000001-4177-4EF8-9515-077E7F33AEB5}"/>
              </c:ext>
            </c:extLst>
          </c:dPt>
          <c:dPt>
            <c:idx val="1"/>
            <c:bubble3D val="0"/>
            <c:extLst>
              <c:ext xmlns:c16="http://schemas.microsoft.com/office/drawing/2014/chart" uri="{C3380CC4-5D6E-409C-BE32-E72D297353CC}">
                <c16:uniqueId val="{00000002-4177-4EF8-9515-077E7F33AEB5}"/>
              </c:ext>
            </c:extLst>
          </c:dPt>
          <c:dPt>
            <c:idx val="2"/>
            <c:bubble3D val="0"/>
            <c:extLst>
              <c:ext xmlns:c16="http://schemas.microsoft.com/office/drawing/2014/chart" uri="{C3380CC4-5D6E-409C-BE32-E72D297353CC}">
                <c16:uniqueId val="{00000003-4177-4EF8-9515-077E7F33AEB5}"/>
              </c:ext>
            </c:extLst>
          </c:dPt>
          <c:dPt>
            <c:idx val="3"/>
            <c:bubble3D val="0"/>
            <c:extLst>
              <c:ext xmlns:c16="http://schemas.microsoft.com/office/drawing/2014/chart" uri="{C3380CC4-5D6E-409C-BE32-E72D297353CC}">
                <c16:uniqueId val="{00000004-4177-4EF8-9515-077E7F33AEB5}"/>
              </c:ext>
            </c:extLst>
          </c:dPt>
          <c:dPt>
            <c:idx val="4"/>
            <c:bubble3D val="0"/>
            <c:extLst>
              <c:ext xmlns:c16="http://schemas.microsoft.com/office/drawing/2014/chart" uri="{C3380CC4-5D6E-409C-BE32-E72D297353CC}">
                <c16:uniqueId val="{00000005-4177-4EF8-9515-077E7F33AEB5}"/>
              </c:ext>
            </c:extLst>
          </c:dPt>
          <c:dPt>
            <c:idx val="5"/>
            <c:bubble3D val="0"/>
            <c:extLst>
              <c:ext xmlns:c16="http://schemas.microsoft.com/office/drawing/2014/chart" uri="{C3380CC4-5D6E-409C-BE32-E72D297353CC}">
                <c16:uniqueId val="{00000006-4177-4EF8-9515-077E7F33AEB5}"/>
              </c:ext>
            </c:extLst>
          </c:dPt>
          <c:dPt>
            <c:idx val="6"/>
            <c:bubble3D val="0"/>
            <c:extLst>
              <c:ext xmlns:c16="http://schemas.microsoft.com/office/drawing/2014/chart" uri="{C3380CC4-5D6E-409C-BE32-E72D297353CC}">
                <c16:uniqueId val="{00000007-4177-4EF8-9515-077E7F33AEB5}"/>
              </c:ext>
            </c:extLst>
          </c:dPt>
          <c:dPt>
            <c:idx val="7"/>
            <c:bubble3D val="0"/>
            <c:extLst>
              <c:ext xmlns:c16="http://schemas.microsoft.com/office/drawing/2014/chart" uri="{C3380CC4-5D6E-409C-BE32-E72D297353CC}">
                <c16:uniqueId val="{00000008-4177-4EF8-9515-077E7F33AEB5}"/>
              </c:ext>
            </c:extLst>
          </c:dPt>
          <c:dPt>
            <c:idx val="8"/>
            <c:bubble3D val="0"/>
            <c:extLst>
              <c:ext xmlns:c16="http://schemas.microsoft.com/office/drawing/2014/chart" uri="{C3380CC4-5D6E-409C-BE32-E72D297353CC}">
                <c16:uniqueId val="{00000009-4177-4EF8-9515-077E7F33AEB5}"/>
              </c:ext>
            </c:extLst>
          </c:dPt>
          <c:dPt>
            <c:idx val="9"/>
            <c:bubble3D val="0"/>
            <c:extLst>
              <c:ext xmlns:c16="http://schemas.microsoft.com/office/drawing/2014/chart" uri="{C3380CC4-5D6E-409C-BE32-E72D297353CC}">
                <c16:uniqueId val="{0000000A-4177-4EF8-9515-077E7F33AEB5}"/>
              </c:ext>
            </c:extLst>
          </c:dPt>
          <c:dPt>
            <c:idx val="10"/>
            <c:bubble3D val="0"/>
            <c:extLst>
              <c:ext xmlns:c16="http://schemas.microsoft.com/office/drawing/2014/chart" uri="{C3380CC4-5D6E-409C-BE32-E72D297353CC}">
                <c16:uniqueId val="{0000000B-4177-4EF8-9515-077E7F33AEB5}"/>
              </c:ext>
            </c:extLst>
          </c:dPt>
          <c:cat>
            <c:numRef>
              <c:f>'2 graf'!$K$2:$AE$2</c:f>
              <c:numCache>
                <c:formatCode>General</c:formatCode>
                <c:ptCount val="21"/>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c:v>
                </c:pt>
                <c:pt idx="18">
                  <c:v>2026</c:v>
                </c:pt>
                <c:pt idx="19">
                  <c:v>2027</c:v>
                </c:pt>
                <c:pt idx="20">
                  <c:v>2028</c:v>
                </c:pt>
              </c:numCache>
            </c:numRef>
          </c:cat>
          <c:val>
            <c:numRef>
              <c:f>'2 graf'!$K$4:$AE$4</c:f>
              <c:numCache>
                <c:formatCode>0.0</c:formatCode>
                <c:ptCount val="21"/>
                <c:pt idx="0">
                  <c:v>7.7</c:v>
                </c:pt>
                <c:pt idx="1">
                  <c:v>17.5</c:v>
                </c:pt>
                <c:pt idx="2">
                  <c:v>19.5</c:v>
                </c:pt>
                <c:pt idx="3">
                  <c:v>16.2</c:v>
                </c:pt>
                <c:pt idx="4">
                  <c:v>15</c:v>
                </c:pt>
                <c:pt idx="5">
                  <c:v>11.9</c:v>
                </c:pt>
                <c:pt idx="6">
                  <c:v>10.8</c:v>
                </c:pt>
                <c:pt idx="7">
                  <c:v>9.9</c:v>
                </c:pt>
                <c:pt idx="8">
                  <c:v>9.6</c:v>
                </c:pt>
                <c:pt idx="9">
                  <c:v>8.6999999999999993</c:v>
                </c:pt>
                <c:pt idx="10">
                  <c:v>7.4</c:v>
                </c:pt>
                <c:pt idx="11">
                  <c:v>6.3</c:v>
                </c:pt>
                <c:pt idx="12">
                  <c:v>8.1</c:v>
                </c:pt>
                <c:pt idx="13">
                  <c:v>7.6</c:v>
                </c:pt>
                <c:pt idx="14">
                  <c:v>6.9</c:v>
                </c:pt>
                <c:pt idx="15">
                  <c:v>6.5031193824680127</c:v>
                </c:pt>
                <c:pt idx="16">
                  <c:v>6.7039074933059704</c:v>
                </c:pt>
                <c:pt idx="17">
                  <c:v>6.2775274009493733</c:v>
                </c:pt>
                <c:pt idx="18">
                  <c:v>5.9695827080950181</c:v>
                </c:pt>
                <c:pt idx="19">
                  <c:v>5.4650835384899157</c:v>
                </c:pt>
                <c:pt idx="20">
                  <c:v>4.8974267527800022</c:v>
                </c:pt>
              </c:numCache>
            </c:numRef>
          </c:val>
          <c:smooth val="1"/>
          <c:extLst>
            <c:ext xmlns:c16="http://schemas.microsoft.com/office/drawing/2014/chart" uri="{C3380CC4-5D6E-409C-BE32-E72D297353CC}">
              <c16:uniqueId val="{0000000C-4177-4EF8-9515-077E7F33AEB5}"/>
            </c:ext>
          </c:extLst>
        </c:ser>
        <c:dLbls>
          <c:showLegendKey val="0"/>
          <c:showVal val="0"/>
          <c:showCatName val="0"/>
          <c:showSerName val="0"/>
          <c:showPercent val="0"/>
          <c:showBubbleSize val="0"/>
        </c:dLbls>
        <c:marker val="1"/>
        <c:smooth val="0"/>
        <c:axId val="387439344"/>
        <c:axId val="278229968"/>
      </c:lineChart>
      <c:catAx>
        <c:axId val="387439344"/>
        <c:scaling>
          <c:orientation val="minMax"/>
        </c:scaling>
        <c:delete val="0"/>
        <c:axPos val="b"/>
        <c:numFmt formatCode="General" sourceLinked="1"/>
        <c:majorTickMark val="out"/>
        <c:minorTickMark val="none"/>
        <c:tickLblPos val="low"/>
        <c:txPr>
          <a:bodyPr rot="-5400000" vert="horz"/>
          <a:lstStyle/>
          <a:p>
            <a:pPr>
              <a:defRPr sz="900"/>
            </a:pPr>
            <a:endParaRPr lang="lv-LV"/>
          </a:p>
        </c:txPr>
        <c:crossAx val="278229968"/>
        <c:crosses val="autoZero"/>
        <c:auto val="1"/>
        <c:lblAlgn val="ctr"/>
        <c:lblOffset val="100"/>
        <c:tickLblSkip val="1"/>
        <c:noMultiLvlLbl val="0"/>
      </c:catAx>
      <c:valAx>
        <c:axId val="278229968"/>
        <c:scaling>
          <c:orientation val="minMax"/>
          <c:min val="4"/>
        </c:scaling>
        <c:delete val="0"/>
        <c:axPos val="l"/>
        <c:majorGridlines/>
        <c:numFmt formatCode="0" sourceLinked="0"/>
        <c:majorTickMark val="out"/>
        <c:minorTickMark val="none"/>
        <c:tickLblPos val="nextTo"/>
        <c:txPr>
          <a:bodyPr/>
          <a:lstStyle/>
          <a:p>
            <a:pPr>
              <a:defRPr sz="900"/>
            </a:pPr>
            <a:endParaRPr lang="lv-LV"/>
          </a:p>
        </c:txPr>
        <c:crossAx val="387439344"/>
        <c:crosses val="autoZero"/>
        <c:crossBetween val="between"/>
      </c:valAx>
      <c:valAx>
        <c:axId val="393060176"/>
        <c:scaling>
          <c:orientation val="minMax"/>
          <c:min val="700"/>
        </c:scaling>
        <c:delete val="0"/>
        <c:axPos val="r"/>
        <c:numFmt formatCode="0" sourceLinked="0"/>
        <c:majorTickMark val="out"/>
        <c:minorTickMark val="none"/>
        <c:tickLblPos val="nextTo"/>
        <c:txPr>
          <a:bodyPr/>
          <a:lstStyle/>
          <a:p>
            <a:pPr>
              <a:defRPr sz="900"/>
            </a:pPr>
            <a:endParaRPr lang="lv-LV"/>
          </a:p>
        </c:txPr>
        <c:crossAx val="396118440"/>
        <c:crosses val="max"/>
        <c:crossBetween val="between"/>
      </c:valAx>
      <c:catAx>
        <c:axId val="396118440"/>
        <c:scaling>
          <c:orientation val="minMax"/>
        </c:scaling>
        <c:delete val="1"/>
        <c:axPos val="b"/>
        <c:numFmt formatCode="General" sourceLinked="1"/>
        <c:majorTickMark val="out"/>
        <c:minorTickMark val="none"/>
        <c:tickLblPos val="nextTo"/>
        <c:crossAx val="393060176"/>
        <c:crosses val="autoZero"/>
        <c:auto val="1"/>
        <c:lblAlgn val="ctr"/>
        <c:lblOffset val="100"/>
        <c:noMultiLvlLbl val="0"/>
      </c:catAx>
    </c:plotArea>
    <c:legend>
      <c:legendPos val="b"/>
      <c:layout>
        <c:manualLayout>
          <c:xMode val="edge"/>
          <c:yMode val="edge"/>
          <c:x val="5.2777777777777778E-2"/>
          <c:y val="0.88730238265671335"/>
          <c:w val="0.9"/>
          <c:h val="9.5156969015236709E-2"/>
        </c:manualLayout>
      </c:layout>
      <c:overlay val="0"/>
      <c:txPr>
        <a:bodyPr/>
        <a:lstStyle/>
        <a:p>
          <a:pPr>
            <a:defRPr sz="900"/>
          </a:pPr>
          <a:endParaRPr lang="lv-LV"/>
        </a:p>
      </c:txPr>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267795051670783"/>
          <c:y val="2.068997081651839E-2"/>
          <c:w val="0.62917037243192986"/>
          <c:h val="0.8876895398631971"/>
        </c:manualLayout>
      </c:layout>
      <c:barChart>
        <c:barDir val="bar"/>
        <c:grouping val="stacked"/>
        <c:varyColors val="0"/>
        <c:ser>
          <c:idx val="1"/>
          <c:order val="0"/>
          <c:tx>
            <c:strRef>
              <c:f>'2020'!$D$1</c:f>
              <c:strCache>
                <c:ptCount val="1"/>
                <c:pt idx="0">
                  <c:v>2023 I puse</c:v>
                </c:pt>
              </c:strCache>
            </c:strRef>
          </c:tx>
          <c:spPr>
            <a:solidFill>
              <a:sysClr val="window" lastClr="FFFFFF">
                <a:lumMod val="65000"/>
                <a:alpha val="73000"/>
              </a:sysClr>
            </a:solidFill>
            <a:ln>
              <a:solidFill>
                <a:sysClr val="window" lastClr="FFFFFF">
                  <a:lumMod val="75000"/>
                </a:sysClr>
              </a:solidFill>
            </a:ln>
            <a:effectLst/>
          </c:spPr>
          <c:invertIfNegative val="0"/>
          <c:dPt>
            <c:idx val="7"/>
            <c:invertIfNegative val="0"/>
            <c:bubble3D val="0"/>
            <c:spPr>
              <a:solidFill>
                <a:sysClr val="window" lastClr="FFFFFF">
                  <a:lumMod val="65000"/>
                  <a:alpha val="73000"/>
                </a:sysClr>
              </a:solidFill>
              <a:ln>
                <a:solidFill>
                  <a:sysClr val="window" lastClr="FFFFFF">
                    <a:lumMod val="75000"/>
                  </a:sysClr>
                </a:solidFill>
              </a:ln>
              <a:effectLst/>
            </c:spPr>
            <c:extLst>
              <c:ext xmlns:c16="http://schemas.microsoft.com/office/drawing/2014/chart" uri="{C3380CC4-5D6E-409C-BE32-E72D297353CC}">
                <c16:uniqueId val="{00000001-E3FC-4552-8CED-E3086B44A6B6}"/>
              </c:ext>
            </c:extLst>
          </c:dPt>
          <c:dPt>
            <c:idx val="8"/>
            <c:invertIfNegative val="0"/>
            <c:bubble3D val="0"/>
            <c:spPr>
              <a:solidFill>
                <a:sysClr val="window" lastClr="FFFFFF">
                  <a:lumMod val="50000"/>
                  <a:alpha val="72941"/>
                </a:sysClr>
              </a:solidFill>
              <a:ln>
                <a:solidFill>
                  <a:sysClr val="window" lastClr="FFFFFF">
                    <a:lumMod val="75000"/>
                  </a:sysClr>
                </a:solidFill>
              </a:ln>
              <a:effectLst/>
            </c:spPr>
            <c:extLst>
              <c:ext xmlns:c16="http://schemas.microsoft.com/office/drawing/2014/chart" uri="{C3380CC4-5D6E-409C-BE32-E72D297353CC}">
                <c16:uniqueId val="{00000003-E3FC-4552-8CED-E3086B44A6B6}"/>
              </c:ext>
            </c:extLst>
          </c:dPt>
          <c:dPt>
            <c:idx val="9"/>
            <c:invertIfNegative val="0"/>
            <c:bubble3D val="0"/>
            <c:spPr>
              <a:solidFill>
                <a:sysClr val="window" lastClr="FFFFFF">
                  <a:lumMod val="65000"/>
                  <a:alpha val="73000"/>
                </a:sysClr>
              </a:solidFill>
              <a:ln>
                <a:solidFill>
                  <a:sysClr val="window" lastClr="FFFFFF">
                    <a:lumMod val="75000"/>
                  </a:sysClr>
                </a:solidFill>
              </a:ln>
              <a:effectLst/>
            </c:spPr>
            <c:extLst>
              <c:ext xmlns:c16="http://schemas.microsoft.com/office/drawing/2014/chart" uri="{C3380CC4-5D6E-409C-BE32-E72D297353CC}">
                <c16:uniqueId val="{00000005-E3FC-4552-8CED-E3086B44A6B6}"/>
              </c:ext>
            </c:extLst>
          </c:dPt>
          <c:cat>
            <c:strRef>
              <c:f>'2020'!$C$5:$C$24</c:f>
              <c:strCache>
                <c:ptCount val="20"/>
                <c:pt idx="0">
                  <c:v>Finanšu pak</c:v>
                </c:pt>
                <c:pt idx="1">
                  <c:v>Informācijas pak</c:v>
                </c:pt>
                <c:pt idx="2">
                  <c:v>Enerģētika</c:v>
                </c:pt>
                <c:pt idx="3">
                  <c:v>Profesionālie pak</c:v>
                </c:pt>
                <c:pt idx="4">
                  <c:v>Valsts pārvalde</c:v>
                </c:pt>
                <c:pt idx="5">
                  <c:v>Ieguves rūpniecība</c:v>
                </c:pt>
                <c:pt idx="6">
                  <c:v>Veselība</c:v>
                </c:pt>
                <c:pt idx="7">
                  <c:v>Ūdens apgāde</c:v>
                </c:pt>
                <c:pt idx="8">
                  <c:v>PAVISAM</c:v>
                </c:pt>
                <c:pt idx="9">
                  <c:v>Lauksaimn, mežsaimn</c:v>
                </c:pt>
                <c:pt idx="10">
                  <c:v>Transports</c:v>
                </c:pt>
                <c:pt idx="11">
                  <c:v>Apstrādes rūpniecība</c:v>
                </c:pt>
                <c:pt idx="12">
                  <c:v>Būvniecība</c:v>
                </c:pt>
                <c:pt idx="13">
                  <c:v>Tirdzniecība</c:v>
                </c:pt>
                <c:pt idx="14">
                  <c:v>Administratīvie pak</c:v>
                </c:pt>
                <c:pt idx="15">
                  <c:v>Izglītība</c:v>
                </c:pt>
                <c:pt idx="16">
                  <c:v>Māksla, izklaide</c:v>
                </c:pt>
                <c:pt idx="17">
                  <c:v>Citi pakalpojumi</c:v>
                </c:pt>
                <c:pt idx="18">
                  <c:v>Nekustamais īpašums</c:v>
                </c:pt>
                <c:pt idx="19">
                  <c:v>Izmitināšana, ēdināšana</c:v>
                </c:pt>
              </c:strCache>
            </c:strRef>
          </c:cat>
          <c:val>
            <c:numRef>
              <c:f>'2020'!$D$5:$D$24</c:f>
              <c:numCache>
                <c:formatCode>0</c:formatCode>
                <c:ptCount val="20"/>
                <c:pt idx="0">
                  <c:v>2751.5</c:v>
                </c:pt>
                <c:pt idx="1">
                  <c:v>2495</c:v>
                </c:pt>
                <c:pt idx="2">
                  <c:v>1995</c:v>
                </c:pt>
                <c:pt idx="3">
                  <c:v>1920</c:v>
                </c:pt>
                <c:pt idx="4">
                  <c:v>1702</c:v>
                </c:pt>
                <c:pt idx="5">
                  <c:v>1651</c:v>
                </c:pt>
                <c:pt idx="6">
                  <c:v>1595</c:v>
                </c:pt>
                <c:pt idx="7">
                  <c:v>1498</c:v>
                </c:pt>
                <c:pt idx="8">
                  <c:v>1493.5</c:v>
                </c:pt>
                <c:pt idx="9">
                  <c:v>1520.5</c:v>
                </c:pt>
                <c:pt idx="10">
                  <c:v>1434</c:v>
                </c:pt>
                <c:pt idx="11">
                  <c:v>1421.5</c:v>
                </c:pt>
                <c:pt idx="12">
                  <c:v>1401</c:v>
                </c:pt>
                <c:pt idx="13">
                  <c:v>1339.5</c:v>
                </c:pt>
                <c:pt idx="14">
                  <c:v>1281.5</c:v>
                </c:pt>
                <c:pt idx="15">
                  <c:v>1192.5</c:v>
                </c:pt>
                <c:pt idx="16">
                  <c:v>1239</c:v>
                </c:pt>
                <c:pt idx="17">
                  <c:v>1197</c:v>
                </c:pt>
                <c:pt idx="18">
                  <c:v>1216</c:v>
                </c:pt>
                <c:pt idx="19">
                  <c:v>961</c:v>
                </c:pt>
              </c:numCache>
            </c:numRef>
          </c:val>
          <c:extLst>
            <c:ext xmlns:c16="http://schemas.microsoft.com/office/drawing/2014/chart" uri="{C3380CC4-5D6E-409C-BE32-E72D297353CC}">
              <c16:uniqueId val="{00000006-E3FC-4552-8CED-E3086B44A6B6}"/>
            </c:ext>
          </c:extLst>
        </c:ser>
        <c:ser>
          <c:idx val="0"/>
          <c:order val="1"/>
          <c:tx>
            <c:strRef>
              <c:f>'2020'!$E$1</c:f>
              <c:strCache>
                <c:ptCount val="1"/>
                <c:pt idx="0">
                  <c:v>+2024 I puse</c:v>
                </c:pt>
              </c:strCache>
            </c:strRef>
          </c:tx>
          <c:spPr>
            <a:solidFill>
              <a:srgbClr val="9BBB59">
                <a:lumMod val="75000"/>
              </a:srgbClr>
            </a:solidFill>
            <a:ln>
              <a:solidFill>
                <a:srgbClr val="9BBB59">
                  <a:lumMod val="75000"/>
                </a:srgbClr>
              </a:solidFill>
            </a:ln>
            <a:effectLst/>
          </c:spPr>
          <c:invertIfNegative val="0"/>
          <c:dPt>
            <c:idx val="6"/>
            <c:invertIfNegative val="0"/>
            <c:bubble3D val="0"/>
            <c:spPr>
              <a:solidFill>
                <a:srgbClr val="70AD47"/>
              </a:solidFill>
              <a:ln>
                <a:solidFill>
                  <a:srgbClr val="70AD47"/>
                </a:solidFill>
              </a:ln>
              <a:effectLst/>
            </c:spPr>
            <c:extLst>
              <c:ext xmlns:c16="http://schemas.microsoft.com/office/drawing/2014/chart" uri="{C3380CC4-5D6E-409C-BE32-E72D297353CC}">
                <c16:uniqueId val="{00000008-E3FC-4552-8CED-E3086B44A6B6}"/>
              </c:ext>
            </c:extLst>
          </c:dPt>
          <c:dPt>
            <c:idx val="8"/>
            <c:invertIfNegative val="0"/>
            <c:bubble3D val="0"/>
            <c:spPr>
              <a:solidFill>
                <a:srgbClr val="FF2D2D"/>
              </a:solidFill>
              <a:ln>
                <a:solidFill>
                  <a:srgbClr val="FF2D2D"/>
                </a:solidFill>
              </a:ln>
              <a:effectLst/>
            </c:spPr>
            <c:extLst>
              <c:ext xmlns:c16="http://schemas.microsoft.com/office/drawing/2014/chart" uri="{C3380CC4-5D6E-409C-BE32-E72D297353CC}">
                <c16:uniqueId val="{0000000A-E3FC-4552-8CED-E3086B44A6B6}"/>
              </c:ext>
            </c:extLst>
          </c:dPt>
          <c:cat>
            <c:strRef>
              <c:f>'2020'!$C$5:$C$24</c:f>
              <c:strCache>
                <c:ptCount val="20"/>
                <c:pt idx="0">
                  <c:v>Finanšu pak</c:v>
                </c:pt>
                <c:pt idx="1">
                  <c:v>Informācijas pak</c:v>
                </c:pt>
                <c:pt idx="2">
                  <c:v>Enerģētika</c:v>
                </c:pt>
                <c:pt idx="3">
                  <c:v>Profesionālie pak</c:v>
                </c:pt>
                <c:pt idx="4">
                  <c:v>Valsts pārvalde</c:v>
                </c:pt>
                <c:pt idx="5">
                  <c:v>Ieguves rūpniecība</c:v>
                </c:pt>
                <c:pt idx="6">
                  <c:v>Veselība</c:v>
                </c:pt>
                <c:pt idx="7">
                  <c:v>Ūdens apgāde</c:v>
                </c:pt>
                <c:pt idx="8">
                  <c:v>PAVISAM</c:v>
                </c:pt>
                <c:pt idx="9">
                  <c:v>Lauksaimn, mežsaimn</c:v>
                </c:pt>
                <c:pt idx="10">
                  <c:v>Transports</c:v>
                </c:pt>
                <c:pt idx="11">
                  <c:v>Apstrādes rūpniecība</c:v>
                </c:pt>
                <c:pt idx="12">
                  <c:v>Būvniecība</c:v>
                </c:pt>
                <c:pt idx="13">
                  <c:v>Tirdzniecība</c:v>
                </c:pt>
                <c:pt idx="14">
                  <c:v>Administratīvie pak</c:v>
                </c:pt>
                <c:pt idx="15">
                  <c:v>Izglītība</c:v>
                </c:pt>
                <c:pt idx="16">
                  <c:v>Māksla, izklaide</c:v>
                </c:pt>
                <c:pt idx="17">
                  <c:v>Citi pakalpojumi</c:v>
                </c:pt>
                <c:pt idx="18">
                  <c:v>Nekustamais īpašums</c:v>
                </c:pt>
                <c:pt idx="19">
                  <c:v>Izmitināšana, ēdināšana</c:v>
                </c:pt>
              </c:strCache>
            </c:strRef>
          </c:cat>
          <c:val>
            <c:numRef>
              <c:f>'2020'!$E$5:$E$24</c:f>
              <c:numCache>
                <c:formatCode>0</c:formatCode>
                <c:ptCount val="20"/>
                <c:pt idx="0">
                  <c:v>150</c:v>
                </c:pt>
                <c:pt idx="1">
                  <c:v>173</c:v>
                </c:pt>
                <c:pt idx="2">
                  <c:v>172.5</c:v>
                </c:pt>
                <c:pt idx="3">
                  <c:v>177</c:v>
                </c:pt>
                <c:pt idx="4">
                  <c:v>219</c:v>
                </c:pt>
                <c:pt idx="5">
                  <c:v>94</c:v>
                </c:pt>
                <c:pt idx="6">
                  <c:v>122</c:v>
                </c:pt>
                <c:pt idx="7">
                  <c:v>159.5</c:v>
                </c:pt>
                <c:pt idx="8">
                  <c:v>153.5</c:v>
                </c:pt>
                <c:pt idx="9">
                  <c:v>68</c:v>
                </c:pt>
                <c:pt idx="10">
                  <c:v>153.5</c:v>
                </c:pt>
                <c:pt idx="11">
                  <c:v>112.5</c:v>
                </c:pt>
                <c:pt idx="12">
                  <c:v>120</c:v>
                </c:pt>
                <c:pt idx="13">
                  <c:v>130</c:v>
                </c:pt>
                <c:pt idx="14">
                  <c:v>158.5</c:v>
                </c:pt>
                <c:pt idx="15">
                  <c:v>238.5</c:v>
                </c:pt>
                <c:pt idx="16">
                  <c:v>137.5</c:v>
                </c:pt>
                <c:pt idx="17">
                  <c:v>176</c:v>
                </c:pt>
                <c:pt idx="18">
                  <c:v>120.5</c:v>
                </c:pt>
                <c:pt idx="19">
                  <c:v>121.5</c:v>
                </c:pt>
              </c:numCache>
            </c:numRef>
          </c:val>
          <c:extLst>
            <c:ext xmlns:c16="http://schemas.microsoft.com/office/drawing/2014/chart" uri="{C3380CC4-5D6E-409C-BE32-E72D297353CC}">
              <c16:uniqueId val="{0000000B-E3FC-4552-8CED-E3086B44A6B6}"/>
            </c:ext>
          </c:extLst>
        </c:ser>
        <c:ser>
          <c:idx val="2"/>
          <c:order val="2"/>
          <c:tx>
            <c:strRef>
              <c:f>'2020'!$F$1</c:f>
              <c:strCache>
                <c:ptCount val="1"/>
                <c:pt idx="0">
                  <c:v>Izmaiņas pret 2022.gadu, %, labā ass</c:v>
                </c:pt>
              </c:strCache>
            </c:strRef>
          </c:tx>
          <c:spPr>
            <a:solidFill>
              <a:schemeClr val="accent3"/>
            </a:solidFill>
            <a:ln>
              <a:noFill/>
            </a:ln>
            <a:effectLst/>
          </c:spPr>
          <c:invertIfNegative val="0"/>
          <c:dLbls>
            <c:dLbl>
              <c:idx val="6"/>
              <c:layout>
                <c:manualLayout>
                  <c:x val="4.5848796308248257E-2"/>
                  <c:y val="1.9616382023828778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3FC-4552-8CED-E3086B44A6B6}"/>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'2020'!$C$5:$C$24</c:f>
              <c:strCache>
                <c:ptCount val="20"/>
                <c:pt idx="0">
                  <c:v>Finanšu pak</c:v>
                </c:pt>
                <c:pt idx="1">
                  <c:v>Informācijas pak</c:v>
                </c:pt>
                <c:pt idx="2">
                  <c:v>Enerģētika</c:v>
                </c:pt>
                <c:pt idx="3">
                  <c:v>Profesionālie pak</c:v>
                </c:pt>
                <c:pt idx="4">
                  <c:v>Valsts pārvalde</c:v>
                </c:pt>
                <c:pt idx="5">
                  <c:v>Ieguves rūpniecība</c:v>
                </c:pt>
                <c:pt idx="6">
                  <c:v>Veselība</c:v>
                </c:pt>
                <c:pt idx="7">
                  <c:v>Ūdens apgāde</c:v>
                </c:pt>
                <c:pt idx="8">
                  <c:v>PAVISAM</c:v>
                </c:pt>
                <c:pt idx="9">
                  <c:v>Lauksaimn, mežsaimn</c:v>
                </c:pt>
                <c:pt idx="10">
                  <c:v>Transports</c:v>
                </c:pt>
                <c:pt idx="11">
                  <c:v>Apstrādes rūpniecība</c:v>
                </c:pt>
                <c:pt idx="12">
                  <c:v>Būvniecība</c:v>
                </c:pt>
                <c:pt idx="13">
                  <c:v>Tirdzniecība</c:v>
                </c:pt>
                <c:pt idx="14">
                  <c:v>Administratīvie pak</c:v>
                </c:pt>
                <c:pt idx="15">
                  <c:v>Izglītība</c:v>
                </c:pt>
                <c:pt idx="16">
                  <c:v>Māksla, izklaide</c:v>
                </c:pt>
                <c:pt idx="17">
                  <c:v>Citi pakalpojumi</c:v>
                </c:pt>
                <c:pt idx="18">
                  <c:v>Nekustamais īpašums</c:v>
                </c:pt>
                <c:pt idx="19">
                  <c:v>Izmitināšana, ēdināšana</c:v>
                </c:pt>
              </c:strCache>
            </c:strRef>
          </c:cat>
          <c:val>
            <c:numRef>
              <c:f>'2020'!$F$5:$F$24</c:f>
              <c:numCache>
                <c:formatCode>0.0%</c:formatCode>
                <c:ptCount val="20"/>
                <c:pt idx="0">
                  <c:v>5.4516000000000002E-2</c:v>
                </c:pt>
                <c:pt idx="1">
                  <c:v>6.9338999999999998E-2</c:v>
                </c:pt>
                <c:pt idx="2">
                  <c:v>8.6466000000000001E-2</c:v>
                </c:pt>
                <c:pt idx="3">
                  <c:v>9.2188000000000006E-2</c:v>
                </c:pt>
                <c:pt idx="4">
                  <c:v>0.12867200000000001</c:v>
                </c:pt>
                <c:pt idx="5">
                  <c:v>5.6934999999999999E-2</c:v>
                </c:pt>
                <c:pt idx="6">
                  <c:v>7.6489000000000001E-2</c:v>
                </c:pt>
                <c:pt idx="7">
                  <c:v>0.106475</c:v>
                </c:pt>
                <c:pt idx="8">
                  <c:v>0.102779</c:v>
                </c:pt>
                <c:pt idx="9">
                  <c:v>4.4721999999999998E-2</c:v>
                </c:pt>
                <c:pt idx="10">
                  <c:v>0.107043</c:v>
                </c:pt>
                <c:pt idx="11">
                  <c:v>7.9142000000000004E-2</c:v>
                </c:pt>
                <c:pt idx="12">
                  <c:v>8.5653000000000007E-2</c:v>
                </c:pt>
                <c:pt idx="13">
                  <c:v>9.7050999999999998E-2</c:v>
                </c:pt>
                <c:pt idx="14">
                  <c:v>0.123683</c:v>
                </c:pt>
                <c:pt idx="15">
                  <c:v>0.2</c:v>
                </c:pt>
                <c:pt idx="16">
                  <c:v>0.11097700000000001</c:v>
                </c:pt>
                <c:pt idx="17">
                  <c:v>0.147034</c:v>
                </c:pt>
                <c:pt idx="18">
                  <c:v>9.9095000000000003E-2</c:v>
                </c:pt>
                <c:pt idx="19">
                  <c:v>0.12643099999999999</c:v>
                </c:pt>
              </c:numCache>
            </c:numRef>
          </c:val>
          <c:extLst>
            <c:ext xmlns:c16="http://schemas.microsoft.com/office/drawing/2014/chart" uri="{C3380CC4-5D6E-409C-BE32-E72D297353CC}">
              <c16:uniqueId val="{0000000D-E3FC-4552-8CED-E3086B44A6B6}"/>
            </c:ext>
          </c:extLst>
        </c:ser>
        <c:dLbls>
          <c:showLegendKey val="0"/>
          <c:showVal val="0"/>
          <c:showCatName val="0"/>
          <c:showSerName val="0"/>
          <c:showPercent val="0"/>
          <c:showBubbleSize val="0"/>
        </c:dLbls>
        <c:gapWidth val="50"/>
        <c:overlap val="100"/>
        <c:axId val="395291424"/>
        <c:axId val="395291816"/>
      </c:barChart>
      <c:catAx>
        <c:axId val="395291424"/>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95291816"/>
        <c:crossesAt val="0"/>
        <c:auto val="1"/>
        <c:lblAlgn val="ctr"/>
        <c:lblOffset val="100"/>
        <c:noMultiLvlLbl val="0"/>
      </c:catAx>
      <c:valAx>
        <c:axId val="395291816"/>
        <c:scaling>
          <c:orientation val="minMax"/>
          <c:max val="2950"/>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95291424"/>
        <c:crosses val="autoZero"/>
        <c:crossBetween val="between"/>
        <c:majorUnit val="500"/>
      </c:valAx>
      <c:spPr>
        <a:noFill/>
        <a:ln>
          <a:noFill/>
        </a:ln>
        <a:effectLst/>
      </c:spPr>
    </c:plotArea>
    <c:legend>
      <c:legendPos val="b"/>
      <c:legendEntry>
        <c:idx val="2"/>
        <c:delete val="1"/>
      </c:legendEntry>
      <c:layout>
        <c:manualLayout>
          <c:xMode val="edge"/>
          <c:yMode val="edge"/>
          <c:x val="0.25933224151284368"/>
          <c:y val="0.95807331818948638"/>
          <c:w val="0.62981537207951466"/>
          <c:h val="4.192669634548783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1000">
          <a:solidFill>
            <a:schemeClr val="tx1"/>
          </a:solidFill>
          <a:latin typeface="Verdana" panose="020B0604030504040204" pitchFamily="34"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1"/>
          <c:order val="0"/>
          <c:tx>
            <c:strRef>
              <c:f>izlietojums!$E$3</c:f>
              <c:strCache>
                <c:ptCount val="1"/>
                <c:pt idx="0">
                  <c:v>2023</c:v>
                </c:pt>
              </c:strCache>
            </c:strRef>
          </c:tx>
          <c:spPr>
            <a:solidFill>
              <a:sysClr val="window" lastClr="FFFFFF">
                <a:lumMod val="65000"/>
              </a:sys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izlietojums!$C$4:$C$9</c:f>
              <c:strCache>
                <c:ptCount val="6"/>
                <c:pt idx="0">
                  <c:v>IKP</c:v>
                </c:pt>
                <c:pt idx="1">
                  <c:v>Privātais patēriņš</c:v>
                </c:pt>
                <c:pt idx="2">
                  <c:v>Valdības patēriņš</c:v>
                </c:pt>
                <c:pt idx="3">
                  <c:v>Investīcijas</c:v>
                </c:pt>
                <c:pt idx="4">
                  <c:v>Eksports</c:v>
                </c:pt>
                <c:pt idx="5">
                  <c:v>Imports</c:v>
                </c:pt>
              </c:strCache>
            </c:strRef>
          </c:cat>
          <c:val>
            <c:numRef>
              <c:f>izlietojums!$E$4:$E$9</c:f>
              <c:numCache>
                <c:formatCode>0.0</c:formatCode>
                <c:ptCount val="6"/>
                <c:pt idx="0">
                  <c:v>-0.28253956820404325</c:v>
                </c:pt>
                <c:pt idx="1">
                  <c:v>-1.3025919319014534</c:v>
                </c:pt>
                <c:pt idx="2">
                  <c:v>6.999429617022046</c:v>
                </c:pt>
                <c:pt idx="3">
                  <c:v>8.2111443198259479</c:v>
                </c:pt>
                <c:pt idx="4">
                  <c:v>-5.9387892450683104</c:v>
                </c:pt>
                <c:pt idx="5">
                  <c:v>-2.8425184942635351</c:v>
                </c:pt>
              </c:numCache>
            </c:numRef>
          </c:val>
          <c:extLst>
            <c:ext xmlns:c16="http://schemas.microsoft.com/office/drawing/2014/chart" uri="{C3380CC4-5D6E-409C-BE32-E72D297353CC}">
              <c16:uniqueId val="{00000000-D5FF-4EC3-A0D3-1B605EC2BC82}"/>
            </c:ext>
          </c:extLst>
        </c:ser>
        <c:ser>
          <c:idx val="2"/>
          <c:order val="1"/>
          <c:tx>
            <c:strRef>
              <c:f>izlietojums!$F$3</c:f>
              <c:strCache>
                <c:ptCount val="1"/>
                <c:pt idx="0">
                  <c:v>2024 1.puse</c:v>
                </c:pt>
              </c:strCache>
            </c:strRef>
          </c:tx>
          <c:spPr>
            <a:solidFill>
              <a:srgbClr val="70AD47">
                <a:lumMod val="75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izlietojums!$C$4:$C$9</c:f>
              <c:strCache>
                <c:ptCount val="6"/>
                <c:pt idx="0">
                  <c:v>IKP</c:v>
                </c:pt>
                <c:pt idx="1">
                  <c:v>Privātais patēriņš</c:v>
                </c:pt>
                <c:pt idx="2">
                  <c:v>Valdības patēriņš</c:v>
                </c:pt>
                <c:pt idx="3">
                  <c:v>Investīcijas</c:v>
                </c:pt>
                <c:pt idx="4">
                  <c:v>Eksports</c:v>
                </c:pt>
                <c:pt idx="5">
                  <c:v>Imports</c:v>
                </c:pt>
              </c:strCache>
            </c:strRef>
          </c:cat>
          <c:val>
            <c:numRef>
              <c:f>izlietojums!$F$4:$F$9</c:f>
              <c:numCache>
                <c:formatCode>0.0</c:formatCode>
                <c:ptCount val="6"/>
                <c:pt idx="0">
                  <c:v>0.3</c:v>
                </c:pt>
                <c:pt idx="1">
                  <c:v>0.6</c:v>
                </c:pt>
                <c:pt idx="2">
                  <c:v>8.4</c:v>
                </c:pt>
                <c:pt idx="3">
                  <c:v>-7.3</c:v>
                </c:pt>
                <c:pt idx="4">
                  <c:v>-3.2</c:v>
                </c:pt>
                <c:pt idx="5">
                  <c:v>-4.7</c:v>
                </c:pt>
              </c:numCache>
            </c:numRef>
          </c:val>
          <c:extLst>
            <c:ext xmlns:c16="http://schemas.microsoft.com/office/drawing/2014/chart" uri="{C3380CC4-5D6E-409C-BE32-E72D297353CC}">
              <c16:uniqueId val="{00000001-D5FF-4EC3-A0D3-1B605EC2BC82}"/>
            </c:ext>
          </c:extLst>
        </c:ser>
        <c:dLbls>
          <c:showLegendKey val="0"/>
          <c:showVal val="0"/>
          <c:showCatName val="0"/>
          <c:showSerName val="0"/>
          <c:showPercent val="0"/>
          <c:showBubbleSize val="0"/>
        </c:dLbls>
        <c:gapWidth val="112"/>
        <c:axId val="1182926320"/>
        <c:axId val="1182925488"/>
      </c:barChart>
      <c:catAx>
        <c:axId val="1182926320"/>
        <c:scaling>
          <c:orientation val="maxMin"/>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5488"/>
        <c:crosses val="autoZero"/>
        <c:auto val="1"/>
        <c:lblAlgn val="ctr"/>
        <c:lblOffset val="100"/>
        <c:noMultiLvlLbl val="0"/>
      </c:catAx>
      <c:valAx>
        <c:axId val="1182925488"/>
        <c:scaling>
          <c:orientation val="minMax"/>
          <c:max val="20"/>
          <c:min val="-5"/>
        </c:scaling>
        <c:delete val="0"/>
        <c:axPos val="t"/>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6320"/>
        <c:crosses val="autoZero"/>
        <c:crossBetween val="between"/>
        <c:majorUnit val="5"/>
      </c:valAx>
      <c:spPr>
        <a:noFill/>
        <a:ln>
          <a:noFill/>
        </a:ln>
        <a:effectLst/>
      </c:spPr>
    </c:plotArea>
    <c:legend>
      <c:legendPos val="b"/>
      <c:layout>
        <c:manualLayout>
          <c:xMode val="edge"/>
          <c:yMode val="edge"/>
          <c:x val="0.30056292533823226"/>
          <c:y val="0.93926290463692041"/>
          <c:w val="0.56190530711090059"/>
          <c:h val="4.407042869641295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96020139055383"/>
          <c:y val="2.8391359290119975E-2"/>
          <c:w val="0.81636740456591816"/>
          <c:h val="0.76756715454236346"/>
        </c:manualLayout>
      </c:layout>
      <c:barChart>
        <c:barDir val="col"/>
        <c:grouping val="clustered"/>
        <c:varyColors val="0"/>
        <c:ser>
          <c:idx val="1"/>
          <c:order val="0"/>
          <c:tx>
            <c:strRef>
              <c:f>Sheet1!$B$6</c:f>
              <c:strCache>
                <c:ptCount val="1"/>
                <c:pt idx="0">
                  <c:v>milj. eiro</c:v>
                </c:pt>
              </c:strCache>
            </c:strRef>
          </c:tx>
          <c:spPr>
            <a:solidFill>
              <a:sysClr val="window" lastClr="FFFFFF">
                <a:lumMod val="65000"/>
              </a:sysClr>
            </a:solidFill>
            <a:ln>
              <a:noFill/>
            </a:ln>
            <a:effectLst/>
          </c:spPr>
          <c:invertIfNegative val="0"/>
          <c:cat>
            <c:numRef>
              <c:f>Sheet1!$P$4:$DN$4</c:f>
              <c:numCache>
                <c:formatCode>General</c:formatCode>
                <c:ptCount val="103"/>
                <c:pt idx="0">
                  <c:v>2016</c:v>
                </c:pt>
                <c:pt idx="12">
                  <c:v>2017</c:v>
                </c:pt>
                <c:pt idx="24">
                  <c:v>2018</c:v>
                </c:pt>
                <c:pt idx="36">
                  <c:v>2019</c:v>
                </c:pt>
                <c:pt idx="48">
                  <c:v>2020</c:v>
                </c:pt>
                <c:pt idx="60">
                  <c:v>2021</c:v>
                </c:pt>
                <c:pt idx="72">
                  <c:v>2022</c:v>
                </c:pt>
                <c:pt idx="84">
                  <c:v>2023</c:v>
                </c:pt>
                <c:pt idx="96">
                  <c:v>2024</c:v>
                </c:pt>
              </c:numCache>
            </c:numRef>
          </c:cat>
          <c:val>
            <c:numRef>
              <c:f>Sheet1!$P$6:$DN$6</c:f>
              <c:numCache>
                <c:formatCode>General</c:formatCode>
                <c:ptCount val="103"/>
                <c:pt idx="0">
                  <c:v>5371.6</c:v>
                </c:pt>
                <c:pt idx="1">
                  <c:v>5414.6</c:v>
                </c:pt>
                <c:pt idx="2">
                  <c:v>5399.9</c:v>
                </c:pt>
                <c:pt idx="3">
                  <c:v>5467.5</c:v>
                </c:pt>
                <c:pt idx="4">
                  <c:v>5490.4</c:v>
                </c:pt>
                <c:pt idx="5">
                  <c:v>5587</c:v>
                </c:pt>
                <c:pt idx="6">
                  <c:v>5597.9</c:v>
                </c:pt>
                <c:pt idx="7">
                  <c:v>5580</c:v>
                </c:pt>
                <c:pt idx="8">
                  <c:v>5580.2</c:v>
                </c:pt>
                <c:pt idx="9">
                  <c:v>5622.5</c:v>
                </c:pt>
                <c:pt idx="10">
                  <c:v>5706.8</c:v>
                </c:pt>
                <c:pt idx="11">
                  <c:v>5877.9</c:v>
                </c:pt>
                <c:pt idx="12">
                  <c:v>5839.8</c:v>
                </c:pt>
                <c:pt idx="13">
                  <c:v>5876.7</c:v>
                </c:pt>
                <c:pt idx="14">
                  <c:v>5885.6</c:v>
                </c:pt>
                <c:pt idx="15">
                  <c:v>5947.7</c:v>
                </c:pt>
                <c:pt idx="16">
                  <c:v>5921.5</c:v>
                </c:pt>
                <c:pt idx="17">
                  <c:v>6007.5</c:v>
                </c:pt>
                <c:pt idx="18">
                  <c:v>5985</c:v>
                </c:pt>
                <c:pt idx="19">
                  <c:v>5961.6</c:v>
                </c:pt>
                <c:pt idx="20">
                  <c:v>6053.1</c:v>
                </c:pt>
                <c:pt idx="21">
                  <c:v>6098.9</c:v>
                </c:pt>
                <c:pt idx="22">
                  <c:v>6160.8</c:v>
                </c:pt>
                <c:pt idx="23">
                  <c:v>6357.2</c:v>
                </c:pt>
                <c:pt idx="24">
                  <c:v>6306.6</c:v>
                </c:pt>
                <c:pt idx="25">
                  <c:v>6311.9</c:v>
                </c:pt>
                <c:pt idx="26">
                  <c:v>6339.8</c:v>
                </c:pt>
                <c:pt idx="27">
                  <c:v>6402</c:v>
                </c:pt>
                <c:pt idx="28">
                  <c:v>6399.7</c:v>
                </c:pt>
                <c:pt idx="29">
                  <c:v>6522.8</c:v>
                </c:pt>
                <c:pt idx="30">
                  <c:v>6533.6</c:v>
                </c:pt>
                <c:pt idx="31">
                  <c:v>6544.3</c:v>
                </c:pt>
                <c:pt idx="32">
                  <c:v>6581.7</c:v>
                </c:pt>
                <c:pt idx="33">
                  <c:v>6659.6</c:v>
                </c:pt>
                <c:pt idx="34">
                  <c:v>6731.9</c:v>
                </c:pt>
                <c:pt idx="35">
                  <c:v>6925.7</c:v>
                </c:pt>
                <c:pt idx="36">
                  <c:v>6900.8</c:v>
                </c:pt>
                <c:pt idx="37">
                  <c:v>6950.8</c:v>
                </c:pt>
                <c:pt idx="38">
                  <c:v>6959.3</c:v>
                </c:pt>
                <c:pt idx="39">
                  <c:v>6975.9</c:v>
                </c:pt>
                <c:pt idx="40">
                  <c:v>7022.2</c:v>
                </c:pt>
                <c:pt idx="41">
                  <c:v>7089.1</c:v>
                </c:pt>
                <c:pt idx="42">
                  <c:v>7093.3</c:v>
                </c:pt>
                <c:pt idx="43">
                  <c:v>7232.5</c:v>
                </c:pt>
                <c:pt idx="44">
                  <c:v>7090.9</c:v>
                </c:pt>
                <c:pt idx="45">
                  <c:v>7158.3</c:v>
                </c:pt>
                <c:pt idx="46">
                  <c:v>7233.5</c:v>
                </c:pt>
                <c:pt idx="47">
                  <c:v>7442.3</c:v>
                </c:pt>
                <c:pt idx="48">
                  <c:v>7415</c:v>
                </c:pt>
                <c:pt idx="49">
                  <c:v>7463.9</c:v>
                </c:pt>
                <c:pt idx="50">
                  <c:v>7534.1</c:v>
                </c:pt>
                <c:pt idx="51">
                  <c:v>7718.1</c:v>
                </c:pt>
                <c:pt idx="52">
                  <c:v>7739.4</c:v>
                </c:pt>
                <c:pt idx="53">
                  <c:v>7799.4</c:v>
                </c:pt>
                <c:pt idx="54">
                  <c:v>7805.3</c:v>
                </c:pt>
                <c:pt idx="55">
                  <c:v>7842.4</c:v>
                </c:pt>
                <c:pt idx="56">
                  <c:v>7921.3</c:v>
                </c:pt>
                <c:pt idx="57">
                  <c:v>8028.7</c:v>
                </c:pt>
                <c:pt idx="58">
                  <c:v>8117.3</c:v>
                </c:pt>
                <c:pt idx="59">
                  <c:v>8395.2999999999993</c:v>
                </c:pt>
                <c:pt idx="60">
                  <c:v>8452.2999999999993</c:v>
                </c:pt>
                <c:pt idx="61">
                  <c:v>8573.5</c:v>
                </c:pt>
                <c:pt idx="62">
                  <c:v>8845.2999999999993</c:v>
                </c:pt>
                <c:pt idx="63">
                  <c:v>8998.7999999999993</c:v>
                </c:pt>
                <c:pt idx="64">
                  <c:v>9019.7999999999993</c:v>
                </c:pt>
                <c:pt idx="65">
                  <c:v>9161.5</c:v>
                </c:pt>
                <c:pt idx="66">
                  <c:v>9184.9</c:v>
                </c:pt>
                <c:pt idx="67">
                  <c:v>9176.7999999999993</c:v>
                </c:pt>
                <c:pt idx="68">
                  <c:v>9222.5</c:v>
                </c:pt>
                <c:pt idx="69">
                  <c:v>9297.2999999999993</c:v>
                </c:pt>
                <c:pt idx="70">
                  <c:v>9389.5</c:v>
                </c:pt>
                <c:pt idx="71">
                  <c:v>9670.5</c:v>
                </c:pt>
                <c:pt idx="72">
                  <c:v>9626.2000000000007</c:v>
                </c:pt>
                <c:pt idx="73">
                  <c:v>9722.9</c:v>
                </c:pt>
                <c:pt idx="74">
                  <c:v>9724.9</c:v>
                </c:pt>
                <c:pt idx="75">
                  <c:v>9792.7000000000007</c:v>
                </c:pt>
                <c:pt idx="76">
                  <c:v>9755.2999999999993</c:v>
                </c:pt>
                <c:pt idx="77">
                  <c:v>9858.1</c:v>
                </c:pt>
                <c:pt idx="78">
                  <c:v>9833.9</c:v>
                </c:pt>
                <c:pt idx="79">
                  <c:v>9793.4</c:v>
                </c:pt>
                <c:pt idx="80">
                  <c:v>9902.9</c:v>
                </c:pt>
                <c:pt idx="81">
                  <c:v>9933.5</c:v>
                </c:pt>
                <c:pt idx="82">
                  <c:v>9929.4</c:v>
                </c:pt>
                <c:pt idx="83">
                  <c:v>10171.9</c:v>
                </c:pt>
                <c:pt idx="84">
                  <c:v>10039.4</c:v>
                </c:pt>
                <c:pt idx="85">
                  <c:v>10048.4</c:v>
                </c:pt>
                <c:pt idx="86">
                  <c:v>10043.200000000001</c:v>
                </c:pt>
                <c:pt idx="87">
                  <c:v>10004.5</c:v>
                </c:pt>
                <c:pt idx="88">
                  <c:v>9956.6</c:v>
                </c:pt>
                <c:pt idx="89">
                  <c:v>10033.200000000001</c:v>
                </c:pt>
                <c:pt idx="90">
                  <c:v>9915</c:v>
                </c:pt>
                <c:pt idx="91">
                  <c:v>9837.5</c:v>
                </c:pt>
                <c:pt idx="92">
                  <c:v>9854.9</c:v>
                </c:pt>
                <c:pt idx="93">
                  <c:v>9816.6</c:v>
                </c:pt>
                <c:pt idx="94">
                  <c:v>9840.1</c:v>
                </c:pt>
                <c:pt idx="95">
                  <c:v>10070.1</c:v>
                </c:pt>
                <c:pt idx="96">
                  <c:v>10039.200000000001</c:v>
                </c:pt>
                <c:pt idx="97">
                  <c:v>10068.6</c:v>
                </c:pt>
                <c:pt idx="98">
                  <c:v>10137.9</c:v>
                </c:pt>
                <c:pt idx="99">
                  <c:v>10229.200000000001</c:v>
                </c:pt>
                <c:pt idx="100">
                  <c:v>10274.700000000001</c:v>
                </c:pt>
                <c:pt idx="101">
                  <c:v>10417.700000000001</c:v>
                </c:pt>
                <c:pt idx="102">
                  <c:v>10423.1</c:v>
                </c:pt>
              </c:numCache>
            </c:numRef>
          </c:val>
          <c:extLst>
            <c:ext xmlns:c16="http://schemas.microsoft.com/office/drawing/2014/chart" uri="{C3380CC4-5D6E-409C-BE32-E72D297353CC}">
              <c16:uniqueId val="{00000000-BDA7-4362-8FEA-447A4E75B524}"/>
            </c:ext>
          </c:extLst>
        </c:ser>
        <c:dLbls>
          <c:showLegendKey val="0"/>
          <c:showVal val="0"/>
          <c:showCatName val="0"/>
          <c:showSerName val="0"/>
          <c:showPercent val="0"/>
          <c:showBubbleSize val="0"/>
        </c:dLbls>
        <c:gapWidth val="0"/>
        <c:axId val="546921120"/>
        <c:axId val="546915872"/>
      </c:barChart>
      <c:lineChart>
        <c:grouping val="standard"/>
        <c:varyColors val="0"/>
        <c:ser>
          <c:idx val="3"/>
          <c:order val="1"/>
          <c:tx>
            <c:strRef>
              <c:f>Sheet1!$B$7</c:f>
              <c:strCache>
                <c:ptCount val="1"/>
                <c:pt idx="0">
                  <c:v>izmaiņas pret iepriekšējā gada attiecīgo mēnesi, % (labā ass)</c:v>
                </c:pt>
              </c:strCache>
            </c:strRef>
          </c:tx>
          <c:spPr>
            <a:ln w="22225" cap="rnd">
              <a:solidFill>
                <a:srgbClr val="C00000"/>
              </a:solidFill>
              <a:prstDash val="sysDash"/>
              <a:round/>
            </a:ln>
            <a:effectLst/>
          </c:spPr>
          <c:marker>
            <c:symbol val="none"/>
          </c:marker>
          <c:cat>
            <c:numRef>
              <c:f>Sheet1!$P$4:$DN$4</c:f>
              <c:numCache>
                <c:formatCode>General</c:formatCode>
                <c:ptCount val="103"/>
                <c:pt idx="0">
                  <c:v>2016</c:v>
                </c:pt>
                <c:pt idx="12">
                  <c:v>2017</c:v>
                </c:pt>
                <c:pt idx="24">
                  <c:v>2018</c:v>
                </c:pt>
                <c:pt idx="36">
                  <c:v>2019</c:v>
                </c:pt>
                <c:pt idx="48">
                  <c:v>2020</c:v>
                </c:pt>
                <c:pt idx="60">
                  <c:v>2021</c:v>
                </c:pt>
                <c:pt idx="72">
                  <c:v>2022</c:v>
                </c:pt>
                <c:pt idx="84">
                  <c:v>2023</c:v>
                </c:pt>
                <c:pt idx="96">
                  <c:v>2024</c:v>
                </c:pt>
              </c:numCache>
            </c:numRef>
          </c:cat>
          <c:val>
            <c:numRef>
              <c:f>Sheet1!$P$7:$DN$7</c:f>
              <c:numCache>
                <c:formatCode>General</c:formatCode>
                <c:ptCount val="103"/>
                <c:pt idx="0">
                  <c:v>6.059588919383188</c:v>
                </c:pt>
                <c:pt idx="1">
                  <c:v>6.4671529976208006</c:v>
                </c:pt>
                <c:pt idx="2">
                  <c:v>5.8803921568627402</c:v>
                </c:pt>
                <c:pt idx="3">
                  <c:v>5.8116581514166228</c:v>
                </c:pt>
                <c:pt idx="4">
                  <c:v>6.5848734275508463</c:v>
                </c:pt>
                <c:pt idx="5">
                  <c:v>7.5436468980385314</c:v>
                </c:pt>
                <c:pt idx="6">
                  <c:v>7.0651238404896048</c:v>
                </c:pt>
                <c:pt idx="7">
                  <c:v>7.3097559568453363</c:v>
                </c:pt>
                <c:pt idx="8">
                  <c:v>7.0932330249875264</c:v>
                </c:pt>
                <c:pt idx="9">
                  <c:v>7.3774874909285444</c:v>
                </c:pt>
                <c:pt idx="10">
                  <c:v>7.5314201729758139</c:v>
                </c:pt>
                <c:pt idx="11">
                  <c:v>8.9448223453746607</c:v>
                </c:pt>
                <c:pt idx="12">
                  <c:v>8.7162111847494117</c:v>
                </c:pt>
                <c:pt idx="13">
                  <c:v>8.5343330993979123</c:v>
                </c:pt>
                <c:pt idx="14">
                  <c:v>8.9946110113150439</c:v>
                </c:pt>
                <c:pt idx="15">
                  <c:v>8.7828074988568687</c:v>
                </c:pt>
                <c:pt idx="16">
                  <c:v>7.8518869299140306</c:v>
                </c:pt>
                <c:pt idx="17">
                  <c:v>7.5264005727581917</c:v>
                </c:pt>
                <c:pt idx="18">
                  <c:v>6.9150931599349974</c:v>
                </c:pt>
                <c:pt idx="19">
                  <c:v>6.8387096774193594</c:v>
                </c:pt>
                <c:pt idx="20">
                  <c:v>8.4746066449231279</c:v>
                </c:pt>
                <c:pt idx="21">
                  <c:v>8.4730991551800656</c:v>
                </c:pt>
                <c:pt idx="22">
                  <c:v>7.9554216022990119</c:v>
                </c:pt>
                <c:pt idx="23">
                  <c:v>8.1542727844978771</c:v>
                </c:pt>
                <c:pt idx="24">
                  <c:v>7.9934244323435593</c:v>
                </c:pt>
                <c:pt idx="25">
                  <c:v>7.4055167015501837</c:v>
                </c:pt>
                <c:pt idx="26">
                  <c:v>7.7171401386434582</c:v>
                </c:pt>
                <c:pt idx="27">
                  <c:v>7.6382467172184221</c:v>
                </c:pt>
                <c:pt idx="28">
                  <c:v>8.0756565059528782</c:v>
                </c:pt>
                <c:pt idx="29">
                  <c:v>8.5776113191843564</c:v>
                </c:pt>
                <c:pt idx="30">
                  <c:v>9.1662489557226507</c:v>
                </c:pt>
                <c:pt idx="31">
                  <c:v>9.7742216854535684</c:v>
                </c:pt>
                <c:pt idx="32">
                  <c:v>8.7327154681072301</c:v>
                </c:pt>
                <c:pt idx="33">
                  <c:v>9.1934611159389448</c:v>
                </c:pt>
                <c:pt idx="34">
                  <c:v>9.2699000129853175</c:v>
                </c:pt>
                <c:pt idx="35">
                  <c:v>8.9426162461461018</c:v>
                </c:pt>
                <c:pt idx="36">
                  <c:v>9.4218754955126371</c:v>
                </c:pt>
                <c:pt idx="37">
                  <c:v>10.122150224179734</c:v>
                </c:pt>
                <c:pt idx="38">
                  <c:v>9.7716016278116058</c:v>
                </c:pt>
                <c:pt idx="39">
                  <c:v>8.9643861293345708</c:v>
                </c:pt>
                <c:pt idx="40">
                  <c:v>9.7270184539900271</c:v>
                </c:pt>
                <c:pt idx="41">
                  <c:v>8.6818544183479389</c:v>
                </c:pt>
                <c:pt idx="42">
                  <c:v>8.5664870821598953</c:v>
                </c:pt>
                <c:pt idx="43">
                  <c:v>10.516021576027995</c:v>
                </c:pt>
                <c:pt idx="44">
                  <c:v>7.7366030053025838</c:v>
                </c:pt>
                <c:pt idx="45">
                  <c:v>7.4884377440086496</c:v>
                </c:pt>
                <c:pt idx="46">
                  <c:v>7.4510910738424485</c:v>
                </c:pt>
                <c:pt idx="47">
                  <c:v>7.4591738019261555</c:v>
                </c:pt>
                <c:pt idx="48">
                  <c:v>7.4513099930442905</c:v>
                </c:pt>
                <c:pt idx="49">
                  <c:v>7.3818840996719786</c:v>
                </c:pt>
                <c:pt idx="50">
                  <c:v>8.2594513816044639</c:v>
                </c:pt>
                <c:pt idx="51">
                  <c:v>10.639487377972756</c:v>
                </c:pt>
                <c:pt idx="52">
                  <c:v>10.213323459884379</c:v>
                </c:pt>
                <c:pt idx="53">
                  <c:v>10.019607566545801</c:v>
                </c:pt>
                <c:pt idx="54">
                  <c:v>10.037641154328725</c:v>
                </c:pt>
                <c:pt idx="55">
                  <c:v>8.4327687521603849</c:v>
                </c:pt>
                <c:pt idx="56">
                  <c:v>11.710784244595203</c:v>
                </c:pt>
                <c:pt idx="57">
                  <c:v>12.159311568389143</c:v>
                </c:pt>
                <c:pt idx="58">
                  <c:v>12.218151655491809</c:v>
                </c:pt>
                <c:pt idx="59">
                  <c:v>12.805181193985732</c:v>
                </c:pt>
                <c:pt idx="60">
                  <c:v>13.989211058664864</c:v>
                </c:pt>
                <c:pt idx="61">
                  <c:v>14.866222752180505</c:v>
                </c:pt>
                <c:pt idx="62">
                  <c:v>17.403538577932309</c:v>
                </c:pt>
                <c:pt idx="63">
                  <c:v>16.593462121506562</c:v>
                </c:pt>
                <c:pt idx="64">
                  <c:v>16.543918133188612</c:v>
                </c:pt>
                <c:pt idx="65">
                  <c:v>17.464163910044377</c:v>
                </c:pt>
                <c:pt idx="66">
                  <c:v>17.675169436152345</c:v>
                </c:pt>
                <c:pt idx="67">
                  <c:v>17.0151994287463</c:v>
                </c:pt>
                <c:pt idx="68">
                  <c:v>16.426596644490175</c:v>
                </c:pt>
                <c:pt idx="69">
                  <c:v>15.800814577702482</c:v>
                </c:pt>
                <c:pt idx="70">
                  <c:v>15.672699050176789</c:v>
                </c:pt>
                <c:pt idx="71">
                  <c:v>15.189451240575096</c:v>
                </c:pt>
                <c:pt idx="72">
                  <c:v>13.888527383079179</c:v>
                </c:pt>
                <c:pt idx="73">
                  <c:v>13.406426780194792</c:v>
                </c:pt>
                <c:pt idx="74">
                  <c:v>9.9442641854996481</c:v>
                </c:pt>
                <c:pt idx="75">
                  <c:v>8.8222874160999396</c:v>
                </c:pt>
                <c:pt idx="76">
                  <c:v>8.1542828000620915</c:v>
                </c:pt>
                <c:pt idx="77">
                  <c:v>7.6035583692626716</c:v>
                </c:pt>
                <c:pt idx="78">
                  <c:v>7.0659451926531602</c:v>
                </c:pt>
                <c:pt idx="79">
                  <c:v>6.7191177752593489</c:v>
                </c:pt>
                <c:pt idx="80">
                  <c:v>7.3776091081593904</c:v>
                </c:pt>
                <c:pt idx="81">
                  <c:v>6.8428468480096427</c:v>
                </c:pt>
                <c:pt idx="82">
                  <c:v>5.7500399382288663</c:v>
                </c:pt>
                <c:pt idx="83">
                  <c:v>5.1848404942867319</c:v>
                </c:pt>
                <c:pt idx="84">
                  <c:v>4.2924518501589404</c:v>
                </c:pt>
                <c:pt idx="85">
                  <c:v>3.3477666128418377</c:v>
                </c:pt>
                <c:pt idx="86">
                  <c:v>3.2730413680346402</c:v>
                </c:pt>
                <c:pt idx="87">
                  <c:v>2.1628355816067</c:v>
                </c:pt>
                <c:pt idx="88">
                  <c:v>2.0634936906092065</c:v>
                </c:pt>
                <c:pt idx="89">
                  <c:v>1.7762043395786407</c:v>
                </c:pt>
                <c:pt idx="90">
                  <c:v>0.82469823772868267</c:v>
                </c:pt>
                <c:pt idx="91">
                  <c:v>0.45030326546449828</c:v>
                </c:pt>
                <c:pt idx="92">
                  <c:v>-0.48470650011613259</c:v>
                </c:pt>
                <c:pt idx="93">
                  <c:v>-1.1768258921830039</c:v>
                </c:pt>
                <c:pt idx="94">
                  <c:v>-0.89934940681209241</c:v>
                </c:pt>
                <c:pt idx="95">
                  <c:v>-1.0007963114069014</c:v>
                </c:pt>
                <c:pt idx="96">
                  <c:v>-1.9921509253464365E-3</c:v>
                </c:pt>
                <c:pt idx="97">
                  <c:v>0.20102702917878901</c:v>
                </c:pt>
                <c:pt idx="98">
                  <c:v>0.94292655727257113</c:v>
                </c:pt>
                <c:pt idx="99">
                  <c:v>2.2459893048128379</c:v>
                </c:pt>
                <c:pt idx="100">
                  <c:v>3.1948657172127071</c:v>
                </c:pt>
                <c:pt idx="101">
                  <c:v>3.8322768408882553</c:v>
                </c:pt>
                <c:pt idx="102">
                  <c:v>5.1245587493696547</c:v>
                </c:pt>
              </c:numCache>
            </c:numRef>
          </c:val>
          <c:smooth val="1"/>
          <c:extLst>
            <c:ext xmlns:c16="http://schemas.microsoft.com/office/drawing/2014/chart" uri="{C3380CC4-5D6E-409C-BE32-E72D297353CC}">
              <c16:uniqueId val="{00000001-BDA7-4362-8FEA-447A4E75B524}"/>
            </c:ext>
          </c:extLst>
        </c:ser>
        <c:dLbls>
          <c:showLegendKey val="0"/>
          <c:showVal val="0"/>
          <c:showCatName val="0"/>
          <c:showSerName val="0"/>
          <c:showPercent val="0"/>
          <c:showBubbleSize val="0"/>
        </c:dLbls>
        <c:marker val="1"/>
        <c:smooth val="0"/>
        <c:axId val="550711248"/>
        <c:axId val="550706328"/>
      </c:lineChart>
      <c:catAx>
        <c:axId val="5469211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r>
                  <a:rPr lang="lv-LV"/>
                  <a:t>miljoni eiro</a:t>
                </a:r>
              </a:p>
            </c:rich>
          </c:tx>
          <c:layout>
            <c:manualLayout>
              <c:xMode val="edge"/>
              <c:yMode val="edge"/>
              <c:x val="0.11831769626255363"/>
              <c:y val="1.968256147939627E-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title>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46915872"/>
        <c:crosses val="autoZero"/>
        <c:auto val="1"/>
        <c:lblAlgn val="ctr"/>
        <c:lblOffset val="0"/>
        <c:tickLblSkip val="1"/>
        <c:tickMarkSkip val="12"/>
        <c:noMultiLvlLbl val="0"/>
      </c:catAx>
      <c:valAx>
        <c:axId val="546915872"/>
        <c:scaling>
          <c:orientation val="minMax"/>
          <c:max val="12000"/>
          <c:min val="-2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46921120"/>
        <c:crosses val="autoZero"/>
        <c:crossBetween val="between"/>
        <c:majorUnit val="2000"/>
      </c:valAx>
      <c:valAx>
        <c:axId val="550706328"/>
        <c:scaling>
          <c:orientation val="minMax"/>
          <c:min val="-3"/>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50711248"/>
        <c:crosses val="max"/>
        <c:crossBetween val="between"/>
        <c:majorUnit val="3"/>
      </c:valAx>
      <c:catAx>
        <c:axId val="550711248"/>
        <c:scaling>
          <c:orientation val="minMax"/>
        </c:scaling>
        <c:delete val="1"/>
        <c:axPos val="b"/>
        <c:title>
          <c:tx>
            <c:rich>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r>
                  <a:rPr lang="lv-LV"/>
                  <a:t>%</a:t>
                </a:r>
              </a:p>
            </c:rich>
          </c:tx>
          <c:layout>
            <c:manualLayout>
              <c:xMode val="edge"/>
              <c:yMode val="edge"/>
              <c:x val="0.89233277391512822"/>
              <c:y val="6.5104485956557758E-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title>
        <c:numFmt formatCode="General" sourceLinked="1"/>
        <c:majorTickMark val="out"/>
        <c:minorTickMark val="none"/>
        <c:tickLblPos val="nextTo"/>
        <c:crossAx val="550706328"/>
        <c:crosses val="autoZero"/>
        <c:auto val="1"/>
        <c:lblAlgn val="ctr"/>
        <c:lblOffset val="100"/>
        <c:noMultiLvlLbl val="0"/>
      </c:catAx>
      <c:spPr>
        <a:noFill/>
        <a:ln>
          <a:noFill/>
        </a:ln>
        <a:effectLst/>
      </c:spPr>
    </c:plotArea>
    <c:legend>
      <c:legendPos val="b"/>
      <c:layout>
        <c:manualLayout>
          <c:xMode val="edge"/>
          <c:yMode val="edge"/>
          <c:x val="3.5187298542848772E-2"/>
          <c:y val="0.89016591222296881"/>
          <c:w val="0.90797304137030821"/>
          <c:h val="0.1046437113071738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userShapes r:id="rId5"/>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346896560877158E-2"/>
          <c:y val="4.6491969568892642E-2"/>
          <c:w val="0.92920571600834989"/>
          <c:h val="0.66835068660544483"/>
        </c:manualLayout>
      </c:layout>
      <c:barChart>
        <c:barDir val="col"/>
        <c:grouping val="clustered"/>
        <c:varyColors val="0"/>
        <c:ser>
          <c:idx val="0"/>
          <c:order val="0"/>
          <c:spPr>
            <a:solidFill>
              <a:srgbClr val="5B9BD5"/>
            </a:solidFill>
            <a:ln>
              <a:noFill/>
            </a:ln>
            <a:effectLst/>
          </c:spPr>
          <c:invertIfNegative val="0"/>
          <c:dPt>
            <c:idx val="1"/>
            <c:invertIfNegative val="0"/>
            <c:bubble3D val="0"/>
            <c:extLst>
              <c:ext xmlns:c16="http://schemas.microsoft.com/office/drawing/2014/chart" uri="{C3380CC4-5D6E-409C-BE32-E72D297353CC}">
                <c16:uniqueId val="{00000000-BC78-4EBB-A63D-E94C2038648B}"/>
              </c:ext>
            </c:extLst>
          </c:dPt>
          <c:dPt>
            <c:idx val="2"/>
            <c:invertIfNegative val="0"/>
            <c:bubble3D val="0"/>
            <c:extLst>
              <c:ext xmlns:c16="http://schemas.microsoft.com/office/drawing/2014/chart" uri="{C3380CC4-5D6E-409C-BE32-E72D297353CC}">
                <c16:uniqueId val="{00000001-BC78-4EBB-A63D-E94C2038648B}"/>
              </c:ext>
            </c:extLst>
          </c:dPt>
          <c:dPt>
            <c:idx val="3"/>
            <c:invertIfNegative val="0"/>
            <c:bubble3D val="0"/>
            <c:extLst>
              <c:ext xmlns:c16="http://schemas.microsoft.com/office/drawing/2014/chart" uri="{C3380CC4-5D6E-409C-BE32-E72D297353CC}">
                <c16:uniqueId val="{00000002-BC78-4EBB-A63D-E94C2038648B}"/>
              </c:ext>
            </c:extLst>
          </c:dPt>
          <c:dPt>
            <c:idx val="4"/>
            <c:invertIfNegative val="0"/>
            <c:bubble3D val="0"/>
            <c:extLst>
              <c:ext xmlns:c16="http://schemas.microsoft.com/office/drawing/2014/chart" uri="{C3380CC4-5D6E-409C-BE32-E72D297353CC}">
                <c16:uniqueId val="{00000003-BC78-4EBB-A63D-E94C2038648B}"/>
              </c:ext>
            </c:extLst>
          </c:dPt>
          <c:dPt>
            <c:idx val="7"/>
            <c:invertIfNegative val="0"/>
            <c:bubble3D val="0"/>
            <c:extLst>
              <c:ext xmlns:c16="http://schemas.microsoft.com/office/drawing/2014/chart" uri="{C3380CC4-5D6E-409C-BE32-E72D297353CC}">
                <c16:uniqueId val="{00000004-BC78-4EBB-A63D-E94C2038648B}"/>
              </c:ext>
            </c:extLst>
          </c:dPt>
          <c:dPt>
            <c:idx val="9"/>
            <c:invertIfNegative val="0"/>
            <c:bubble3D val="0"/>
            <c:extLst>
              <c:ext xmlns:c16="http://schemas.microsoft.com/office/drawing/2014/chart" uri="{C3380CC4-5D6E-409C-BE32-E72D297353CC}">
                <c16:uniqueId val="{00000005-BC78-4EBB-A63D-E94C2038648B}"/>
              </c:ext>
            </c:extLst>
          </c:dPt>
          <c:dPt>
            <c:idx val="10"/>
            <c:invertIfNegative val="0"/>
            <c:bubble3D val="0"/>
            <c:extLst>
              <c:ext xmlns:c16="http://schemas.microsoft.com/office/drawing/2014/chart" uri="{C3380CC4-5D6E-409C-BE32-E72D297353CC}">
                <c16:uniqueId val="{00000006-BC78-4EBB-A63D-E94C2038648B}"/>
              </c:ext>
            </c:extLst>
          </c:dPt>
          <c:dPt>
            <c:idx val="11"/>
            <c:invertIfNegative val="0"/>
            <c:bubble3D val="0"/>
            <c:extLst>
              <c:ext xmlns:c16="http://schemas.microsoft.com/office/drawing/2014/chart" uri="{C3380CC4-5D6E-409C-BE32-E72D297353CC}">
                <c16:uniqueId val="{00000007-BC78-4EBB-A63D-E94C2038648B}"/>
              </c:ext>
            </c:extLst>
          </c:dPt>
          <c:dPt>
            <c:idx val="12"/>
            <c:invertIfNegative val="0"/>
            <c:bubble3D val="0"/>
            <c:extLst>
              <c:ext xmlns:c16="http://schemas.microsoft.com/office/drawing/2014/chart" uri="{C3380CC4-5D6E-409C-BE32-E72D297353CC}">
                <c16:uniqueId val="{00000008-BC78-4EBB-A63D-E94C2038648B}"/>
              </c:ext>
            </c:extLst>
          </c:dPt>
          <c:dPt>
            <c:idx val="14"/>
            <c:invertIfNegative val="0"/>
            <c:bubble3D val="0"/>
            <c:extLst>
              <c:ext xmlns:c16="http://schemas.microsoft.com/office/drawing/2014/chart" uri="{C3380CC4-5D6E-409C-BE32-E72D297353CC}">
                <c16:uniqueId val="{00000009-BC78-4EBB-A63D-E94C2038648B}"/>
              </c:ext>
            </c:extLst>
          </c:dPt>
          <c:dPt>
            <c:idx val="15"/>
            <c:invertIfNegative val="0"/>
            <c:bubble3D val="0"/>
            <c:extLst>
              <c:ext xmlns:c16="http://schemas.microsoft.com/office/drawing/2014/chart" uri="{C3380CC4-5D6E-409C-BE32-E72D297353CC}">
                <c16:uniqueId val="{0000000A-BC78-4EBB-A63D-E94C2038648B}"/>
              </c:ext>
            </c:extLst>
          </c:dPt>
          <c:dPt>
            <c:idx val="18"/>
            <c:invertIfNegative val="0"/>
            <c:bubble3D val="0"/>
            <c:extLst>
              <c:ext xmlns:c16="http://schemas.microsoft.com/office/drawing/2014/chart" uri="{C3380CC4-5D6E-409C-BE32-E72D297353CC}">
                <c16:uniqueId val="{0000000B-BC78-4EBB-A63D-E94C2038648B}"/>
              </c:ext>
            </c:extLst>
          </c:dPt>
          <c:dPt>
            <c:idx val="22"/>
            <c:invertIfNegative val="0"/>
            <c:bubble3D val="0"/>
            <c:spPr>
              <a:solidFill>
                <a:srgbClr val="FF6969"/>
              </a:solidFill>
              <a:ln>
                <a:noFill/>
              </a:ln>
              <a:effectLst/>
            </c:spPr>
            <c:extLst>
              <c:ext xmlns:c16="http://schemas.microsoft.com/office/drawing/2014/chart" uri="{C3380CC4-5D6E-409C-BE32-E72D297353CC}">
                <c16:uniqueId val="{0000000D-BC78-4EBB-A63D-E94C2038648B}"/>
              </c:ext>
            </c:extLst>
          </c:dPt>
          <c:dPt>
            <c:idx val="23"/>
            <c:invertIfNegative val="0"/>
            <c:bubble3D val="0"/>
            <c:extLst>
              <c:ext xmlns:c16="http://schemas.microsoft.com/office/drawing/2014/chart" uri="{C3380CC4-5D6E-409C-BE32-E72D297353CC}">
                <c16:uniqueId val="{0000000E-BC78-4EBB-A63D-E94C2038648B}"/>
              </c:ext>
            </c:extLst>
          </c:dPt>
          <c:dLbls>
            <c:dLbl>
              <c:idx val="1"/>
              <c:layout>
                <c:manualLayout>
                  <c:x val="6.6217192391042623E-2"/>
                  <c:y val="0.8228522703048391"/>
                </c:manualLayout>
              </c:layout>
              <c:tx>
                <c:rich>
                  <a:bodyPr wrap="square" lIns="38100" tIns="19050" rIns="38100" bIns="19050" anchor="ctr" anchorCtr="0">
                    <a:spAutoFit/>
                  </a:bodyPr>
                  <a:lstStyle/>
                  <a:p>
                    <a:pPr algn="l">
                      <a:defRPr sz="900">
                        <a:latin typeface="Times New Roman" panose="02020603050405020304" pitchFamily="18" charset="0"/>
                        <a:cs typeface="Times New Roman" panose="02020603050405020304" pitchFamily="18" charset="0"/>
                      </a:defRPr>
                    </a:pPr>
                    <a:r>
                      <a:rPr lang="en-US" sz="900">
                        <a:latin typeface="Times New Roman" panose="02020603050405020304" pitchFamily="18" charset="0"/>
                        <a:cs typeface="Times New Roman" panose="02020603050405020304" pitchFamily="18" charset="0"/>
                      </a:rPr>
                      <a:t>Nav</a:t>
                    </a:r>
                    <a:r>
                      <a:rPr lang="en-US" sz="900" baseline="0">
                        <a:latin typeface="Times New Roman" panose="02020603050405020304" pitchFamily="18" charset="0"/>
                        <a:cs typeface="Times New Roman" panose="02020603050405020304" pitchFamily="18" charset="0"/>
                      </a:rPr>
                      <a:t> datu par Bulgāriju, Rumāniju un Maltu</a:t>
                    </a:r>
                    <a:endParaRPr lang="en-US" sz="90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64768832321194625"/>
                      <c:h val="6.4826430910589386E-2"/>
                    </c:manualLayout>
                  </c15:layout>
                  <c15:showDataLabelsRange val="0"/>
                </c:ext>
                <c:ext xmlns:c16="http://schemas.microsoft.com/office/drawing/2014/chart" uri="{C3380CC4-5D6E-409C-BE32-E72D297353CC}">
                  <c16:uniqueId val="{00000000-BC78-4EBB-A63D-E94C2038648B}"/>
                </c:ext>
              </c:extLst>
            </c:dLbl>
            <c:spPr>
              <a:noFill/>
              <a:ln>
                <a:noFill/>
              </a:ln>
              <a:effectLst/>
            </c:spPr>
            <c:txPr>
              <a:bodyPr wrap="square" lIns="38100" tIns="19050" rIns="38100" bIns="19050" anchor="ctr">
                <a:spAutoFit/>
              </a:bodyPr>
              <a:lstStyle/>
              <a:p>
                <a:pPr>
                  <a:defRPr sz="900">
                    <a:latin typeface="Times New Roman" panose="02020603050405020304" pitchFamily="18" charset="0"/>
                    <a:cs typeface="Times New Roman" panose="02020603050405020304" pitchFamily="18" charset="0"/>
                  </a:defRPr>
                </a:pPr>
                <a:endParaRPr lang="lv-LV"/>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Sheet1!$F$6:$F$29</c:f>
              <c:strCache>
                <c:ptCount val="24"/>
                <c:pt idx="0">
                  <c:v>Luksemburga</c:v>
                </c:pt>
                <c:pt idx="1">
                  <c:v>Vācija</c:v>
                </c:pt>
                <c:pt idx="2">
                  <c:v>Austrija</c:v>
                </c:pt>
                <c:pt idx="3">
                  <c:v>Nīderlande</c:v>
                </c:pt>
                <c:pt idx="4">
                  <c:v>Beļģija</c:v>
                </c:pt>
                <c:pt idx="5">
                  <c:v>Francija</c:v>
                </c:pt>
                <c:pt idx="6">
                  <c:v>Zviedrija</c:v>
                </c:pt>
                <c:pt idx="7">
                  <c:v>Somija</c:v>
                </c:pt>
                <c:pt idx="8">
                  <c:v>Dānija</c:v>
                </c:pt>
                <c:pt idx="9">
                  <c:v>Itālija</c:v>
                </c:pt>
                <c:pt idx="10">
                  <c:v>Čehija</c:v>
                </c:pt>
                <c:pt idx="11">
                  <c:v>Kipra</c:v>
                </c:pt>
                <c:pt idx="12">
                  <c:v>Īrija</c:v>
                </c:pt>
                <c:pt idx="13">
                  <c:v>Lietuva</c:v>
                </c:pt>
                <c:pt idx="14">
                  <c:v>Slovēnija</c:v>
                </c:pt>
                <c:pt idx="15">
                  <c:v>Portugāle</c:v>
                </c:pt>
                <c:pt idx="16">
                  <c:v>Spānija</c:v>
                </c:pt>
                <c:pt idx="17">
                  <c:v>Polija</c:v>
                </c:pt>
                <c:pt idx="18">
                  <c:v>Igaunija</c:v>
                </c:pt>
                <c:pt idx="19">
                  <c:v>Ungārija</c:v>
                </c:pt>
                <c:pt idx="20">
                  <c:v>Slovākija</c:v>
                </c:pt>
                <c:pt idx="21">
                  <c:v>Horvātija</c:v>
                </c:pt>
                <c:pt idx="22">
                  <c:v>Latvija</c:v>
                </c:pt>
                <c:pt idx="23">
                  <c:v>Grieķija</c:v>
                </c:pt>
              </c:strCache>
            </c:strRef>
          </c:cat>
          <c:val>
            <c:numRef>
              <c:f>Sheet1!$G$6:$G$29</c:f>
              <c:numCache>
                <c:formatCode>General</c:formatCode>
                <c:ptCount val="24"/>
                <c:pt idx="0">
                  <c:v>143</c:v>
                </c:pt>
                <c:pt idx="1">
                  <c:v>124</c:v>
                </c:pt>
                <c:pt idx="2">
                  <c:v>120</c:v>
                </c:pt>
                <c:pt idx="3">
                  <c:v>117</c:v>
                </c:pt>
                <c:pt idx="4">
                  <c:v>115</c:v>
                </c:pt>
                <c:pt idx="5">
                  <c:v>112</c:v>
                </c:pt>
                <c:pt idx="6">
                  <c:v>106</c:v>
                </c:pt>
                <c:pt idx="7">
                  <c:v>105</c:v>
                </c:pt>
                <c:pt idx="8">
                  <c:v>102</c:v>
                </c:pt>
                <c:pt idx="9">
                  <c:v>97</c:v>
                </c:pt>
                <c:pt idx="10">
                  <c:v>92</c:v>
                </c:pt>
                <c:pt idx="11">
                  <c:v>92</c:v>
                </c:pt>
                <c:pt idx="12">
                  <c:v>90</c:v>
                </c:pt>
                <c:pt idx="13">
                  <c:v>88</c:v>
                </c:pt>
                <c:pt idx="14">
                  <c:v>87</c:v>
                </c:pt>
                <c:pt idx="15">
                  <c:v>83</c:v>
                </c:pt>
                <c:pt idx="16">
                  <c:v>82</c:v>
                </c:pt>
                <c:pt idx="17">
                  <c:v>77</c:v>
                </c:pt>
                <c:pt idx="18">
                  <c:v>72</c:v>
                </c:pt>
                <c:pt idx="19">
                  <c:v>72</c:v>
                </c:pt>
                <c:pt idx="20">
                  <c:v>72</c:v>
                </c:pt>
                <c:pt idx="21">
                  <c:v>70</c:v>
                </c:pt>
                <c:pt idx="22">
                  <c:v>70</c:v>
                </c:pt>
                <c:pt idx="23">
                  <c:v>67</c:v>
                </c:pt>
              </c:numCache>
            </c:numRef>
          </c:val>
          <c:extLst>
            <c:ext xmlns:c16="http://schemas.microsoft.com/office/drawing/2014/chart" uri="{C3380CC4-5D6E-409C-BE32-E72D297353CC}">
              <c16:uniqueId val="{0000000F-BC78-4EBB-A63D-E94C2038648B}"/>
            </c:ext>
          </c:extLst>
        </c:ser>
        <c:dLbls>
          <c:showLegendKey val="0"/>
          <c:showVal val="0"/>
          <c:showCatName val="0"/>
          <c:showSerName val="0"/>
          <c:showPercent val="0"/>
          <c:showBubbleSize val="0"/>
        </c:dLbls>
        <c:gapWidth val="50"/>
        <c:overlap val="-27"/>
        <c:axId val="567518600"/>
        <c:axId val="1"/>
      </c:barChart>
      <c:lineChart>
        <c:grouping val="standard"/>
        <c:varyColors val="0"/>
        <c:ser>
          <c:idx val="1"/>
          <c:order val="1"/>
          <c:spPr>
            <a:ln w="28575" cap="rnd">
              <a:solidFill>
                <a:sysClr val="windowText" lastClr="000000"/>
              </a:solidFill>
              <a:prstDash val="sysDash"/>
              <a:round/>
            </a:ln>
            <a:effectLst/>
          </c:spPr>
          <c:marker>
            <c:symbol val="none"/>
          </c:marker>
          <c:cat>
            <c:strRef>
              <c:f>Sheet1!$F$6:$F$29</c:f>
              <c:strCache>
                <c:ptCount val="24"/>
                <c:pt idx="0">
                  <c:v>Luksemburga</c:v>
                </c:pt>
                <c:pt idx="1">
                  <c:v>Vācija</c:v>
                </c:pt>
                <c:pt idx="2">
                  <c:v>Austrija</c:v>
                </c:pt>
                <c:pt idx="3">
                  <c:v>Nīderlande</c:v>
                </c:pt>
                <c:pt idx="4">
                  <c:v>Beļģija</c:v>
                </c:pt>
                <c:pt idx="5">
                  <c:v>Francija</c:v>
                </c:pt>
                <c:pt idx="6">
                  <c:v>Zviedrija</c:v>
                </c:pt>
                <c:pt idx="7">
                  <c:v>Somija</c:v>
                </c:pt>
                <c:pt idx="8">
                  <c:v>Dānija</c:v>
                </c:pt>
                <c:pt idx="9">
                  <c:v>Itālija</c:v>
                </c:pt>
                <c:pt idx="10">
                  <c:v>Čehija</c:v>
                </c:pt>
                <c:pt idx="11">
                  <c:v>Kipra</c:v>
                </c:pt>
                <c:pt idx="12">
                  <c:v>Īrija</c:v>
                </c:pt>
                <c:pt idx="13">
                  <c:v>Lietuva</c:v>
                </c:pt>
                <c:pt idx="14">
                  <c:v>Slovēnija</c:v>
                </c:pt>
                <c:pt idx="15">
                  <c:v>Portugāle</c:v>
                </c:pt>
                <c:pt idx="16">
                  <c:v>Spānija</c:v>
                </c:pt>
                <c:pt idx="17">
                  <c:v>Polija</c:v>
                </c:pt>
                <c:pt idx="18">
                  <c:v>Igaunija</c:v>
                </c:pt>
                <c:pt idx="19">
                  <c:v>Ungārija</c:v>
                </c:pt>
                <c:pt idx="20">
                  <c:v>Slovākija</c:v>
                </c:pt>
                <c:pt idx="21">
                  <c:v>Horvātija</c:v>
                </c:pt>
                <c:pt idx="22">
                  <c:v>Latvija</c:v>
                </c:pt>
                <c:pt idx="23">
                  <c:v>Grieķija</c:v>
                </c:pt>
              </c:strCache>
            </c:strRef>
          </c:cat>
          <c:val>
            <c:numRef>
              <c:f>Sheet1!$H$6:$H$29</c:f>
              <c:numCache>
                <c:formatCode>General</c:formatCode>
                <c:ptCount val="24"/>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pt idx="18">
                  <c:v>100</c:v>
                </c:pt>
                <c:pt idx="19">
                  <c:v>100</c:v>
                </c:pt>
                <c:pt idx="20">
                  <c:v>100</c:v>
                </c:pt>
                <c:pt idx="21">
                  <c:v>100</c:v>
                </c:pt>
                <c:pt idx="22">
                  <c:v>100</c:v>
                </c:pt>
                <c:pt idx="23">
                  <c:v>100</c:v>
                </c:pt>
              </c:numCache>
            </c:numRef>
          </c:val>
          <c:smooth val="0"/>
          <c:extLst>
            <c:ext xmlns:c16="http://schemas.microsoft.com/office/drawing/2014/chart" uri="{C3380CC4-5D6E-409C-BE32-E72D297353CC}">
              <c16:uniqueId val="{00000010-BC78-4EBB-A63D-E94C2038648B}"/>
            </c:ext>
          </c:extLst>
        </c:ser>
        <c:dLbls>
          <c:showLegendKey val="0"/>
          <c:showVal val="0"/>
          <c:showCatName val="0"/>
          <c:showSerName val="0"/>
          <c:showPercent val="0"/>
          <c:showBubbleSize val="0"/>
        </c:dLbls>
        <c:marker val="1"/>
        <c:smooth val="0"/>
        <c:axId val="567518600"/>
        <c:axId val="1"/>
      </c:lineChart>
      <c:catAx>
        <c:axId val="5675186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67518600"/>
        <c:crosses val="autoZero"/>
        <c:crossBetween val="between"/>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2">
    <c:autoUpdate val="0"/>
  </c:externalData>
  <c:userShapes r:id="rId3"/>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1821656145673"/>
          <c:y val="3.4461152882205512E-2"/>
          <c:w val="0.79624255537462918"/>
          <c:h val="0.537895427545241"/>
        </c:manualLayout>
      </c:layout>
      <c:barChart>
        <c:barDir val="col"/>
        <c:grouping val="stacked"/>
        <c:varyColors val="0"/>
        <c:ser>
          <c:idx val="0"/>
          <c:order val="0"/>
          <c:tx>
            <c:strRef>
              <c:f>Pakalpojumu_eksports_Y!$N$7</c:f>
              <c:strCache>
                <c:ptCount val="1"/>
                <c:pt idx="0">
                  <c:v>Transporta pakalpojumi</c:v>
                </c:pt>
              </c:strCache>
            </c:strRef>
          </c:tx>
          <c:spPr>
            <a:solidFill>
              <a:schemeClr val="accent5">
                <a:lumMod val="60000"/>
                <a:lumOff val="40000"/>
              </a:schemeClr>
            </a:solidFill>
            <a:ln>
              <a:noFill/>
            </a:ln>
            <a:effectLst/>
          </c:spPr>
          <c:invertIfNegative val="0"/>
          <c:dLbls>
            <c:dLbl>
              <c:idx val="0"/>
              <c:tx>
                <c:rich>
                  <a:bodyPr/>
                  <a:lstStyle/>
                  <a:p>
                    <a:fld id="{5F474D81-494A-4769-8BBD-FA3D2341CF87}"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AACB-485C-B29A-66A8E5258197}"/>
                </c:ext>
              </c:extLst>
            </c:dLbl>
            <c:dLbl>
              <c:idx val="1"/>
              <c:tx>
                <c:rich>
                  <a:bodyPr/>
                  <a:lstStyle/>
                  <a:p>
                    <a:fld id="{09815ECA-6B07-4132-82C7-0F2E61595267}"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AACB-485C-B29A-66A8E5258197}"/>
                </c:ext>
              </c:extLst>
            </c:dLbl>
            <c:dLbl>
              <c:idx val="2"/>
              <c:tx>
                <c:rich>
                  <a:bodyPr/>
                  <a:lstStyle/>
                  <a:p>
                    <a:fld id="{1DE9B56C-D4AC-41AE-B67A-2F11B709D19F}"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AACB-485C-B29A-66A8E5258197}"/>
                </c:ext>
              </c:extLst>
            </c:dLbl>
            <c:dLbl>
              <c:idx val="3"/>
              <c:tx>
                <c:rich>
                  <a:bodyPr/>
                  <a:lstStyle/>
                  <a:p>
                    <a:fld id="{BA4D8AFE-F813-4AC9-87C8-1C34769B035F}"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AACB-485C-B29A-66A8E5258197}"/>
                </c:ext>
              </c:extLst>
            </c:dLbl>
            <c:dLbl>
              <c:idx val="4"/>
              <c:tx>
                <c:rich>
                  <a:bodyPr/>
                  <a:lstStyle/>
                  <a:p>
                    <a:fld id="{62E0D207-4130-4B17-B48F-866BD6614799}"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AACB-485C-B29A-66A8E5258197}"/>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Pakalpojumu_eksports_Y!$S$6:$W$6</c:f>
              <c:numCache>
                <c:formatCode>General</c:formatCode>
                <c:ptCount val="5"/>
                <c:pt idx="0">
                  <c:v>2019</c:v>
                </c:pt>
                <c:pt idx="1">
                  <c:v>2020</c:v>
                </c:pt>
                <c:pt idx="2">
                  <c:v>2021</c:v>
                </c:pt>
                <c:pt idx="3">
                  <c:v>2022</c:v>
                </c:pt>
                <c:pt idx="4">
                  <c:v>2023</c:v>
                </c:pt>
              </c:numCache>
            </c:numRef>
          </c:cat>
          <c:val>
            <c:numRef>
              <c:f>Pakalpojumu_eksports_Y!$S$7:$W$7</c:f>
              <c:numCache>
                <c:formatCode>0</c:formatCode>
                <c:ptCount val="5"/>
                <c:pt idx="0">
                  <c:v>2144</c:v>
                </c:pt>
                <c:pt idx="1">
                  <c:v>1432</c:v>
                </c:pt>
                <c:pt idx="2">
                  <c:v>1599</c:v>
                </c:pt>
                <c:pt idx="3">
                  <c:v>2333</c:v>
                </c:pt>
                <c:pt idx="4">
                  <c:v>2384</c:v>
                </c:pt>
              </c:numCache>
            </c:numRef>
          </c:val>
          <c:extLst>
            <c:ext xmlns:c15="http://schemas.microsoft.com/office/drawing/2012/chart" uri="{02D57815-91ED-43cb-92C2-25804820EDAC}">
              <c15:datalabelsRange>
                <c15:f>Pakalpojumu_eksports_Y!$S$16:$W$16</c15:f>
                <c15:dlblRangeCache>
                  <c:ptCount val="5"/>
                  <c:pt idx="0">
                    <c:v>37,4</c:v>
                  </c:pt>
                  <c:pt idx="1">
                    <c:v>29,5</c:v>
                  </c:pt>
                  <c:pt idx="2">
                    <c:v>29,9</c:v>
                  </c:pt>
                  <c:pt idx="3">
                    <c:v>32,1</c:v>
                  </c:pt>
                  <c:pt idx="4">
                    <c:v>31,7</c:v>
                  </c:pt>
                </c15:dlblRangeCache>
              </c15:datalabelsRange>
            </c:ext>
            <c:ext xmlns:c16="http://schemas.microsoft.com/office/drawing/2014/chart" uri="{C3380CC4-5D6E-409C-BE32-E72D297353CC}">
              <c16:uniqueId val="{00000005-AACB-485C-B29A-66A8E5258197}"/>
            </c:ext>
          </c:extLst>
        </c:ser>
        <c:ser>
          <c:idx val="1"/>
          <c:order val="1"/>
          <c:tx>
            <c:strRef>
              <c:f>Pakalpojumu_eksports_Y!$N$8</c:f>
              <c:strCache>
                <c:ptCount val="1"/>
                <c:pt idx="0">
                  <c:v>Braucieni</c:v>
                </c:pt>
              </c:strCache>
            </c:strRef>
          </c:tx>
          <c:spPr>
            <a:solidFill>
              <a:schemeClr val="accent2">
                <a:lumMod val="60000"/>
                <a:lumOff val="40000"/>
              </a:schemeClr>
            </a:solidFill>
            <a:ln>
              <a:noFill/>
            </a:ln>
            <a:effectLst/>
          </c:spPr>
          <c:invertIfNegative val="0"/>
          <c:dLbls>
            <c:dLbl>
              <c:idx val="0"/>
              <c:tx>
                <c:rich>
                  <a:bodyPr/>
                  <a:lstStyle/>
                  <a:p>
                    <a:fld id="{06130928-802A-4765-9412-929C77A03541}"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AACB-485C-B29A-66A8E5258197}"/>
                </c:ext>
              </c:extLst>
            </c:dLbl>
            <c:dLbl>
              <c:idx val="1"/>
              <c:tx>
                <c:rich>
                  <a:bodyPr/>
                  <a:lstStyle/>
                  <a:p>
                    <a:fld id="{8607B16F-8621-48E3-A53B-2D6255C90401}"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AACB-485C-B29A-66A8E5258197}"/>
                </c:ext>
              </c:extLst>
            </c:dLbl>
            <c:dLbl>
              <c:idx val="2"/>
              <c:tx>
                <c:rich>
                  <a:bodyPr/>
                  <a:lstStyle/>
                  <a:p>
                    <a:fld id="{246835A5-3374-4651-8186-0028E398EEF2}"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AACB-485C-B29A-66A8E5258197}"/>
                </c:ext>
              </c:extLst>
            </c:dLbl>
            <c:dLbl>
              <c:idx val="3"/>
              <c:tx>
                <c:rich>
                  <a:bodyPr/>
                  <a:lstStyle/>
                  <a:p>
                    <a:fld id="{A61C2257-220B-4F64-98A1-AB83F5496837}"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AACB-485C-B29A-66A8E5258197}"/>
                </c:ext>
              </c:extLst>
            </c:dLbl>
            <c:dLbl>
              <c:idx val="4"/>
              <c:tx>
                <c:rich>
                  <a:bodyPr/>
                  <a:lstStyle/>
                  <a:p>
                    <a:fld id="{CFD3F805-1177-423F-A851-AC2E82E7AC91}"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AACB-485C-B29A-66A8E5258197}"/>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Pakalpojumu_eksports_Y!$S$6:$W$6</c:f>
              <c:numCache>
                <c:formatCode>General</c:formatCode>
                <c:ptCount val="5"/>
                <c:pt idx="0">
                  <c:v>2019</c:v>
                </c:pt>
                <c:pt idx="1">
                  <c:v>2020</c:v>
                </c:pt>
                <c:pt idx="2">
                  <c:v>2021</c:v>
                </c:pt>
                <c:pt idx="3">
                  <c:v>2022</c:v>
                </c:pt>
                <c:pt idx="4">
                  <c:v>2023</c:v>
                </c:pt>
              </c:numCache>
            </c:numRef>
          </c:cat>
          <c:val>
            <c:numRef>
              <c:f>Pakalpojumu_eksports_Y!$S$8:$W$8</c:f>
              <c:numCache>
                <c:formatCode>0</c:formatCode>
                <c:ptCount val="5"/>
                <c:pt idx="0">
                  <c:v>907</c:v>
                </c:pt>
                <c:pt idx="1">
                  <c:v>696</c:v>
                </c:pt>
                <c:pt idx="2">
                  <c:v>626</c:v>
                </c:pt>
                <c:pt idx="3">
                  <c:v>1028</c:v>
                </c:pt>
                <c:pt idx="4">
                  <c:v>1180</c:v>
                </c:pt>
              </c:numCache>
            </c:numRef>
          </c:val>
          <c:extLst>
            <c:ext xmlns:c15="http://schemas.microsoft.com/office/drawing/2012/chart" uri="{02D57815-91ED-43cb-92C2-25804820EDAC}">
              <c15:datalabelsRange>
                <c15:f>Pakalpojumu_eksports_Y!$S$17:$W$17</c15:f>
                <c15:dlblRangeCache>
                  <c:ptCount val="5"/>
                  <c:pt idx="0">
                    <c:v>15,8</c:v>
                  </c:pt>
                  <c:pt idx="1">
                    <c:v>14,3</c:v>
                  </c:pt>
                  <c:pt idx="2">
                    <c:v>11,7</c:v>
                  </c:pt>
                  <c:pt idx="3">
                    <c:v>14,2</c:v>
                  </c:pt>
                  <c:pt idx="4">
                    <c:v>15,7</c:v>
                  </c:pt>
                </c15:dlblRangeCache>
              </c15:datalabelsRange>
            </c:ext>
            <c:ext xmlns:c16="http://schemas.microsoft.com/office/drawing/2014/chart" uri="{C3380CC4-5D6E-409C-BE32-E72D297353CC}">
              <c16:uniqueId val="{0000000B-AACB-485C-B29A-66A8E5258197}"/>
            </c:ext>
          </c:extLst>
        </c:ser>
        <c:ser>
          <c:idx val="2"/>
          <c:order val="2"/>
          <c:tx>
            <c:strRef>
              <c:f>Pakalpojumu_eksports_Y!$N$9</c:f>
              <c:strCache>
                <c:ptCount val="1"/>
                <c:pt idx="0">
                  <c:v>Telesakaru un IT</c:v>
                </c:pt>
              </c:strCache>
            </c:strRef>
          </c:tx>
          <c:spPr>
            <a:solidFill>
              <a:schemeClr val="accent6">
                <a:lumMod val="60000"/>
                <a:lumOff val="40000"/>
              </a:schemeClr>
            </a:solidFill>
            <a:ln>
              <a:noFill/>
            </a:ln>
            <a:effectLst/>
          </c:spPr>
          <c:invertIfNegative val="0"/>
          <c:dLbls>
            <c:dLbl>
              <c:idx val="0"/>
              <c:tx>
                <c:rich>
                  <a:bodyPr/>
                  <a:lstStyle/>
                  <a:p>
                    <a:fld id="{88055E5B-97D6-4B0A-B52E-53B974644595}"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AACB-485C-B29A-66A8E5258197}"/>
                </c:ext>
              </c:extLst>
            </c:dLbl>
            <c:dLbl>
              <c:idx val="1"/>
              <c:tx>
                <c:rich>
                  <a:bodyPr/>
                  <a:lstStyle/>
                  <a:p>
                    <a:fld id="{22FF7015-CC1C-4593-B7D3-29CF255C762B}"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AACB-485C-B29A-66A8E5258197}"/>
                </c:ext>
              </c:extLst>
            </c:dLbl>
            <c:dLbl>
              <c:idx val="2"/>
              <c:tx>
                <c:rich>
                  <a:bodyPr/>
                  <a:lstStyle/>
                  <a:p>
                    <a:fld id="{9596E399-944D-41A3-A776-A38A6B62886A}"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AACB-485C-B29A-66A8E5258197}"/>
                </c:ext>
              </c:extLst>
            </c:dLbl>
            <c:dLbl>
              <c:idx val="3"/>
              <c:tx>
                <c:rich>
                  <a:bodyPr/>
                  <a:lstStyle/>
                  <a:p>
                    <a:fld id="{6A615E26-B576-4AA9-835A-F634D95A7642}"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AACB-485C-B29A-66A8E5258197}"/>
                </c:ext>
              </c:extLst>
            </c:dLbl>
            <c:dLbl>
              <c:idx val="4"/>
              <c:tx>
                <c:rich>
                  <a:bodyPr/>
                  <a:lstStyle/>
                  <a:p>
                    <a:fld id="{83791902-25DC-45D0-B24C-915E2DE46BF4}"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AACB-485C-B29A-66A8E5258197}"/>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Pakalpojumu_eksports_Y!$S$6:$W$6</c:f>
              <c:numCache>
                <c:formatCode>General</c:formatCode>
                <c:ptCount val="5"/>
                <c:pt idx="0">
                  <c:v>2019</c:v>
                </c:pt>
                <c:pt idx="1">
                  <c:v>2020</c:v>
                </c:pt>
                <c:pt idx="2">
                  <c:v>2021</c:v>
                </c:pt>
                <c:pt idx="3">
                  <c:v>2022</c:v>
                </c:pt>
                <c:pt idx="4">
                  <c:v>2023</c:v>
                </c:pt>
              </c:numCache>
            </c:numRef>
          </c:cat>
          <c:val>
            <c:numRef>
              <c:f>Pakalpojumu_eksports_Y!$S$9:$W$9</c:f>
              <c:numCache>
                <c:formatCode>0</c:formatCode>
                <c:ptCount val="5"/>
                <c:pt idx="0">
                  <c:v>853</c:v>
                </c:pt>
                <c:pt idx="1">
                  <c:v>856</c:v>
                </c:pt>
                <c:pt idx="2">
                  <c:v>963</c:v>
                </c:pt>
                <c:pt idx="3">
                  <c:v>1244</c:v>
                </c:pt>
                <c:pt idx="4">
                  <c:v>1271</c:v>
                </c:pt>
              </c:numCache>
            </c:numRef>
          </c:val>
          <c:extLst>
            <c:ext xmlns:c15="http://schemas.microsoft.com/office/drawing/2012/chart" uri="{02D57815-91ED-43cb-92C2-25804820EDAC}">
              <c15:datalabelsRange>
                <c15:f>Pakalpojumu_eksports_Y!$S$18:$W$18</c15:f>
                <c15:dlblRangeCache>
                  <c:ptCount val="5"/>
                  <c:pt idx="0">
                    <c:v>14,9</c:v>
                  </c:pt>
                  <c:pt idx="1">
                    <c:v>17,6</c:v>
                  </c:pt>
                  <c:pt idx="2">
                    <c:v>18,0</c:v>
                  </c:pt>
                  <c:pt idx="3">
                    <c:v>17,1</c:v>
                  </c:pt>
                  <c:pt idx="4">
                    <c:v>16,9</c:v>
                  </c:pt>
                </c15:dlblRangeCache>
              </c15:datalabelsRange>
            </c:ext>
            <c:ext xmlns:c16="http://schemas.microsoft.com/office/drawing/2014/chart" uri="{C3380CC4-5D6E-409C-BE32-E72D297353CC}">
              <c16:uniqueId val="{00000011-AACB-485C-B29A-66A8E5258197}"/>
            </c:ext>
          </c:extLst>
        </c:ser>
        <c:ser>
          <c:idx val="3"/>
          <c:order val="3"/>
          <c:tx>
            <c:strRef>
              <c:f>Pakalpojumu_eksports_Y!$N$10</c:f>
              <c:strCache>
                <c:ptCount val="1"/>
                <c:pt idx="0">
                  <c:v>Finanšu pakalpojumi</c:v>
                </c:pt>
              </c:strCache>
            </c:strRef>
          </c:tx>
          <c:spPr>
            <a:solidFill>
              <a:schemeClr val="accent4">
                <a:lumMod val="60000"/>
                <a:lumOff val="40000"/>
              </a:schemeClr>
            </a:solidFill>
            <a:ln>
              <a:noFill/>
            </a:ln>
            <a:effectLst/>
          </c:spPr>
          <c:invertIfNegative val="0"/>
          <c:cat>
            <c:numRef>
              <c:f>Pakalpojumu_eksports_Y!$S$6:$W$6</c:f>
              <c:numCache>
                <c:formatCode>General</c:formatCode>
                <c:ptCount val="5"/>
                <c:pt idx="0">
                  <c:v>2019</c:v>
                </c:pt>
                <c:pt idx="1">
                  <c:v>2020</c:v>
                </c:pt>
                <c:pt idx="2">
                  <c:v>2021</c:v>
                </c:pt>
                <c:pt idx="3">
                  <c:v>2022</c:v>
                </c:pt>
                <c:pt idx="4">
                  <c:v>2023</c:v>
                </c:pt>
              </c:numCache>
            </c:numRef>
          </c:cat>
          <c:val>
            <c:numRef>
              <c:f>Pakalpojumu_eksports_Y!$S$10:$W$10</c:f>
              <c:numCache>
                <c:formatCode>0</c:formatCode>
                <c:ptCount val="5"/>
                <c:pt idx="0">
                  <c:v>204</c:v>
                </c:pt>
                <c:pt idx="1">
                  <c:v>146</c:v>
                </c:pt>
                <c:pt idx="2">
                  <c:v>187</c:v>
                </c:pt>
                <c:pt idx="3">
                  <c:v>214</c:v>
                </c:pt>
                <c:pt idx="4">
                  <c:v>179</c:v>
                </c:pt>
              </c:numCache>
            </c:numRef>
          </c:val>
          <c:extLst>
            <c:ext xmlns:c16="http://schemas.microsoft.com/office/drawing/2014/chart" uri="{C3380CC4-5D6E-409C-BE32-E72D297353CC}">
              <c16:uniqueId val="{00000012-AACB-485C-B29A-66A8E5258197}"/>
            </c:ext>
          </c:extLst>
        </c:ser>
        <c:ser>
          <c:idx val="4"/>
          <c:order val="4"/>
          <c:tx>
            <c:strRef>
              <c:f>Pakalpojumu_eksports_Y!$N$11</c:f>
              <c:strCache>
                <c:ptCount val="1"/>
                <c:pt idx="0">
                  <c:v>Būvniecība</c:v>
                </c:pt>
              </c:strCache>
            </c:strRef>
          </c:tx>
          <c:spPr>
            <a:solidFill>
              <a:schemeClr val="accent5">
                <a:lumMod val="75000"/>
              </a:schemeClr>
            </a:solidFill>
            <a:ln>
              <a:noFill/>
            </a:ln>
            <a:effectLst/>
          </c:spPr>
          <c:invertIfNegative val="0"/>
          <c:dLbls>
            <c:dLbl>
              <c:idx val="0"/>
              <c:tx>
                <c:rich>
                  <a:bodyPr/>
                  <a:lstStyle/>
                  <a:p>
                    <a:fld id="{43E0CDEE-B5DC-4363-97C6-D0B618230879}"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AACB-485C-B29A-66A8E5258197}"/>
                </c:ext>
              </c:extLst>
            </c:dLbl>
            <c:dLbl>
              <c:idx val="1"/>
              <c:tx>
                <c:rich>
                  <a:bodyPr/>
                  <a:lstStyle/>
                  <a:p>
                    <a:fld id="{027C42A2-4962-4D8C-98F2-99529A7363C8}"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AACB-485C-B29A-66A8E5258197}"/>
                </c:ext>
              </c:extLst>
            </c:dLbl>
            <c:dLbl>
              <c:idx val="2"/>
              <c:tx>
                <c:rich>
                  <a:bodyPr/>
                  <a:lstStyle/>
                  <a:p>
                    <a:fld id="{4550C621-0780-4F9D-A763-5167468D0EE7}"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AACB-485C-B29A-66A8E5258197}"/>
                </c:ext>
              </c:extLst>
            </c:dLbl>
            <c:dLbl>
              <c:idx val="3"/>
              <c:tx>
                <c:rich>
                  <a:bodyPr/>
                  <a:lstStyle/>
                  <a:p>
                    <a:fld id="{3247CEFF-4387-4882-8E14-7A06D2A9F748}"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AACB-485C-B29A-66A8E5258197}"/>
                </c:ext>
              </c:extLst>
            </c:dLbl>
            <c:dLbl>
              <c:idx val="4"/>
              <c:tx>
                <c:rich>
                  <a:bodyPr/>
                  <a:lstStyle/>
                  <a:p>
                    <a:fld id="{5C1A81CA-38DD-4E70-9F29-EB0C68917FD2}"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AACB-485C-B29A-66A8E5258197}"/>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Pakalpojumu_eksports_Y!$S$6:$W$6</c:f>
              <c:numCache>
                <c:formatCode>General</c:formatCode>
                <c:ptCount val="5"/>
                <c:pt idx="0">
                  <c:v>2019</c:v>
                </c:pt>
                <c:pt idx="1">
                  <c:v>2020</c:v>
                </c:pt>
                <c:pt idx="2">
                  <c:v>2021</c:v>
                </c:pt>
                <c:pt idx="3">
                  <c:v>2022</c:v>
                </c:pt>
                <c:pt idx="4">
                  <c:v>2023</c:v>
                </c:pt>
              </c:numCache>
            </c:numRef>
          </c:cat>
          <c:val>
            <c:numRef>
              <c:f>Pakalpojumu_eksports_Y!$S$11:$W$11</c:f>
              <c:numCache>
                <c:formatCode>0</c:formatCode>
                <c:ptCount val="5"/>
                <c:pt idx="0">
                  <c:v>307</c:v>
                </c:pt>
                <c:pt idx="1">
                  <c:v>365</c:v>
                </c:pt>
                <c:pt idx="2">
                  <c:v>373</c:v>
                </c:pt>
                <c:pt idx="3">
                  <c:v>329</c:v>
                </c:pt>
                <c:pt idx="4">
                  <c:v>361</c:v>
                </c:pt>
              </c:numCache>
            </c:numRef>
          </c:val>
          <c:extLst>
            <c:ext xmlns:c15="http://schemas.microsoft.com/office/drawing/2012/chart" uri="{02D57815-91ED-43cb-92C2-25804820EDAC}">
              <c15:datalabelsRange>
                <c15:f>Pakalpojumu_eksports_Y!$S$20:$W$20</c15:f>
                <c15:dlblRangeCache>
                  <c:ptCount val="5"/>
                  <c:pt idx="0">
                    <c:v>5,4</c:v>
                  </c:pt>
                  <c:pt idx="1">
                    <c:v>7,5</c:v>
                  </c:pt>
                  <c:pt idx="2">
                    <c:v>7,0</c:v>
                  </c:pt>
                  <c:pt idx="3">
                    <c:v>4,5</c:v>
                  </c:pt>
                  <c:pt idx="4">
                    <c:v>4,8</c:v>
                  </c:pt>
                </c15:dlblRangeCache>
              </c15:datalabelsRange>
            </c:ext>
            <c:ext xmlns:c16="http://schemas.microsoft.com/office/drawing/2014/chart" uri="{C3380CC4-5D6E-409C-BE32-E72D297353CC}">
              <c16:uniqueId val="{00000018-AACB-485C-B29A-66A8E5258197}"/>
            </c:ext>
          </c:extLst>
        </c:ser>
        <c:ser>
          <c:idx val="5"/>
          <c:order val="5"/>
          <c:tx>
            <c:strRef>
              <c:f>Pakalpojumu_eksports_Y!$N$12</c:f>
              <c:strCache>
                <c:ptCount val="1"/>
                <c:pt idx="0">
                  <c:v>Citi pakalpojumi</c:v>
                </c:pt>
              </c:strCache>
            </c:strRef>
          </c:tx>
          <c:spPr>
            <a:solidFill>
              <a:schemeClr val="bg1">
                <a:lumMod val="75000"/>
              </a:schemeClr>
            </a:solidFill>
            <a:ln>
              <a:noFill/>
            </a:ln>
            <a:effectLst/>
          </c:spPr>
          <c:invertIfNegative val="0"/>
          <c:dLbls>
            <c:dLbl>
              <c:idx val="0"/>
              <c:tx>
                <c:rich>
                  <a:bodyPr/>
                  <a:lstStyle/>
                  <a:p>
                    <a:fld id="{D57655AB-ACAE-4E6A-B7EB-1CAE402542C0}"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AACB-485C-B29A-66A8E5258197}"/>
                </c:ext>
              </c:extLst>
            </c:dLbl>
            <c:dLbl>
              <c:idx val="1"/>
              <c:tx>
                <c:rich>
                  <a:bodyPr/>
                  <a:lstStyle/>
                  <a:p>
                    <a:fld id="{5820619D-5863-4F97-A264-2878B91B5D49}"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AACB-485C-B29A-66A8E5258197}"/>
                </c:ext>
              </c:extLst>
            </c:dLbl>
            <c:dLbl>
              <c:idx val="2"/>
              <c:tx>
                <c:rich>
                  <a:bodyPr/>
                  <a:lstStyle/>
                  <a:p>
                    <a:fld id="{D5620EBB-58D4-48C3-98D8-5B347C654052}"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AACB-485C-B29A-66A8E5258197}"/>
                </c:ext>
              </c:extLst>
            </c:dLbl>
            <c:dLbl>
              <c:idx val="3"/>
              <c:tx>
                <c:rich>
                  <a:bodyPr/>
                  <a:lstStyle/>
                  <a:p>
                    <a:fld id="{BEF4E88A-01C4-493F-B0B8-A6321FE15894}"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AACB-485C-B29A-66A8E5258197}"/>
                </c:ext>
              </c:extLst>
            </c:dLbl>
            <c:dLbl>
              <c:idx val="4"/>
              <c:tx>
                <c:rich>
                  <a:bodyPr/>
                  <a:lstStyle/>
                  <a:p>
                    <a:fld id="{BBC70671-CB2D-4CCB-B3BE-356F47F05614}"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AACB-485C-B29A-66A8E5258197}"/>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Pakalpojumu_eksports_Y!$S$6:$W$6</c:f>
              <c:numCache>
                <c:formatCode>General</c:formatCode>
                <c:ptCount val="5"/>
                <c:pt idx="0">
                  <c:v>2019</c:v>
                </c:pt>
                <c:pt idx="1">
                  <c:v>2020</c:v>
                </c:pt>
                <c:pt idx="2">
                  <c:v>2021</c:v>
                </c:pt>
                <c:pt idx="3">
                  <c:v>2022</c:v>
                </c:pt>
                <c:pt idx="4">
                  <c:v>2023</c:v>
                </c:pt>
              </c:numCache>
            </c:numRef>
          </c:cat>
          <c:val>
            <c:numRef>
              <c:f>Pakalpojumu_eksports_Y!$S$12:$W$12</c:f>
              <c:numCache>
                <c:formatCode>0</c:formatCode>
                <c:ptCount val="5"/>
                <c:pt idx="0">
                  <c:v>1312</c:v>
                </c:pt>
                <c:pt idx="1">
                  <c:v>1363</c:v>
                </c:pt>
                <c:pt idx="2">
                  <c:v>1599</c:v>
                </c:pt>
                <c:pt idx="3">
                  <c:v>2109</c:v>
                </c:pt>
                <c:pt idx="4">
                  <c:v>2135</c:v>
                </c:pt>
              </c:numCache>
            </c:numRef>
          </c:val>
          <c:extLst>
            <c:ext xmlns:c15="http://schemas.microsoft.com/office/drawing/2012/chart" uri="{02D57815-91ED-43cb-92C2-25804820EDAC}">
              <c15:datalabelsRange>
                <c15:f>Pakalpojumu_eksports_Y!$S$21:$W$21</c15:f>
                <c15:dlblRangeCache>
                  <c:ptCount val="5"/>
                  <c:pt idx="0">
                    <c:v>22,9</c:v>
                  </c:pt>
                  <c:pt idx="1">
                    <c:v>28,1</c:v>
                  </c:pt>
                  <c:pt idx="2">
                    <c:v>29,9</c:v>
                  </c:pt>
                  <c:pt idx="3">
                    <c:v>29,1</c:v>
                  </c:pt>
                  <c:pt idx="4">
                    <c:v>28,4</c:v>
                  </c:pt>
                </c15:dlblRangeCache>
              </c15:datalabelsRange>
            </c:ext>
            <c:ext xmlns:c16="http://schemas.microsoft.com/office/drawing/2014/chart" uri="{C3380CC4-5D6E-409C-BE32-E72D297353CC}">
              <c16:uniqueId val="{0000001E-AACB-485C-B29A-66A8E5258197}"/>
            </c:ext>
          </c:extLst>
        </c:ser>
        <c:dLbls>
          <c:showLegendKey val="0"/>
          <c:showVal val="0"/>
          <c:showCatName val="0"/>
          <c:showSerName val="0"/>
          <c:showPercent val="0"/>
          <c:showBubbleSize val="0"/>
        </c:dLbls>
        <c:gapWidth val="30"/>
        <c:overlap val="100"/>
        <c:axId val="736298447"/>
        <c:axId val="736275407"/>
      </c:barChart>
      <c:catAx>
        <c:axId val="736298447"/>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36275407"/>
        <c:crosses val="autoZero"/>
        <c:auto val="1"/>
        <c:lblAlgn val="ctr"/>
        <c:lblOffset val="100"/>
        <c:noMultiLvlLbl val="0"/>
      </c:catAx>
      <c:valAx>
        <c:axId val="73627540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362984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047467405982008E-2"/>
          <c:y val="4.3502175194701828E-2"/>
          <c:w val="0.94346850004035465"/>
          <c:h val="0.55100671997712336"/>
        </c:manualLayout>
      </c:layout>
      <c:barChart>
        <c:barDir val="col"/>
        <c:grouping val="stacked"/>
        <c:varyColors val="0"/>
        <c:ser>
          <c:idx val="0"/>
          <c:order val="0"/>
          <c:tx>
            <c:strRef>
              <c:f>Pakalp_eksports_Q!$AK$35</c:f>
              <c:strCache>
                <c:ptCount val="1"/>
                <c:pt idx="0">
                  <c:v>Transporta pakalpojumi</c:v>
                </c:pt>
              </c:strCache>
            </c:strRef>
          </c:tx>
          <c:spPr>
            <a:solidFill>
              <a:schemeClr val="accent5">
                <a:lumMod val="60000"/>
                <a:lumOff val="40000"/>
              </a:schemeClr>
            </a:solidFill>
            <a:ln>
              <a:noFill/>
            </a:ln>
            <a:effectLst/>
          </c:spPr>
          <c:invertIfNegative val="0"/>
          <c:cat>
            <c:multiLvlStrRef>
              <c:f>Pakalp_eksports_Q!$BY$5:$CH$6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Pakalp_eksports_Q!$BY$35:$CH$35</c:f>
              <c:numCache>
                <c:formatCode>0.0</c:formatCode>
                <c:ptCount val="10"/>
                <c:pt idx="0">
                  <c:v>8.1177520071364864</c:v>
                </c:pt>
                <c:pt idx="1">
                  <c:v>16.022544283413847</c:v>
                </c:pt>
                <c:pt idx="2">
                  <c:v>16.944444444444446</c:v>
                </c:pt>
                <c:pt idx="3">
                  <c:v>13.074433656957927</c:v>
                </c:pt>
                <c:pt idx="4">
                  <c:v>4.0816326530612255</c:v>
                </c:pt>
                <c:pt idx="5">
                  <c:v>2.5611838360842345</c:v>
                </c:pt>
                <c:pt idx="6">
                  <c:v>4.8732943469785572E-2</c:v>
                </c:pt>
                <c:pt idx="7">
                  <c:v>-2.829711975745326</c:v>
                </c:pt>
                <c:pt idx="8">
                  <c:v>2.5119617224880382</c:v>
                </c:pt>
                <c:pt idx="9">
                  <c:v>1.6486347243688821</c:v>
                </c:pt>
              </c:numCache>
            </c:numRef>
          </c:val>
          <c:extLst>
            <c:ext xmlns:c16="http://schemas.microsoft.com/office/drawing/2014/chart" uri="{C3380CC4-5D6E-409C-BE32-E72D297353CC}">
              <c16:uniqueId val="{00000000-6978-4503-A35E-A07217F7C525}"/>
            </c:ext>
          </c:extLst>
        </c:ser>
        <c:ser>
          <c:idx val="1"/>
          <c:order val="1"/>
          <c:tx>
            <c:strRef>
              <c:f>Pakalp_eksports_Q!$AK$36</c:f>
              <c:strCache>
                <c:ptCount val="1"/>
                <c:pt idx="0">
                  <c:v>Braucieni</c:v>
                </c:pt>
              </c:strCache>
            </c:strRef>
          </c:tx>
          <c:spPr>
            <a:solidFill>
              <a:schemeClr val="accent2">
                <a:lumMod val="60000"/>
                <a:lumOff val="40000"/>
              </a:schemeClr>
            </a:solidFill>
            <a:ln>
              <a:noFill/>
            </a:ln>
            <a:effectLst/>
          </c:spPr>
          <c:invertIfNegative val="0"/>
          <c:cat>
            <c:multiLvlStrRef>
              <c:f>Pakalp_eksports_Q!$BY$5:$CH$6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Pakalp_eksports_Q!$BY$36:$CH$36</c:f>
              <c:numCache>
                <c:formatCode>0.0</c:formatCode>
                <c:ptCount val="10"/>
                <c:pt idx="0">
                  <c:v>7.4933095450490628</c:v>
                </c:pt>
                <c:pt idx="1">
                  <c:v>9.5813204508856682</c:v>
                </c:pt>
                <c:pt idx="2">
                  <c:v>7.5694444444444455</c:v>
                </c:pt>
                <c:pt idx="3">
                  <c:v>5.6957928802588995</c:v>
                </c:pt>
                <c:pt idx="4">
                  <c:v>2.72108843537415</c:v>
                </c:pt>
                <c:pt idx="5">
                  <c:v>3.301081388730791</c:v>
                </c:pt>
                <c:pt idx="6">
                  <c:v>2.0467836257309941</c:v>
                </c:pt>
                <c:pt idx="7">
                  <c:v>0.65689742294087927</c:v>
                </c:pt>
                <c:pt idx="8">
                  <c:v>0.59808612440191389</c:v>
                </c:pt>
                <c:pt idx="9">
                  <c:v>-0.3606388459556929</c:v>
                </c:pt>
              </c:numCache>
            </c:numRef>
          </c:val>
          <c:extLst>
            <c:ext xmlns:c16="http://schemas.microsoft.com/office/drawing/2014/chart" uri="{C3380CC4-5D6E-409C-BE32-E72D297353CC}">
              <c16:uniqueId val="{00000001-6978-4503-A35E-A07217F7C525}"/>
            </c:ext>
          </c:extLst>
        </c:ser>
        <c:ser>
          <c:idx val="2"/>
          <c:order val="2"/>
          <c:tx>
            <c:strRef>
              <c:f>Pakalp_eksports_Q!$AK$37</c:f>
              <c:strCache>
                <c:ptCount val="1"/>
                <c:pt idx="0">
                  <c:v>Telesakaru un IT</c:v>
                </c:pt>
              </c:strCache>
            </c:strRef>
          </c:tx>
          <c:spPr>
            <a:solidFill>
              <a:schemeClr val="accent6">
                <a:lumMod val="60000"/>
                <a:lumOff val="40000"/>
              </a:schemeClr>
            </a:solidFill>
            <a:ln>
              <a:noFill/>
            </a:ln>
            <a:effectLst/>
          </c:spPr>
          <c:invertIfNegative val="0"/>
          <c:cat>
            <c:multiLvlStrRef>
              <c:f>Pakalp_eksports_Q!$BY$5:$CH$6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Pakalp_eksports_Q!$BY$37:$CH$37</c:f>
              <c:numCache>
                <c:formatCode>0.0</c:formatCode>
                <c:ptCount val="10"/>
                <c:pt idx="0">
                  <c:v>5.8876003568242634</c:v>
                </c:pt>
                <c:pt idx="1">
                  <c:v>5.152979066022545</c:v>
                </c:pt>
                <c:pt idx="2">
                  <c:v>4.8611111111111116</c:v>
                </c:pt>
                <c:pt idx="3">
                  <c:v>5.1779935275080904</c:v>
                </c:pt>
                <c:pt idx="4">
                  <c:v>2.5850340136054419</c:v>
                </c:pt>
                <c:pt idx="5">
                  <c:v>0.96755833807626646</c:v>
                </c:pt>
                <c:pt idx="6">
                  <c:v>-4.8732943469785572E-2</c:v>
                </c:pt>
                <c:pt idx="7">
                  <c:v>-1.414855987872663</c:v>
                </c:pt>
                <c:pt idx="8">
                  <c:v>-0.29904306220095689</c:v>
                </c:pt>
                <c:pt idx="9">
                  <c:v>0.41215868109222048</c:v>
                </c:pt>
              </c:numCache>
            </c:numRef>
          </c:val>
          <c:extLst>
            <c:ext xmlns:c16="http://schemas.microsoft.com/office/drawing/2014/chart" uri="{C3380CC4-5D6E-409C-BE32-E72D297353CC}">
              <c16:uniqueId val="{00000002-6978-4503-A35E-A07217F7C525}"/>
            </c:ext>
          </c:extLst>
        </c:ser>
        <c:ser>
          <c:idx val="3"/>
          <c:order val="3"/>
          <c:tx>
            <c:strRef>
              <c:f>Pakalp_eksports_Q!$AK$38</c:f>
              <c:strCache>
                <c:ptCount val="1"/>
                <c:pt idx="0">
                  <c:v>Finanšu pakalpojumi</c:v>
                </c:pt>
              </c:strCache>
            </c:strRef>
          </c:tx>
          <c:spPr>
            <a:solidFill>
              <a:schemeClr val="accent4">
                <a:lumMod val="60000"/>
                <a:lumOff val="40000"/>
              </a:schemeClr>
            </a:solidFill>
            <a:ln>
              <a:noFill/>
            </a:ln>
            <a:effectLst/>
          </c:spPr>
          <c:invertIfNegative val="0"/>
          <c:cat>
            <c:multiLvlStrRef>
              <c:f>Pakalp_eksports_Q!$BY$5:$CH$6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Pakalp_eksports_Q!$BY$38:$CH$38</c:f>
              <c:numCache>
                <c:formatCode>0.0</c:formatCode>
                <c:ptCount val="10"/>
                <c:pt idx="0">
                  <c:v>0</c:v>
                </c:pt>
                <c:pt idx="1">
                  <c:v>1.288244766505636</c:v>
                </c:pt>
                <c:pt idx="2">
                  <c:v>2.5</c:v>
                </c:pt>
                <c:pt idx="3">
                  <c:v>-1.877022653721683</c:v>
                </c:pt>
                <c:pt idx="4">
                  <c:v>-0.54421768707482987</c:v>
                </c:pt>
                <c:pt idx="5">
                  <c:v>5.6915196357427436E-2</c:v>
                </c:pt>
                <c:pt idx="6">
                  <c:v>-1.5107212475633527</c:v>
                </c:pt>
                <c:pt idx="7">
                  <c:v>0.20212228398180901</c:v>
                </c:pt>
                <c:pt idx="8">
                  <c:v>0.11961722488038276</c:v>
                </c:pt>
                <c:pt idx="9">
                  <c:v>-0.36063884595569295</c:v>
                </c:pt>
              </c:numCache>
            </c:numRef>
          </c:val>
          <c:extLst>
            <c:ext xmlns:c16="http://schemas.microsoft.com/office/drawing/2014/chart" uri="{C3380CC4-5D6E-409C-BE32-E72D297353CC}">
              <c16:uniqueId val="{00000003-6978-4503-A35E-A07217F7C525}"/>
            </c:ext>
          </c:extLst>
        </c:ser>
        <c:ser>
          <c:idx val="4"/>
          <c:order val="4"/>
          <c:tx>
            <c:strRef>
              <c:f>Pakalp_eksports_Q!$AK$39</c:f>
              <c:strCache>
                <c:ptCount val="1"/>
                <c:pt idx="0">
                  <c:v>Būvniecība</c:v>
                </c:pt>
              </c:strCache>
            </c:strRef>
          </c:tx>
          <c:spPr>
            <a:solidFill>
              <a:schemeClr val="accent5">
                <a:lumMod val="75000"/>
              </a:schemeClr>
            </a:solidFill>
            <a:ln>
              <a:noFill/>
            </a:ln>
            <a:effectLst/>
          </c:spPr>
          <c:invertIfNegative val="0"/>
          <c:cat>
            <c:multiLvlStrRef>
              <c:f>Pakalp_eksports_Q!$BY$5:$CH$6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Pakalp_eksports_Q!$BY$39:$CH$39</c:f>
              <c:numCache>
                <c:formatCode>0.0</c:formatCode>
                <c:ptCount val="10"/>
                <c:pt idx="0">
                  <c:v>-1.4272970561998217</c:v>
                </c:pt>
                <c:pt idx="1">
                  <c:v>-1.1272141706924312</c:v>
                </c:pt>
                <c:pt idx="2">
                  <c:v>0.27777777777777779</c:v>
                </c:pt>
                <c:pt idx="3">
                  <c:v>-1.1003236245954691</c:v>
                </c:pt>
                <c:pt idx="4">
                  <c:v>0.27210884353741499</c:v>
                </c:pt>
                <c:pt idx="5">
                  <c:v>1.4228799089356858</c:v>
                </c:pt>
                <c:pt idx="6">
                  <c:v>-0.29239766081871343</c:v>
                </c:pt>
                <c:pt idx="7">
                  <c:v>0.45477513895907029</c:v>
                </c:pt>
                <c:pt idx="8">
                  <c:v>0</c:v>
                </c:pt>
                <c:pt idx="9">
                  <c:v>-5.151983513652756E-2</c:v>
                </c:pt>
              </c:numCache>
            </c:numRef>
          </c:val>
          <c:extLst>
            <c:ext xmlns:c16="http://schemas.microsoft.com/office/drawing/2014/chart" uri="{C3380CC4-5D6E-409C-BE32-E72D297353CC}">
              <c16:uniqueId val="{00000004-6978-4503-A35E-A07217F7C525}"/>
            </c:ext>
          </c:extLst>
        </c:ser>
        <c:ser>
          <c:idx val="5"/>
          <c:order val="5"/>
          <c:tx>
            <c:strRef>
              <c:f>Pakalp_eksports_Q!$AK$40</c:f>
              <c:strCache>
                <c:ptCount val="1"/>
                <c:pt idx="0">
                  <c:v>Citi pakalpojumi</c:v>
                </c:pt>
              </c:strCache>
            </c:strRef>
          </c:tx>
          <c:spPr>
            <a:solidFill>
              <a:schemeClr val="bg1">
                <a:lumMod val="75000"/>
              </a:schemeClr>
            </a:solidFill>
            <a:ln>
              <a:noFill/>
            </a:ln>
            <a:effectLst/>
          </c:spPr>
          <c:invertIfNegative val="0"/>
          <c:cat>
            <c:multiLvlStrRef>
              <c:f>Pakalp_eksports_Q!$BY$5:$CH$6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Pakalp_eksports_Q!$BY$40:$CH$40</c:f>
              <c:numCache>
                <c:formatCode>0.0</c:formatCode>
                <c:ptCount val="10"/>
                <c:pt idx="0">
                  <c:v>11.061552185548617</c:v>
                </c:pt>
                <c:pt idx="1">
                  <c:v>10.547504025764894</c:v>
                </c:pt>
                <c:pt idx="2">
                  <c:v>10.347222222222223</c:v>
                </c:pt>
                <c:pt idx="3">
                  <c:v>7.1197411003236253</c:v>
                </c:pt>
                <c:pt idx="4">
                  <c:v>4.6258503401360551</c:v>
                </c:pt>
                <c:pt idx="5">
                  <c:v>2.1627774615822428</c:v>
                </c:pt>
                <c:pt idx="6">
                  <c:v>-0.58479532163742687</c:v>
                </c:pt>
                <c:pt idx="7">
                  <c:v>-3.486609398686205</c:v>
                </c:pt>
                <c:pt idx="8">
                  <c:v>-5.3827751196172242</c:v>
                </c:pt>
                <c:pt idx="9">
                  <c:v>-2.1123132405976297</c:v>
                </c:pt>
              </c:numCache>
            </c:numRef>
          </c:val>
          <c:extLst>
            <c:ext xmlns:c16="http://schemas.microsoft.com/office/drawing/2014/chart" uri="{C3380CC4-5D6E-409C-BE32-E72D297353CC}">
              <c16:uniqueId val="{00000005-6978-4503-A35E-A07217F7C525}"/>
            </c:ext>
          </c:extLst>
        </c:ser>
        <c:dLbls>
          <c:showLegendKey val="0"/>
          <c:showVal val="0"/>
          <c:showCatName val="0"/>
          <c:showSerName val="0"/>
          <c:showPercent val="0"/>
          <c:showBubbleSize val="0"/>
        </c:dLbls>
        <c:gapWidth val="30"/>
        <c:overlap val="100"/>
        <c:axId val="348099048"/>
        <c:axId val="348099440"/>
      </c:barChart>
      <c:lineChart>
        <c:grouping val="standard"/>
        <c:varyColors val="0"/>
        <c:ser>
          <c:idx val="6"/>
          <c:order val="6"/>
          <c:tx>
            <c:strRef>
              <c:f>Pakalp_eksports_Q!$AK$41</c:f>
              <c:strCache>
                <c:ptCount val="1"/>
                <c:pt idx="0">
                  <c:v>Kopējais pieaugums</c:v>
                </c:pt>
              </c:strCache>
            </c:strRef>
          </c:tx>
          <c:spPr>
            <a:ln w="28575" cap="rnd">
              <a:solidFill>
                <a:schemeClr val="accent1">
                  <a:lumMod val="60000"/>
                </a:schemeClr>
              </a:solidFill>
              <a:round/>
            </a:ln>
            <a:effectLst/>
          </c:spPr>
          <c:marker>
            <c:symbol val="none"/>
          </c:marker>
          <c:cat>
            <c:multiLvlStrRef>
              <c:f>Pakalp_eksports_Q!$BY$5:$CH$6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Pakalp_eksports_Q!$BY$41:$CH$41</c:f>
              <c:numCache>
                <c:formatCode>0.0</c:formatCode>
                <c:ptCount val="10"/>
                <c:pt idx="0">
                  <c:v>31.132917038358606</c:v>
                </c:pt>
                <c:pt idx="1">
                  <c:v>41.465378421900155</c:v>
                </c:pt>
                <c:pt idx="2">
                  <c:v>42.5</c:v>
                </c:pt>
                <c:pt idx="3">
                  <c:v>28.090614886731395</c:v>
                </c:pt>
                <c:pt idx="4">
                  <c:v>13.741496598639458</c:v>
                </c:pt>
                <c:pt idx="5">
                  <c:v>10.472396129766649</c:v>
                </c:pt>
                <c:pt idx="6">
                  <c:v>-0.34113060428849884</c:v>
                </c:pt>
                <c:pt idx="7">
                  <c:v>-6.4173825164224354</c:v>
                </c:pt>
                <c:pt idx="8">
                  <c:v>-2.4521531100478464</c:v>
                </c:pt>
                <c:pt idx="9">
                  <c:v>-0.82431736218444063</c:v>
                </c:pt>
              </c:numCache>
            </c:numRef>
          </c:val>
          <c:smooth val="0"/>
          <c:extLst>
            <c:ext xmlns:c16="http://schemas.microsoft.com/office/drawing/2014/chart" uri="{C3380CC4-5D6E-409C-BE32-E72D297353CC}">
              <c16:uniqueId val="{00000006-6978-4503-A35E-A07217F7C525}"/>
            </c:ext>
          </c:extLst>
        </c:ser>
        <c:dLbls>
          <c:showLegendKey val="0"/>
          <c:showVal val="0"/>
          <c:showCatName val="0"/>
          <c:showSerName val="0"/>
          <c:showPercent val="0"/>
          <c:showBubbleSize val="0"/>
        </c:dLbls>
        <c:marker val="1"/>
        <c:smooth val="0"/>
        <c:axId val="348099048"/>
        <c:axId val="348099440"/>
      </c:lineChart>
      <c:catAx>
        <c:axId val="34809904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vert="horz"/>
          <a:lstStyle/>
          <a:p>
            <a:pPr>
              <a:defRPr/>
            </a:pPr>
            <a:endParaRPr lang="lv-LV"/>
          </a:p>
        </c:txPr>
        <c:crossAx val="348099440"/>
        <c:crosses val="autoZero"/>
        <c:auto val="1"/>
        <c:lblAlgn val="ctr"/>
        <c:lblOffset val="100"/>
        <c:noMultiLvlLbl val="0"/>
      </c:catAx>
      <c:valAx>
        <c:axId val="348099440"/>
        <c:scaling>
          <c:orientation val="minMax"/>
          <c:max val="45"/>
          <c:min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lv-LV"/>
          </a:p>
        </c:txPr>
        <c:crossAx val="348099048"/>
        <c:crosses val="autoZero"/>
        <c:crossBetween val="between"/>
        <c:majorUnit val="5"/>
      </c:valAx>
      <c:spPr>
        <a:noFill/>
        <a:ln w="25400">
          <a:noFill/>
        </a:ln>
      </c:spPr>
    </c:plotArea>
    <c:legend>
      <c:legendPos val="b"/>
      <c:layout>
        <c:manualLayout>
          <c:xMode val="edge"/>
          <c:yMode val="edge"/>
          <c:x val="2.2575805169439633E-2"/>
          <c:y val="0.72523865072421501"/>
          <c:w val="0.95039106851113186"/>
          <c:h val="0.27476134927578499"/>
        </c:manualLayout>
      </c:layout>
      <c:overlay val="0"/>
      <c:spPr>
        <a:noFill/>
        <a:ln>
          <a:noFill/>
        </a:ln>
        <a:effectLst/>
      </c:spPr>
      <c:txPr>
        <a:bodyPr rot="0" vert="horz"/>
        <a:lstStyle/>
        <a:p>
          <a:pPr>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v-LV" sz="900"/>
              <a:t>milj. euro</a:t>
            </a:r>
          </a:p>
        </c:rich>
      </c:tx>
      <c:layout>
        <c:manualLayout>
          <c:xMode val="edge"/>
          <c:yMode val="edge"/>
          <c:x val="1.7081233990572835E-3"/>
          <c:y val="1.0790357689930401E-2"/>
        </c:manualLayout>
      </c:layout>
      <c:overlay val="0"/>
      <c:spPr>
        <a:noFill/>
        <a:ln>
          <a:noFill/>
        </a:ln>
        <a:effectLst/>
      </c:spPr>
      <c:txPr>
        <a:bodyPr rot="0" spcFirstLastPara="1" vertOverflow="ellipsis" vert="horz" wrap="square" anchor="ctr" anchorCtr="1"/>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title>
    <c:autoTitleDeleted val="0"/>
    <c:plotArea>
      <c:layout>
        <c:manualLayout>
          <c:layoutTarget val="inner"/>
          <c:xMode val="edge"/>
          <c:yMode val="edge"/>
          <c:x val="0.15105657989571245"/>
          <c:y val="0.10117760877159981"/>
          <c:w val="0.65493437192289083"/>
          <c:h val="0.53828169089785283"/>
        </c:manualLayout>
      </c:layout>
      <c:barChart>
        <c:barDir val="col"/>
        <c:grouping val="stacked"/>
        <c:varyColors val="0"/>
        <c:ser>
          <c:idx val="0"/>
          <c:order val="0"/>
          <c:tx>
            <c:strRef>
              <c:f>'Tekošais konts_Y'!$B$4</c:f>
              <c:strCache>
                <c:ptCount val="1"/>
                <c:pt idx="0">
                  <c:v>Preces</c:v>
                </c:pt>
              </c:strCache>
            </c:strRef>
          </c:tx>
          <c:spPr>
            <a:solidFill>
              <a:schemeClr val="accent1"/>
            </a:solidFill>
            <a:ln>
              <a:noFill/>
            </a:ln>
            <a:effectLst/>
          </c:spPr>
          <c:invertIfNegative val="0"/>
          <c:cat>
            <c:numRef>
              <c:f>'Tekošais konts_Y'!$Q$2:$U$2</c:f>
              <c:numCache>
                <c:formatCode>General</c:formatCode>
                <c:ptCount val="5"/>
                <c:pt idx="0">
                  <c:v>2019</c:v>
                </c:pt>
                <c:pt idx="1">
                  <c:v>2020</c:v>
                </c:pt>
                <c:pt idx="2">
                  <c:v>2021</c:v>
                </c:pt>
                <c:pt idx="3">
                  <c:v>2022</c:v>
                </c:pt>
                <c:pt idx="4">
                  <c:v>2023</c:v>
                </c:pt>
              </c:numCache>
            </c:numRef>
          </c:cat>
          <c:val>
            <c:numRef>
              <c:f>'Tekošais konts_Y'!$Q$4:$U$4</c:f>
              <c:numCache>
                <c:formatCode>General</c:formatCode>
                <c:ptCount val="5"/>
                <c:pt idx="0">
                  <c:v>-2623</c:v>
                </c:pt>
                <c:pt idx="1">
                  <c:v>-1554</c:v>
                </c:pt>
                <c:pt idx="2">
                  <c:v>-2765</c:v>
                </c:pt>
                <c:pt idx="3">
                  <c:v>-4124</c:v>
                </c:pt>
                <c:pt idx="4">
                  <c:v>-3649</c:v>
                </c:pt>
              </c:numCache>
            </c:numRef>
          </c:val>
          <c:extLst>
            <c:ext xmlns:c16="http://schemas.microsoft.com/office/drawing/2014/chart" uri="{C3380CC4-5D6E-409C-BE32-E72D297353CC}">
              <c16:uniqueId val="{00000000-DAF7-45FA-8DC9-0DF6D40B345A}"/>
            </c:ext>
          </c:extLst>
        </c:ser>
        <c:ser>
          <c:idx val="1"/>
          <c:order val="1"/>
          <c:tx>
            <c:strRef>
              <c:f>'Tekošais konts_Y'!$B$5</c:f>
              <c:strCache>
                <c:ptCount val="1"/>
                <c:pt idx="0">
                  <c:v>Pakalpojumi</c:v>
                </c:pt>
              </c:strCache>
            </c:strRef>
          </c:tx>
          <c:spPr>
            <a:solidFill>
              <a:schemeClr val="accent2"/>
            </a:solidFill>
            <a:ln>
              <a:noFill/>
            </a:ln>
            <a:effectLst/>
          </c:spPr>
          <c:invertIfNegative val="0"/>
          <c:cat>
            <c:numRef>
              <c:f>'Tekošais konts_Y'!$Q$2:$U$2</c:f>
              <c:numCache>
                <c:formatCode>General</c:formatCode>
                <c:ptCount val="5"/>
                <c:pt idx="0">
                  <c:v>2019</c:v>
                </c:pt>
                <c:pt idx="1">
                  <c:v>2020</c:v>
                </c:pt>
                <c:pt idx="2">
                  <c:v>2021</c:v>
                </c:pt>
                <c:pt idx="3">
                  <c:v>2022</c:v>
                </c:pt>
                <c:pt idx="4">
                  <c:v>2023</c:v>
                </c:pt>
              </c:numCache>
            </c:numRef>
          </c:cat>
          <c:val>
            <c:numRef>
              <c:f>'Tekošais konts_Y'!$Q$5:$U$5</c:f>
              <c:numCache>
                <c:formatCode>General</c:formatCode>
                <c:ptCount val="5"/>
                <c:pt idx="0">
                  <c:v>2559</c:v>
                </c:pt>
                <c:pt idx="1">
                  <c:v>1973</c:v>
                </c:pt>
                <c:pt idx="2">
                  <c:v>1740</c:v>
                </c:pt>
                <c:pt idx="3">
                  <c:v>2359</c:v>
                </c:pt>
                <c:pt idx="4">
                  <c:v>2188</c:v>
                </c:pt>
              </c:numCache>
            </c:numRef>
          </c:val>
          <c:extLst>
            <c:ext xmlns:c16="http://schemas.microsoft.com/office/drawing/2014/chart" uri="{C3380CC4-5D6E-409C-BE32-E72D297353CC}">
              <c16:uniqueId val="{00000001-DAF7-45FA-8DC9-0DF6D40B345A}"/>
            </c:ext>
          </c:extLst>
        </c:ser>
        <c:ser>
          <c:idx val="2"/>
          <c:order val="2"/>
          <c:tx>
            <c:strRef>
              <c:f>'Tekošais konts_Y'!$B$6</c:f>
              <c:strCache>
                <c:ptCount val="1"/>
                <c:pt idx="0">
                  <c:v>Sākotnējie ienākumi</c:v>
                </c:pt>
              </c:strCache>
            </c:strRef>
          </c:tx>
          <c:spPr>
            <a:solidFill>
              <a:schemeClr val="accent3"/>
            </a:solidFill>
            <a:ln>
              <a:noFill/>
            </a:ln>
            <a:effectLst/>
          </c:spPr>
          <c:invertIfNegative val="0"/>
          <c:cat>
            <c:numRef>
              <c:f>'Tekošais konts_Y'!$Q$2:$U$2</c:f>
              <c:numCache>
                <c:formatCode>General</c:formatCode>
                <c:ptCount val="5"/>
                <c:pt idx="0">
                  <c:v>2019</c:v>
                </c:pt>
                <c:pt idx="1">
                  <c:v>2020</c:v>
                </c:pt>
                <c:pt idx="2">
                  <c:v>2021</c:v>
                </c:pt>
                <c:pt idx="3">
                  <c:v>2022</c:v>
                </c:pt>
                <c:pt idx="4">
                  <c:v>2023</c:v>
                </c:pt>
              </c:numCache>
            </c:numRef>
          </c:cat>
          <c:val>
            <c:numRef>
              <c:f>'Tekošais konts_Y'!$Q$6:$U$6</c:f>
              <c:numCache>
                <c:formatCode>General</c:formatCode>
                <c:ptCount val="5"/>
                <c:pt idx="0">
                  <c:v>-418</c:v>
                </c:pt>
                <c:pt idx="1">
                  <c:v>13</c:v>
                </c:pt>
                <c:pt idx="2">
                  <c:v>-604</c:v>
                </c:pt>
                <c:pt idx="3">
                  <c:v>-633</c:v>
                </c:pt>
                <c:pt idx="4">
                  <c:v>-927</c:v>
                </c:pt>
              </c:numCache>
            </c:numRef>
          </c:val>
          <c:extLst>
            <c:ext xmlns:c16="http://schemas.microsoft.com/office/drawing/2014/chart" uri="{C3380CC4-5D6E-409C-BE32-E72D297353CC}">
              <c16:uniqueId val="{00000002-DAF7-45FA-8DC9-0DF6D40B345A}"/>
            </c:ext>
          </c:extLst>
        </c:ser>
        <c:ser>
          <c:idx val="3"/>
          <c:order val="3"/>
          <c:tx>
            <c:strRef>
              <c:f>'Tekošais konts_Y'!$B$7</c:f>
              <c:strCache>
                <c:ptCount val="1"/>
                <c:pt idx="0">
                  <c:v>Otrreizējie ienākumi</c:v>
                </c:pt>
              </c:strCache>
            </c:strRef>
          </c:tx>
          <c:spPr>
            <a:solidFill>
              <a:schemeClr val="accent4"/>
            </a:solidFill>
            <a:ln>
              <a:noFill/>
            </a:ln>
            <a:effectLst/>
          </c:spPr>
          <c:invertIfNegative val="0"/>
          <c:cat>
            <c:numRef>
              <c:f>'Tekošais konts_Y'!$Q$2:$U$2</c:f>
              <c:numCache>
                <c:formatCode>General</c:formatCode>
                <c:ptCount val="5"/>
                <c:pt idx="0">
                  <c:v>2019</c:v>
                </c:pt>
                <c:pt idx="1">
                  <c:v>2020</c:v>
                </c:pt>
                <c:pt idx="2">
                  <c:v>2021</c:v>
                </c:pt>
                <c:pt idx="3">
                  <c:v>2022</c:v>
                </c:pt>
                <c:pt idx="4">
                  <c:v>2023</c:v>
                </c:pt>
              </c:numCache>
            </c:numRef>
          </c:cat>
          <c:val>
            <c:numRef>
              <c:f>'Tekošais konts_Y'!$Q$7:$U$7</c:f>
              <c:numCache>
                <c:formatCode>General</c:formatCode>
                <c:ptCount val="5"/>
                <c:pt idx="0">
                  <c:v>431</c:v>
                </c:pt>
                <c:pt idx="1">
                  <c:v>456</c:v>
                </c:pt>
                <c:pt idx="2">
                  <c:v>316</c:v>
                </c:pt>
                <c:pt idx="3">
                  <c:v>424</c:v>
                </c:pt>
                <c:pt idx="4">
                  <c:v>851</c:v>
                </c:pt>
              </c:numCache>
            </c:numRef>
          </c:val>
          <c:extLst>
            <c:ext xmlns:c16="http://schemas.microsoft.com/office/drawing/2014/chart" uri="{C3380CC4-5D6E-409C-BE32-E72D297353CC}">
              <c16:uniqueId val="{00000003-DAF7-45FA-8DC9-0DF6D40B345A}"/>
            </c:ext>
          </c:extLst>
        </c:ser>
        <c:dLbls>
          <c:showLegendKey val="0"/>
          <c:showVal val="0"/>
          <c:showCatName val="0"/>
          <c:showSerName val="0"/>
          <c:showPercent val="0"/>
          <c:showBubbleSize val="0"/>
        </c:dLbls>
        <c:gapWidth val="30"/>
        <c:overlap val="100"/>
        <c:axId val="522491375"/>
        <c:axId val="522492623"/>
      </c:barChart>
      <c:lineChart>
        <c:grouping val="standard"/>
        <c:varyColors val="0"/>
        <c:ser>
          <c:idx val="4"/>
          <c:order val="4"/>
          <c:tx>
            <c:strRef>
              <c:f>'Tekošais konts_Y'!$B$8</c:f>
              <c:strCache>
                <c:ptCount val="1"/>
                <c:pt idx="0">
                  <c:v>Tekošais konts, % no IKP (labā ass)</c:v>
                </c:pt>
              </c:strCache>
            </c:strRef>
          </c:tx>
          <c:spPr>
            <a:ln w="28575" cap="rnd">
              <a:solidFill>
                <a:schemeClr val="tx1"/>
              </a:solidFill>
              <a:round/>
            </a:ln>
            <a:effectLst/>
          </c:spPr>
          <c:marker>
            <c:symbol val="none"/>
          </c:marker>
          <c:cat>
            <c:numRef>
              <c:f>'Tekošais konts_Y'!$Q$2:$U$2</c:f>
              <c:numCache>
                <c:formatCode>General</c:formatCode>
                <c:ptCount val="5"/>
                <c:pt idx="0">
                  <c:v>2019</c:v>
                </c:pt>
                <c:pt idx="1">
                  <c:v>2020</c:v>
                </c:pt>
                <c:pt idx="2">
                  <c:v>2021</c:v>
                </c:pt>
                <c:pt idx="3">
                  <c:v>2022</c:v>
                </c:pt>
                <c:pt idx="4">
                  <c:v>2023</c:v>
                </c:pt>
              </c:numCache>
            </c:numRef>
          </c:cat>
          <c:val>
            <c:numRef>
              <c:f>'Tekošais konts_Y'!$Q$8:$U$8</c:f>
              <c:numCache>
                <c:formatCode>0.0%</c:formatCode>
                <c:ptCount val="5"/>
                <c:pt idx="0">
                  <c:v>-2E-3</c:v>
                </c:pt>
                <c:pt idx="1">
                  <c:v>2.9000000000000001E-2</c:v>
                </c:pt>
                <c:pt idx="2">
                  <c:v>-3.9E-2</c:v>
                </c:pt>
                <c:pt idx="3">
                  <c:v>-5.0999999999999997E-2</c:v>
                </c:pt>
                <c:pt idx="4">
                  <c:v>-3.7999999999999999E-2</c:v>
                </c:pt>
              </c:numCache>
            </c:numRef>
          </c:val>
          <c:smooth val="0"/>
          <c:extLst>
            <c:ext xmlns:c16="http://schemas.microsoft.com/office/drawing/2014/chart" uri="{C3380CC4-5D6E-409C-BE32-E72D297353CC}">
              <c16:uniqueId val="{00000004-DAF7-45FA-8DC9-0DF6D40B345A}"/>
            </c:ext>
          </c:extLst>
        </c:ser>
        <c:dLbls>
          <c:showLegendKey val="0"/>
          <c:showVal val="0"/>
          <c:showCatName val="0"/>
          <c:showSerName val="0"/>
          <c:showPercent val="0"/>
          <c:showBubbleSize val="0"/>
        </c:dLbls>
        <c:marker val="1"/>
        <c:smooth val="0"/>
        <c:axId val="819454831"/>
        <c:axId val="819451919"/>
      </c:lineChart>
      <c:catAx>
        <c:axId val="522491375"/>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22492623"/>
        <c:crosses val="autoZero"/>
        <c:auto val="1"/>
        <c:lblAlgn val="ctr"/>
        <c:lblOffset val="100"/>
        <c:noMultiLvlLbl val="0"/>
      </c:catAx>
      <c:valAx>
        <c:axId val="52249262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22491375"/>
        <c:crosses val="autoZero"/>
        <c:crossBetween val="between"/>
      </c:valAx>
      <c:valAx>
        <c:axId val="819451919"/>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819454831"/>
        <c:crosses val="max"/>
        <c:crossBetween val="between"/>
      </c:valAx>
      <c:catAx>
        <c:axId val="819454831"/>
        <c:scaling>
          <c:orientation val="minMax"/>
        </c:scaling>
        <c:delete val="1"/>
        <c:axPos val="b"/>
        <c:numFmt formatCode="General" sourceLinked="1"/>
        <c:majorTickMark val="out"/>
        <c:minorTickMark val="none"/>
        <c:tickLblPos val="nextTo"/>
        <c:crossAx val="819451919"/>
        <c:crosses val="autoZero"/>
        <c:auto val="1"/>
        <c:lblAlgn val="ctr"/>
        <c:lblOffset val="100"/>
        <c:noMultiLvlLbl val="0"/>
      </c:catAx>
      <c:spPr>
        <a:noFill/>
        <a:ln>
          <a:noFill/>
        </a:ln>
        <a:effectLst/>
      </c:spPr>
    </c:plotArea>
    <c:legend>
      <c:legendPos val="b"/>
      <c:layout>
        <c:manualLayout>
          <c:xMode val="edge"/>
          <c:yMode val="edge"/>
          <c:x val="0.19053563583522018"/>
          <c:y val="0.71390180323022767"/>
          <c:w val="0.66184718326518199"/>
          <c:h val="0.2656203810701136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v-LV" sz="900"/>
              <a:t>milj. eiro</a:t>
            </a:r>
          </a:p>
        </c:rich>
      </c:tx>
      <c:layout>
        <c:manualLayout>
          <c:xMode val="edge"/>
          <c:yMode val="edge"/>
          <c:x val="4.7687172150715855E-5"/>
          <c:y val="0"/>
        </c:manualLayout>
      </c:layout>
      <c:overlay val="0"/>
      <c:spPr>
        <a:noFill/>
        <a:ln>
          <a:noFill/>
        </a:ln>
        <a:effectLst/>
      </c:spPr>
      <c:txPr>
        <a:bodyPr rot="0" spcFirstLastPara="1" vertOverflow="ellipsis" vert="horz" wrap="square" anchor="ctr" anchorCtr="1"/>
        <a:lstStyle/>
        <a:p>
          <a:pPr algn="ctr" rtl="0">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title>
    <c:autoTitleDeleted val="0"/>
    <c:plotArea>
      <c:layout>
        <c:manualLayout>
          <c:layoutTarget val="inner"/>
          <c:xMode val="edge"/>
          <c:yMode val="edge"/>
          <c:x val="8.5465362966968189E-2"/>
          <c:y val="8.5729967069154769E-2"/>
          <c:w val="0.68938625612402149"/>
          <c:h val="0.50479468902638469"/>
        </c:manualLayout>
      </c:layout>
      <c:barChart>
        <c:barDir val="col"/>
        <c:grouping val="stacked"/>
        <c:varyColors val="0"/>
        <c:ser>
          <c:idx val="0"/>
          <c:order val="0"/>
          <c:tx>
            <c:strRef>
              <c:f>'Tekošais konts_Q'!$U$7</c:f>
              <c:strCache>
                <c:ptCount val="1"/>
                <c:pt idx="0">
                  <c:v>Preces</c:v>
                </c:pt>
              </c:strCache>
            </c:strRef>
          </c:tx>
          <c:spPr>
            <a:solidFill>
              <a:schemeClr val="accent1"/>
            </a:solidFill>
            <a:ln>
              <a:noFill/>
            </a:ln>
            <a:effectLst/>
          </c:spPr>
          <c:invertIfNegative val="0"/>
          <c:cat>
            <c:multiLvlStrRef>
              <c:f>'Tekošais konts_Q'!$BC$5:$BL$6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'Tekošais konts_Q'!$BC$7:$BL$7</c:f>
              <c:numCache>
                <c:formatCode>General</c:formatCode>
                <c:ptCount val="10"/>
                <c:pt idx="0">
                  <c:v>-747</c:v>
                </c:pt>
                <c:pt idx="1">
                  <c:v>-1038</c:v>
                </c:pt>
                <c:pt idx="2">
                  <c:v>-1230</c:v>
                </c:pt>
                <c:pt idx="3">
                  <c:v>-1108</c:v>
                </c:pt>
                <c:pt idx="4">
                  <c:v>-824</c:v>
                </c:pt>
                <c:pt idx="5">
                  <c:v>-914</c:v>
                </c:pt>
                <c:pt idx="6">
                  <c:v>-1093</c:v>
                </c:pt>
                <c:pt idx="7">
                  <c:v>-818</c:v>
                </c:pt>
                <c:pt idx="8">
                  <c:v>-455</c:v>
                </c:pt>
                <c:pt idx="9">
                  <c:v>-935</c:v>
                </c:pt>
              </c:numCache>
            </c:numRef>
          </c:val>
          <c:extLst>
            <c:ext xmlns:c16="http://schemas.microsoft.com/office/drawing/2014/chart" uri="{C3380CC4-5D6E-409C-BE32-E72D297353CC}">
              <c16:uniqueId val="{00000000-965E-4FE5-87EC-34D95D23D6A2}"/>
            </c:ext>
          </c:extLst>
        </c:ser>
        <c:ser>
          <c:idx val="1"/>
          <c:order val="1"/>
          <c:tx>
            <c:strRef>
              <c:f>'Tekošais konts_Q'!$U$8</c:f>
              <c:strCache>
                <c:ptCount val="1"/>
                <c:pt idx="0">
                  <c:v>Pakalpojumi</c:v>
                </c:pt>
              </c:strCache>
            </c:strRef>
          </c:tx>
          <c:spPr>
            <a:solidFill>
              <a:schemeClr val="accent2"/>
            </a:solidFill>
            <a:ln>
              <a:noFill/>
            </a:ln>
            <a:effectLst/>
          </c:spPr>
          <c:invertIfNegative val="0"/>
          <c:cat>
            <c:multiLvlStrRef>
              <c:f>'Tekošais konts_Q'!$BC$5:$BL$6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'Tekošais konts_Q'!$BC$8:$BL$8</c:f>
              <c:numCache>
                <c:formatCode>General</c:formatCode>
                <c:ptCount val="10"/>
                <c:pt idx="0">
                  <c:v>466</c:v>
                </c:pt>
                <c:pt idx="1">
                  <c:v>587</c:v>
                </c:pt>
                <c:pt idx="2">
                  <c:v>695</c:v>
                </c:pt>
                <c:pt idx="3">
                  <c:v>612</c:v>
                </c:pt>
                <c:pt idx="4">
                  <c:v>407</c:v>
                </c:pt>
                <c:pt idx="5">
                  <c:v>593</c:v>
                </c:pt>
                <c:pt idx="6">
                  <c:v>658</c:v>
                </c:pt>
                <c:pt idx="7">
                  <c:v>530</c:v>
                </c:pt>
                <c:pt idx="8">
                  <c:v>391</c:v>
                </c:pt>
                <c:pt idx="9">
                  <c:v>573</c:v>
                </c:pt>
              </c:numCache>
            </c:numRef>
          </c:val>
          <c:extLst>
            <c:ext xmlns:c16="http://schemas.microsoft.com/office/drawing/2014/chart" uri="{C3380CC4-5D6E-409C-BE32-E72D297353CC}">
              <c16:uniqueId val="{00000001-965E-4FE5-87EC-34D95D23D6A2}"/>
            </c:ext>
          </c:extLst>
        </c:ser>
        <c:ser>
          <c:idx val="2"/>
          <c:order val="2"/>
          <c:tx>
            <c:strRef>
              <c:f>'Tekošais konts_Q'!$U$9</c:f>
              <c:strCache>
                <c:ptCount val="1"/>
                <c:pt idx="0">
                  <c:v>Sākotnējie ienākumi</c:v>
                </c:pt>
              </c:strCache>
            </c:strRef>
          </c:tx>
          <c:spPr>
            <a:solidFill>
              <a:schemeClr val="accent3"/>
            </a:solidFill>
            <a:ln>
              <a:noFill/>
            </a:ln>
            <a:effectLst/>
          </c:spPr>
          <c:invertIfNegative val="0"/>
          <c:cat>
            <c:multiLvlStrRef>
              <c:f>'Tekošais konts_Q'!$BC$5:$BL$6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'Tekošais konts_Q'!$BC$9:$BL$9</c:f>
              <c:numCache>
                <c:formatCode>General</c:formatCode>
                <c:ptCount val="10"/>
                <c:pt idx="0">
                  <c:v>-266</c:v>
                </c:pt>
                <c:pt idx="1">
                  <c:v>-230</c:v>
                </c:pt>
                <c:pt idx="2">
                  <c:v>-241</c:v>
                </c:pt>
                <c:pt idx="3">
                  <c:v>104</c:v>
                </c:pt>
                <c:pt idx="4">
                  <c:v>-292</c:v>
                </c:pt>
                <c:pt idx="5">
                  <c:v>-271</c:v>
                </c:pt>
                <c:pt idx="6">
                  <c:v>-365</c:v>
                </c:pt>
                <c:pt idx="7">
                  <c:v>1</c:v>
                </c:pt>
                <c:pt idx="8">
                  <c:v>-154</c:v>
                </c:pt>
                <c:pt idx="9">
                  <c:v>-221</c:v>
                </c:pt>
              </c:numCache>
            </c:numRef>
          </c:val>
          <c:extLst>
            <c:ext xmlns:c16="http://schemas.microsoft.com/office/drawing/2014/chart" uri="{C3380CC4-5D6E-409C-BE32-E72D297353CC}">
              <c16:uniqueId val="{00000002-965E-4FE5-87EC-34D95D23D6A2}"/>
            </c:ext>
          </c:extLst>
        </c:ser>
        <c:ser>
          <c:idx val="3"/>
          <c:order val="3"/>
          <c:tx>
            <c:strRef>
              <c:f>'Tekošais konts_Q'!$U$10</c:f>
              <c:strCache>
                <c:ptCount val="1"/>
                <c:pt idx="0">
                  <c:v>Otrreizējie ienākumi</c:v>
                </c:pt>
              </c:strCache>
            </c:strRef>
          </c:tx>
          <c:spPr>
            <a:solidFill>
              <a:schemeClr val="accent4"/>
            </a:solidFill>
            <a:ln>
              <a:noFill/>
            </a:ln>
            <a:effectLst/>
          </c:spPr>
          <c:invertIfNegative val="0"/>
          <c:cat>
            <c:multiLvlStrRef>
              <c:f>'Tekošais konts_Q'!$BC$5:$BL$6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'Tekošais konts_Q'!$BC$10:$BL$10</c:f>
              <c:numCache>
                <c:formatCode>General</c:formatCode>
                <c:ptCount val="10"/>
                <c:pt idx="0">
                  <c:v>63</c:v>
                </c:pt>
                <c:pt idx="1">
                  <c:v>58</c:v>
                </c:pt>
                <c:pt idx="2">
                  <c:v>126</c:v>
                </c:pt>
                <c:pt idx="3">
                  <c:v>177</c:v>
                </c:pt>
                <c:pt idx="4">
                  <c:v>219</c:v>
                </c:pt>
                <c:pt idx="5">
                  <c:v>222</c:v>
                </c:pt>
                <c:pt idx="6">
                  <c:v>235</c:v>
                </c:pt>
                <c:pt idx="7">
                  <c:v>175</c:v>
                </c:pt>
                <c:pt idx="8">
                  <c:v>150</c:v>
                </c:pt>
                <c:pt idx="9">
                  <c:v>181</c:v>
                </c:pt>
              </c:numCache>
            </c:numRef>
          </c:val>
          <c:extLst>
            <c:ext xmlns:c16="http://schemas.microsoft.com/office/drawing/2014/chart" uri="{C3380CC4-5D6E-409C-BE32-E72D297353CC}">
              <c16:uniqueId val="{00000003-965E-4FE5-87EC-34D95D23D6A2}"/>
            </c:ext>
          </c:extLst>
        </c:ser>
        <c:dLbls>
          <c:showLegendKey val="0"/>
          <c:showVal val="0"/>
          <c:showCatName val="0"/>
          <c:showSerName val="0"/>
          <c:showPercent val="0"/>
          <c:showBubbleSize val="0"/>
        </c:dLbls>
        <c:gapWidth val="30"/>
        <c:overlap val="100"/>
        <c:axId val="779003200"/>
        <c:axId val="779008192"/>
      </c:barChart>
      <c:lineChart>
        <c:grouping val="standard"/>
        <c:varyColors val="0"/>
        <c:ser>
          <c:idx val="4"/>
          <c:order val="4"/>
          <c:tx>
            <c:strRef>
              <c:f>'Tekošais konts_Q'!$U$11</c:f>
              <c:strCache>
                <c:ptCount val="1"/>
                <c:pt idx="0">
                  <c:v>Tekošais konts (% no IKP, l.a.)</c:v>
                </c:pt>
              </c:strCache>
            </c:strRef>
          </c:tx>
          <c:spPr>
            <a:ln w="28575" cap="rnd">
              <a:solidFill>
                <a:schemeClr val="tx1"/>
              </a:solidFill>
              <a:round/>
            </a:ln>
            <a:effectLst/>
          </c:spPr>
          <c:marker>
            <c:symbol val="none"/>
          </c:marker>
          <c:cat>
            <c:multiLvlStrRef>
              <c:f>'Tekošais konts_Q'!$BC$5:$BL$6</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'Tekošais konts_Q'!$BC$11:$BL$11</c:f>
              <c:numCache>
                <c:formatCode>0.0%</c:formatCode>
                <c:ptCount val="10"/>
                <c:pt idx="0">
                  <c:v>-5.9000000000000004E-2</c:v>
                </c:pt>
                <c:pt idx="1">
                  <c:v>-6.6000000000000003E-2</c:v>
                </c:pt>
                <c:pt idx="2">
                  <c:v>-6.3E-2</c:v>
                </c:pt>
                <c:pt idx="3" formatCode="0.00%">
                  <c:v>-2.1000000000000001E-2</c:v>
                </c:pt>
                <c:pt idx="4" formatCode="0.00%">
                  <c:v>-5.4000000000000006E-2</c:v>
                </c:pt>
                <c:pt idx="5" formatCode="0.00%">
                  <c:v>-3.7000000000000005E-2</c:v>
                </c:pt>
                <c:pt idx="6" formatCode="General">
                  <c:v>-5.4000000000000006E-2</c:v>
                </c:pt>
                <c:pt idx="7" formatCode="General">
                  <c:v>-0.01</c:v>
                </c:pt>
                <c:pt idx="8" formatCode="General">
                  <c:v>-6.9999999999999993E-3</c:v>
                </c:pt>
                <c:pt idx="9" formatCode="General">
                  <c:v>-3.9E-2</c:v>
                </c:pt>
              </c:numCache>
            </c:numRef>
          </c:val>
          <c:smooth val="0"/>
          <c:extLst>
            <c:ext xmlns:c16="http://schemas.microsoft.com/office/drawing/2014/chart" uri="{C3380CC4-5D6E-409C-BE32-E72D297353CC}">
              <c16:uniqueId val="{00000004-965E-4FE5-87EC-34D95D23D6A2}"/>
            </c:ext>
          </c:extLst>
        </c:ser>
        <c:dLbls>
          <c:showLegendKey val="0"/>
          <c:showVal val="0"/>
          <c:showCatName val="0"/>
          <c:showSerName val="0"/>
          <c:showPercent val="0"/>
          <c:showBubbleSize val="0"/>
        </c:dLbls>
        <c:marker val="1"/>
        <c:smooth val="0"/>
        <c:axId val="778899200"/>
        <c:axId val="778907104"/>
      </c:lineChart>
      <c:catAx>
        <c:axId val="779003200"/>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79008192"/>
        <c:crosses val="autoZero"/>
        <c:auto val="1"/>
        <c:lblAlgn val="ctr"/>
        <c:lblOffset val="100"/>
        <c:noMultiLvlLbl val="0"/>
      </c:catAx>
      <c:valAx>
        <c:axId val="779008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79003200"/>
        <c:crosses val="autoZero"/>
        <c:crossBetween val="between"/>
        <c:majorUnit val="300"/>
      </c:valAx>
      <c:valAx>
        <c:axId val="778907104"/>
        <c:scaling>
          <c:orientation val="minMax"/>
          <c:max val="6.0000000000000012E-2"/>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78899200"/>
        <c:crosses val="max"/>
        <c:crossBetween val="between"/>
      </c:valAx>
      <c:catAx>
        <c:axId val="778899200"/>
        <c:scaling>
          <c:orientation val="minMax"/>
        </c:scaling>
        <c:delete val="1"/>
        <c:axPos val="b"/>
        <c:numFmt formatCode="General" sourceLinked="1"/>
        <c:majorTickMark val="out"/>
        <c:minorTickMark val="none"/>
        <c:tickLblPos val="nextTo"/>
        <c:crossAx val="778907104"/>
        <c:crosses val="autoZero"/>
        <c:auto val="1"/>
        <c:lblAlgn val="ctr"/>
        <c:lblOffset val="100"/>
        <c:noMultiLvlLbl val="0"/>
      </c:catAx>
      <c:spPr>
        <a:noFill/>
        <a:ln>
          <a:noFill/>
        </a:ln>
        <a:effectLst/>
      </c:spPr>
    </c:plotArea>
    <c:legend>
      <c:legendPos val="b"/>
      <c:layout>
        <c:manualLayout>
          <c:xMode val="edge"/>
          <c:yMode val="edge"/>
          <c:x val="0"/>
          <c:y val="0.7122322150489484"/>
          <c:w val="0.97748905534812047"/>
          <c:h val="0.2671705171765990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37199516727076"/>
          <c:y val="4.4150110375275942E-2"/>
          <c:w val="0.86352747573220012"/>
          <c:h val="0.62644075627840867"/>
        </c:manualLayout>
      </c:layout>
      <c:barChart>
        <c:barDir val="col"/>
        <c:grouping val="stacked"/>
        <c:varyColors val="0"/>
        <c:ser>
          <c:idx val="0"/>
          <c:order val="0"/>
          <c:tx>
            <c:strRef>
              <c:f>Invest_Eurostat_Q!$D$26</c:f>
              <c:strCache>
                <c:ptCount val="1"/>
                <c:pt idx="0">
                  <c:v>Ēkas, būves, celtnes</c:v>
                </c:pt>
              </c:strCache>
            </c:strRef>
          </c:tx>
          <c:spPr>
            <a:solidFill>
              <a:schemeClr val="accent1">
                <a:lumMod val="60000"/>
                <a:lumOff val="40000"/>
              </a:schemeClr>
            </a:solidFill>
            <a:ln w="25400">
              <a:noFill/>
            </a:ln>
          </c:spPr>
          <c:invertIfNegative val="0"/>
          <c:cat>
            <c:multiLvlStrRef>
              <c:f>Invest_Eurostat_Q!$W$9:$AF$10</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Invest_Eurostat_Q!$W$20:$AF$20</c:f>
              <c:numCache>
                <c:formatCode>0</c:formatCode>
                <c:ptCount val="10"/>
                <c:pt idx="0">
                  <c:v>544.9</c:v>
                </c:pt>
                <c:pt idx="1">
                  <c:v>594</c:v>
                </c:pt>
                <c:pt idx="2">
                  <c:v>712.6</c:v>
                </c:pt>
                <c:pt idx="3">
                  <c:v>763.6</c:v>
                </c:pt>
                <c:pt idx="4">
                  <c:v>637.79999999999995</c:v>
                </c:pt>
                <c:pt idx="5">
                  <c:v>684.3</c:v>
                </c:pt>
                <c:pt idx="6">
                  <c:v>827.8</c:v>
                </c:pt>
                <c:pt idx="7">
                  <c:v>958.4</c:v>
                </c:pt>
                <c:pt idx="8">
                  <c:v>602.79999999999995</c:v>
                </c:pt>
                <c:pt idx="9">
                  <c:v>674.1</c:v>
                </c:pt>
              </c:numCache>
            </c:numRef>
          </c:val>
          <c:extLst>
            <c:ext xmlns:c16="http://schemas.microsoft.com/office/drawing/2014/chart" uri="{C3380CC4-5D6E-409C-BE32-E72D297353CC}">
              <c16:uniqueId val="{00000000-600B-40B4-A142-DDA50FF2F6BD}"/>
            </c:ext>
          </c:extLst>
        </c:ser>
        <c:ser>
          <c:idx val="1"/>
          <c:order val="1"/>
          <c:tx>
            <c:strRef>
              <c:f>Invest_Eurostat_Q!$D$27</c:f>
              <c:strCache>
                <c:ptCount val="1"/>
                <c:pt idx="0">
                  <c:v>Tehnoģiskās iekārtas un mašīnas</c:v>
                </c:pt>
              </c:strCache>
            </c:strRef>
          </c:tx>
          <c:spPr>
            <a:solidFill>
              <a:schemeClr val="accent2">
                <a:lumMod val="60000"/>
                <a:lumOff val="40000"/>
              </a:schemeClr>
            </a:solidFill>
            <a:ln w="25400">
              <a:noFill/>
            </a:ln>
          </c:spPr>
          <c:invertIfNegative val="0"/>
          <c:cat>
            <c:multiLvlStrRef>
              <c:f>Invest_Eurostat_Q!$W$9:$AF$10</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Invest_Eurostat_Q!$W$21:$AF$21</c:f>
              <c:numCache>
                <c:formatCode>0</c:formatCode>
                <c:ptCount val="10"/>
                <c:pt idx="0">
                  <c:v>594.4</c:v>
                </c:pt>
                <c:pt idx="1">
                  <c:v>780.1</c:v>
                </c:pt>
                <c:pt idx="2">
                  <c:v>934.3</c:v>
                </c:pt>
                <c:pt idx="3">
                  <c:v>987.5</c:v>
                </c:pt>
                <c:pt idx="4">
                  <c:v>635.70000000000005</c:v>
                </c:pt>
                <c:pt idx="5">
                  <c:v>781.6</c:v>
                </c:pt>
                <c:pt idx="6">
                  <c:v>878.9</c:v>
                </c:pt>
                <c:pt idx="7">
                  <c:v>990.1</c:v>
                </c:pt>
                <c:pt idx="8">
                  <c:v>543</c:v>
                </c:pt>
                <c:pt idx="9">
                  <c:v>707</c:v>
                </c:pt>
              </c:numCache>
            </c:numRef>
          </c:val>
          <c:extLst>
            <c:ext xmlns:c16="http://schemas.microsoft.com/office/drawing/2014/chart" uri="{C3380CC4-5D6E-409C-BE32-E72D297353CC}">
              <c16:uniqueId val="{00000001-600B-40B4-A142-DDA50FF2F6BD}"/>
            </c:ext>
          </c:extLst>
        </c:ser>
        <c:ser>
          <c:idx val="2"/>
          <c:order val="2"/>
          <c:tx>
            <c:strRef>
              <c:f>Invest_Eurostat_Q!$D$28</c:f>
              <c:strCache>
                <c:ptCount val="1"/>
                <c:pt idx="0">
                  <c:v>Intelektuāla īpašuma produkti</c:v>
                </c:pt>
              </c:strCache>
            </c:strRef>
          </c:tx>
          <c:spPr>
            <a:solidFill>
              <a:srgbClr val="A5A5A5"/>
            </a:solidFill>
            <a:ln w="25400">
              <a:noFill/>
            </a:ln>
          </c:spPr>
          <c:invertIfNegative val="0"/>
          <c:cat>
            <c:multiLvlStrRef>
              <c:f>Invest_Eurostat_Q!$W$9:$AF$10</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Invest_Eurostat_Q!$W$22:$AF$22</c:f>
              <c:numCache>
                <c:formatCode>0</c:formatCode>
                <c:ptCount val="10"/>
                <c:pt idx="0">
                  <c:v>97.6</c:v>
                </c:pt>
                <c:pt idx="1">
                  <c:v>226.5</c:v>
                </c:pt>
                <c:pt idx="2">
                  <c:v>261.8</c:v>
                </c:pt>
                <c:pt idx="3">
                  <c:v>120.4</c:v>
                </c:pt>
                <c:pt idx="4">
                  <c:v>101.8</c:v>
                </c:pt>
                <c:pt idx="5">
                  <c:v>226.7</c:v>
                </c:pt>
                <c:pt idx="6">
                  <c:v>258.3</c:v>
                </c:pt>
                <c:pt idx="7">
                  <c:v>113.9</c:v>
                </c:pt>
                <c:pt idx="8">
                  <c:v>92.7</c:v>
                </c:pt>
                <c:pt idx="9">
                  <c:v>206.9</c:v>
                </c:pt>
              </c:numCache>
            </c:numRef>
          </c:val>
          <c:extLst>
            <c:ext xmlns:c16="http://schemas.microsoft.com/office/drawing/2014/chart" uri="{C3380CC4-5D6E-409C-BE32-E72D297353CC}">
              <c16:uniqueId val="{00000002-600B-40B4-A142-DDA50FF2F6BD}"/>
            </c:ext>
          </c:extLst>
        </c:ser>
        <c:ser>
          <c:idx val="3"/>
          <c:order val="3"/>
          <c:tx>
            <c:strRef>
              <c:f>Invest_Eurostat_Q!$D$29</c:f>
              <c:strCache>
                <c:ptCount val="1"/>
                <c:pt idx="0">
                  <c:v>Pārējie pamatlīdzekļi </c:v>
                </c:pt>
              </c:strCache>
            </c:strRef>
          </c:tx>
          <c:spPr>
            <a:solidFill>
              <a:srgbClr val="FFC000"/>
            </a:solidFill>
            <a:ln w="25400">
              <a:noFill/>
            </a:ln>
          </c:spPr>
          <c:invertIfNegative val="0"/>
          <c:cat>
            <c:multiLvlStrRef>
              <c:f>Invest_Eurostat_Q!$W$9:$AF$10</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Invest_Eurostat_Q!$W$23:$AF$23</c:f>
              <c:numCache>
                <c:formatCode>0</c:formatCode>
                <c:ptCount val="10"/>
                <c:pt idx="0">
                  <c:v>8.1</c:v>
                </c:pt>
                <c:pt idx="1">
                  <c:v>8.3000000000000007</c:v>
                </c:pt>
                <c:pt idx="2">
                  <c:v>11.4</c:v>
                </c:pt>
                <c:pt idx="3">
                  <c:v>9.9</c:v>
                </c:pt>
                <c:pt idx="4">
                  <c:v>7.4</c:v>
                </c:pt>
                <c:pt idx="5">
                  <c:v>7.7</c:v>
                </c:pt>
                <c:pt idx="6">
                  <c:v>10.4</c:v>
                </c:pt>
                <c:pt idx="7">
                  <c:v>9.1</c:v>
                </c:pt>
                <c:pt idx="8">
                  <c:v>6.8</c:v>
                </c:pt>
                <c:pt idx="9">
                  <c:v>7</c:v>
                </c:pt>
              </c:numCache>
            </c:numRef>
          </c:val>
          <c:extLst>
            <c:ext xmlns:c16="http://schemas.microsoft.com/office/drawing/2014/chart" uri="{C3380CC4-5D6E-409C-BE32-E72D297353CC}">
              <c16:uniqueId val="{00000003-600B-40B4-A142-DDA50FF2F6BD}"/>
            </c:ext>
          </c:extLst>
        </c:ser>
        <c:dLbls>
          <c:showLegendKey val="0"/>
          <c:showVal val="0"/>
          <c:showCatName val="0"/>
          <c:showSerName val="0"/>
          <c:showPercent val="0"/>
          <c:showBubbleSize val="0"/>
        </c:dLbls>
        <c:gapWidth val="30"/>
        <c:overlap val="100"/>
        <c:axId val="661115376"/>
        <c:axId val="1"/>
      </c:barChart>
      <c:catAx>
        <c:axId val="66111537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lv-LV"/>
          </a:p>
        </c:txPr>
        <c:crossAx val="1"/>
        <c:crosses val="autoZero"/>
        <c:auto val="1"/>
        <c:lblAlgn val="ctr"/>
        <c:lblOffset val="100"/>
        <c:noMultiLvlLbl val="0"/>
      </c:catAx>
      <c:valAx>
        <c:axId val="1"/>
        <c:scaling>
          <c:orientation val="minMax"/>
          <c:max val="21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vert="horz"/>
          <a:lstStyle/>
          <a:p>
            <a:pPr>
              <a:defRPr/>
            </a:pPr>
            <a:endParaRPr lang="lv-LV"/>
          </a:p>
        </c:txPr>
        <c:crossAx val="661115376"/>
        <c:crosses val="autoZero"/>
        <c:crossBetween val="between"/>
        <c:majorUnit val="300"/>
      </c:valAx>
      <c:spPr>
        <a:noFill/>
        <a:ln w="25400">
          <a:noFill/>
        </a:ln>
      </c:spPr>
    </c:plotArea>
    <c:legend>
      <c:legendPos val="b"/>
      <c:layout>
        <c:manualLayout>
          <c:xMode val="edge"/>
          <c:yMode val="edge"/>
          <c:x val="0.1127565236410666"/>
          <c:y val="0.80341815716744014"/>
          <c:w val="0.81977657004830906"/>
          <c:h val="0.16512488919017573"/>
        </c:manualLayout>
      </c:layout>
      <c:overlay val="0"/>
      <c:spPr>
        <a:noFill/>
        <a:ln w="25400">
          <a:noFill/>
        </a:ln>
      </c:spPr>
      <c:txPr>
        <a:bodyPr rot="0" vert="horz"/>
        <a:lstStyle/>
        <a:p>
          <a:pPr>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Invest_Eurostat_Q!$D$26</c:f>
              <c:strCache>
                <c:ptCount val="1"/>
                <c:pt idx="0">
                  <c:v>Ēkas, būves, celtnes</c:v>
                </c:pt>
              </c:strCache>
            </c:strRef>
          </c:tx>
          <c:spPr>
            <a:solidFill>
              <a:schemeClr val="accent1">
                <a:lumMod val="60000"/>
                <a:lumOff val="40000"/>
              </a:schemeClr>
            </a:solidFill>
            <a:ln w="25400">
              <a:noFill/>
            </a:ln>
          </c:spPr>
          <c:invertIfNegative val="0"/>
          <c:cat>
            <c:multiLvlStrRef>
              <c:f>Invest_Eurostat_Q!$W$9:$AF$10</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Invest_Eurostat_Q!$W$26:$AF$26</c:f>
              <c:numCache>
                <c:formatCode>0</c:formatCode>
                <c:ptCount val="10"/>
                <c:pt idx="0">
                  <c:v>-45.700000000000045</c:v>
                </c:pt>
                <c:pt idx="1">
                  <c:v>-98.399999999999977</c:v>
                </c:pt>
                <c:pt idx="2">
                  <c:v>-111.39999999999998</c:v>
                </c:pt>
                <c:pt idx="3">
                  <c:v>-70.299999999999955</c:v>
                </c:pt>
                <c:pt idx="4">
                  <c:v>92.899999999999977</c:v>
                </c:pt>
                <c:pt idx="5">
                  <c:v>90.299999999999955</c:v>
                </c:pt>
                <c:pt idx="6">
                  <c:v>115.19999999999993</c:v>
                </c:pt>
                <c:pt idx="7">
                  <c:v>194.79999999999995</c:v>
                </c:pt>
                <c:pt idx="8">
                  <c:v>-35</c:v>
                </c:pt>
                <c:pt idx="9">
                  <c:v>-10.199999999999932</c:v>
                </c:pt>
              </c:numCache>
            </c:numRef>
          </c:val>
          <c:extLst>
            <c:ext xmlns:c16="http://schemas.microsoft.com/office/drawing/2014/chart" uri="{C3380CC4-5D6E-409C-BE32-E72D297353CC}">
              <c16:uniqueId val="{00000000-CA95-4B56-8029-5542C1F10000}"/>
            </c:ext>
          </c:extLst>
        </c:ser>
        <c:ser>
          <c:idx val="1"/>
          <c:order val="1"/>
          <c:tx>
            <c:strRef>
              <c:f>Invest_Eurostat_Q!$D$27</c:f>
              <c:strCache>
                <c:ptCount val="1"/>
                <c:pt idx="0">
                  <c:v>Tehnoģiskās iekārtas un mašīnas</c:v>
                </c:pt>
              </c:strCache>
            </c:strRef>
          </c:tx>
          <c:spPr>
            <a:solidFill>
              <a:schemeClr val="accent2">
                <a:lumMod val="60000"/>
                <a:lumOff val="40000"/>
              </a:schemeClr>
            </a:solidFill>
            <a:ln w="25400">
              <a:noFill/>
            </a:ln>
          </c:spPr>
          <c:invertIfNegative val="0"/>
          <c:cat>
            <c:multiLvlStrRef>
              <c:f>Invest_Eurostat_Q!$W$9:$AF$10</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Invest_Eurostat_Q!$W$27:$AF$27</c:f>
              <c:numCache>
                <c:formatCode>0</c:formatCode>
                <c:ptCount val="10"/>
                <c:pt idx="0">
                  <c:v>59.399999999999977</c:v>
                </c:pt>
                <c:pt idx="1">
                  <c:v>75.700000000000045</c:v>
                </c:pt>
                <c:pt idx="2">
                  <c:v>91.199999999999932</c:v>
                </c:pt>
                <c:pt idx="3">
                  <c:v>57.700000000000045</c:v>
                </c:pt>
                <c:pt idx="4">
                  <c:v>41.300000000000068</c:v>
                </c:pt>
                <c:pt idx="5">
                  <c:v>1.5</c:v>
                </c:pt>
                <c:pt idx="6">
                  <c:v>-55.399999999999977</c:v>
                </c:pt>
                <c:pt idx="7">
                  <c:v>2.6000000000000227</c:v>
                </c:pt>
                <c:pt idx="8">
                  <c:v>-92.700000000000045</c:v>
                </c:pt>
                <c:pt idx="9">
                  <c:v>-74.600000000000023</c:v>
                </c:pt>
              </c:numCache>
            </c:numRef>
          </c:val>
          <c:extLst>
            <c:ext xmlns:c16="http://schemas.microsoft.com/office/drawing/2014/chart" uri="{C3380CC4-5D6E-409C-BE32-E72D297353CC}">
              <c16:uniqueId val="{00000001-CA95-4B56-8029-5542C1F10000}"/>
            </c:ext>
          </c:extLst>
        </c:ser>
        <c:ser>
          <c:idx val="2"/>
          <c:order val="2"/>
          <c:tx>
            <c:strRef>
              <c:f>Invest_Eurostat_Q!$D$28</c:f>
              <c:strCache>
                <c:ptCount val="1"/>
                <c:pt idx="0">
                  <c:v>Intelektuāla īpašuma produkti</c:v>
                </c:pt>
              </c:strCache>
            </c:strRef>
          </c:tx>
          <c:spPr>
            <a:solidFill>
              <a:srgbClr val="A5A5A5"/>
            </a:solidFill>
            <a:ln w="25400">
              <a:noFill/>
            </a:ln>
          </c:spPr>
          <c:invertIfNegative val="0"/>
          <c:cat>
            <c:multiLvlStrRef>
              <c:f>Invest_Eurostat_Q!$W$9:$AF$10</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Invest_Eurostat_Q!$W$28:$AF$28</c:f>
              <c:numCache>
                <c:formatCode>0</c:formatCode>
                <c:ptCount val="10"/>
                <c:pt idx="0">
                  <c:v>19.399999999999991</c:v>
                </c:pt>
                <c:pt idx="1">
                  <c:v>37.599999999999994</c:v>
                </c:pt>
                <c:pt idx="2">
                  <c:v>40.100000000000023</c:v>
                </c:pt>
                <c:pt idx="3">
                  <c:v>25.600000000000009</c:v>
                </c:pt>
                <c:pt idx="4">
                  <c:v>4.2000000000000028</c:v>
                </c:pt>
                <c:pt idx="5">
                  <c:v>0.19999999999998863</c:v>
                </c:pt>
                <c:pt idx="6">
                  <c:v>-3.5</c:v>
                </c:pt>
                <c:pt idx="7">
                  <c:v>-6.5</c:v>
                </c:pt>
                <c:pt idx="8">
                  <c:v>-9.0999999999999943</c:v>
                </c:pt>
                <c:pt idx="9">
                  <c:v>-19.799999999999983</c:v>
                </c:pt>
              </c:numCache>
            </c:numRef>
          </c:val>
          <c:extLst>
            <c:ext xmlns:c16="http://schemas.microsoft.com/office/drawing/2014/chart" uri="{C3380CC4-5D6E-409C-BE32-E72D297353CC}">
              <c16:uniqueId val="{00000002-CA95-4B56-8029-5542C1F10000}"/>
            </c:ext>
          </c:extLst>
        </c:ser>
        <c:ser>
          <c:idx val="3"/>
          <c:order val="3"/>
          <c:tx>
            <c:strRef>
              <c:f>Invest_Eurostat_Q!$D$29</c:f>
              <c:strCache>
                <c:ptCount val="1"/>
                <c:pt idx="0">
                  <c:v>Pārējie pamatlīdzekļi </c:v>
                </c:pt>
              </c:strCache>
            </c:strRef>
          </c:tx>
          <c:spPr>
            <a:solidFill>
              <a:srgbClr val="FFC000"/>
            </a:solidFill>
            <a:ln w="25400">
              <a:noFill/>
            </a:ln>
          </c:spPr>
          <c:invertIfNegative val="0"/>
          <c:cat>
            <c:multiLvlStrRef>
              <c:f>Invest_Eurostat_Q!$W$9:$AF$10</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Invest_Eurostat_Q!$W$29:$AF$29</c:f>
              <c:numCache>
                <c:formatCode>0</c:formatCode>
                <c:ptCount val="10"/>
                <c:pt idx="0">
                  <c:v>-0.70000000000000107</c:v>
                </c:pt>
                <c:pt idx="1">
                  <c:v>-0.79999999999999893</c:v>
                </c:pt>
                <c:pt idx="2">
                  <c:v>-1</c:v>
                </c:pt>
                <c:pt idx="3">
                  <c:v>-0.90000000000000036</c:v>
                </c:pt>
                <c:pt idx="4">
                  <c:v>-0.69999999999999929</c:v>
                </c:pt>
                <c:pt idx="5">
                  <c:v>-0.60000000000000053</c:v>
                </c:pt>
                <c:pt idx="6">
                  <c:v>-1</c:v>
                </c:pt>
                <c:pt idx="7">
                  <c:v>-0.80000000000000071</c:v>
                </c:pt>
                <c:pt idx="8">
                  <c:v>-0.60000000000000053</c:v>
                </c:pt>
                <c:pt idx="9">
                  <c:v>-0.70000000000000018</c:v>
                </c:pt>
              </c:numCache>
            </c:numRef>
          </c:val>
          <c:extLst>
            <c:ext xmlns:c16="http://schemas.microsoft.com/office/drawing/2014/chart" uri="{C3380CC4-5D6E-409C-BE32-E72D297353CC}">
              <c16:uniqueId val="{00000003-CA95-4B56-8029-5542C1F10000}"/>
            </c:ext>
          </c:extLst>
        </c:ser>
        <c:dLbls>
          <c:showLegendKey val="0"/>
          <c:showVal val="0"/>
          <c:showCatName val="0"/>
          <c:showSerName val="0"/>
          <c:showPercent val="0"/>
          <c:showBubbleSize val="0"/>
        </c:dLbls>
        <c:gapWidth val="30"/>
        <c:overlap val="100"/>
        <c:axId val="661113408"/>
        <c:axId val="1"/>
      </c:barChart>
      <c:lineChart>
        <c:grouping val="standard"/>
        <c:varyColors val="0"/>
        <c:ser>
          <c:idx val="4"/>
          <c:order val="4"/>
          <c:tx>
            <c:strRef>
              <c:f>Invest_Eurostat_Q!$D$30</c:f>
              <c:strCache>
                <c:ptCount val="1"/>
                <c:pt idx="0">
                  <c:v>Investīciju izmaiņas, % (labā ass)</c:v>
                </c:pt>
              </c:strCache>
            </c:strRef>
          </c:tx>
          <c:spPr>
            <a:ln w="28575" cap="rnd">
              <a:solidFill>
                <a:schemeClr val="tx1"/>
              </a:solidFill>
              <a:round/>
            </a:ln>
            <a:effectLst/>
          </c:spPr>
          <c:marker>
            <c:symbol val="none"/>
          </c:marker>
          <c:cat>
            <c:multiLvlStrRef>
              <c:f>Invest_Eurostat_Q!$W$9:$AF$10</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Invest_Eurostat_Q!$W$30:$AF$30</c:f>
              <c:numCache>
                <c:formatCode>0</c:formatCode>
                <c:ptCount val="10"/>
                <c:pt idx="0" formatCode="0.0">
                  <c:v>1.9779855996027551</c:v>
                </c:pt>
                <c:pt idx="1">
                  <c:v>0.20128318027425118</c:v>
                </c:pt>
                <c:pt idx="2" formatCode="0.0">
                  <c:v>0.30088682432431468</c:v>
                </c:pt>
                <c:pt idx="3">
                  <c:v>0.19000054285869389</c:v>
                </c:pt>
                <c:pt idx="4" formatCode="0.0">
                  <c:v>12.286966401558178</c:v>
                </c:pt>
                <c:pt idx="5" formatCode="0.0">
                  <c:v>6.0075329566855018</c:v>
                </c:pt>
                <c:pt idx="6" formatCode="0.0">
                  <c:v>3.678753749802647</c:v>
                </c:pt>
                <c:pt idx="7" formatCode="0.0">
                  <c:v>12.055700043346338</c:v>
                </c:pt>
                <c:pt idx="8" formatCode="0.0">
                  <c:v>-9.3307314252674125</c:v>
                </c:pt>
                <c:pt idx="9" formatCode="0.0">
                  <c:v>-5.6611594717830362</c:v>
                </c:pt>
              </c:numCache>
            </c:numRef>
          </c:val>
          <c:smooth val="0"/>
          <c:extLst>
            <c:ext xmlns:c16="http://schemas.microsoft.com/office/drawing/2014/chart" uri="{C3380CC4-5D6E-409C-BE32-E72D297353CC}">
              <c16:uniqueId val="{00000004-CA95-4B56-8029-5542C1F10000}"/>
            </c:ext>
          </c:extLst>
        </c:ser>
        <c:dLbls>
          <c:showLegendKey val="0"/>
          <c:showVal val="0"/>
          <c:showCatName val="0"/>
          <c:showSerName val="0"/>
          <c:showPercent val="0"/>
          <c:showBubbleSize val="0"/>
        </c:dLbls>
        <c:marker val="1"/>
        <c:smooth val="0"/>
        <c:axId val="3"/>
        <c:axId val="4"/>
      </c:lineChart>
      <c:catAx>
        <c:axId val="66111340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vert="horz"/>
          <a:lstStyle/>
          <a:p>
            <a:pPr>
              <a:defRPr/>
            </a:pPr>
            <a:endParaRPr lang="lv-LV"/>
          </a:p>
        </c:txPr>
        <c:crossAx val="1"/>
        <c:crosses val="autoZero"/>
        <c:auto val="1"/>
        <c:lblAlgn val="ctr"/>
        <c:lblOffset val="100"/>
        <c:noMultiLvlLbl val="0"/>
      </c:catAx>
      <c:valAx>
        <c:axId val="1"/>
        <c:scaling>
          <c:orientation val="minMax"/>
          <c:max val="2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vert="horz"/>
          <a:lstStyle/>
          <a:p>
            <a:pPr>
              <a:defRPr/>
            </a:pPr>
            <a:endParaRPr lang="lv-LV"/>
          </a:p>
        </c:txPr>
        <c:crossAx val="661113408"/>
        <c:crosses val="autoZero"/>
        <c:crossBetween val="between"/>
        <c:majorUnit val="1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20"/>
          <c:min val="-20"/>
        </c:scaling>
        <c:delete val="0"/>
        <c:axPos val="r"/>
        <c:numFmt formatCode="0" sourceLinked="0"/>
        <c:majorTickMark val="out"/>
        <c:minorTickMark val="none"/>
        <c:tickLblPos val="nextTo"/>
        <c:spPr>
          <a:ln w="6350">
            <a:noFill/>
          </a:ln>
        </c:spPr>
        <c:txPr>
          <a:bodyPr rot="-60000000" vert="horz"/>
          <a:lstStyle/>
          <a:p>
            <a:pPr>
              <a:defRPr/>
            </a:pPr>
            <a:endParaRPr lang="lv-LV"/>
          </a:p>
        </c:txPr>
        <c:crossAx val="3"/>
        <c:crosses val="max"/>
        <c:crossBetween val="between"/>
        <c:majorUnit val="10"/>
      </c:valAx>
      <c:spPr>
        <a:noFill/>
        <a:ln w="25400">
          <a:noFill/>
        </a:ln>
      </c:spPr>
    </c:plotArea>
    <c:legend>
      <c:legendPos val="b"/>
      <c:overlay val="0"/>
      <c:spPr>
        <a:noFill/>
        <a:ln w="25400">
          <a:noFill/>
        </a:ln>
      </c:spPr>
      <c:txPr>
        <a:bodyPr rot="0" vert="horz"/>
        <a:lstStyle/>
        <a:p>
          <a:pPr>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Sheet1!$E$10</c:f>
              <c:strCache>
                <c:ptCount val="1"/>
                <c:pt idx="0">
                  <c:v>2015</c:v>
                </c:pt>
              </c:strCache>
            </c:strRef>
          </c:tx>
          <c:spPr>
            <a:solidFill>
              <a:schemeClr val="accent5">
                <a:tint val="46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Sheet1!$E$11:$E$24</c:f>
            </c:numRef>
          </c:val>
          <c:extLst>
            <c:ext xmlns:c16="http://schemas.microsoft.com/office/drawing/2014/chart" uri="{C3380CC4-5D6E-409C-BE32-E72D297353CC}">
              <c16:uniqueId val="{00000000-3CFC-4EA1-90A3-1174E4B9227D}"/>
            </c:ext>
          </c:extLst>
        </c:ser>
        <c:ser>
          <c:idx val="1"/>
          <c:order val="1"/>
          <c:tx>
            <c:strRef>
              <c:f>Sheet1!$F$10</c:f>
              <c:strCache>
                <c:ptCount val="1"/>
                <c:pt idx="0">
                  <c:v>2016</c:v>
                </c:pt>
              </c:strCache>
            </c:strRef>
          </c:tx>
          <c:spPr>
            <a:solidFill>
              <a:schemeClr val="accent5">
                <a:tint val="62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Sheet1!$F$11:$F$24</c:f>
            </c:numRef>
          </c:val>
          <c:extLst>
            <c:ext xmlns:c16="http://schemas.microsoft.com/office/drawing/2014/chart" uri="{C3380CC4-5D6E-409C-BE32-E72D297353CC}">
              <c16:uniqueId val="{00000001-3CFC-4EA1-90A3-1174E4B9227D}"/>
            </c:ext>
          </c:extLst>
        </c:ser>
        <c:ser>
          <c:idx val="2"/>
          <c:order val="2"/>
          <c:tx>
            <c:strRef>
              <c:f>Sheet1!$G$10</c:f>
              <c:strCache>
                <c:ptCount val="1"/>
                <c:pt idx="0">
                  <c:v>2017</c:v>
                </c:pt>
              </c:strCache>
            </c:strRef>
          </c:tx>
          <c:spPr>
            <a:solidFill>
              <a:schemeClr val="accent5">
                <a:tint val="77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Sheet1!$G$11:$G$24</c:f>
            </c:numRef>
          </c:val>
          <c:extLst>
            <c:ext xmlns:c16="http://schemas.microsoft.com/office/drawing/2014/chart" uri="{C3380CC4-5D6E-409C-BE32-E72D297353CC}">
              <c16:uniqueId val="{00000002-3CFC-4EA1-90A3-1174E4B9227D}"/>
            </c:ext>
          </c:extLst>
        </c:ser>
        <c:ser>
          <c:idx val="3"/>
          <c:order val="3"/>
          <c:tx>
            <c:strRef>
              <c:f>Sheet1!$H$10</c:f>
              <c:strCache>
                <c:ptCount val="1"/>
                <c:pt idx="0">
                  <c:v>2018</c:v>
                </c:pt>
              </c:strCache>
            </c:strRef>
          </c:tx>
          <c:spPr>
            <a:solidFill>
              <a:schemeClr val="accent5">
                <a:tint val="93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Sheet1!$H$11:$H$24</c:f>
              <c:numCache>
                <c:formatCode>General</c:formatCode>
                <c:ptCount val="14"/>
                <c:pt idx="0">
                  <c:v>6</c:v>
                </c:pt>
                <c:pt idx="1">
                  <c:v>12</c:v>
                </c:pt>
                <c:pt idx="2">
                  <c:v>6</c:v>
                </c:pt>
                <c:pt idx="3">
                  <c:v>1</c:v>
                </c:pt>
                <c:pt idx="4">
                  <c:v>8</c:v>
                </c:pt>
                <c:pt idx="5">
                  <c:v>7</c:v>
                </c:pt>
                <c:pt idx="6">
                  <c:v>0</c:v>
                </c:pt>
                <c:pt idx="7">
                  <c:v>12</c:v>
                </c:pt>
                <c:pt idx="8">
                  <c:v>14</c:v>
                </c:pt>
                <c:pt idx="9">
                  <c:v>5</c:v>
                </c:pt>
                <c:pt idx="10">
                  <c:v>1</c:v>
                </c:pt>
                <c:pt idx="11">
                  <c:v>2</c:v>
                </c:pt>
                <c:pt idx="12">
                  <c:v>0</c:v>
                </c:pt>
                <c:pt idx="13">
                  <c:v>0</c:v>
                </c:pt>
              </c:numCache>
            </c:numRef>
          </c:val>
          <c:extLst>
            <c:ext xmlns:c16="http://schemas.microsoft.com/office/drawing/2014/chart" uri="{C3380CC4-5D6E-409C-BE32-E72D297353CC}">
              <c16:uniqueId val="{00000003-3CFC-4EA1-90A3-1174E4B9227D}"/>
            </c:ext>
          </c:extLst>
        </c:ser>
        <c:ser>
          <c:idx val="4"/>
          <c:order val="4"/>
          <c:tx>
            <c:strRef>
              <c:f>Sheet1!$I$10</c:f>
              <c:strCache>
                <c:ptCount val="1"/>
                <c:pt idx="0">
                  <c:v>2019</c:v>
                </c:pt>
              </c:strCache>
            </c:strRef>
          </c:tx>
          <c:spPr>
            <a:solidFill>
              <a:schemeClr val="accent5">
                <a:shade val="92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Sheet1!$I$11:$I$24</c:f>
              <c:numCache>
                <c:formatCode>General</c:formatCode>
                <c:ptCount val="14"/>
                <c:pt idx="0">
                  <c:v>5</c:v>
                </c:pt>
                <c:pt idx="1">
                  <c:v>11</c:v>
                </c:pt>
                <c:pt idx="2">
                  <c:v>1</c:v>
                </c:pt>
                <c:pt idx="3">
                  <c:v>0</c:v>
                </c:pt>
                <c:pt idx="4">
                  <c:v>8</c:v>
                </c:pt>
                <c:pt idx="5">
                  <c:v>8</c:v>
                </c:pt>
                <c:pt idx="6">
                  <c:v>0</c:v>
                </c:pt>
                <c:pt idx="7">
                  <c:v>10</c:v>
                </c:pt>
                <c:pt idx="8">
                  <c:v>11</c:v>
                </c:pt>
                <c:pt idx="9">
                  <c:v>3</c:v>
                </c:pt>
                <c:pt idx="10">
                  <c:v>1</c:v>
                </c:pt>
                <c:pt idx="11">
                  <c:v>1</c:v>
                </c:pt>
                <c:pt idx="12">
                  <c:v>0</c:v>
                </c:pt>
                <c:pt idx="13">
                  <c:v>0</c:v>
                </c:pt>
              </c:numCache>
            </c:numRef>
          </c:val>
          <c:extLst>
            <c:ext xmlns:c16="http://schemas.microsoft.com/office/drawing/2014/chart" uri="{C3380CC4-5D6E-409C-BE32-E72D297353CC}">
              <c16:uniqueId val="{00000004-3CFC-4EA1-90A3-1174E4B9227D}"/>
            </c:ext>
          </c:extLst>
        </c:ser>
        <c:ser>
          <c:idx val="5"/>
          <c:order val="5"/>
          <c:tx>
            <c:strRef>
              <c:f>Sheet1!$J$10</c:f>
              <c:strCache>
                <c:ptCount val="1"/>
                <c:pt idx="0">
                  <c:v>2020</c:v>
                </c:pt>
              </c:strCache>
            </c:strRef>
          </c:tx>
          <c:spPr>
            <a:solidFill>
              <a:schemeClr val="accent5">
                <a:shade val="65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Sheet1!$J$11:$J$24</c:f>
              <c:numCache>
                <c:formatCode>General</c:formatCode>
                <c:ptCount val="14"/>
                <c:pt idx="0">
                  <c:v>7</c:v>
                </c:pt>
                <c:pt idx="1">
                  <c:v>10</c:v>
                </c:pt>
                <c:pt idx="2">
                  <c:v>4</c:v>
                </c:pt>
                <c:pt idx="3">
                  <c:v>3</c:v>
                </c:pt>
                <c:pt idx="4">
                  <c:v>18</c:v>
                </c:pt>
                <c:pt idx="5">
                  <c:v>10</c:v>
                </c:pt>
                <c:pt idx="6">
                  <c:v>2</c:v>
                </c:pt>
                <c:pt idx="7">
                  <c:v>12</c:v>
                </c:pt>
                <c:pt idx="8">
                  <c:v>13</c:v>
                </c:pt>
                <c:pt idx="9">
                  <c:v>2</c:v>
                </c:pt>
                <c:pt idx="10">
                  <c:v>4</c:v>
                </c:pt>
                <c:pt idx="11">
                  <c:v>6</c:v>
                </c:pt>
                <c:pt idx="12">
                  <c:v>0</c:v>
                </c:pt>
                <c:pt idx="13">
                  <c:v>6</c:v>
                </c:pt>
              </c:numCache>
            </c:numRef>
          </c:val>
          <c:extLst>
            <c:ext xmlns:c16="http://schemas.microsoft.com/office/drawing/2014/chart" uri="{C3380CC4-5D6E-409C-BE32-E72D297353CC}">
              <c16:uniqueId val="{00000005-3CFC-4EA1-90A3-1174E4B9227D}"/>
            </c:ext>
          </c:extLst>
        </c:ser>
        <c:ser>
          <c:idx val="6"/>
          <c:order val="6"/>
          <c:tx>
            <c:strRef>
              <c:f>Sheet1!$K$10</c:f>
              <c:strCache>
                <c:ptCount val="1"/>
                <c:pt idx="0">
                  <c:v>2021</c:v>
                </c:pt>
              </c:strCache>
            </c:strRef>
          </c:tx>
          <c:spPr>
            <a:solidFill>
              <a:schemeClr val="accent5">
                <a:shade val="47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Sheet1!$K$11:$K$24</c:f>
              <c:numCache>
                <c:formatCode>General</c:formatCode>
                <c:ptCount val="14"/>
                <c:pt idx="0">
                  <c:v>7</c:v>
                </c:pt>
                <c:pt idx="1">
                  <c:v>10</c:v>
                </c:pt>
                <c:pt idx="2">
                  <c:v>0</c:v>
                </c:pt>
                <c:pt idx="3">
                  <c:v>3</c:v>
                </c:pt>
                <c:pt idx="4">
                  <c:v>15</c:v>
                </c:pt>
                <c:pt idx="5">
                  <c:v>14</c:v>
                </c:pt>
                <c:pt idx="6">
                  <c:v>2</c:v>
                </c:pt>
                <c:pt idx="7">
                  <c:v>11</c:v>
                </c:pt>
                <c:pt idx="8">
                  <c:v>14</c:v>
                </c:pt>
                <c:pt idx="9">
                  <c:v>2</c:v>
                </c:pt>
                <c:pt idx="10">
                  <c:v>4</c:v>
                </c:pt>
                <c:pt idx="11">
                  <c:v>4</c:v>
                </c:pt>
                <c:pt idx="12">
                  <c:v>1</c:v>
                </c:pt>
                <c:pt idx="13">
                  <c:v>10</c:v>
                </c:pt>
              </c:numCache>
            </c:numRef>
          </c:val>
          <c:extLst>
            <c:ext xmlns:c16="http://schemas.microsoft.com/office/drawing/2014/chart" uri="{C3380CC4-5D6E-409C-BE32-E72D297353CC}">
              <c16:uniqueId val="{00000006-3CFC-4EA1-90A3-1174E4B9227D}"/>
            </c:ext>
          </c:extLst>
        </c:ser>
        <c:ser>
          <c:idx val="7"/>
          <c:order val="7"/>
          <c:tx>
            <c:strRef>
              <c:f>Sheet1!$L$10</c:f>
              <c:strCache>
                <c:ptCount val="1"/>
                <c:pt idx="0">
                  <c:v>2022</c:v>
                </c:pt>
              </c:strCache>
            </c:strRef>
          </c:tx>
          <c:spPr>
            <a:solidFill>
              <a:schemeClr val="accent5">
                <a:shade val="45000"/>
              </a:schemeClr>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Sheet1!$L$11:$L$24</c:f>
              <c:numCache>
                <c:formatCode>General</c:formatCode>
                <c:ptCount val="14"/>
                <c:pt idx="0">
                  <c:v>9</c:v>
                </c:pt>
                <c:pt idx="1">
                  <c:v>8</c:v>
                </c:pt>
                <c:pt idx="2">
                  <c:v>4</c:v>
                </c:pt>
                <c:pt idx="3">
                  <c:v>6</c:v>
                </c:pt>
                <c:pt idx="4">
                  <c:v>16</c:v>
                </c:pt>
                <c:pt idx="5">
                  <c:v>1</c:v>
                </c:pt>
                <c:pt idx="6">
                  <c:v>0</c:v>
                </c:pt>
                <c:pt idx="7">
                  <c:v>10</c:v>
                </c:pt>
                <c:pt idx="8">
                  <c:v>13</c:v>
                </c:pt>
                <c:pt idx="9">
                  <c:v>2</c:v>
                </c:pt>
                <c:pt idx="10">
                  <c:v>0</c:v>
                </c:pt>
                <c:pt idx="11">
                  <c:v>2</c:v>
                </c:pt>
                <c:pt idx="12">
                  <c:v>0</c:v>
                </c:pt>
                <c:pt idx="13">
                  <c:v>6</c:v>
                </c:pt>
              </c:numCache>
            </c:numRef>
          </c:val>
          <c:extLst>
            <c:ext xmlns:c16="http://schemas.microsoft.com/office/drawing/2014/chart" uri="{C3380CC4-5D6E-409C-BE32-E72D297353CC}">
              <c16:uniqueId val="{00000007-3CFC-4EA1-90A3-1174E4B9227D}"/>
            </c:ext>
          </c:extLst>
        </c:ser>
        <c:dLbls>
          <c:showLegendKey val="0"/>
          <c:showVal val="0"/>
          <c:showCatName val="0"/>
          <c:showSerName val="0"/>
          <c:showPercent val="0"/>
          <c:showBubbleSize val="0"/>
        </c:dLbls>
        <c:gapWidth val="219"/>
        <c:overlap val="-27"/>
        <c:axId val="1245898511"/>
        <c:axId val="1618127343"/>
      </c:barChart>
      <c:catAx>
        <c:axId val="124589851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18127343"/>
        <c:crosses val="autoZero"/>
        <c:auto val="1"/>
        <c:lblAlgn val="ctr"/>
        <c:lblOffset val="100"/>
        <c:noMultiLvlLbl val="0"/>
      </c:catAx>
      <c:valAx>
        <c:axId val="1618127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2458985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LV!$A$13</c:f>
              <c:strCache>
                <c:ptCount val="1"/>
                <c:pt idx="0">
                  <c:v>2025.g. budž. progn.</c:v>
                </c:pt>
              </c:strCache>
            </c:strRef>
          </c:tx>
          <c:spPr>
            <a:ln w="28575" cap="rnd">
              <a:solidFill>
                <a:schemeClr val="accent5">
                  <a:tint val="42000"/>
                </a:schemeClr>
              </a:solidFill>
              <a:round/>
            </a:ln>
            <a:effectLst/>
          </c:spPr>
          <c:marker>
            <c:symbol val="none"/>
          </c:marker>
          <c:cat>
            <c:numRef>
              <c:f>LV!$J$12:$W$12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LV!$J$13:$W$13</c:f>
              <c:numCache>
                <c:formatCode>General</c:formatCode>
                <c:ptCount val="14"/>
                <c:pt idx="8" formatCode="0.0">
                  <c:v>109.24581179505545</c:v>
                </c:pt>
                <c:pt idx="9" formatCode="0.0">
                  <c:v>110.74844782849023</c:v>
                </c:pt>
                <c:pt idx="10" formatCode="0.0">
                  <c:v>113.97072700278032</c:v>
                </c:pt>
                <c:pt idx="11" formatCode="0.0">
                  <c:v>117.11784977358579</c:v>
                </c:pt>
                <c:pt idx="12" formatCode="0.0">
                  <c:v>120.15877326848306</c:v>
                </c:pt>
                <c:pt idx="13" formatCode="0.0">
                  <c:v>122.92992211720926</c:v>
                </c:pt>
              </c:numCache>
            </c:numRef>
          </c:val>
          <c:smooth val="0"/>
          <c:extLst>
            <c:ext xmlns:c16="http://schemas.microsoft.com/office/drawing/2014/chart" uri="{C3380CC4-5D6E-409C-BE32-E72D297353CC}">
              <c16:uniqueId val="{00000000-F00C-40A4-B1B3-6369B3634A44}"/>
            </c:ext>
          </c:extLst>
        </c:ser>
        <c:ser>
          <c:idx val="1"/>
          <c:order val="1"/>
          <c:tx>
            <c:strRef>
              <c:f>LV!$A$14</c:f>
              <c:strCache>
                <c:ptCount val="1"/>
                <c:pt idx="0">
                  <c:v>2024.g. budž. progn.</c:v>
                </c:pt>
              </c:strCache>
            </c:strRef>
          </c:tx>
          <c:spPr>
            <a:ln w="28575" cap="rnd">
              <a:solidFill>
                <a:schemeClr val="accent5">
                  <a:tint val="54000"/>
                </a:schemeClr>
              </a:solidFill>
              <a:round/>
            </a:ln>
            <a:effectLst/>
          </c:spPr>
          <c:marker>
            <c:symbol val="none"/>
          </c:marker>
          <c:cat>
            <c:numRef>
              <c:f>LV!$J$12:$W$12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LV!$J$14:$W$14</c:f>
              <c:numCache>
                <c:formatCode>General</c:formatCode>
                <c:ptCount val="14"/>
                <c:pt idx="7" formatCode="0.0">
                  <c:v>110.22199292830531</c:v>
                </c:pt>
                <c:pt idx="8" formatCode="0.0">
                  <c:v>111.31238409229411</c:v>
                </c:pt>
                <c:pt idx="9" formatCode="0.0">
                  <c:v>114.07449230961558</c:v>
                </c:pt>
                <c:pt idx="10" formatCode="0.0">
                  <c:v>117.41556789279548</c:v>
                </c:pt>
                <c:pt idx="11" formatCode="0.0">
                  <c:v>120.84564318034619</c:v>
                </c:pt>
              </c:numCache>
            </c:numRef>
          </c:val>
          <c:smooth val="0"/>
          <c:extLst>
            <c:ext xmlns:c16="http://schemas.microsoft.com/office/drawing/2014/chart" uri="{C3380CC4-5D6E-409C-BE32-E72D297353CC}">
              <c16:uniqueId val="{00000001-F00C-40A4-B1B3-6369B3634A44}"/>
            </c:ext>
          </c:extLst>
        </c:ser>
        <c:ser>
          <c:idx val="2"/>
          <c:order val="2"/>
          <c:tx>
            <c:strRef>
              <c:f>LV!$A$15</c:f>
              <c:strCache>
                <c:ptCount val="1"/>
                <c:pt idx="0">
                  <c:v>2023.g. budž. progn.</c:v>
                </c:pt>
              </c:strCache>
            </c:strRef>
          </c:tx>
          <c:spPr>
            <a:ln w="28575" cap="rnd">
              <a:solidFill>
                <a:schemeClr val="accent5">
                  <a:tint val="65000"/>
                </a:schemeClr>
              </a:solidFill>
              <a:round/>
            </a:ln>
            <a:effectLst/>
          </c:spPr>
          <c:marker>
            <c:symbol val="none"/>
          </c:marker>
          <c:cat>
            <c:numRef>
              <c:f>LV!$J$12:$W$12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LV!$J$15:$W$15</c:f>
              <c:numCache>
                <c:formatCode>General</c:formatCode>
                <c:ptCount val="14"/>
                <c:pt idx="6" formatCode="0.0">
                  <c:v>107.05869934895355</c:v>
                </c:pt>
                <c:pt idx="7" formatCode="0.0">
                  <c:v>108.77456277666893</c:v>
                </c:pt>
                <c:pt idx="8" formatCode="0.0">
                  <c:v>108.11667319084144</c:v>
                </c:pt>
                <c:pt idx="9" formatCode="0.0">
                  <c:v>111.37457520026993</c:v>
                </c:pt>
                <c:pt idx="10" formatCode="0.0">
                  <c:v>114.70326698892728</c:v>
                </c:pt>
              </c:numCache>
            </c:numRef>
          </c:val>
          <c:smooth val="0"/>
          <c:extLst>
            <c:ext xmlns:c16="http://schemas.microsoft.com/office/drawing/2014/chart" uri="{C3380CC4-5D6E-409C-BE32-E72D297353CC}">
              <c16:uniqueId val="{00000002-F00C-40A4-B1B3-6369B3634A44}"/>
            </c:ext>
          </c:extLst>
        </c:ser>
        <c:ser>
          <c:idx val="3"/>
          <c:order val="3"/>
          <c:tx>
            <c:strRef>
              <c:f>LV!$A$16</c:f>
              <c:strCache>
                <c:ptCount val="1"/>
                <c:pt idx="0">
                  <c:v>2022.g. budž. progn.</c:v>
                </c:pt>
              </c:strCache>
            </c:strRef>
          </c:tx>
          <c:spPr>
            <a:ln w="28575" cap="rnd">
              <a:solidFill>
                <a:schemeClr val="accent5">
                  <a:tint val="77000"/>
                </a:schemeClr>
              </a:solidFill>
              <a:round/>
            </a:ln>
            <a:effectLst/>
          </c:spPr>
          <c:marker>
            <c:symbol val="none"/>
          </c:marker>
          <c:cat>
            <c:numRef>
              <c:f>LV!$J$12:$W$12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LV!$J$16:$W$16</c:f>
              <c:numCache>
                <c:formatCode>General</c:formatCode>
                <c:ptCount val="14"/>
                <c:pt idx="5" formatCode="0.0">
                  <c:v>100.30634194211733</c:v>
                </c:pt>
                <c:pt idx="6" formatCode="0.0">
                  <c:v>103.99831568770351</c:v>
                </c:pt>
                <c:pt idx="7" formatCode="0.0">
                  <c:v>109.15560893124899</c:v>
                </c:pt>
                <c:pt idx="8" formatCode="0.0">
                  <c:v>112.9351727258959</c:v>
                </c:pt>
                <c:pt idx="9" formatCode="0.0">
                  <c:v>116.73121315948389</c:v>
                </c:pt>
              </c:numCache>
            </c:numRef>
          </c:val>
          <c:smooth val="0"/>
          <c:extLst>
            <c:ext xmlns:c16="http://schemas.microsoft.com/office/drawing/2014/chart" uri="{C3380CC4-5D6E-409C-BE32-E72D297353CC}">
              <c16:uniqueId val="{00000003-F00C-40A4-B1B3-6369B3634A44}"/>
            </c:ext>
          </c:extLst>
        </c:ser>
        <c:ser>
          <c:idx val="4"/>
          <c:order val="4"/>
          <c:tx>
            <c:strRef>
              <c:f>LV!$A$17</c:f>
              <c:strCache>
                <c:ptCount val="1"/>
                <c:pt idx="0">
                  <c:v>2021.g.  budž. progn.</c:v>
                </c:pt>
              </c:strCache>
            </c:strRef>
          </c:tx>
          <c:spPr>
            <a:ln w="28575" cap="rnd">
              <a:solidFill>
                <a:schemeClr val="accent5">
                  <a:tint val="89000"/>
                </a:schemeClr>
              </a:solidFill>
              <a:round/>
            </a:ln>
            <a:effectLst/>
          </c:spPr>
          <c:marker>
            <c:symbol val="none"/>
          </c:marker>
          <c:cat>
            <c:numRef>
              <c:f>LV!$J$12:$W$12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LV!$J$17:$W$17</c:f>
              <c:numCache>
                <c:formatCode>General</c:formatCode>
                <c:ptCount val="14"/>
                <c:pt idx="4" formatCode="0.0">
                  <c:v>103.95926557022443</c:v>
                </c:pt>
                <c:pt idx="5" formatCode="0.0">
                  <c:v>96.682116980308521</c:v>
                </c:pt>
                <c:pt idx="6" formatCode="0.0">
                  <c:v>101.61394063458714</c:v>
                </c:pt>
                <c:pt idx="7" formatCode="0.0">
                  <c:v>104.81443297203298</c:v>
                </c:pt>
                <c:pt idx="8" formatCode="0.0">
                  <c:v>108.08956753015597</c:v>
                </c:pt>
              </c:numCache>
            </c:numRef>
          </c:val>
          <c:smooth val="0"/>
          <c:extLst>
            <c:ext xmlns:c16="http://schemas.microsoft.com/office/drawing/2014/chart" uri="{C3380CC4-5D6E-409C-BE32-E72D297353CC}">
              <c16:uniqueId val="{00000004-F00C-40A4-B1B3-6369B3634A44}"/>
            </c:ext>
          </c:extLst>
        </c:ser>
        <c:ser>
          <c:idx val="5"/>
          <c:order val="5"/>
          <c:tx>
            <c:strRef>
              <c:f>LV!$A$18</c:f>
              <c:strCache>
                <c:ptCount val="1"/>
                <c:pt idx="0">
                  <c:v>2020.g.  budž. progn.</c:v>
                </c:pt>
              </c:strCache>
            </c:strRef>
          </c:tx>
          <c:spPr>
            <a:ln w="28575" cap="rnd">
              <a:solidFill>
                <a:schemeClr val="accent5"/>
              </a:solidFill>
              <a:round/>
            </a:ln>
            <a:effectLst/>
          </c:spPr>
          <c:marker>
            <c:symbol val="none"/>
          </c:marker>
          <c:cat>
            <c:numRef>
              <c:f>LV!$J$12:$W$12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LV!$J$18:$W$18</c:f>
              <c:numCache>
                <c:formatCode>General</c:formatCode>
                <c:ptCount val="14"/>
                <c:pt idx="3" formatCode="0.0">
                  <c:v>103.35206969736196</c:v>
                </c:pt>
                <c:pt idx="4" formatCode="0.0">
                  <c:v>106.62334456019221</c:v>
                </c:pt>
                <c:pt idx="5" formatCode="0.0">
                  <c:v>109.61087068716657</c:v>
                </c:pt>
                <c:pt idx="6" formatCode="0.0">
                  <c:v>112.6759441683723</c:v>
                </c:pt>
                <c:pt idx="7" formatCode="0.0">
                  <c:v>115.82506443493422</c:v>
                </c:pt>
              </c:numCache>
            </c:numRef>
          </c:val>
          <c:smooth val="0"/>
          <c:extLst>
            <c:ext xmlns:c16="http://schemas.microsoft.com/office/drawing/2014/chart" uri="{C3380CC4-5D6E-409C-BE32-E72D297353CC}">
              <c16:uniqueId val="{00000005-F00C-40A4-B1B3-6369B3634A44}"/>
            </c:ext>
          </c:extLst>
        </c:ser>
        <c:ser>
          <c:idx val="6"/>
          <c:order val="6"/>
          <c:tx>
            <c:strRef>
              <c:f>LV!$A$19</c:f>
              <c:strCache>
                <c:ptCount val="1"/>
                <c:pt idx="0">
                  <c:v>2019.g.  budž. progn.</c:v>
                </c:pt>
              </c:strCache>
            </c:strRef>
          </c:tx>
          <c:spPr>
            <a:ln w="28575" cap="rnd">
              <a:solidFill>
                <a:schemeClr val="accent5">
                  <a:shade val="88000"/>
                </a:schemeClr>
              </a:solidFill>
              <a:round/>
            </a:ln>
            <a:effectLst/>
          </c:spPr>
          <c:marker>
            <c:symbol val="none"/>
          </c:marker>
          <c:cat>
            <c:numRef>
              <c:f>LV!$J$12:$W$12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LV!$J$19:$W$19</c:f>
              <c:numCache>
                <c:formatCode>General</c:formatCode>
                <c:ptCount val="14"/>
                <c:pt idx="2" formatCode="0.0">
                  <c:v>99.386050239971397</c:v>
                </c:pt>
                <c:pt idx="3" formatCode="0.0">
                  <c:v>103.56026435005018</c:v>
                </c:pt>
                <c:pt idx="4" formatCode="0.0">
                  <c:v>106.66707228055168</c:v>
                </c:pt>
                <c:pt idx="5" formatCode="0.0">
                  <c:v>109.86708455563526</c:v>
                </c:pt>
                <c:pt idx="6" formatCode="0.0">
                  <c:v>113.05323011761577</c:v>
                </c:pt>
              </c:numCache>
            </c:numRef>
          </c:val>
          <c:smooth val="0"/>
          <c:extLst>
            <c:ext xmlns:c16="http://schemas.microsoft.com/office/drawing/2014/chart" uri="{C3380CC4-5D6E-409C-BE32-E72D297353CC}">
              <c16:uniqueId val="{00000006-F00C-40A4-B1B3-6369B3634A44}"/>
            </c:ext>
          </c:extLst>
        </c:ser>
        <c:ser>
          <c:idx val="7"/>
          <c:order val="7"/>
          <c:tx>
            <c:strRef>
              <c:f>LV!$A$20</c:f>
              <c:strCache>
                <c:ptCount val="1"/>
                <c:pt idx="0">
                  <c:v>2018.g.  budž. progn.</c:v>
                </c:pt>
              </c:strCache>
            </c:strRef>
          </c:tx>
          <c:spPr>
            <a:ln w="28575" cap="rnd">
              <a:solidFill>
                <a:schemeClr val="accent5">
                  <a:shade val="76000"/>
                </a:schemeClr>
              </a:solidFill>
              <a:round/>
            </a:ln>
            <a:effectLst/>
          </c:spPr>
          <c:marker>
            <c:symbol val="none"/>
          </c:marker>
          <c:cat>
            <c:numRef>
              <c:f>LV!$J$12:$W$12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LV!$J$20:$W$20</c:f>
              <c:numCache>
                <c:formatCode>0.0</c:formatCode>
                <c:ptCount val="14"/>
                <c:pt idx="1">
                  <c:v>96.199466075771625</c:v>
                </c:pt>
                <c:pt idx="2">
                  <c:v>99.753137906152048</c:v>
                </c:pt>
                <c:pt idx="3">
                  <c:v>103.16454250735798</c:v>
                </c:pt>
                <c:pt idx="4">
                  <c:v>106.47839130852948</c:v>
                </c:pt>
                <c:pt idx="5">
                  <c:v>109.88861137474548</c:v>
                </c:pt>
              </c:numCache>
            </c:numRef>
          </c:val>
          <c:smooth val="0"/>
          <c:extLst>
            <c:ext xmlns:c16="http://schemas.microsoft.com/office/drawing/2014/chart" uri="{C3380CC4-5D6E-409C-BE32-E72D297353CC}">
              <c16:uniqueId val="{00000007-F00C-40A4-B1B3-6369B3634A44}"/>
            </c:ext>
          </c:extLst>
        </c:ser>
        <c:ser>
          <c:idx val="10"/>
          <c:order val="10"/>
          <c:tx>
            <c:strRef>
              <c:f>LV!$A$23</c:f>
              <c:strCache>
                <c:ptCount val="1"/>
                <c:pt idx="0">
                  <c:v>Faktiskā IKP izaugsme</c:v>
                </c:pt>
              </c:strCache>
            </c:strRef>
          </c:tx>
          <c:spPr>
            <a:ln w="28575" cap="rnd">
              <a:solidFill>
                <a:schemeClr val="accent5">
                  <a:shade val="41000"/>
                </a:schemeClr>
              </a:solidFill>
              <a:round/>
            </a:ln>
            <a:effectLst/>
          </c:spPr>
          <c:marker>
            <c:symbol val="circle"/>
            <c:size val="5"/>
            <c:spPr>
              <a:solidFill>
                <a:schemeClr val="accent5">
                  <a:shade val="41000"/>
                </a:schemeClr>
              </a:solidFill>
              <a:ln w="9525">
                <a:solidFill>
                  <a:schemeClr val="accent5">
                    <a:shade val="41000"/>
                  </a:schemeClr>
                </a:solidFill>
              </a:ln>
              <a:effectLst/>
            </c:spPr>
          </c:marker>
          <c:cat>
            <c:numRef>
              <c:f>LV!$J$12:$W$12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LV!$J$23:$W$23</c:f>
              <c:numCache>
                <c:formatCode>0.0</c:formatCode>
                <c:ptCount val="14"/>
                <c:pt idx="0">
                  <c:v>93.973593677963848</c:v>
                </c:pt>
                <c:pt idx="1">
                  <c:v>96.199466075771625</c:v>
                </c:pt>
                <c:pt idx="2">
                  <c:v>99.386050239971397</c:v>
                </c:pt>
                <c:pt idx="3">
                  <c:v>103.35206969736196</c:v>
                </c:pt>
                <c:pt idx="4">
                  <c:v>103.95926557022443</c:v>
                </c:pt>
                <c:pt idx="5">
                  <c:v>100.30634194211733</c:v>
                </c:pt>
                <c:pt idx="6">
                  <c:v>107.05869934895355</c:v>
                </c:pt>
                <c:pt idx="7">
                  <c:v>110.22199292830531</c:v>
                </c:pt>
                <c:pt idx="8">
                  <c:v>109.91057218541978</c:v>
                </c:pt>
              </c:numCache>
            </c:numRef>
          </c:val>
          <c:smooth val="0"/>
          <c:extLst>
            <c:ext xmlns:c16="http://schemas.microsoft.com/office/drawing/2014/chart" uri="{C3380CC4-5D6E-409C-BE32-E72D297353CC}">
              <c16:uniqueId val="{00000008-F00C-40A4-B1B3-6369B3634A44}"/>
            </c:ext>
          </c:extLst>
        </c:ser>
        <c:dLbls>
          <c:showLegendKey val="0"/>
          <c:showVal val="0"/>
          <c:showCatName val="0"/>
          <c:showSerName val="0"/>
          <c:showPercent val="0"/>
          <c:showBubbleSize val="0"/>
        </c:dLbls>
        <c:smooth val="0"/>
        <c:axId val="581874224"/>
        <c:axId val="581892944"/>
        <c:extLst>
          <c:ext xmlns:c15="http://schemas.microsoft.com/office/drawing/2012/chart" uri="{02D57815-91ED-43cb-92C2-25804820EDAC}">
            <c15:filteredLineSeries>
              <c15:ser>
                <c:idx val="8"/>
                <c:order val="8"/>
                <c:tx>
                  <c:strRef>
                    <c:extLst>
                      <c:ext uri="{02D57815-91ED-43cb-92C2-25804820EDAC}">
                        <c15:formulaRef>
                          <c15:sqref>LV!$A$21</c15:sqref>
                        </c15:formulaRef>
                      </c:ext>
                    </c:extLst>
                    <c:strCache>
                      <c:ptCount val="1"/>
                      <c:pt idx="0">
                        <c:v>2017.g.  budž. progn.</c:v>
                      </c:pt>
                    </c:strCache>
                  </c:strRef>
                </c:tx>
                <c:spPr>
                  <a:ln w="28575" cap="rnd">
                    <a:solidFill>
                      <a:schemeClr val="accent5">
                        <a:shade val="65000"/>
                      </a:schemeClr>
                    </a:solidFill>
                    <a:round/>
                  </a:ln>
                  <a:effectLst/>
                </c:spPr>
                <c:marker>
                  <c:symbol val="none"/>
                </c:marker>
                <c:cat>
                  <c:numRef>
                    <c:extLst>
                      <c:ext uri="{02D57815-91ED-43cb-92C2-25804820EDAC}">
                        <c15:formulaRef>
                          <c15:sqref>LV!$J$12:$W$12</c15:sqref>
                        </c15:formulaRef>
                      </c:ext>
                    </c:extLst>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extLst>
                      <c:ext uri="{02D57815-91ED-43cb-92C2-25804820EDAC}">
                        <c15:formulaRef>
                          <c15:sqref>LV!$J$21:$W$21</c15:sqref>
                        </c15:formulaRef>
                      </c:ext>
                    </c:extLst>
                    <c:numCache>
                      <c:formatCode>0.0</c:formatCode>
                      <c:ptCount val="14"/>
                      <c:pt idx="0">
                        <c:v>93.973593677963848</c:v>
                      </c:pt>
                      <c:pt idx="1">
                        <c:v>96.756696282162693</c:v>
                      </c:pt>
                      <c:pt idx="2">
                        <c:v>100.249632210543</c:v>
                      </c:pt>
                      <c:pt idx="3">
                        <c:v>103.83895982121913</c:v>
                      </c:pt>
                    </c:numCache>
                  </c:numRef>
                </c:val>
                <c:smooth val="0"/>
                <c:extLst>
                  <c:ext xmlns:c16="http://schemas.microsoft.com/office/drawing/2014/chart" uri="{C3380CC4-5D6E-409C-BE32-E72D297353CC}">
                    <c16:uniqueId val="{00000009-F00C-40A4-B1B3-6369B3634A44}"/>
                  </c:ext>
                </c:extLst>
              </c15:ser>
            </c15:filteredLineSeries>
            <c15:filteredLineSeries>
              <c15:ser>
                <c:idx val="9"/>
                <c:order val="9"/>
                <c:tx>
                  <c:strRef>
                    <c:extLst xmlns:c15="http://schemas.microsoft.com/office/drawing/2012/chart">
                      <c:ext xmlns:c15="http://schemas.microsoft.com/office/drawing/2012/chart" uri="{02D57815-91ED-43cb-92C2-25804820EDAC}">
                        <c15:formulaRef>
                          <c15:sqref>LV!$A$22</c15:sqref>
                        </c15:formulaRef>
                      </c:ext>
                    </c:extLst>
                    <c:strCache>
                      <c:ptCount val="1"/>
                      <c:pt idx="0">
                        <c:v>2016.g. budž. progn.</c:v>
                      </c:pt>
                    </c:strCache>
                  </c:strRef>
                </c:tx>
                <c:spPr>
                  <a:ln w="28575" cap="rnd">
                    <a:solidFill>
                      <a:schemeClr val="accent5">
                        <a:shade val="53000"/>
                      </a:schemeClr>
                    </a:solidFill>
                    <a:round/>
                  </a:ln>
                  <a:effectLst/>
                </c:spPr>
                <c:marker>
                  <c:symbol val="none"/>
                </c:marker>
                <c:cat>
                  <c:numRef>
                    <c:extLst xmlns:c15="http://schemas.microsoft.com/office/drawing/2012/chart">
                      <c:ext xmlns:c15="http://schemas.microsoft.com/office/drawing/2012/chart" uri="{02D57815-91ED-43cb-92C2-25804820EDAC}">
                        <c15:formulaRef>
                          <c15:sqref>LV!$J$12:$W$12</c15:sqref>
                        </c15:formulaRef>
                      </c:ext>
                    </c:extLst>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extLst xmlns:c15="http://schemas.microsoft.com/office/drawing/2012/chart">
                      <c:ext xmlns:c15="http://schemas.microsoft.com/office/drawing/2012/chart" uri="{02D57815-91ED-43cb-92C2-25804820EDAC}">
                        <c15:formulaRef>
                          <c15:sqref>LV!$J$22:$W$22</c15:sqref>
                        </c15:formulaRef>
                      </c:ext>
                    </c:extLst>
                    <c:numCache>
                      <c:formatCode>0.0</c:formatCode>
                      <c:ptCount val="14"/>
                      <c:pt idx="0">
                        <c:v>92.948112378214731</c:v>
                      </c:pt>
                      <c:pt idx="1">
                        <c:v>95.994238707518548</c:v>
                      </c:pt>
                      <c:pt idx="2">
                        <c:v>99.42949813460703</c:v>
                      </c:pt>
                    </c:numCache>
                  </c:numRef>
                </c:val>
                <c:smooth val="0"/>
                <c:extLst xmlns:c15="http://schemas.microsoft.com/office/drawing/2012/chart">
                  <c:ext xmlns:c16="http://schemas.microsoft.com/office/drawing/2014/chart" uri="{C3380CC4-5D6E-409C-BE32-E72D297353CC}">
                    <c16:uniqueId val="{0000000A-F00C-40A4-B1B3-6369B3634A44}"/>
                  </c:ext>
                </c:extLst>
              </c15:ser>
            </c15:filteredLineSeries>
          </c:ext>
        </c:extLst>
      </c:lineChart>
      <c:catAx>
        <c:axId val="581874224"/>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81892944"/>
        <c:crossesAt val="70"/>
        <c:auto val="1"/>
        <c:lblAlgn val="ctr"/>
        <c:lblOffset val="100"/>
        <c:noMultiLvlLbl val="0"/>
      </c:catAx>
      <c:valAx>
        <c:axId val="581892944"/>
        <c:scaling>
          <c:orientation val="minMax"/>
          <c:min val="90"/>
        </c:scaling>
        <c:delete val="0"/>
        <c:axPos val="l"/>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81874224"/>
        <c:crosses val="autoZero"/>
        <c:crossBetween val="between"/>
        <c:majorUnit val="10"/>
      </c:valAx>
      <c:spPr>
        <a:noFill/>
        <a:ln>
          <a:noFill/>
        </a:ln>
        <a:effectLst/>
      </c:spPr>
    </c:plotArea>
    <c:legend>
      <c:legendPos val="b"/>
      <c:layout>
        <c:manualLayout>
          <c:xMode val="edge"/>
          <c:yMode val="edge"/>
          <c:x val="5.6343265767779468E-2"/>
          <c:y val="0.7935972147697069"/>
          <c:w val="0.91156640917625342"/>
          <c:h val="0.1826309944220522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2641934954684342E-2"/>
          <c:y val="9.4827872908027175E-2"/>
          <c:w val="0.88152115819150556"/>
          <c:h val="0.67353058583554493"/>
        </c:manualLayout>
      </c:layout>
      <c:barChart>
        <c:barDir val="col"/>
        <c:grouping val="clustered"/>
        <c:varyColors val="0"/>
        <c:ser>
          <c:idx val="0"/>
          <c:order val="0"/>
          <c:tx>
            <c:strRef>
              <c:f>Rūpniecība!$J$1</c:f>
              <c:strCache>
                <c:ptCount val="1"/>
                <c:pt idx="0">
                  <c:v>Rūpniecības produkcijas apjoma indekss, sez. izl. (2015=100)</c:v>
                </c:pt>
              </c:strCache>
            </c:strRef>
          </c:tx>
          <c:spPr>
            <a:pattFill prst="dkUpDiag">
              <a:fgClr>
                <a:srgbClr val="00B050"/>
              </a:fgClr>
              <a:bgClr>
                <a:sysClr val="window" lastClr="FFFFFF"/>
              </a:bgClr>
            </a:pattFill>
            <a:ln>
              <a:solidFill>
                <a:srgbClr val="00B050"/>
              </a:solidFill>
            </a:ln>
            <a:effectLst/>
          </c:spPr>
          <c:invertIfNegative val="0"/>
          <c:cat>
            <c:multiLvlStrRef>
              <c:f>Rūpniecība!$A$182:$B$212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2022</c:v>
                  </c:pt>
                  <c:pt idx="12">
                    <c:v>2023</c:v>
                  </c:pt>
                  <c:pt idx="24">
                    <c:v>2024</c:v>
                  </c:pt>
                </c:lvl>
              </c:multiLvlStrCache>
            </c:multiLvlStrRef>
          </c:cat>
          <c:val>
            <c:numRef>
              <c:f>Rūpniecība!$J$182:$J$212</c:f>
              <c:numCache>
                <c:formatCode>General</c:formatCode>
                <c:ptCount val="31"/>
                <c:pt idx="0">
                  <c:v>103.1</c:v>
                </c:pt>
                <c:pt idx="1">
                  <c:v>99.1</c:v>
                </c:pt>
                <c:pt idx="2">
                  <c:v>102.6</c:v>
                </c:pt>
                <c:pt idx="3">
                  <c:v>104.3</c:v>
                </c:pt>
                <c:pt idx="4">
                  <c:v>104</c:v>
                </c:pt>
                <c:pt idx="5">
                  <c:v>101.6</c:v>
                </c:pt>
                <c:pt idx="6">
                  <c:v>99.6</c:v>
                </c:pt>
                <c:pt idx="7">
                  <c:v>100.2</c:v>
                </c:pt>
                <c:pt idx="8">
                  <c:v>98.9</c:v>
                </c:pt>
                <c:pt idx="9">
                  <c:v>97.7</c:v>
                </c:pt>
                <c:pt idx="10">
                  <c:v>101.4</c:v>
                </c:pt>
                <c:pt idx="11">
                  <c:v>97.8</c:v>
                </c:pt>
                <c:pt idx="12">
                  <c:v>97.1</c:v>
                </c:pt>
                <c:pt idx="13">
                  <c:v>96.8</c:v>
                </c:pt>
                <c:pt idx="14">
                  <c:v>96.3</c:v>
                </c:pt>
                <c:pt idx="15">
                  <c:v>97.6</c:v>
                </c:pt>
                <c:pt idx="16">
                  <c:v>94.8</c:v>
                </c:pt>
                <c:pt idx="17">
                  <c:v>96.5</c:v>
                </c:pt>
                <c:pt idx="18">
                  <c:v>91.3</c:v>
                </c:pt>
                <c:pt idx="19">
                  <c:v>95</c:v>
                </c:pt>
                <c:pt idx="20">
                  <c:v>95.2</c:v>
                </c:pt>
                <c:pt idx="21">
                  <c:v>96.7</c:v>
                </c:pt>
                <c:pt idx="22">
                  <c:v>94.9</c:v>
                </c:pt>
                <c:pt idx="23">
                  <c:v>96</c:v>
                </c:pt>
                <c:pt idx="24">
                  <c:v>94.6</c:v>
                </c:pt>
                <c:pt idx="25">
                  <c:v>96.6</c:v>
                </c:pt>
                <c:pt idx="26">
                  <c:v>95.9</c:v>
                </c:pt>
                <c:pt idx="27">
                  <c:v>91.2</c:v>
                </c:pt>
                <c:pt idx="28">
                  <c:v>94.2</c:v>
                </c:pt>
                <c:pt idx="29">
                  <c:v>91.9</c:v>
                </c:pt>
                <c:pt idx="30">
                  <c:v>92.7</c:v>
                </c:pt>
              </c:numCache>
            </c:numRef>
          </c:val>
          <c:extLst>
            <c:ext xmlns:c16="http://schemas.microsoft.com/office/drawing/2014/chart" uri="{C3380CC4-5D6E-409C-BE32-E72D297353CC}">
              <c16:uniqueId val="{00000000-2A81-4A4A-A952-E2A5572CAA37}"/>
            </c:ext>
          </c:extLst>
        </c:ser>
        <c:dLbls>
          <c:showLegendKey val="0"/>
          <c:showVal val="0"/>
          <c:showCatName val="0"/>
          <c:showSerName val="0"/>
          <c:showPercent val="0"/>
          <c:showBubbleSize val="0"/>
        </c:dLbls>
        <c:gapWidth val="50"/>
        <c:axId val="343594496"/>
        <c:axId val="343594888"/>
      </c:barChart>
      <c:catAx>
        <c:axId val="3435944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343594888"/>
        <c:crosses val="autoZero"/>
        <c:auto val="1"/>
        <c:lblAlgn val="ctr"/>
        <c:lblOffset val="100"/>
        <c:tickMarkSkip val="1"/>
        <c:noMultiLvlLbl val="0"/>
      </c:catAx>
      <c:valAx>
        <c:axId val="343594888"/>
        <c:scaling>
          <c:orientation val="minMax"/>
          <c:max val="105"/>
          <c:min val="85"/>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343594496"/>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1813124285492312E-2"/>
          <c:y val="5.7082138416908415E-2"/>
          <c:w val="0.69523656798987088"/>
          <c:h val="0.86969084127641938"/>
        </c:manualLayout>
      </c:layout>
      <c:barChart>
        <c:barDir val="col"/>
        <c:grouping val="stacked"/>
        <c:varyColors val="0"/>
        <c:ser>
          <c:idx val="1"/>
          <c:order val="1"/>
          <c:tx>
            <c:strRef>
              <c:f>LV!$C$3</c:f>
              <c:strCache>
                <c:ptCount val="1"/>
                <c:pt idx="0">
                  <c:v>Privātais patēriņš</c:v>
                </c:pt>
              </c:strCache>
            </c:strRef>
          </c:tx>
          <c:spPr>
            <a:solidFill>
              <a:schemeClr val="accent2">
                <a:lumMod val="75000"/>
              </a:schemeClr>
            </a:solidFill>
            <a:ln>
              <a:noFill/>
            </a:ln>
          </c:spPr>
          <c:invertIfNegative val="0"/>
          <c:cat>
            <c:numRef>
              <c:f>LV!$D$1:$R$1</c:f>
              <c:numCache>
                <c:formatCode>General</c:formatCod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numCache>
            </c:numRef>
          </c:cat>
          <c:val>
            <c:numRef>
              <c:f>LV!$D$3:$R$3</c:f>
              <c:numCache>
                <c:formatCode>0.0</c:formatCode>
                <c:ptCount val="15"/>
                <c:pt idx="0">
                  <c:v>-10.321954287245351</c:v>
                </c:pt>
                <c:pt idx="1">
                  <c:v>7.3567439952613185</c:v>
                </c:pt>
                <c:pt idx="2">
                  <c:v>0.64508677936896364</c:v>
                </c:pt>
                <c:pt idx="3">
                  <c:v>2.1212992274741049</c:v>
                </c:pt>
                <c:pt idx="4">
                  <c:v>0.92728403921679936</c:v>
                </c:pt>
                <c:pt idx="5">
                  <c:v>-1.5464236546618346</c:v>
                </c:pt>
                <c:pt idx="6">
                  <c:v>7.804516690147012E-2</c:v>
                </c:pt>
                <c:pt idx="7">
                  <c:v>-0.33980239802496026</c:v>
                </c:pt>
                <c:pt idx="8">
                  <c:v>0.39844253191305201</c:v>
                </c:pt>
                <c:pt idx="9">
                  <c:v>0.17135905289370879</c:v>
                </c:pt>
                <c:pt idx="10">
                  <c:v>-0.36061137046721514</c:v>
                </c:pt>
                <c:pt idx="11">
                  <c:v>-1.4596911800303989</c:v>
                </c:pt>
                <c:pt idx="12">
                  <c:v>1.1663910934763972</c:v>
                </c:pt>
                <c:pt idx="13">
                  <c:v>0.65283734824009265</c:v>
                </c:pt>
                <c:pt idx="14">
                  <c:v>-1.4914275848617278</c:v>
                </c:pt>
              </c:numCache>
            </c:numRef>
          </c:val>
          <c:extLst>
            <c:ext xmlns:c16="http://schemas.microsoft.com/office/drawing/2014/chart" uri="{C3380CC4-5D6E-409C-BE32-E72D297353CC}">
              <c16:uniqueId val="{00000000-D4E7-4C9C-928E-36E2E3636A14}"/>
            </c:ext>
          </c:extLst>
        </c:ser>
        <c:ser>
          <c:idx val="2"/>
          <c:order val="2"/>
          <c:tx>
            <c:strRef>
              <c:f>LV!$C$4</c:f>
              <c:strCache>
                <c:ptCount val="1"/>
                <c:pt idx="0">
                  <c:v>Sabiedriskais patēriņš</c:v>
                </c:pt>
              </c:strCache>
            </c:strRef>
          </c:tx>
          <c:spPr>
            <a:ln>
              <a:noFill/>
            </a:ln>
          </c:spPr>
          <c:invertIfNegative val="0"/>
          <c:cat>
            <c:numRef>
              <c:f>LV!$D$1:$R$1</c:f>
              <c:numCache>
                <c:formatCode>General</c:formatCod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numCache>
            </c:numRef>
          </c:cat>
          <c:val>
            <c:numRef>
              <c:f>LV!$D$4:$R$4</c:f>
              <c:numCache>
                <c:formatCode>0.0</c:formatCode>
                <c:ptCount val="15"/>
                <c:pt idx="0">
                  <c:v>-0.68908932689579061</c:v>
                </c:pt>
                <c:pt idx="1">
                  <c:v>9.3043045860093931E-2</c:v>
                </c:pt>
                <c:pt idx="2">
                  <c:v>0.39102733163819609</c:v>
                </c:pt>
                <c:pt idx="3">
                  <c:v>-2.7015103219265549E-2</c:v>
                </c:pt>
                <c:pt idx="4">
                  <c:v>0.38269293624611989</c:v>
                </c:pt>
                <c:pt idx="5">
                  <c:v>0.70398361310636481</c:v>
                </c:pt>
                <c:pt idx="6">
                  <c:v>8.0392296951586839E-2</c:v>
                </c:pt>
                <c:pt idx="7">
                  <c:v>-0.14404450952870496</c:v>
                </c:pt>
                <c:pt idx="8">
                  <c:v>0.17935539454491423</c:v>
                </c:pt>
                <c:pt idx="9">
                  <c:v>3.1992948200467719E-2</c:v>
                </c:pt>
                <c:pt idx="10">
                  <c:v>-7.466315739407442E-2</c:v>
                </c:pt>
                <c:pt idx="11">
                  <c:v>-0.10039478898724752</c:v>
                </c:pt>
                <c:pt idx="12">
                  <c:v>0.1751861029272086</c:v>
                </c:pt>
                <c:pt idx="13">
                  <c:v>0.18350487114790809</c:v>
                </c:pt>
                <c:pt idx="14">
                  <c:v>0.43628447866802755</c:v>
                </c:pt>
              </c:numCache>
            </c:numRef>
          </c:val>
          <c:extLst>
            <c:ext xmlns:c16="http://schemas.microsoft.com/office/drawing/2014/chart" uri="{C3380CC4-5D6E-409C-BE32-E72D297353CC}">
              <c16:uniqueId val="{00000001-D4E7-4C9C-928E-36E2E3636A14}"/>
            </c:ext>
          </c:extLst>
        </c:ser>
        <c:ser>
          <c:idx val="3"/>
          <c:order val="3"/>
          <c:tx>
            <c:strRef>
              <c:f>LV!$C$5</c:f>
              <c:strCache>
                <c:ptCount val="1"/>
                <c:pt idx="0">
                  <c:v>Kopējā pamatkapitāla veidošana</c:v>
                </c:pt>
              </c:strCache>
            </c:strRef>
          </c:tx>
          <c:spPr>
            <a:solidFill>
              <a:schemeClr val="accent4">
                <a:lumMod val="60000"/>
                <a:lumOff val="40000"/>
              </a:schemeClr>
            </a:solidFill>
            <a:ln>
              <a:noFill/>
            </a:ln>
          </c:spPr>
          <c:invertIfNegative val="0"/>
          <c:cat>
            <c:numRef>
              <c:f>LV!$D$1:$R$1</c:f>
              <c:numCache>
                <c:formatCode>General</c:formatCod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numCache>
            </c:numRef>
          </c:cat>
          <c:val>
            <c:numRef>
              <c:f>LV!$D$5:$R$5</c:f>
              <c:numCache>
                <c:formatCode>0.0</c:formatCode>
                <c:ptCount val="15"/>
                <c:pt idx="0">
                  <c:v>-7.6929708617799397</c:v>
                </c:pt>
                <c:pt idx="1">
                  <c:v>-1.6281181821237243</c:v>
                </c:pt>
                <c:pt idx="2">
                  <c:v>4.1006771021898034</c:v>
                </c:pt>
                <c:pt idx="3">
                  <c:v>1.175667247088529</c:v>
                </c:pt>
                <c:pt idx="4">
                  <c:v>-3.0573538822515669</c:v>
                </c:pt>
                <c:pt idx="5">
                  <c:v>-1.2393014584765654</c:v>
                </c:pt>
                <c:pt idx="6">
                  <c:v>-0.17750299636338718</c:v>
                </c:pt>
                <c:pt idx="7">
                  <c:v>0.14386357414500139</c:v>
                </c:pt>
                <c:pt idx="8">
                  <c:v>0.7319804554215279</c:v>
                </c:pt>
                <c:pt idx="9">
                  <c:v>0.47507424921853403</c:v>
                </c:pt>
                <c:pt idx="10">
                  <c:v>-1.1937216479336445</c:v>
                </c:pt>
                <c:pt idx="11">
                  <c:v>2.4869176291223072</c:v>
                </c:pt>
                <c:pt idx="12">
                  <c:v>-0.29018956961746789</c:v>
                </c:pt>
                <c:pt idx="13">
                  <c:v>2.4656873109300065E-2</c:v>
                </c:pt>
                <c:pt idx="14">
                  <c:v>0.46791083282328572</c:v>
                </c:pt>
              </c:numCache>
            </c:numRef>
          </c:val>
          <c:extLst>
            <c:ext xmlns:c16="http://schemas.microsoft.com/office/drawing/2014/chart" uri="{C3380CC4-5D6E-409C-BE32-E72D297353CC}">
              <c16:uniqueId val="{00000002-D4E7-4C9C-928E-36E2E3636A14}"/>
            </c:ext>
          </c:extLst>
        </c:ser>
        <c:ser>
          <c:idx val="4"/>
          <c:order val="4"/>
          <c:tx>
            <c:strRef>
              <c:f>LV!$C$6</c:f>
              <c:strCache>
                <c:ptCount val="1"/>
                <c:pt idx="0">
                  <c:v>Krājumu izmaiņas</c:v>
                </c:pt>
              </c:strCache>
            </c:strRef>
          </c:tx>
          <c:spPr>
            <a:solidFill>
              <a:schemeClr val="accent5">
                <a:lumMod val="60000"/>
                <a:lumOff val="40000"/>
              </a:schemeClr>
            </a:solidFill>
            <a:ln>
              <a:noFill/>
            </a:ln>
          </c:spPr>
          <c:invertIfNegative val="0"/>
          <c:cat>
            <c:numRef>
              <c:f>LV!$D$1:$R$1</c:f>
              <c:numCache>
                <c:formatCode>General</c:formatCod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numCache>
            </c:numRef>
          </c:cat>
          <c:val>
            <c:numRef>
              <c:f>LV!$D$6:$R$6</c:f>
              <c:numCache>
                <c:formatCode>0.0</c:formatCode>
                <c:ptCount val="15"/>
                <c:pt idx="0">
                  <c:v>-2.2599889135060685</c:v>
                </c:pt>
                <c:pt idx="1">
                  <c:v>3.5787877135993305</c:v>
                </c:pt>
                <c:pt idx="2">
                  <c:v>1.8139421667859978</c:v>
                </c:pt>
                <c:pt idx="3">
                  <c:v>-4.1153043633432302</c:v>
                </c:pt>
                <c:pt idx="4">
                  <c:v>-0.62257650429221179</c:v>
                </c:pt>
                <c:pt idx="5">
                  <c:v>-1.4010806305132375</c:v>
                </c:pt>
                <c:pt idx="6">
                  <c:v>-0.17750299636338718</c:v>
                </c:pt>
                <c:pt idx="7">
                  <c:v>-2.5443102383546083</c:v>
                </c:pt>
                <c:pt idx="8">
                  <c:v>0.54013884388881594</c:v>
                </c:pt>
                <c:pt idx="9">
                  <c:v>1.4610419477111545</c:v>
                </c:pt>
                <c:pt idx="10">
                  <c:v>2.1416462212983629</c:v>
                </c:pt>
                <c:pt idx="11">
                  <c:v>3.1334359079828884</c:v>
                </c:pt>
                <c:pt idx="12">
                  <c:v>4.3102551941826945</c:v>
                </c:pt>
                <c:pt idx="13">
                  <c:v>2.224497503688617</c:v>
                </c:pt>
                <c:pt idx="14">
                  <c:v>-0.71773781729353625</c:v>
                </c:pt>
              </c:numCache>
            </c:numRef>
          </c:val>
          <c:extLst>
            <c:ext xmlns:c16="http://schemas.microsoft.com/office/drawing/2014/chart" uri="{C3380CC4-5D6E-409C-BE32-E72D297353CC}">
              <c16:uniqueId val="{00000003-D4E7-4C9C-928E-36E2E3636A14}"/>
            </c:ext>
          </c:extLst>
        </c:ser>
        <c:ser>
          <c:idx val="5"/>
          <c:order val="5"/>
          <c:tx>
            <c:strRef>
              <c:f>LV!$C$7</c:f>
              <c:strCache>
                <c:ptCount val="1"/>
                <c:pt idx="0">
                  <c:v>Neto eksports</c:v>
                </c:pt>
              </c:strCache>
            </c:strRef>
          </c:tx>
          <c:spPr>
            <a:solidFill>
              <a:schemeClr val="accent6">
                <a:lumMod val="60000"/>
                <a:lumOff val="40000"/>
              </a:schemeClr>
            </a:solidFill>
            <a:ln>
              <a:noFill/>
            </a:ln>
          </c:spPr>
          <c:invertIfNegative val="0"/>
          <c:cat>
            <c:numRef>
              <c:f>LV!$D$1:$R$1</c:f>
              <c:numCache>
                <c:formatCode>General</c:formatCod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numCache>
            </c:numRef>
          </c:cat>
          <c:val>
            <c:numRef>
              <c:f>LV!$D$7:$R$7</c:f>
              <c:numCache>
                <c:formatCode>0.0</c:formatCode>
                <c:ptCount val="15"/>
                <c:pt idx="0">
                  <c:v>8.0493985565027835</c:v>
                </c:pt>
                <c:pt idx="1">
                  <c:v>-5.7216538481193133</c:v>
                </c:pt>
                <c:pt idx="2">
                  <c:v>-4.7663220960320407</c:v>
                </c:pt>
                <c:pt idx="3">
                  <c:v>3.913577297672739</c:v>
                </c:pt>
                <c:pt idx="4">
                  <c:v>2.7699387500953661</c:v>
                </c:pt>
                <c:pt idx="5">
                  <c:v>1.6529063072662975</c:v>
                </c:pt>
                <c:pt idx="6">
                  <c:v>-0.45365311295598909</c:v>
                </c:pt>
                <c:pt idx="7">
                  <c:v>2.31368614132648</c:v>
                </c:pt>
                <c:pt idx="8">
                  <c:v>-0.7485053373674373</c:v>
                </c:pt>
                <c:pt idx="9">
                  <c:v>-1.5697515163893736</c:v>
                </c:pt>
                <c:pt idx="10">
                  <c:v>-1.4803842358104242</c:v>
                </c:pt>
                <c:pt idx="11">
                  <c:v>-0.68395148377766479</c:v>
                </c:pt>
                <c:pt idx="12">
                  <c:v>-4.9742671808072636</c:v>
                </c:pt>
                <c:pt idx="13">
                  <c:v>-1.9251474793095458</c:v>
                </c:pt>
                <c:pt idx="14">
                  <c:v>3.3162287491556697E-2</c:v>
                </c:pt>
              </c:numCache>
            </c:numRef>
          </c:val>
          <c:extLst>
            <c:ext xmlns:c16="http://schemas.microsoft.com/office/drawing/2014/chart" uri="{C3380CC4-5D6E-409C-BE32-E72D297353CC}">
              <c16:uniqueId val="{00000004-D4E7-4C9C-928E-36E2E3636A14}"/>
            </c:ext>
          </c:extLst>
        </c:ser>
        <c:ser>
          <c:idx val="6"/>
          <c:order val="6"/>
          <c:tx>
            <c:strRef>
              <c:f>LV!$C$8</c:f>
              <c:strCache>
                <c:ptCount val="1"/>
                <c:pt idx="0">
                  <c:v>Statistikas korekcijas</c:v>
                </c:pt>
              </c:strCache>
            </c:strRef>
          </c:tx>
          <c:spPr>
            <a:solidFill>
              <a:srgbClr val="C00000"/>
            </a:solidFill>
            <a:ln>
              <a:noFill/>
            </a:ln>
          </c:spPr>
          <c:invertIfNegative val="0"/>
          <c:cat>
            <c:numRef>
              <c:f>LV!$D$1:$R$1</c:f>
              <c:numCache>
                <c:formatCode>General</c:formatCod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numCache>
            </c:numRef>
          </c:cat>
          <c:val>
            <c:numRef>
              <c:f>LV!$D$8:$R$8</c:f>
              <c:numCache>
                <c:formatCode>0.0</c:formatCode>
                <c:ptCount val="15"/>
                <c:pt idx="0">
                  <c:v>-3.7168471383528541</c:v>
                </c:pt>
                <c:pt idx="1">
                  <c:v>4.1203699844587902</c:v>
                </c:pt>
                <c:pt idx="2">
                  <c:v>2.8955649223004523</c:v>
                </c:pt>
                <c:pt idx="3">
                  <c:v>-1.4639526398030398</c:v>
                </c:pt>
                <c:pt idx="4">
                  <c:v>2.1021289265026306</c:v>
                </c:pt>
                <c:pt idx="5">
                  <c:v>0.45944647419946194</c:v>
                </c:pt>
                <c:pt idx="6">
                  <c:v>-1.7576769687688256</c:v>
                </c:pt>
                <c:pt idx="7">
                  <c:v>-0.41824914027199611</c:v>
                </c:pt>
                <c:pt idx="8">
                  <c:v>1.3240036855523125</c:v>
                </c:pt>
                <c:pt idx="9">
                  <c:v>0.77919744094178611</c:v>
                </c:pt>
                <c:pt idx="10">
                  <c:v>1.6099393848510033</c:v>
                </c:pt>
                <c:pt idx="11">
                  <c:v>-0.10988107371126432</c:v>
                </c:pt>
                <c:pt idx="12">
                  <c:v>-2.6636614149192326</c:v>
                </c:pt>
                <c:pt idx="13">
                  <c:v>-0.19164764792508038</c:v>
                </c:pt>
                <c:pt idx="14">
                  <c:v>0</c:v>
                </c:pt>
              </c:numCache>
            </c:numRef>
          </c:val>
          <c:extLst>
            <c:ext xmlns:c16="http://schemas.microsoft.com/office/drawing/2014/chart" uri="{C3380CC4-5D6E-409C-BE32-E72D297353CC}">
              <c16:uniqueId val="{00000005-D4E7-4C9C-928E-36E2E3636A14}"/>
            </c:ext>
          </c:extLst>
        </c:ser>
        <c:dLbls>
          <c:showLegendKey val="0"/>
          <c:showVal val="0"/>
          <c:showCatName val="0"/>
          <c:showSerName val="0"/>
          <c:showPercent val="0"/>
          <c:showBubbleSize val="0"/>
        </c:dLbls>
        <c:gapWidth val="50"/>
        <c:overlap val="100"/>
        <c:axId val="435172480"/>
        <c:axId val="435172872"/>
      </c:barChart>
      <c:lineChart>
        <c:grouping val="standard"/>
        <c:varyColors val="0"/>
        <c:ser>
          <c:idx val="0"/>
          <c:order val="0"/>
          <c:tx>
            <c:strRef>
              <c:f>LV!$C$2</c:f>
              <c:strCache>
                <c:ptCount val="1"/>
                <c:pt idx="0">
                  <c:v>IKP</c:v>
                </c:pt>
              </c:strCache>
            </c:strRef>
          </c:tx>
          <c:spPr>
            <a:ln>
              <a:solidFill>
                <a:schemeClr val="tx1"/>
              </a:solidFill>
            </a:ln>
          </c:spPr>
          <c:marker>
            <c:symbol val="none"/>
          </c:marker>
          <c:cat>
            <c:numRef>
              <c:f>LV!$D$1:$R$1</c:f>
              <c:numCache>
                <c:formatCode>General</c:formatCod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numCache>
            </c:numRef>
          </c:cat>
          <c:val>
            <c:numRef>
              <c:f>LV!$D$2:$R$2</c:f>
              <c:numCache>
                <c:formatCode>0.0</c:formatCode>
                <c:ptCount val="15"/>
                <c:pt idx="0">
                  <c:v>-12.914604832924368</c:v>
                </c:pt>
                <c:pt idx="1">
                  <c:v>3.6788027244777051</c:v>
                </c:pt>
                <c:pt idx="2">
                  <c:v>2.1844112839509204</c:v>
                </c:pt>
                <c:pt idx="3">
                  <c:v>3.0682243056728771</c:v>
                </c:pt>
                <c:pt idx="4">
                  <c:v>0.40003964242507895</c:v>
                </c:pt>
                <c:pt idx="5">
                  <c:v>-1.8299158232789585</c:v>
                </c:pt>
                <c:pt idx="6">
                  <c:v>-1.0835124894503778E-2</c:v>
                </c:pt>
                <c:pt idx="7">
                  <c:v>-0.57060743043677409</c:v>
                </c:pt>
                <c:pt idx="8">
                  <c:v>1.1014118884008246</c:v>
                </c:pt>
                <c:pt idx="9">
                  <c:v>0.56971668163448896</c:v>
                </c:pt>
                <c:pt idx="10">
                  <c:v>-0.96773419030701291</c:v>
                </c:pt>
                <c:pt idx="11">
                  <c:v>3.3763160843098774</c:v>
                </c:pt>
                <c:pt idx="12">
                  <c:v>0.38737564016155046</c:v>
                </c:pt>
                <c:pt idx="13">
                  <c:v>1.1603491168763895</c:v>
                </c:pt>
                <c:pt idx="14">
                  <c:v>-1.2718078031723934</c:v>
                </c:pt>
              </c:numCache>
            </c:numRef>
          </c:val>
          <c:smooth val="0"/>
          <c:extLst>
            <c:ext xmlns:c16="http://schemas.microsoft.com/office/drawing/2014/chart" uri="{C3380CC4-5D6E-409C-BE32-E72D297353CC}">
              <c16:uniqueId val="{00000006-D4E7-4C9C-928E-36E2E3636A14}"/>
            </c:ext>
          </c:extLst>
        </c:ser>
        <c:dLbls>
          <c:showLegendKey val="0"/>
          <c:showVal val="0"/>
          <c:showCatName val="0"/>
          <c:showSerName val="0"/>
          <c:showPercent val="0"/>
          <c:showBubbleSize val="0"/>
        </c:dLbls>
        <c:marker val="1"/>
        <c:smooth val="0"/>
        <c:axId val="435172480"/>
        <c:axId val="435172872"/>
      </c:lineChart>
      <c:catAx>
        <c:axId val="435172480"/>
        <c:scaling>
          <c:orientation val="minMax"/>
        </c:scaling>
        <c:delete val="0"/>
        <c:axPos val="b"/>
        <c:numFmt formatCode="General" sourceLinked="1"/>
        <c:majorTickMark val="out"/>
        <c:minorTickMark val="none"/>
        <c:tickLblPos val="low"/>
        <c:spPr>
          <a:ln w="9525">
            <a:solidFill>
              <a:sysClr val="windowText" lastClr="000000"/>
            </a:solidFill>
          </a:ln>
        </c:spPr>
        <c:txPr>
          <a:bodyPr/>
          <a:lstStyle/>
          <a:p>
            <a:pPr>
              <a:defRPr b="1">
                <a:solidFill>
                  <a:sysClr val="windowText" lastClr="000000"/>
                </a:solidFill>
              </a:defRPr>
            </a:pPr>
            <a:endParaRPr lang="lv-LV"/>
          </a:p>
        </c:txPr>
        <c:crossAx val="435172872"/>
        <c:crosses val="autoZero"/>
        <c:auto val="1"/>
        <c:lblAlgn val="ctr"/>
        <c:lblOffset val="100"/>
        <c:noMultiLvlLbl val="0"/>
      </c:catAx>
      <c:valAx>
        <c:axId val="435172872"/>
        <c:scaling>
          <c:orientation val="minMax"/>
        </c:scaling>
        <c:delete val="0"/>
        <c:axPos val="l"/>
        <c:numFmt formatCode="0" sourceLinked="0"/>
        <c:majorTickMark val="none"/>
        <c:minorTickMark val="none"/>
        <c:tickLblPos val="nextTo"/>
        <c:spPr>
          <a:ln w="9525">
            <a:solidFill>
              <a:sysClr val="windowText" lastClr="000000"/>
            </a:solidFill>
          </a:ln>
        </c:spPr>
        <c:txPr>
          <a:bodyPr/>
          <a:lstStyle/>
          <a:p>
            <a:pPr>
              <a:defRPr b="1">
                <a:solidFill>
                  <a:sysClr val="windowText" lastClr="000000"/>
                </a:solidFill>
              </a:defRPr>
            </a:pPr>
            <a:endParaRPr lang="lv-LV"/>
          </a:p>
        </c:txPr>
        <c:crossAx val="435172480"/>
        <c:crosses val="autoZero"/>
        <c:crossBetween val="between"/>
        <c:majorUnit val="10"/>
      </c:valAx>
    </c:plotArea>
    <c:legend>
      <c:legendPos val="r"/>
      <c:layout>
        <c:manualLayout>
          <c:xMode val="edge"/>
          <c:yMode val="edge"/>
          <c:x val="0.75357218759539546"/>
          <c:y val="5.1373350770290926E-2"/>
          <c:w val="0.244804365942659"/>
          <c:h val="0.91538506931952079"/>
        </c:manualLayout>
      </c:layout>
      <c:overlay val="0"/>
    </c:legend>
    <c:plotVisOnly val="1"/>
    <c:dispBlanksAs val="gap"/>
    <c:showDLblsOverMax val="0"/>
  </c:chart>
  <c:spPr>
    <a:ln>
      <a:noFill/>
    </a:ln>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61745564936913"/>
          <c:y val="3.8576272463549707E-2"/>
          <c:w val="0.38765088701261741"/>
          <c:h val="0.76973740722601058"/>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E03-4882-9025-C0578CB77FFC}"/>
              </c:ext>
            </c:extLst>
          </c:dPt>
          <c:dPt>
            <c:idx val="1"/>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03-6E03-4882-9025-C0578CB77FFC}"/>
              </c:ext>
            </c:extLst>
          </c:dPt>
          <c:dPt>
            <c:idx val="2"/>
            <c:bubble3D val="0"/>
            <c:spPr>
              <a:pattFill prst="pct25">
                <a:fgClr>
                  <a:srgbClr val="00B050"/>
                </a:fgClr>
                <a:bgClr>
                  <a:schemeClr val="bg1"/>
                </a:bgClr>
              </a:pattFill>
              <a:ln w="19050">
                <a:solidFill>
                  <a:schemeClr val="lt1"/>
                </a:solidFill>
              </a:ln>
              <a:effectLst/>
            </c:spPr>
            <c:extLst>
              <c:ext xmlns:c16="http://schemas.microsoft.com/office/drawing/2014/chart" uri="{C3380CC4-5D6E-409C-BE32-E72D297353CC}">
                <c16:uniqueId val="{00000005-6E03-4882-9025-C0578CB77FFC}"/>
              </c:ext>
            </c:extLst>
          </c:dPt>
          <c:dPt>
            <c:idx val="3"/>
            <c:bubble3D val="0"/>
            <c:spPr>
              <a:solidFill>
                <a:schemeClr val="tx1">
                  <a:lumMod val="50000"/>
                  <a:lumOff val="50000"/>
                </a:schemeClr>
              </a:solidFill>
              <a:ln w="19050">
                <a:solidFill>
                  <a:schemeClr val="lt1"/>
                </a:solidFill>
              </a:ln>
              <a:effectLst/>
            </c:spPr>
            <c:extLst>
              <c:ext xmlns:c16="http://schemas.microsoft.com/office/drawing/2014/chart" uri="{C3380CC4-5D6E-409C-BE32-E72D297353CC}">
                <c16:uniqueId val="{00000007-6E03-4882-9025-C0578CB77FFC}"/>
              </c:ext>
            </c:extLst>
          </c:dPt>
          <c:dPt>
            <c:idx val="4"/>
            <c:bubble3D val="0"/>
            <c:spPr>
              <a:solidFill>
                <a:schemeClr val="accent3"/>
              </a:solidFill>
              <a:ln w="19050">
                <a:solidFill>
                  <a:schemeClr val="lt1"/>
                </a:solidFill>
              </a:ln>
              <a:effectLst/>
            </c:spPr>
            <c:extLst>
              <c:ext xmlns:c16="http://schemas.microsoft.com/office/drawing/2014/chart" uri="{C3380CC4-5D6E-409C-BE32-E72D297353CC}">
                <c16:uniqueId val="{00000009-6E03-4882-9025-C0578CB77FF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E03-4882-9025-C0578CB77FFC}"/>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6E03-4882-9025-C0578CB77FFC}"/>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6E03-4882-9025-C0578CB77FFC}"/>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6E03-4882-9025-C0578CB77FFC}"/>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6E03-4882-9025-C0578CB77FFC}"/>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6E03-4882-9025-C0578CB77FFC}"/>
              </c:ext>
            </c:extLst>
          </c:dPt>
          <c:dLbls>
            <c:dLbl>
              <c:idx val="5"/>
              <c:layout>
                <c:manualLayout>
                  <c:x val="6.14884735793568E-3"/>
                  <c:y val="-1.340956184304713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6E03-4882-9025-C0578CB77FFC}"/>
                </c:ext>
              </c:extLst>
            </c:dLbl>
            <c:dLbl>
              <c:idx val="6"/>
              <c:layout>
                <c:manualLayout>
                  <c:x val="-0.12411535907409169"/>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6E03-4882-9025-C0578CB77FFC}"/>
                </c:ext>
              </c:extLst>
            </c:dLbl>
            <c:dLbl>
              <c:idx val="7"/>
              <c:layout>
                <c:manualLayout>
                  <c:x val="-6.1659045631344278E-2"/>
                  <c:y val="-7.144557887201889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6E03-4882-9025-C0578CB77FFC}"/>
                </c:ext>
              </c:extLst>
            </c:dLbl>
            <c:dLbl>
              <c:idx val="8"/>
              <c:layout>
                <c:manualLayout>
                  <c:x val="-7.6288777155867566E-3"/>
                  <c:y val="-7.1382285348302755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6E03-4882-9025-C0578CB77FFC}"/>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'izlaide &amp; apgr. fakt. cenas'!$AI$60:$AI$70</c:f>
              <c:strCache>
                <c:ptCount val="11"/>
                <c:pt idx="0">
                  <c:v>Pārtika un dzērieni</c:v>
                </c:pt>
                <c:pt idx="1">
                  <c:v>Vieglā rūpniecība</c:v>
                </c:pt>
                <c:pt idx="2">
                  <c:v>Kokapstrāde</c:v>
                </c:pt>
                <c:pt idx="3">
                  <c:v>Papīra izstrādājumi un poligrāfija</c:v>
                </c:pt>
                <c:pt idx="4">
                  <c:v>Ķīmiskās vielas un produkti</c:v>
                </c:pt>
                <c:pt idx="5">
                  <c:v>Nemetālisko minerālu ražošana</c:v>
                </c:pt>
                <c:pt idx="6">
                  <c:v>Datoru, elektron. un opt.iek. ražošana</c:v>
                </c:pt>
                <c:pt idx="7">
                  <c:v>Metālapstrāde</c:v>
                </c:pt>
                <c:pt idx="8">
                  <c:v>Mašīnbūve</c:v>
                </c:pt>
                <c:pt idx="9">
                  <c:v>Mēbeļu ražošana</c:v>
                </c:pt>
                <c:pt idx="10">
                  <c:v>Pārējās apakšnozares</c:v>
                </c:pt>
              </c:strCache>
            </c:strRef>
          </c:cat>
          <c:val>
            <c:numRef>
              <c:f>'izlaide &amp; apgr. fakt. cenas'!$AS$60:$AS$70</c:f>
              <c:numCache>
                <c:formatCode>0.0</c:formatCode>
                <c:ptCount val="11"/>
                <c:pt idx="0">
                  <c:v>21.99212120653663</c:v>
                </c:pt>
                <c:pt idx="1">
                  <c:v>2.9337027596652248</c:v>
                </c:pt>
                <c:pt idx="2">
                  <c:v>26.363005772748561</c:v>
                </c:pt>
                <c:pt idx="3">
                  <c:v>3.1995236511731648</c:v>
                </c:pt>
                <c:pt idx="4">
                  <c:v>3.530815525544349</c:v>
                </c:pt>
                <c:pt idx="5">
                  <c:v>5.0616404056866937</c:v>
                </c:pt>
                <c:pt idx="6">
                  <c:v>5.7122377588526723</c:v>
                </c:pt>
                <c:pt idx="7">
                  <c:v>9.0716083366870297</c:v>
                </c:pt>
                <c:pt idx="8">
                  <c:v>9.8790287100361294</c:v>
                </c:pt>
                <c:pt idx="9">
                  <c:v>2.6436859483696584</c:v>
                </c:pt>
                <c:pt idx="10">
                  <c:v>9.6126299246998865</c:v>
                </c:pt>
              </c:numCache>
            </c:numRef>
          </c:val>
          <c:extLst>
            <c:ext xmlns:c16="http://schemas.microsoft.com/office/drawing/2014/chart" uri="{C3380CC4-5D6E-409C-BE32-E72D297353CC}">
              <c16:uniqueId val="{00000016-6E03-4882-9025-C0578CB77FFC}"/>
            </c:ext>
          </c:extLst>
        </c:ser>
        <c:dLbls>
          <c:dLblPos val="bestFit"/>
          <c:showLegendKey val="0"/>
          <c:showVal val="1"/>
          <c:showCatName val="0"/>
          <c:showSerName val="0"/>
          <c:showPercent val="0"/>
          <c:showBubbleSize val="0"/>
          <c:showLeaderLines val="1"/>
        </c:dLbls>
        <c:firstSliceAng val="30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109264210641713"/>
          <c:y val="0.10575366937316102"/>
          <c:w val="0.6520601472110974"/>
          <c:h val="0.72758290891783262"/>
        </c:manualLayout>
      </c:layout>
      <c:barChart>
        <c:barDir val="bar"/>
        <c:grouping val="clustered"/>
        <c:varyColors val="0"/>
        <c:ser>
          <c:idx val="0"/>
          <c:order val="0"/>
          <c:tx>
            <c:strRef>
              <c:f>'Subsect graf'!$S$4</c:f>
              <c:strCache>
                <c:ptCount val="1"/>
                <c:pt idx="0">
                  <c:v>2024 I-VII</c:v>
                </c:pt>
              </c:strCache>
            </c:strRef>
          </c:tx>
          <c:spPr>
            <a:solidFill>
              <a:schemeClr val="accent5">
                <a:lumMod val="60000"/>
                <a:lumOff val="40000"/>
              </a:schemeClr>
            </a:solidFill>
            <a:ln>
              <a:noFill/>
            </a:ln>
            <a:effectLst/>
          </c:spPr>
          <c:invertIfNegative val="0"/>
          <c:dPt>
            <c:idx val="0"/>
            <c:invertIfNegative val="0"/>
            <c:bubble3D val="0"/>
            <c:extLst>
              <c:ext xmlns:c16="http://schemas.microsoft.com/office/drawing/2014/chart" uri="{C3380CC4-5D6E-409C-BE32-E72D297353CC}">
                <c16:uniqueId val="{00000000-FFA0-485E-9032-AD6CB9DE0D45}"/>
              </c:ext>
            </c:extLst>
          </c:dPt>
          <c:dPt>
            <c:idx val="1"/>
            <c:invertIfNegative val="0"/>
            <c:bubble3D val="0"/>
            <c:extLst>
              <c:ext xmlns:c16="http://schemas.microsoft.com/office/drawing/2014/chart" uri="{C3380CC4-5D6E-409C-BE32-E72D297353CC}">
                <c16:uniqueId val="{00000001-FFA0-485E-9032-AD6CB9DE0D45}"/>
              </c:ext>
            </c:extLst>
          </c:dPt>
          <c:dPt>
            <c:idx val="4"/>
            <c:invertIfNegative val="0"/>
            <c:bubble3D val="0"/>
            <c:extLst>
              <c:ext xmlns:c16="http://schemas.microsoft.com/office/drawing/2014/chart" uri="{C3380CC4-5D6E-409C-BE32-E72D297353CC}">
                <c16:uniqueId val="{00000002-FFA0-485E-9032-AD6CB9DE0D45}"/>
              </c:ext>
            </c:extLst>
          </c:dPt>
          <c:dPt>
            <c:idx val="5"/>
            <c:invertIfNegative val="0"/>
            <c:bubble3D val="0"/>
            <c:extLst>
              <c:ext xmlns:c16="http://schemas.microsoft.com/office/drawing/2014/chart" uri="{C3380CC4-5D6E-409C-BE32-E72D297353CC}">
                <c16:uniqueId val="{00000003-FFA0-485E-9032-AD6CB9DE0D45}"/>
              </c:ext>
            </c:extLst>
          </c:dPt>
          <c:dPt>
            <c:idx val="6"/>
            <c:invertIfNegative val="0"/>
            <c:bubble3D val="0"/>
            <c:extLst>
              <c:ext xmlns:c16="http://schemas.microsoft.com/office/drawing/2014/chart" uri="{C3380CC4-5D6E-409C-BE32-E72D297353CC}">
                <c16:uniqueId val="{00000004-FFA0-485E-9032-AD6CB9DE0D45}"/>
              </c:ext>
            </c:extLst>
          </c:dPt>
          <c:dPt>
            <c:idx val="7"/>
            <c:invertIfNegative val="0"/>
            <c:bubble3D val="0"/>
            <c:extLst>
              <c:ext xmlns:c16="http://schemas.microsoft.com/office/drawing/2014/chart" uri="{C3380CC4-5D6E-409C-BE32-E72D297353CC}">
                <c16:uniqueId val="{00000005-FFA0-485E-9032-AD6CB9DE0D45}"/>
              </c:ext>
            </c:extLst>
          </c:dPt>
          <c:dPt>
            <c:idx val="9"/>
            <c:invertIfNegative val="0"/>
            <c:bubble3D val="0"/>
            <c:extLst>
              <c:ext xmlns:c16="http://schemas.microsoft.com/office/drawing/2014/chart" uri="{C3380CC4-5D6E-409C-BE32-E72D297353CC}">
                <c16:uniqueId val="{00000006-FFA0-485E-9032-AD6CB9DE0D45}"/>
              </c:ext>
            </c:extLst>
          </c:dPt>
          <c:dPt>
            <c:idx val="10"/>
            <c:invertIfNegative val="0"/>
            <c:bubble3D val="0"/>
            <c:extLst>
              <c:ext xmlns:c16="http://schemas.microsoft.com/office/drawing/2014/chart" uri="{C3380CC4-5D6E-409C-BE32-E72D297353CC}">
                <c16:uniqueId val="{00000007-FFA0-485E-9032-AD6CB9DE0D45}"/>
              </c:ext>
            </c:extLst>
          </c:dPt>
          <c:dPt>
            <c:idx val="11"/>
            <c:invertIfNegative val="0"/>
            <c:bubble3D val="0"/>
            <c:extLst>
              <c:ext xmlns:c16="http://schemas.microsoft.com/office/drawing/2014/chart" uri="{C3380CC4-5D6E-409C-BE32-E72D297353CC}">
                <c16:uniqueId val="{00000008-FFA0-485E-9032-AD6CB9DE0D45}"/>
              </c:ext>
            </c:extLst>
          </c:dPt>
          <c:dPt>
            <c:idx val="12"/>
            <c:invertIfNegative val="0"/>
            <c:bubble3D val="0"/>
            <c:extLst>
              <c:ext xmlns:c16="http://schemas.microsoft.com/office/drawing/2014/chart" uri="{C3380CC4-5D6E-409C-BE32-E72D297353CC}">
                <c16:uniqueId val="{00000009-FFA0-485E-9032-AD6CB9DE0D45}"/>
              </c:ext>
            </c:extLst>
          </c:dPt>
          <c:dPt>
            <c:idx val="13"/>
            <c:invertIfNegative val="0"/>
            <c:bubble3D val="0"/>
            <c:extLst>
              <c:ext xmlns:c16="http://schemas.microsoft.com/office/drawing/2014/chart" uri="{C3380CC4-5D6E-409C-BE32-E72D297353CC}">
                <c16:uniqueId val="{0000000A-FFA0-485E-9032-AD6CB9DE0D45}"/>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'Subsect graf'!$P$5:$P$18</c:f>
              <c:strCache>
                <c:ptCount val="14"/>
                <c:pt idx="0">
                  <c:v>ELEKTROENERĢIJA UN GĀZES APGĀDE</c:v>
                </c:pt>
                <c:pt idx="1">
                  <c:v>Mēbeļu ražošana</c:v>
                </c:pt>
                <c:pt idx="2">
                  <c:v>Datoru un elektronikas ražošana</c:v>
                </c:pt>
                <c:pt idx="3">
                  <c:v>Mašīnbūve </c:v>
                </c:pt>
                <c:pt idx="4">
                  <c:v>Gatavo metālizstrādājumu ražošana</c:v>
                </c:pt>
                <c:pt idx="5">
                  <c:v>Nemetālisko minerālu ražošana</c:v>
                </c:pt>
                <c:pt idx="6">
                  <c:v>Ķīmiskās vielas un produkti</c:v>
                </c:pt>
                <c:pt idx="7">
                  <c:v>Poligrāfija un papīra izstr. ražošana</c:v>
                </c:pt>
                <c:pt idx="8">
                  <c:v>Kokapstrāde</c:v>
                </c:pt>
                <c:pt idx="9">
                  <c:v>Vieglā rūpniecība</c:v>
                </c:pt>
                <c:pt idx="10">
                  <c:v>Pārtika un dzērieni</c:v>
                </c:pt>
                <c:pt idx="11">
                  <c:v>APSTRĀDES RŪPNIECĪBA</c:v>
                </c:pt>
                <c:pt idx="12">
                  <c:v>IEGUVES RŪPNIECĪBA</c:v>
                </c:pt>
                <c:pt idx="13">
                  <c:v>RŪPNIECĪBA</c:v>
                </c:pt>
              </c:strCache>
            </c:strRef>
          </c:cat>
          <c:val>
            <c:numRef>
              <c:f>'Subsect graf'!$S$5:$S$18</c:f>
              <c:numCache>
                <c:formatCode>0.0</c:formatCode>
                <c:ptCount val="14"/>
                <c:pt idx="0">
                  <c:v>6.8461282818212368</c:v>
                </c:pt>
                <c:pt idx="1">
                  <c:v>-12.290601304884504</c:v>
                </c:pt>
                <c:pt idx="2">
                  <c:v>-13.715710723191989</c:v>
                </c:pt>
                <c:pt idx="3">
                  <c:v>-9.6372885744935299</c:v>
                </c:pt>
                <c:pt idx="4">
                  <c:v>-10.027141133896237</c:v>
                </c:pt>
                <c:pt idx="5">
                  <c:v>-1.2619888944977333</c:v>
                </c:pt>
                <c:pt idx="6">
                  <c:v>9.2542677448337827</c:v>
                </c:pt>
                <c:pt idx="7">
                  <c:v>2.7475776825619245</c:v>
                </c:pt>
                <c:pt idx="8">
                  <c:v>-2.1528525296017449</c:v>
                </c:pt>
                <c:pt idx="9">
                  <c:v>-4.1422879929236771</c:v>
                </c:pt>
                <c:pt idx="10">
                  <c:v>0.72795212105109675</c:v>
                </c:pt>
                <c:pt idx="11">
                  <c:v>-4.4451164197157738</c:v>
                </c:pt>
                <c:pt idx="12">
                  <c:v>12.807109252483016</c:v>
                </c:pt>
                <c:pt idx="13">
                  <c:v>-2.0347934141037598</c:v>
                </c:pt>
              </c:numCache>
            </c:numRef>
          </c:val>
          <c:extLst>
            <c:ext xmlns:c16="http://schemas.microsoft.com/office/drawing/2014/chart" uri="{C3380CC4-5D6E-409C-BE32-E72D297353CC}">
              <c16:uniqueId val="{0000000B-FFA0-485E-9032-AD6CB9DE0D45}"/>
            </c:ext>
          </c:extLst>
        </c:ser>
        <c:ser>
          <c:idx val="1"/>
          <c:order val="1"/>
          <c:tx>
            <c:strRef>
              <c:f>'Subsect graf'!$R$4</c:f>
              <c:strCache>
                <c:ptCount val="1"/>
                <c:pt idx="0">
                  <c:v>2023</c:v>
                </c:pt>
              </c:strCache>
            </c:strRef>
          </c:tx>
          <c:spPr>
            <a:solidFill>
              <a:schemeClr val="bg1">
                <a:lumMod val="50000"/>
              </a:schemeClr>
            </a:solidFill>
            <a:ln>
              <a:noFill/>
            </a:ln>
            <a:effectLst/>
          </c:spPr>
          <c:invertIfNegative val="0"/>
          <c:cat>
            <c:strRef>
              <c:f>'Subsect graf'!$P$5:$P$18</c:f>
              <c:strCache>
                <c:ptCount val="14"/>
                <c:pt idx="0">
                  <c:v>ELEKTROENERĢIJA UN GĀZES APGĀDE</c:v>
                </c:pt>
                <c:pt idx="1">
                  <c:v>Mēbeļu ražošana</c:v>
                </c:pt>
                <c:pt idx="2">
                  <c:v>Datoru un elektronikas ražošana</c:v>
                </c:pt>
                <c:pt idx="3">
                  <c:v>Mašīnbūve </c:v>
                </c:pt>
                <c:pt idx="4">
                  <c:v>Gatavo metālizstrādājumu ražošana</c:v>
                </c:pt>
                <c:pt idx="5">
                  <c:v>Nemetālisko minerālu ražošana</c:v>
                </c:pt>
                <c:pt idx="6">
                  <c:v>Ķīmiskās vielas un produkti</c:v>
                </c:pt>
                <c:pt idx="7">
                  <c:v>Poligrāfija un papīra izstr. ražošana</c:v>
                </c:pt>
                <c:pt idx="8">
                  <c:v>Kokapstrāde</c:v>
                </c:pt>
                <c:pt idx="9">
                  <c:v>Vieglā rūpniecība</c:v>
                </c:pt>
                <c:pt idx="10">
                  <c:v>Pārtika un dzērieni</c:v>
                </c:pt>
                <c:pt idx="11">
                  <c:v>APSTRĀDES RŪPNIECĪBA</c:v>
                </c:pt>
                <c:pt idx="12">
                  <c:v>IEGUVES RŪPNIECĪBA</c:v>
                </c:pt>
                <c:pt idx="13">
                  <c:v>RŪPNIECĪBA</c:v>
                </c:pt>
              </c:strCache>
            </c:strRef>
          </c:cat>
          <c:val>
            <c:numRef>
              <c:f>'Subsect graf'!$R$5:$R$18</c:f>
              <c:numCache>
                <c:formatCode>0.0</c:formatCode>
                <c:ptCount val="14"/>
                <c:pt idx="0">
                  <c:v>0.70000000000000284</c:v>
                </c:pt>
                <c:pt idx="1">
                  <c:v>-20.400000000000006</c:v>
                </c:pt>
                <c:pt idx="2">
                  <c:v>16.700000000000003</c:v>
                </c:pt>
                <c:pt idx="3">
                  <c:v>4.3246376811594187</c:v>
                </c:pt>
                <c:pt idx="4">
                  <c:v>-5.7999999999999972</c:v>
                </c:pt>
                <c:pt idx="5">
                  <c:v>-16.299999999999997</c:v>
                </c:pt>
                <c:pt idx="6">
                  <c:v>-4.5</c:v>
                </c:pt>
                <c:pt idx="7">
                  <c:v>-22.327777777777776</c:v>
                </c:pt>
                <c:pt idx="8">
                  <c:v>-7.7999999999999972</c:v>
                </c:pt>
                <c:pt idx="9">
                  <c:v>-6.06</c:v>
                </c:pt>
                <c:pt idx="10">
                  <c:v>3.4411214953271032</c:v>
                </c:pt>
                <c:pt idx="11">
                  <c:v>-4.5999999999999943</c:v>
                </c:pt>
                <c:pt idx="12">
                  <c:v>-19</c:v>
                </c:pt>
                <c:pt idx="13">
                  <c:v>-5.4000000000000057</c:v>
                </c:pt>
              </c:numCache>
            </c:numRef>
          </c:val>
          <c:extLst>
            <c:ext xmlns:c16="http://schemas.microsoft.com/office/drawing/2014/chart" uri="{C3380CC4-5D6E-409C-BE32-E72D297353CC}">
              <c16:uniqueId val="{0000000C-FFA0-485E-9032-AD6CB9DE0D45}"/>
            </c:ext>
          </c:extLst>
        </c:ser>
        <c:dLbls>
          <c:showLegendKey val="0"/>
          <c:showVal val="0"/>
          <c:showCatName val="0"/>
          <c:showSerName val="0"/>
          <c:showPercent val="0"/>
          <c:showBubbleSize val="0"/>
        </c:dLbls>
        <c:gapWidth val="50"/>
        <c:axId val="239680264"/>
        <c:axId val="239680656"/>
      </c:barChart>
      <c:catAx>
        <c:axId val="239680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239680656"/>
        <c:crosses val="autoZero"/>
        <c:auto val="1"/>
        <c:lblAlgn val="ctr"/>
        <c:lblOffset val="100"/>
        <c:noMultiLvlLbl val="0"/>
      </c:catAx>
      <c:valAx>
        <c:axId val="239680656"/>
        <c:scaling>
          <c:orientation val="minMax"/>
          <c:max val="20"/>
          <c:min val="-25"/>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239680264"/>
        <c:crosses val="autoZero"/>
        <c:crossBetween val="between"/>
        <c:majorUnit val="5"/>
      </c:valAx>
      <c:spPr>
        <a:noFill/>
        <a:ln>
          <a:noFill/>
        </a:ln>
        <a:effectLst/>
      </c:spPr>
    </c:plotArea>
    <c:legend>
      <c:legendPos val="b"/>
      <c:layout>
        <c:manualLayout>
          <c:xMode val="edge"/>
          <c:yMode val="edge"/>
          <c:x val="0.44052700732418087"/>
          <c:y val="0.89502223625818111"/>
          <c:w val="0.30738269977838006"/>
          <c:h val="6.759259639901223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Verdana" panose="020B0604030504040204" pitchFamily="34" charset="0"/>
          <a:ea typeface="Verdana" panose="020B0604030504040204" pitchFamily="34" charset="0"/>
        </a:defRPr>
      </a:pPr>
      <a:endParaRPr lang="lv-LV"/>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447297096964993E-2"/>
          <c:y val="0.11235878882872904"/>
          <c:w val="0.9138012477016686"/>
          <c:h val="0.54801603067479754"/>
        </c:manualLayout>
      </c:layout>
      <c:areaChart>
        <c:grouping val="standard"/>
        <c:varyColors val="0"/>
        <c:ser>
          <c:idx val="0"/>
          <c:order val="0"/>
          <c:tx>
            <c:strRef>
              <c:f>'Apgr. indeksi'!$A$115</c:f>
              <c:strCache>
                <c:ptCount val="1"/>
                <c:pt idx="0">
                  <c:v>Visa apstrādes rūpniecības produkcija</c:v>
                </c:pt>
              </c:strCache>
            </c:strRef>
          </c:tx>
          <c:spPr>
            <a:pattFill prst="pct25">
              <a:fgClr>
                <a:schemeClr val="tx1">
                  <a:lumMod val="50000"/>
                  <a:lumOff val="50000"/>
                </a:schemeClr>
              </a:fgClr>
              <a:bgClr>
                <a:schemeClr val="bg1"/>
              </a:bgClr>
            </a:pattFill>
            <a:ln w="0">
              <a:solidFill>
                <a:schemeClr val="tx1">
                  <a:lumMod val="50000"/>
                  <a:lumOff val="50000"/>
                </a:schemeClr>
              </a:solidFill>
            </a:ln>
            <a:effectLst/>
          </c:spPr>
          <c:cat>
            <c:multiLvlStrRef>
              <c:f>'Apgr. indeksi'!$JF$111:$KJ$112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2022</c:v>
                  </c:pt>
                  <c:pt idx="12">
                    <c:v>2023</c:v>
                  </c:pt>
                  <c:pt idx="24">
                    <c:v>2024</c:v>
                  </c:pt>
                </c:lvl>
              </c:multiLvlStrCache>
              <c:extLst/>
            </c:multiLvlStrRef>
          </c:cat>
          <c:val>
            <c:numRef>
              <c:f>'Apgr. indeksi'!$JF$115:$KJ$115</c:f>
              <c:numCache>
                <c:formatCode>0.0</c:formatCode>
                <c:ptCount val="31"/>
                <c:pt idx="0">
                  <c:v>29.2</c:v>
                </c:pt>
                <c:pt idx="1">
                  <c:v>23.2</c:v>
                </c:pt>
                <c:pt idx="2">
                  <c:v>26.7</c:v>
                </c:pt>
                <c:pt idx="3">
                  <c:v>28.6</c:v>
                </c:pt>
                <c:pt idx="4">
                  <c:v>29.7</c:v>
                </c:pt>
                <c:pt idx="5">
                  <c:v>11.8</c:v>
                </c:pt>
                <c:pt idx="6">
                  <c:v>15.2</c:v>
                </c:pt>
                <c:pt idx="7">
                  <c:v>9.5</c:v>
                </c:pt>
                <c:pt idx="8">
                  <c:v>13.2</c:v>
                </c:pt>
                <c:pt idx="9">
                  <c:v>14.8</c:v>
                </c:pt>
                <c:pt idx="10">
                  <c:v>12.5</c:v>
                </c:pt>
                <c:pt idx="11">
                  <c:v>9.6</c:v>
                </c:pt>
                <c:pt idx="12">
                  <c:v>9.1999999999999993</c:v>
                </c:pt>
                <c:pt idx="13">
                  <c:v>10.3</c:v>
                </c:pt>
                <c:pt idx="14">
                  <c:v>5.0999999999999996</c:v>
                </c:pt>
                <c:pt idx="15">
                  <c:v>-5.7</c:v>
                </c:pt>
                <c:pt idx="16">
                  <c:v>-3.9</c:v>
                </c:pt>
                <c:pt idx="17">
                  <c:v>-2.7</c:v>
                </c:pt>
                <c:pt idx="18">
                  <c:v>-6.3</c:v>
                </c:pt>
                <c:pt idx="19">
                  <c:v>-4.8</c:v>
                </c:pt>
                <c:pt idx="20">
                  <c:v>-7.4</c:v>
                </c:pt>
                <c:pt idx="21">
                  <c:v>-9.1</c:v>
                </c:pt>
                <c:pt idx="22">
                  <c:v>-3.7</c:v>
                </c:pt>
                <c:pt idx="23">
                  <c:v>-0.5</c:v>
                </c:pt>
                <c:pt idx="24">
                  <c:v>-4.5999999999999996</c:v>
                </c:pt>
                <c:pt idx="25">
                  <c:v>-5.7</c:v>
                </c:pt>
                <c:pt idx="26">
                  <c:v>-5.5</c:v>
                </c:pt>
                <c:pt idx="27">
                  <c:v>-5.6</c:v>
                </c:pt>
                <c:pt idx="28">
                  <c:v>-3.4</c:v>
                </c:pt>
                <c:pt idx="29">
                  <c:v>-1.7</c:v>
                </c:pt>
                <c:pt idx="30">
                  <c:v>-6.4</c:v>
                </c:pt>
              </c:numCache>
              <c:extLst/>
            </c:numRef>
          </c:val>
          <c:extLst>
            <c:ext xmlns:c16="http://schemas.microsoft.com/office/drawing/2014/chart" uri="{C3380CC4-5D6E-409C-BE32-E72D297353CC}">
              <c16:uniqueId val="{00000000-B012-49A9-BA01-CE51B429F4F8}"/>
            </c:ext>
          </c:extLst>
        </c:ser>
        <c:dLbls>
          <c:showLegendKey val="0"/>
          <c:showVal val="0"/>
          <c:showCatName val="0"/>
          <c:showSerName val="0"/>
          <c:showPercent val="0"/>
          <c:showBubbleSize val="0"/>
        </c:dLbls>
        <c:axId val="116528976"/>
        <c:axId val="116529368"/>
      </c:areaChart>
      <c:lineChart>
        <c:grouping val="standard"/>
        <c:varyColors val="0"/>
        <c:ser>
          <c:idx val="1"/>
          <c:order val="1"/>
          <c:tx>
            <c:strRef>
              <c:f>'Apgr. indeksi'!$A$147</c:f>
              <c:strCache>
                <c:ptCount val="1"/>
                <c:pt idx="0">
                  <c:v>Vietējais tirgus</c:v>
                </c:pt>
              </c:strCache>
            </c:strRef>
          </c:tx>
          <c:spPr>
            <a:ln w="28575" cap="rnd">
              <a:solidFill>
                <a:srgbClr val="00B050"/>
              </a:solidFill>
              <a:round/>
            </a:ln>
            <a:effectLst/>
          </c:spPr>
          <c:marker>
            <c:symbol val="none"/>
          </c:marker>
          <c:cat>
            <c:multiLvlStrRef>
              <c:f>'Apgr. indeksi'!$HJ$111:$KJ$112</c:f>
              <c:multiLvlStrCache>
                <c:ptCount val="7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pt idx="55">
                    <c:v>VIII</c:v>
                  </c:pt>
                  <c:pt idx="56">
                    <c:v>IX</c:v>
                  </c:pt>
                  <c:pt idx="57">
                    <c:v>X</c:v>
                  </c:pt>
                  <c:pt idx="58">
                    <c:v>XI</c:v>
                  </c:pt>
                  <c:pt idx="59">
                    <c:v>XII</c:v>
                  </c:pt>
                  <c:pt idx="60">
                    <c:v>I</c:v>
                  </c:pt>
                  <c:pt idx="61">
                    <c:v>II</c:v>
                  </c:pt>
                  <c:pt idx="62">
                    <c:v>III</c:v>
                  </c:pt>
                  <c:pt idx="63">
                    <c:v>IV</c:v>
                  </c:pt>
                  <c:pt idx="64">
                    <c:v>V</c:v>
                  </c:pt>
                  <c:pt idx="65">
                    <c:v>VI</c:v>
                  </c:pt>
                  <c:pt idx="66">
                    <c:v>VII</c:v>
                  </c:pt>
                  <c:pt idx="67">
                    <c:v>VIII</c:v>
                  </c:pt>
                  <c:pt idx="68">
                    <c:v>IX</c:v>
                  </c:pt>
                  <c:pt idx="69">
                    <c:v>X</c:v>
                  </c:pt>
                  <c:pt idx="70">
                    <c:v>XI</c:v>
                  </c:pt>
                  <c:pt idx="71">
                    <c:v>XII</c:v>
                  </c:pt>
                  <c:pt idx="72">
                    <c:v>I</c:v>
                  </c:pt>
                  <c:pt idx="73">
                    <c:v>II</c:v>
                  </c:pt>
                  <c:pt idx="74">
                    <c:v>III</c:v>
                  </c:pt>
                  <c:pt idx="75">
                    <c:v>IV</c:v>
                  </c:pt>
                  <c:pt idx="76">
                    <c:v>V</c:v>
                  </c:pt>
                  <c:pt idx="77">
                    <c:v>VI</c:v>
                  </c:pt>
                  <c:pt idx="78">
                    <c:v>VII</c:v>
                  </c:pt>
                </c:lvl>
                <c:lvl>
                  <c:pt idx="0">
                    <c:v>2018</c:v>
                  </c:pt>
                  <c:pt idx="12">
                    <c:v>2019</c:v>
                  </c:pt>
                  <c:pt idx="24">
                    <c:v>2020</c:v>
                  </c:pt>
                  <c:pt idx="36">
                    <c:v>2021</c:v>
                  </c:pt>
                  <c:pt idx="48">
                    <c:v>2022</c:v>
                  </c:pt>
                  <c:pt idx="60">
                    <c:v>2023</c:v>
                  </c:pt>
                  <c:pt idx="72">
                    <c:v>2024</c:v>
                  </c:pt>
                </c:lvl>
              </c:multiLvlStrCache>
              <c:extLst/>
            </c:multiLvlStrRef>
          </c:cat>
          <c:val>
            <c:numRef>
              <c:f>'Apgr. indeksi'!$JF$150:$KJ$150</c:f>
              <c:numCache>
                <c:formatCode>0.0</c:formatCode>
                <c:ptCount val="31"/>
                <c:pt idx="0">
                  <c:v>22.8</c:v>
                </c:pt>
                <c:pt idx="1">
                  <c:v>18.399999999999999</c:v>
                </c:pt>
                <c:pt idx="2">
                  <c:v>25.3</c:v>
                </c:pt>
                <c:pt idx="3">
                  <c:v>29</c:v>
                </c:pt>
                <c:pt idx="4">
                  <c:v>29.8</c:v>
                </c:pt>
                <c:pt idx="5">
                  <c:v>15.7</c:v>
                </c:pt>
                <c:pt idx="6">
                  <c:v>14.4</c:v>
                </c:pt>
                <c:pt idx="7">
                  <c:v>19.2</c:v>
                </c:pt>
                <c:pt idx="8">
                  <c:v>20.100000000000001</c:v>
                </c:pt>
                <c:pt idx="9">
                  <c:v>24.7</c:v>
                </c:pt>
                <c:pt idx="10">
                  <c:v>22.4</c:v>
                </c:pt>
                <c:pt idx="11">
                  <c:v>19.8</c:v>
                </c:pt>
                <c:pt idx="12">
                  <c:v>21.5</c:v>
                </c:pt>
                <c:pt idx="13">
                  <c:v>24.6</c:v>
                </c:pt>
                <c:pt idx="14">
                  <c:v>6.3</c:v>
                </c:pt>
                <c:pt idx="15">
                  <c:v>-1.6</c:v>
                </c:pt>
                <c:pt idx="16">
                  <c:v>-1</c:v>
                </c:pt>
                <c:pt idx="17">
                  <c:v>-4.9000000000000004</c:v>
                </c:pt>
                <c:pt idx="18">
                  <c:v>-2.7</c:v>
                </c:pt>
                <c:pt idx="19">
                  <c:v>-6.1</c:v>
                </c:pt>
                <c:pt idx="20">
                  <c:v>-8</c:v>
                </c:pt>
                <c:pt idx="21">
                  <c:v>-9.6999999999999993</c:v>
                </c:pt>
                <c:pt idx="22">
                  <c:v>-2.2000000000000002</c:v>
                </c:pt>
                <c:pt idx="23">
                  <c:v>-2</c:v>
                </c:pt>
                <c:pt idx="24">
                  <c:v>-4.5</c:v>
                </c:pt>
                <c:pt idx="25">
                  <c:v>-7.8</c:v>
                </c:pt>
                <c:pt idx="26">
                  <c:v>-4.3</c:v>
                </c:pt>
                <c:pt idx="27">
                  <c:v>-4.0999999999999996</c:v>
                </c:pt>
                <c:pt idx="28">
                  <c:v>-2.8</c:v>
                </c:pt>
                <c:pt idx="29">
                  <c:v>-0.8</c:v>
                </c:pt>
                <c:pt idx="30">
                  <c:v>-2.2000000000000002</c:v>
                </c:pt>
              </c:numCache>
              <c:extLst/>
            </c:numRef>
          </c:val>
          <c:smooth val="1"/>
          <c:extLst>
            <c:ext xmlns:c16="http://schemas.microsoft.com/office/drawing/2014/chart" uri="{C3380CC4-5D6E-409C-BE32-E72D297353CC}">
              <c16:uniqueId val="{00000001-B012-49A9-BA01-CE51B429F4F8}"/>
            </c:ext>
          </c:extLst>
        </c:ser>
        <c:ser>
          <c:idx val="2"/>
          <c:order val="2"/>
          <c:tx>
            <c:strRef>
              <c:f>'Apgr. indeksi'!$A$182</c:f>
              <c:strCache>
                <c:ptCount val="1"/>
                <c:pt idx="0">
                  <c:v>Eksports</c:v>
                </c:pt>
              </c:strCache>
            </c:strRef>
          </c:tx>
          <c:spPr>
            <a:ln w="28575" cap="rnd">
              <a:solidFill>
                <a:srgbClr val="0070C0"/>
              </a:solidFill>
              <a:round/>
            </a:ln>
            <a:effectLst/>
          </c:spPr>
          <c:marker>
            <c:symbol val="none"/>
          </c:marker>
          <c:cat>
            <c:multiLvlStrRef>
              <c:f>'Apgr. indeksi'!$HJ$111:$KJ$112</c:f>
              <c:multiLvlStrCache>
                <c:ptCount val="7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pt idx="55">
                    <c:v>VIII</c:v>
                  </c:pt>
                  <c:pt idx="56">
                    <c:v>IX</c:v>
                  </c:pt>
                  <c:pt idx="57">
                    <c:v>X</c:v>
                  </c:pt>
                  <c:pt idx="58">
                    <c:v>XI</c:v>
                  </c:pt>
                  <c:pt idx="59">
                    <c:v>XII</c:v>
                  </c:pt>
                  <c:pt idx="60">
                    <c:v>I</c:v>
                  </c:pt>
                  <c:pt idx="61">
                    <c:v>II</c:v>
                  </c:pt>
                  <c:pt idx="62">
                    <c:v>III</c:v>
                  </c:pt>
                  <c:pt idx="63">
                    <c:v>IV</c:v>
                  </c:pt>
                  <c:pt idx="64">
                    <c:v>V</c:v>
                  </c:pt>
                  <c:pt idx="65">
                    <c:v>VI</c:v>
                  </c:pt>
                  <c:pt idx="66">
                    <c:v>VII</c:v>
                  </c:pt>
                  <c:pt idx="67">
                    <c:v>VIII</c:v>
                  </c:pt>
                  <c:pt idx="68">
                    <c:v>IX</c:v>
                  </c:pt>
                  <c:pt idx="69">
                    <c:v>X</c:v>
                  </c:pt>
                  <c:pt idx="70">
                    <c:v>XI</c:v>
                  </c:pt>
                  <c:pt idx="71">
                    <c:v>XII</c:v>
                  </c:pt>
                  <c:pt idx="72">
                    <c:v>I</c:v>
                  </c:pt>
                  <c:pt idx="73">
                    <c:v>II</c:v>
                  </c:pt>
                  <c:pt idx="74">
                    <c:v>III</c:v>
                  </c:pt>
                  <c:pt idx="75">
                    <c:v>IV</c:v>
                  </c:pt>
                  <c:pt idx="76">
                    <c:v>V</c:v>
                  </c:pt>
                  <c:pt idx="77">
                    <c:v>VI</c:v>
                  </c:pt>
                  <c:pt idx="78">
                    <c:v>VII</c:v>
                  </c:pt>
                </c:lvl>
                <c:lvl>
                  <c:pt idx="0">
                    <c:v>2018</c:v>
                  </c:pt>
                  <c:pt idx="12">
                    <c:v>2019</c:v>
                  </c:pt>
                  <c:pt idx="24">
                    <c:v>2020</c:v>
                  </c:pt>
                  <c:pt idx="36">
                    <c:v>2021</c:v>
                  </c:pt>
                  <c:pt idx="48">
                    <c:v>2022</c:v>
                  </c:pt>
                  <c:pt idx="60">
                    <c:v>2023</c:v>
                  </c:pt>
                  <c:pt idx="72">
                    <c:v>2024</c:v>
                  </c:pt>
                </c:lvl>
              </c:multiLvlStrCache>
              <c:extLst/>
            </c:multiLvlStrRef>
          </c:cat>
          <c:val>
            <c:numRef>
              <c:f>'Apgr. indeksi'!$JF$185:$KJ$185</c:f>
              <c:numCache>
                <c:formatCode>0.0</c:formatCode>
                <c:ptCount val="31"/>
                <c:pt idx="0">
                  <c:v>32.200000000000003</c:v>
                </c:pt>
                <c:pt idx="1">
                  <c:v>25.4</c:v>
                </c:pt>
                <c:pt idx="2">
                  <c:v>27.4</c:v>
                </c:pt>
                <c:pt idx="3">
                  <c:v>28.4</c:v>
                </c:pt>
                <c:pt idx="4">
                  <c:v>29.7</c:v>
                </c:pt>
                <c:pt idx="5">
                  <c:v>9.8000000000000007</c:v>
                </c:pt>
                <c:pt idx="6">
                  <c:v>15.7</c:v>
                </c:pt>
                <c:pt idx="7">
                  <c:v>4.5999999999999996</c:v>
                </c:pt>
                <c:pt idx="8">
                  <c:v>9.9</c:v>
                </c:pt>
                <c:pt idx="9">
                  <c:v>10.199999999999999</c:v>
                </c:pt>
                <c:pt idx="10">
                  <c:v>8.1</c:v>
                </c:pt>
                <c:pt idx="11">
                  <c:v>4.7</c:v>
                </c:pt>
                <c:pt idx="12">
                  <c:v>4.0999999999999996</c:v>
                </c:pt>
                <c:pt idx="13">
                  <c:v>4.3</c:v>
                </c:pt>
                <c:pt idx="14">
                  <c:v>4.5</c:v>
                </c:pt>
                <c:pt idx="15">
                  <c:v>-7.7</c:v>
                </c:pt>
                <c:pt idx="16">
                  <c:v>-5.3</c:v>
                </c:pt>
                <c:pt idx="17">
                  <c:v>-1.5</c:v>
                </c:pt>
                <c:pt idx="18">
                  <c:v>-8.1999999999999993</c:v>
                </c:pt>
                <c:pt idx="19">
                  <c:v>-4</c:v>
                </c:pt>
                <c:pt idx="20">
                  <c:v>-7</c:v>
                </c:pt>
                <c:pt idx="21">
                  <c:v>-8.8000000000000007</c:v>
                </c:pt>
                <c:pt idx="22">
                  <c:v>-4.5</c:v>
                </c:pt>
                <c:pt idx="23">
                  <c:v>0.3</c:v>
                </c:pt>
                <c:pt idx="24">
                  <c:v>-4.7</c:v>
                </c:pt>
                <c:pt idx="25">
                  <c:v>-4.7</c:v>
                </c:pt>
                <c:pt idx="26">
                  <c:v>-6</c:v>
                </c:pt>
                <c:pt idx="27">
                  <c:v>-6.3</c:v>
                </c:pt>
                <c:pt idx="28">
                  <c:v>-3.7</c:v>
                </c:pt>
                <c:pt idx="29">
                  <c:v>-2.2000000000000002</c:v>
                </c:pt>
                <c:pt idx="30">
                  <c:v>-8.8000000000000007</c:v>
                </c:pt>
              </c:numCache>
              <c:extLst/>
            </c:numRef>
          </c:val>
          <c:smooth val="1"/>
          <c:extLst>
            <c:ext xmlns:c16="http://schemas.microsoft.com/office/drawing/2014/chart" uri="{C3380CC4-5D6E-409C-BE32-E72D297353CC}">
              <c16:uniqueId val="{00000002-B012-49A9-BA01-CE51B429F4F8}"/>
            </c:ext>
          </c:extLst>
        </c:ser>
        <c:dLbls>
          <c:showLegendKey val="0"/>
          <c:showVal val="0"/>
          <c:showCatName val="0"/>
          <c:showSerName val="0"/>
          <c:showPercent val="0"/>
          <c:showBubbleSize val="0"/>
        </c:dLbls>
        <c:marker val="1"/>
        <c:smooth val="0"/>
        <c:axId val="116528976"/>
        <c:axId val="116529368"/>
      </c:lineChart>
      <c:catAx>
        <c:axId val="1165289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16529368"/>
        <c:crosses val="autoZero"/>
        <c:auto val="1"/>
        <c:lblAlgn val="ctr"/>
        <c:lblOffset val="100"/>
        <c:noMultiLvlLbl val="0"/>
      </c:catAx>
      <c:valAx>
        <c:axId val="116529368"/>
        <c:scaling>
          <c:orientation val="minMax"/>
          <c:max val="40"/>
          <c:min val="-15"/>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16528976"/>
        <c:crosses val="autoZero"/>
        <c:crossBetween val="between"/>
        <c:majorUnit val="15"/>
      </c:valAx>
      <c:spPr>
        <a:noFill/>
        <a:ln>
          <a:noFill/>
        </a:ln>
        <a:effectLst/>
      </c:spPr>
    </c:plotArea>
    <c:legend>
      <c:legendPos val="b"/>
      <c:layout>
        <c:manualLayout>
          <c:xMode val="edge"/>
          <c:yMode val="edge"/>
          <c:x val="7.1670986347029286E-2"/>
          <c:y val="0.88510549794550308"/>
          <c:w val="0.9"/>
          <c:h val="0.11489450205449683"/>
        </c:manualLayout>
      </c:layout>
      <c:overlay val="0"/>
      <c:spPr>
        <a:noFill/>
        <a:ln>
          <a:noFill/>
        </a:ln>
        <a:effectLst/>
      </c:spPr>
      <c:txPr>
        <a:bodyPr rot="0" spcFirstLastPara="1" vertOverflow="ellipsis" vert="horz" wrap="square" anchor="ctr" anchorCtr="1"/>
        <a:lstStyle/>
        <a:p>
          <a:pP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ct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1"/>
          <c:order val="1"/>
          <c:tx>
            <c:strRef>
              <c:f>Mazumtirdzniecība!$L$2</c:f>
              <c:strCache>
                <c:ptCount val="1"/>
                <c:pt idx="0">
                  <c:v>Degviela</c:v>
                </c:pt>
              </c:strCache>
            </c:strRef>
          </c:tx>
          <c:spPr>
            <a:solidFill>
              <a:schemeClr val="tx1">
                <a:lumMod val="50000"/>
                <a:lumOff val="50000"/>
              </a:schemeClr>
            </a:solidFill>
            <a:ln>
              <a:solidFill>
                <a:schemeClr val="tx1">
                  <a:lumMod val="50000"/>
                  <a:lumOff val="50000"/>
                </a:schemeClr>
              </a:solidFill>
            </a:ln>
            <a:effectLst/>
          </c:spPr>
          <c:invertIfNegative val="0"/>
          <c:cat>
            <c:multiLvlStrRef>
              <c:f>Mazumtirdzniecība!$A$243:$B$297</c:f>
              <c:multiLvlStrCache>
                <c:ptCount val="5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lvl>
                <c:lvl>
                  <c:pt idx="0">
                    <c:v>2020</c:v>
                  </c:pt>
                  <c:pt idx="12">
                    <c:v>2021</c:v>
                  </c:pt>
                  <c:pt idx="24">
                    <c:v>2022</c:v>
                  </c:pt>
                  <c:pt idx="36">
                    <c:v>2023</c:v>
                  </c:pt>
                  <c:pt idx="48">
                    <c:v>2024</c:v>
                  </c:pt>
                </c:lvl>
              </c:multiLvlStrCache>
              <c:extLst/>
            </c:multiLvlStrRef>
          </c:cat>
          <c:val>
            <c:numRef>
              <c:f>Mazumtirdzniecība!$L$267:$L$297</c:f>
              <c:numCache>
                <c:formatCode>0.0</c:formatCode>
                <c:ptCount val="31"/>
                <c:pt idx="0">
                  <c:v>0.35298953394609739</c:v>
                </c:pt>
                <c:pt idx="1">
                  <c:v>-0.39896307714573076</c:v>
                </c:pt>
                <c:pt idx="2">
                  <c:v>1.8173170614931187</c:v>
                </c:pt>
                <c:pt idx="3">
                  <c:v>-1.4801664274713739</c:v>
                </c:pt>
                <c:pt idx="4">
                  <c:v>-1.5390407719637724</c:v>
                </c:pt>
                <c:pt idx="5">
                  <c:v>-2.208239867765037</c:v>
                </c:pt>
                <c:pt idx="6">
                  <c:v>-1.9835926184121428</c:v>
                </c:pt>
                <c:pt idx="7">
                  <c:v>-1.2045607364724886</c:v>
                </c:pt>
                <c:pt idx="8">
                  <c:v>-1.6296986590834739</c:v>
                </c:pt>
                <c:pt idx="9">
                  <c:v>-1.8986612165725139</c:v>
                </c:pt>
                <c:pt idx="10">
                  <c:v>1.0138511029222814</c:v>
                </c:pt>
                <c:pt idx="11">
                  <c:v>0.59958303619643649</c:v>
                </c:pt>
                <c:pt idx="12">
                  <c:v>0.45401371809664098</c:v>
                </c:pt>
                <c:pt idx="13">
                  <c:v>0.79711790957905249</c:v>
                </c:pt>
                <c:pt idx="14">
                  <c:v>-0.93213689880593187</c:v>
                </c:pt>
                <c:pt idx="15">
                  <c:v>1.839341927675505</c:v>
                </c:pt>
                <c:pt idx="16">
                  <c:v>1.3186073201539223</c:v>
                </c:pt>
                <c:pt idx="17">
                  <c:v>1.3817922245113388</c:v>
                </c:pt>
                <c:pt idx="18">
                  <c:v>1.5532331811858782</c:v>
                </c:pt>
                <c:pt idx="19">
                  <c:v>0.5767299246820724</c:v>
                </c:pt>
                <c:pt idx="20">
                  <c:v>1.0327822885316544</c:v>
                </c:pt>
                <c:pt idx="21">
                  <c:v>2.0818427055705997</c:v>
                </c:pt>
                <c:pt idx="22">
                  <c:v>0.50074169330601004</c:v>
                </c:pt>
                <c:pt idx="23">
                  <c:v>1.7125242619699463</c:v>
                </c:pt>
                <c:pt idx="24">
                  <c:v>0.94160735057033873</c:v>
                </c:pt>
                <c:pt idx="25">
                  <c:v>0.30080919572468634</c:v>
                </c:pt>
                <c:pt idx="26">
                  <c:v>1.3672992928288741</c:v>
                </c:pt>
                <c:pt idx="27">
                  <c:v>0.52078883424300537</c:v>
                </c:pt>
                <c:pt idx="28">
                  <c:v>0.81729176638704937</c:v>
                </c:pt>
                <c:pt idx="29">
                  <c:v>-0.10479983493184847</c:v>
                </c:pt>
                <c:pt idx="30">
                  <c:v>-0.31940666268720896</c:v>
                </c:pt>
              </c:numCache>
              <c:extLst/>
            </c:numRef>
          </c:val>
          <c:extLst>
            <c:ext xmlns:c16="http://schemas.microsoft.com/office/drawing/2014/chart" uri="{C3380CC4-5D6E-409C-BE32-E72D297353CC}">
              <c16:uniqueId val="{00000000-1B52-48DA-975F-2B2F58981157}"/>
            </c:ext>
          </c:extLst>
        </c:ser>
        <c:ser>
          <c:idx val="2"/>
          <c:order val="2"/>
          <c:tx>
            <c:strRef>
              <c:f>Mazumtirdzniecība!$M$2</c:f>
              <c:strCache>
                <c:ptCount val="1"/>
                <c:pt idx="0">
                  <c:v>Pārtika</c:v>
                </c:pt>
              </c:strCache>
            </c:strRef>
          </c:tx>
          <c:spPr>
            <a:pattFill prst="dkUpDiag">
              <a:fgClr>
                <a:srgbClr val="00B050"/>
              </a:fgClr>
              <a:bgClr>
                <a:schemeClr val="bg1"/>
              </a:bgClr>
            </a:pattFill>
            <a:ln>
              <a:solidFill>
                <a:srgbClr val="00B050"/>
              </a:solidFill>
            </a:ln>
            <a:effectLst/>
          </c:spPr>
          <c:invertIfNegative val="0"/>
          <c:cat>
            <c:multiLvlStrRef>
              <c:f>Mazumtirdzniecība!$A$243:$B$297</c:f>
              <c:multiLvlStrCache>
                <c:ptCount val="5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lvl>
                <c:lvl>
                  <c:pt idx="0">
                    <c:v>2020</c:v>
                  </c:pt>
                  <c:pt idx="12">
                    <c:v>2021</c:v>
                  </c:pt>
                  <c:pt idx="24">
                    <c:v>2022</c:v>
                  </c:pt>
                  <c:pt idx="36">
                    <c:v>2023</c:v>
                  </c:pt>
                  <c:pt idx="48">
                    <c:v>2024</c:v>
                  </c:pt>
                </c:lvl>
              </c:multiLvlStrCache>
              <c:extLst/>
            </c:multiLvlStrRef>
          </c:cat>
          <c:val>
            <c:numRef>
              <c:f>Mazumtirdzniecība!$M$267:$M$297</c:f>
              <c:numCache>
                <c:formatCode>0.0</c:formatCode>
                <c:ptCount val="31"/>
                <c:pt idx="0">
                  <c:v>3.0551884104613833</c:v>
                </c:pt>
                <c:pt idx="1">
                  <c:v>0.38665564932041885</c:v>
                </c:pt>
                <c:pt idx="2">
                  <c:v>0.30594941122199409</c:v>
                </c:pt>
                <c:pt idx="3">
                  <c:v>0.7886571050859188</c:v>
                </c:pt>
                <c:pt idx="4">
                  <c:v>0.11515064367819206</c:v>
                </c:pt>
                <c:pt idx="5">
                  <c:v>-3.8072576828661289E-2</c:v>
                </c:pt>
                <c:pt idx="6">
                  <c:v>0.23275320750487974</c:v>
                </c:pt>
                <c:pt idx="7">
                  <c:v>7.5185892619098083E-2</c:v>
                </c:pt>
                <c:pt idx="8">
                  <c:v>-0.65610162052385734</c:v>
                </c:pt>
                <c:pt idx="9">
                  <c:v>-2.0094879162057455</c:v>
                </c:pt>
                <c:pt idx="10">
                  <c:v>-2.4341177858203311</c:v>
                </c:pt>
                <c:pt idx="11">
                  <c:v>-3.3398604851873079</c:v>
                </c:pt>
                <c:pt idx="12">
                  <c:v>-2.4011428721480366</c:v>
                </c:pt>
                <c:pt idx="13">
                  <c:v>-2.0468688267728887</c:v>
                </c:pt>
                <c:pt idx="14">
                  <c:v>-5.0474342271938371</c:v>
                </c:pt>
                <c:pt idx="15">
                  <c:v>-3.4506223497510256</c:v>
                </c:pt>
                <c:pt idx="16">
                  <c:v>-2.3092368397639991</c:v>
                </c:pt>
                <c:pt idx="17">
                  <c:v>-2.4077753624178087</c:v>
                </c:pt>
                <c:pt idx="18">
                  <c:v>-1.9636187616615175</c:v>
                </c:pt>
                <c:pt idx="19">
                  <c:v>-1.1899603314331779</c:v>
                </c:pt>
                <c:pt idx="20">
                  <c:v>-0.78932289562961477</c:v>
                </c:pt>
                <c:pt idx="21">
                  <c:v>-0.6841232499529516</c:v>
                </c:pt>
                <c:pt idx="22">
                  <c:v>-1.3103547489849476</c:v>
                </c:pt>
                <c:pt idx="23">
                  <c:v>-0.23669705579158926</c:v>
                </c:pt>
                <c:pt idx="24">
                  <c:v>-1.4319746671159139</c:v>
                </c:pt>
                <c:pt idx="25">
                  <c:v>-0.20079460182587056</c:v>
                </c:pt>
                <c:pt idx="26">
                  <c:v>1.6339287490847383</c:v>
                </c:pt>
                <c:pt idx="27">
                  <c:v>-1.1012527232390243</c:v>
                </c:pt>
                <c:pt idx="28">
                  <c:v>-0.55225160449566879</c:v>
                </c:pt>
                <c:pt idx="29">
                  <c:v>-1.5865764945839973</c:v>
                </c:pt>
                <c:pt idx="30">
                  <c:v>-0.12619109822175772</c:v>
                </c:pt>
              </c:numCache>
              <c:extLst/>
            </c:numRef>
          </c:val>
          <c:extLst>
            <c:ext xmlns:c16="http://schemas.microsoft.com/office/drawing/2014/chart" uri="{C3380CC4-5D6E-409C-BE32-E72D297353CC}">
              <c16:uniqueId val="{00000001-1B52-48DA-975F-2B2F58981157}"/>
            </c:ext>
          </c:extLst>
        </c:ser>
        <c:ser>
          <c:idx val="3"/>
          <c:order val="3"/>
          <c:tx>
            <c:strRef>
              <c:f>Mazumtirdzniecība!$N$2</c:f>
              <c:strCache>
                <c:ptCount val="1"/>
                <c:pt idx="0">
                  <c:v>Nepārtika (-degviela)</c:v>
                </c:pt>
              </c:strCache>
            </c:strRef>
          </c:tx>
          <c:spPr>
            <a:solidFill>
              <a:srgbClr val="0070C0"/>
            </a:solidFill>
            <a:ln>
              <a:solidFill>
                <a:srgbClr val="0070C0"/>
              </a:solidFill>
            </a:ln>
            <a:effectLst/>
          </c:spPr>
          <c:invertIfNegative val="0"/>
          <c:cat>
            <c:multiLvlStrRef>
              <c:f>Mazumtirdzniecība!$A$243:$B$297</c:f>
              <c:multiLvlStrCache>
                <c:ptCount val="5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lvl>
                <c:lvl>
                  <c:pt idx="0">
                    <c:v>2020</c:v>
                  </c:pt>
                  <c:pt idx="12">
                    <c:v>2021</c:v>
                  </c:pt>
                  <c:pt idx="24">
                    <c:v>2022</c:v>
                  </c:pt>
                  <c:pt idx="36">
                    <c:v>2023</c:v>
                  </c:pt>
                  <c:pt idx="48">
                    <c:v>2024</c:v>
                  </c:pt>
                </c:lvl>
              </c:multiLvlStrCache>
              <c:extLst/>
            </c:multiLvlStrRef>
          </c:cat>
          <c:val>
            <c:numRef>
              <c:f>Mazumtirdzniecība!$N$267:$N$297</c:f>
              <c:numCache>
                <c:formatCode>0.0</c:formatCode>
                <c:ptCount val="31"/>
                <c:pt idx="0">
                  <c:v>12.975142097061173</c:v>
                </c:pt>
                <c:pt idx="1">
                  <c:v>8.5630620529511194</c:v>
                </c:pt>
                <c:pt idx="2">
                  <c:v>7.1833897395987902</c:v>
                </c:pt>
                <c:pt idx="3">
                  <c:v>3.3020442555911926</c:v>
                </c:pt>
                <c:pt idx="4">
                  <c:v>0.63010689705135947</c:v>
                </c:pt>
                <c:pt idx="5">
                  <c:v>-2.0722829616490888</c:v>
                </c:pt>
                <c:pt idx="6">
                  <c:v>0.83892785416922366</c:v>
                </c:pt>
                <c:pt idx="7">
                  <c:v>-0.83472118353833735</c:v>
                </c:pt>
                <c:pt idx="8">
                  <c:v>0.9407607003820303</c:v>
                </c:pt>
                <c:pt idx="9">
                  <c:v>5.4486430903473941</c:v>
                </c:pt>
                <c:pt idx="10">
                  <c:v>8.7418070000430976</c:v>
                </c:pt>
                <c:pt idx="11">
                  <c:v>2.3513990844163364</c:v>
                </c:pt>
                <c:pt idx="12">
                  <c:v>2.004669117379855</c:v>
                </c:pt>
                <c:pt idx="13">
                  <c:v>2.509924010719236</c:v>
                </c:pt>
                <c:pt idx="14">
                  <c:v>-1.035919314321607</c:v>
                </c:pt>
                <c:pt idx="15">
                  <c:v>-2.6210076581509263</c:v>
                </c:pt>
                <c:pt idx="16">
                  <c:v>0.147151621709257</c:v>
                </c:pt>
                <c:pt idx="17">
                  <c:v>-0.44303022591152019</c:v>
                </c:pt>
                <c:pt idx="18">
                  <c:v>-1.864592126596236</c:v>
                </c:pt>
                <c:pt idx="19">
                  <c:v>-1.8876008677406011</c:v>
                </c:pt>
                <c:pt idx="20">
                  <c:v>-1.8885993225863127</c:v>
                </c:pt>
                <c:pt idx="21">
                  <c:v>-1.0552990905656312</c:v>
                </c:pt>
                <c:pt idx="22">
                  <c:v>-0.53576048305935975</c:v>
                </c:pt>
                <c:pt idx="23">
                  <c:v>1.3332997930732917</c:v>
                </c:pt>
                <c:pt idx="24">
                  <c:v>-0.6450930754236438</c:v>
                </c:pt>
                <c:pt idx="25">
                  <c:v>-0.4654265477468808</c:v>
                </c:pt>
                <c:pt idx="26">
                  <c:v>3.6775351554025185E-2</c:v>
                </c:pt>
                <c:pt idx="27">
                  <c:v>0.69695870758529443</c:v>
                </c:pt>
                <c:pt idx="28">
                  <c:v>0.47245261334835337</c:v>
                </c:pt>
                <c:pt idx="29">
                  <c:v>0.10974629208339923</c:v>
                </c:pt>
                <c:pt idx="30">
                  <c:v>0.10615983521360345</c:v>
                </c:pt>
              </c:numCache>
              <c:extLst/>
            </c:numRef>
          </c:val>
          <c:extLst>
            <c:ext xmlns:c16="http://schemas.microsoft.com/office/drawing/2014/chart" uri="{C3380CC4-5D6E-409C-BE32-E72D297353CC}">
              <c16:uniqueId val="{00000002-1B52-48DA-975F-2B2F58981157}"/>
            </c:ext>
          </c:extLst>
        </c:ser>
        <c:dLbls>
          <c:showLegendKey val="0"/>
          <c:showVal val="0"/>
          <c:showCatName val="0"/>
          <c:showSerName val="0"/>
          <c:showPercent val="0"/>
          <c:showBubbleSize val="0"/>
        </c:dLbls>
        <c:gapWidth val="30"/>
        <c:overlap val="100"/>
        <c:axId val="343843672"/>
        <c:axId val="343844064"/>
      </c:barChart>
      <c:lineChart>
        <c:grouping val="standard"/>
        <c:varyColors val="0"/>
        <c:ser>
          <c:idx val="0"/>
          <c:order val="0"/>
          <c:tx>
            <c:strRef>
              <c:f>Mazumtirdzniecība!$K$2</c:f>
              <c:strCache>
                <c:ptCount val="1"/>
                <c:pt idx="0">
                  <c:v>Mazumtirdzniecība</c:v>
                </c:pt>
              </c:strCache>
            </c:strRef>
          </c:tx>
          <c:spPr>
            <a:ln w="28575" cap="rnd">
              <a:solidFill>
                <a:schemeClr val="tx1"/>
              </a:solidFill>
              <a:prstDash val="solid"/>
              <a:round/>
            </a:ln>
            <a:effectLst/>
          </c:spPr>
          <c:marker>
            <c:symbol val="none"/>
          </c:marker>
          <c:cat>
            <c:multiLvlStrRef>
              <c:f>Mazumtirdzniecība!$A$267:$B$297</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2022</c:v>
                  </c:pt>
                  <c:pt idx="12">
                    <c:v>2023</c:v>
                  </c:pt>
                  <c:pt idx="24">
                    <c:v>2024</c:v>
                  </c:pt>
                </c:lvl>
              </c:multiLvlStrCache>
              <c:extLst/>
            </c:multiLvlStrRef>
          </c:cat>
          <c:val>
            <c:numRef>
              <c:f>Mazumtirdzniecība!$K$267:$K$297</c:f>
              <c:numCache>
                <c:formatCode>0.0</c:formatCode>
                <c:ptCount val="31"/>
                <c:pt idx="0">
                  <c:v>16.43489254108723</c:v>
                </c:pt>
                <c:pt idx="1">
                  <c:v>8.9084065244667379</c:v>
                </c:pt>
                <c:pt idx="2">
                  <c:v>9.6875000000000036</c:v>
                </c:pt>
                <c:pt idx="3">
                  <c:v>3.2193158953722323</c:v>
                </c:pt>
                <c:pt idx="4">
                  <c:v>-0.38131553860820677</c:v>
                </c:pt>
                <c:pt idx="5">
                  <c:v>-4.2883211678832023</c:v>
                </c:pt>
                <c:pt idx="6">
                  <c:v>-0.36396724294813776</c:v>
                </c:pt>
                <c:pt idx="7">
                  <c:v>-1.9590382902938575</c:v>
                </c:pt>
                <c:pt idx="8">
                  <c:v>-0.8720930232558155</c:v>
                </c:pt>
                <c:pt idx="9">
                  <c:v>2.3185483870967749</c:v>
                </c:pt>
                <c:pt idx="10">
                  <c:v>7.634408602150522</c:v>
                </c:pt>
                <c:pt idx="11">
                  <c:v>0.17621145374449032</c:v>
                </c:pt>
                <c:pt idx="12">
                  <c:v>0.43431053203040193</c:v>
                </c:pt>
                <c:pt idx="13">
                  <c:v>1.7281105990783363</c:v>
                </c:pt>
                <c:pt idx="14">
                  <c:v>-6.4577397910731253</c:v>
                </c:pt>
                <c:pt idx="15">
                  <c:v>-4.5808966861598304</c:v>
                </c:pt>
                <c:pt idx="16">
                  <c:v>-0.6698564593301426</c:v>
                </c:pt>
                <c:pt idx="17">
                  <c:v>-1.4299332697807476</c:v>
                </c:pt>
                <c:pt idx="18">
                  <c:v>-2.5570776255707695</c:v>
                </c:pt>
                <c:pt idx="19">
                  <c:v>-2.7247956403269713</c:v>
                </c:pt>
                <c:pt idx="20">
                  <c:v>-2.2482893450635366</c:v>
                </c:pt>
                <c:pt idx="21">
                  <c:v>-0.19704433497537144</c:v>
                </c:pt>
                <c:pt idx="22">
                  <c:v>-1.2987012987012991</c:v>
                </c:pt>
                <c:pt idx="23">
                  <c:v>2.9023746701847042</c:v>
                </c:pt>
                <c:pt idx="24">
                  <c:v>-1.0810810810810811</c:v>
                </c:pt>
                <c:pt idx="25">
                  <c:v>-0.45300113250281715</c:v>
                </c:pt>
                <c:pt idx="26">
                  <c:v>2.5380710659898442</c:v>
                </c:pt>
                <c:pt idx="27">
                  <c:v>0.30643513789581078</c:v>
                </c:pt>
                <c:pt idx="28">
                  <c:v>0.86705202312138407</c:v>
                </c:pt>
                <c:pt idx="29">
                  <c:v>-1.2572533849129708</c:v>
                </c:pt>
                <c:pt idx="30">
                  <c:v>-0.2811621368322359</c:v>
                </c:pt>
              </c:numCache>
              <c:extLst/>
            </c:numRef>
          </c:val>
          <c:smooth val="0"/>
          <c:extLst>
            <c:ext xmlns:c16="http://schemas.microsoft.com/office/drawing/2014/chart" uri="{C3380CC4-5D6E-409C-BE32-E72D297353CC}">
              <c16:uniqueId val="{00000003-1B52-48DA-975F-2B2F58981157}"/>
            </c:ext>
          </c:extLst>
        </c:ser>
        <c:dLbls>
          <c:showLegendKey val="0"/>
          <c:showVal val="0"/>
          <c:showCatName val="0"/>
          <c:showSerName val="0"/>
          <c:showPercent val="0"/>
          <c:showBubbleSize val="0"/>
        </c:dLbls>
        <c:marker val="1"/>
        <c:smooth val="0"/>
        <c:axId val="343843672"/>
        <c:axId val="343844064"/>
      </c:lineChart>
      <c:catAx>
        <c:axId val="3438436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Verdana" panose="020B0604030504040204" pitchFamily="34" charset="0"/>
                <a:ea typeface="Verdana" panose="020B0604030504040204" pitchFamily="34" charset="0"/>
                <a:cs typeface="Times New Roman" panose="02020603050405020304" pitchFamily="18" charset="0"/>
              </a:defRPr>
            </a:pPr>
            <a:endParaRPr lang="lv-LV"/>
          </a:p>
        </c:txPr>
        <c:crossAx val="343844064"/>
        <c:crosses val="autoZero"/>
        <c:auto val="1"/>
        <c:lblAlgn val="ctr"/>
        <c:lblOffset val="100"/>
        <c:noMultiLvlLbl val="0"/>
      </c:catAx>
      <c:valAx>
        <c:axId val="343844064"/>
        <c:scaling>
          <c:orientation val="minMax"/>
          <c:max val="20"/>
          <c:min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43843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Verdana" panose="020B0604030504040204" pitchFamily="34"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803149606299214E-2"/>
          <c:y val="3.2407407407407406E-2"/>
          <c:w val="0.89019685039370078"/>
          <c:h val="0.87904043598448012"/>
        </c:manualLayout>
      </c:layout>
      <c:barChart>
        <c:barDir val="col"/>
        <c:grouping val="clustered"/>
        <c:varyColors val="0"/>
        <c:ser>
          <c:idx val="0"/>
          <c:order val="0"/>
          <c:tx>
            <c:strRef>
              <c:f>'ostas dz'!$X$4</c:f>
              <c:strCache>
                <c:ptCount val="1"/>
                <c:pt idx="0">
                  <c:v>2010</c:v>
                </c:pt>
              </c:strCache>
            </c:strRef>
          </c:tx>
          <c:spPr>
            <a:pattFill prst="dkUpDiag">
              <a:fgClr>
                <a:srgbClr val="5B9BD5">
                  <a:lumMod val="50000"/>
                </a:srgbClr>
              </a:fgClr>
              <a:bgClr>
                <a:sysClr val="window" lastClr="FFFFFF"/>
              </a:bgClr>
            </a:patt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002060"/>
                </a:solidFill>
              </a:ln>
              <a:effectLst/>
            </c:spPr>
            <c:extLst>
              <c:ext xmlns:c16="http://schemas.microsoft.com/office/drawing/2014/chart" uri="{C3380CC4-5D6E-409C-BE32-E72D297353CC}">
                <c16:uniqueId val="{00000001-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03-F738-4300-B2F2-72EF8E1C7848}"/>
              </c:ext>
            </c:extLst>
          </c:dPt>
          <c:dLbls>
            <c:dLbl>
              <c:idx val="0"/>
              <c:layout>
                <c:manualLayout>
                  <c:x val="-5.1374261494990889E-3"/>
                  <c:y val="0.7690281801422175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738-4300-B2F2-72EF8E1C7848}"/>
                </c:ext>
              </c:extLst>
            </c:dLbl>
            <c:dLbl>
              <c:idx val="1"/>
              <c:layout>
                <c:manualLayout>
                  <c:x val="-5.1374261494991011E-3"/>
                  <c:y val="0.5741374769554912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738-4300-B2F2-72EF8E1C7848}"/>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'ostas dz'!$V$5:$V$6</c:f>
              <c:strCache>
                <c:ptCount val="2"/>
                <c:pt idx="0">
                  <c:v>Ostas</c:v>
                </c:pt>
                <c:pt idx="1">
                  <c:v>Dzelzceļš</c:v>
                </c:pt>
              </c:strCache>
            </c:strRef>
          </c:cat>
          <c:val>
            <c:numRef>
              <c:f>'ostas dz'!$X$5:$X$6</c:f>
              <c:numCache>
                <c:formatCode>General</c:formatCode>
                <c:ptCount val="2"/>
                <c:pt idx="0">
                  <c:v>40776.410000000003</c:v>
                </c:pt>
                <c:pt idx="1">
                  <c:v>32917.5</c:v>
                </c:pt>
              </c:numCache>
            </c:numRef>
          </c:val>
          <c:extLst>
            <c:ext xmlns:c16="http://schemas.microsoft.com/office/drawing/2014/chart" uri="{C3380CC4-5D6E-409C-BE32-E72D297353CC}">
              <c16:uniqueId val="{00000004-F738-4300-B2F2-72EF8E1C7848}"/>
            </c:ext>
          </c:extLst>
        </c:ser>
        <c:ser>
          <c:idx val="1"/>
          <c:order val="1"/>
          <c:tx>
            <c:strRef>
              <c:f>'ostas dz'!$Y$4</c:f>
              <c:strCache>
                <c:ptCount val="1"/>
                <c:pt idx="0">
                  <c:v>2011</c:v>
                </c:pt>
              </c:strCache>
            </c:strRef>
          </c:tx>
          <c:spPr>
            <a:pattFill prst="dkUpDiag">
              <a:fgClr>
                <a:srgbClr val="5B9BD5">
                  <a:lumMod val="50000"/>
                </a:srgbClr>
              </a:fgClr>
              <a:bgClr>
                <a:sysClr val="window" lastClr="FFFFFF"/>
              </a:bgClr>
            </a:patt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06-F738-4300-B2F2-72EF8E1C7848}"/>
              </c:ext>
            </c:extLst>
          </c:dPt>
          <c:dPt>
            <c:idx val="1"/>
            <c:invertIfNegative val="0"/>
            <c:bubble3D val="0"/>
            <c:spPr>
              <a:pattFill prst="dkUpDiag">
                <a:fgClr>
                  <a:srgbClr val="00B050"/>
                </a:fgClr>
                <a:bgClr>
                  <a:sysClr val="window" lastClr="FFFFFF"/>
                </a:bgClr>
              </a:pattFill>
              <a:ln>
                <a:solidFill>
                  <a:srgbClr val="5B9BD5"/>
                </a:solidFill>
              </a:ln>
              <a:effectLst/>
            </c:spPr>
            <c:extLst>
              <c:ext xmlns:c16="http://schemas.microsoft.com/office/drawing/2014/chart" uri="{C3380CC4-5D6E-409C-BE32-E72D297353CC}">
                <c16:uniqueId val="{00000008-F738-4300-B2F2-72EF8E1C7848}"/>
              </c:ext>
            </c:extLst>
          </c:dPt>
          <c:cat>
            <c:strRef>
              <c:f>'ostas dz'!$V$5:$V$6</c:f>
              <c:strCache>
                <c:ptCount val="2"/>
                <c:pt idx="0">
                  <c:v>Ostas</c:v>
                </c:pt>
                <c:pt idx="1">
                  <c:v>Dzelzceļš</c:v>
                </c:pt>
              </c:strCache>
            </c:strRef>
          </c:cat>
          <c:val>
            <c:numRef>
              <c:f>'ostas dz'!$Y$5:$Y$6</c:f>
              <c:numCache>
                <c:formatCode>General</c:formatCode>
                <c:ptCount val="2"/>
                <c:pt idx="0">
                  <c:v>45674.09</c:v>
                </c:pt>
                <c:pt idx="1">
                  <c:v>38885.699999999997</c:v>
                </c:pt>
              </c:numCache>
            </c:numRef>
          </c:val>
          <c:extLst>
            <c:ext xmlns:c16="http://schemas.microsoft.com/office/drawing/2014/chart" uri="{C3380CC4-5D6E-409C-BE32-E72D297353CC}">
              <c16:uniqueId val="{00000009-F738-4300-B2F2-72EF8E1C7848}"/>
            </c:ext>
          </c:extLst>
        </c:ser>
        <c:ser>
          <c:idx val="2"/>
          <c:order val="2"/>
          <c:tx>
            <c:strRef>
              <c:f>'ostas dz'!$Z$4</c:f>
              <c:strCache>
                <c:ptCount val="1"/>
                <c:pt idx="0">
                  <c:v>2012</c:v>
                </c:pt>
              </c:strCache>
            </c:strRef>
          </c:tx>
          <c:spPr>
            <a:solidFill>
              <a:schemeClr val="accent3"/>
            </a:solid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0B-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0D-F738-4300-B2F2-72EF8E1C7848}"/>
              </c:ext>
            </c:extLst>
          </c:dPt>
          <c:cat>
            <c:strRef>
              <c:f>'ostas dz'!$V$5:$V$6</c:f>
              <c:strCache>
                <c:ptCount val="2"/>
                <c:pt idx="0">
                  <c:v>Ostas</c:v>
                </c:pt>
                <c:pt idx="1">
                  <c:v>Dzelzceļš</c:v>
                </c:pt>
              </c:strCache>
            </c:strRef>
          </c:cat>
          <c:val>
            <c:numRef>
              <c:f>'ostas dz'!$Z$5:$Z$6</c:f>
              <c:numCache>
                <c:formatCode>General</c:formatCode>
                <c:ptCount val="2"/>
                <c:pt idx="0">
                  <c:v>52148.6</c:v>
                </c:pt>
                <c:pt idx="1">
                  <c:v>43019.1</c:v>
                </c:pt>
              </c:numCache>
            </c:numRef>
          </c:val>
          <c:extLst>
            <c:ext xmlns:c16="http://schemas.microsoft.com/office/drawing/2014/chart" uri="{C3380CC4-5D6E-409C-BE32-E72D297353CC}">
              <c16:uniqueId val="{0000000E-F738-4300-B2F2-72EF8E1C7848}"/>
            </c:ext>
          </c:extLst>
        </c:ser>
        <c:ser>
          <c:idx val="3"/>
          <c:order val="3"/>
          <c:tx>
            <c:strRef>
              <c:f>'ostas dz'!$AA$4</c:f>
              <c:strCache>
                <c:ptCount val="1"/>
                <c:pt idx="0">
                  <c:v>2013</c:v>
                </c:pt>
              </c:strCache>
            </c:strRef>
          </c:tx>
          <c:spPr>
            <a:pattFill prst="dkUpDiag">
              <a:fgClr>
                <a:srgbClr val="5B9BD5">
                  <a:lumMod val="50000"/>
                </a:srgbClr>
              </a:fgClr>
              <a:bgClr>
                <a:sysClr val="window" lastClr="FFFFFF"/>
              </a:bgClr>
            </a:pattFill>
            <a:ln>
              <a:no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0-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12-F738-4300-B2F2-72EF8E1C7848}"/>
              </c:ext>
            </c:extLst>
          </c:dPt>
          <c:cat>
            <c:strRef>
              <c:f>'ostas dz'!$V$5:$V$6</c:f>
              <c:strCache>
                <c:ptCount val="2"/>
                <c:pt idx="0">
                  <c:v>Ostas</c:v>
                </c:pt>
                <c:pt idx="1">
                  <c:v>Dzelzceļš</c:v>
                </c:pt>
              </c:strCache>
            </c:strRef>
          </c:cat>
          <c:val>
            <c:numRef>
              <c:f>'ostas dz'!$AA$5:$AA$6</c:f>
              <c:numCache>
                <c:formatCode>General</c:formatCode>
                <c:ptCount val="2"/>
                <c:pt idx="0">
                  <c:v>48172.800000000003</c:v>
                </c:pt>
                <c:pt idx="1">
                  <c:v>37820.400000000001</c:v>
                </c:pt>
              </c:numCache>
            </c:numRef>
          </c:val>
          <c:extLst>
            <c:ext xmlns:c16="http://schemas.microsoft.com/office/drawing/2014/chart" uri="{C3380CC4-5D6E-409C-BE32-E72D297353CC}">
              <c16:uniqueId val="{00000013-F738-4300-B2F2-72EF8E1C7848}"/>
            </c:ext>
          </c:extLst>
        </c:ser>
        <c:ser>
          <c:idx val="4"/>
          <c:order val="4"/>
          <c:tx>
            <c:strRef>
              <c:f>'ostas dz'!$AB$4</c:f>
              <c:strCache>
                <c:ptCount val="1"/>
                <c:pt idx="0">
                  <c:v>2014</c:v>
                </c:pt>
              </c:strCache>
            </c:strRef>
          </c:tx>
          <c:spPr>
            <a:pattFill prst="dkUpDiag">
              <a:fgClr>
                <a:srgbClr val="5B9BD5">
                  <a:lumMod val="50000"/>
                </a:srgbClr>
              </a:fgClr>
              <a:bgClr>
                <a:sysClr val="window" lastClr="FFFFFF"/>
              </a:bgClr>
            </a:patt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5-F738-4300-B2F2-72EF8E1C7848}"/>
              </c:ext>
            </c:extLst>
          </c:dPt>
          <c:dPt>
            <c:idx val="1"/>
            <c:invertIfNegative val="0"/>
            <c:bubble3D val="0"/>
            <c:spPr>
              <a:pattFill prst="dkUpDiag">
                <a:fgClr>
                  <a:srgbClr val="00B050"/>
                </a:fgClr>
                <a:bgClr>
                  <a:sysClr val="window" lastClr="FFFFFF"/>
                </a:bgClr>
              </a:pattFill>
              <a:ln>
                <a:solidFill>
                  <a:srgbClr val="5B9BD5"/>
                </a:solidFill>
              </a:ln>
              <a:effectLst/>
            </c:spPr>
            <c:extLst>
              <c:ext xmlns:c16="http://schemas.microsoft.com/office/drawing/2014/chart" uri="{C3380CC4-5D6E-409C-BE32-E72D297353CC}">
                <c16:uniqueId val="{00000017-F738-4300-B2F2-72EF8E1C7848}"/>
              </c:ext>
            </c:extLst>
          </c:dPt>
          <c:cat>
            <c:strRef>
              <c:f>'ostas dz'!$V$5:$V$6</c:f>
              <c:strCache>
                <c:ptCount val="2"/>
                <c:pt idx="0">
                  <c:v>Ostas</c:v>
                </c:pt>
                <c:pt idx="1">
                  <c:v>Dzelzceļš</c:v>
                </c:pt>
              </c:strCache>
            </c:strRef>
          </c:cat>
          <c:val>
            <c:numRef>
              <c:f>'ostas dz'!$AB$5:$AB$6</c:f>
              <c:numCache>
                <c:formatCode>General</c:formatCode>
                <c:ptCount val="2"/>
                <c:pt idx="0">
                  <c:v>50030.2</c:v>
                </c:pt>
                <c:pt idx="1">
                  <c:v>38891.1</c:v>
                </c:pt>
              </c:numCache>
            </c:numRef>
          </c:val>
          <c:extLst>
            <c:ext xmlns:c16="http://schemas.microsoft.com/office/drawing/2014/chart" uri="{C3380CC4-5D6E-409C-BE32-E72D297353CC}">
              <c16:uniqueId val="{00000018-F738-4300-B2F2-72EF8E1C7848}"/>
            </c:ext>
          </c:extLst>
        </c:ser>
        <c:ser>
          <c:idx val="5"/>
          <c:order val="5"/>
          <c:tx>
            <c:strRef>
              <c:f>'ostas dz'!$AC$4</c:f>
              <c:strCache>
                <c:ptCount val="1"/>
                <c:pt idx="0">
                  <c:v>2015</c:v>
                </c:pt>
              </c:strCache>
            </c:strRef>
          </c:tx>
          <c:spPr>
            <a:pattFill prst="dkUpDiag">
              <a:fgClr>
                <a:srgbClr val="4472C4">
                  <a:lumMod val="50000"/>
                </a:srgbClr>
              </a:fgClr>
              <a:bgClr>
                <a:sysClr val="window" lastClr="FFFFFF"/>
              </a:bgClr>
            </a:pattFill>
            <a:ln>
              <a:solidFill>
                <a:srgbClr val="4472C4">
                  <a:lumMod val="50000"/>
                </a:srgbClr>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A-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1C-F738-4300-B2F2-72EF8E1C7848}"/>
              </c:ext>
            </c:extLst>
          </c:dPt>
          <c:cat>
            <c:strRef>
              <c:f>'ostas dz'!$V$5:$V$6</c:f>
              <c:strCache>
                <c:ptCount val="2"/>
                <c:pt idx="0">
                  <c:v>Ostas</c:v>
                </c:pt>
                <c:pt idx="1">
                  <c:v>Dzelzceļš</c:v>
                </c:pt>
              </c:strCache>
            </c:strRef>
          </c:cat>
          <c:val>
            <c:numRef>
              <c:f>'ostas dz'!$AC$5:$AC$6</c:f>
              <c:numCache>
                <c:formatCode>General</c:formatCode>
                <c:ptCount val="2"/>
                <c:pt idx="0">
                  <c:v>47478.5</c:v>
                </c:pt>
                <c:pt idx="1">
                  <c:v>38506.5</c:v>
                </c:pt>
              </c:numCache>
            </c:numRef>
          </c:val>
          <c:extLst>
            <c:ext xmlns:c16="http://schemas.microsoft.com/office/drawing/2014/chart" uri="{C3380CC4-5D6E-409C-BE32-E72D297353CC}">
              <c16:uniqueId val="{0000001D-F738-4300-B2F2-72EF8E1C7848}"/>
            </c:ext>
          </c:extLst>
        </c:ser>
        <c:ser>
          <c:idx val="6"/>
          <c:order val="6"/>
          <c:tx>
            <c:strRef>
              <c:f>'ostas dz'!$AD$4</c:f>
              <c:strCache>
                <c:ptCount val="1"/>
                <c:pt idx="0">
                  <c:v>2016</c:v>
                </c:pt>
              </c:strCache>
            </c:strRef>
          </c:tx>
          <c:spPr>
            <a:solidFill>
              <a:schemeClr val="accent1">
                <a:lumMod val="60000"/>
              </a:schemeClr>
            </a:solidFill>
            <a:ln>
              <a:no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F-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21-F738-4300-B2F2-72EF8E1C7848}"/>
              </c:ext>
            </c:extLst>
          </c:dPt>
          <c:cat>
            <c:strRef>
              <c:f>'ostas dz'!$V$5:$V$6</c:f>
              <c:strCache>
                <c:ptCount val="2"/>
                <c:pt idx="0">
                  <c:v>Ostas</c:v>
                </c:pt>
                <c:pt idx="1">
                  <c:v>Dzelzceļš</c:v>
                </c:pt>
              </c:strCache>
            </c:strRef>
          </c:cat>
          <c:val>
            <c:numRef>
              <c:f>'ostas dz'!$AD$5:$AD$6</c:f>
              <c:numCache>
                <c:formatCode>General</c:formatCode>
                <c:ptCount val="2"/>
                <c:pt idx="0">
                  <c:v>41104.300000000003</c:v>
                </c:pt>
                <c:pt idx="1">
                  <c:v>30600.3</c:v>
                </c:pt>
              </c:numCache>
            </c:numRef>
          </c:val>
          <c:extLst>
            <c:ext xmlns:c16="http://schemas.microsoft.com/office/drawing/2014/chart" uri="{C3380CC4-5D6E-409C-BE32-E72D297353CC}">
              <c16:uniqueId val="{00000022-F738-4300-B2F2-72EF8E1C7848}"/>
            </c:ext>
          </c:extLst>
        </c:ser>
        <c:ser>
          <c:idx val="7"/>
          <c:order val="7"/>
          <c:tx>
            <c:strRef>
              <c:f>'ostas dz'!$AE$4</c:f>
              <c:strCache>
                <c:ptCount val="1"/>
                <c:pt idx="0">
                  <c:v>2017</c:v>
                </c:pt>
              </c:strCache>
            </c:strRef>
          </c:tx>
          <c:spPr>
            <a:pattFill prst="dkUpDiag">
              <a:fgClr>
                <a:srgbClr val="00B050"/>
              </a:fgClr>
              <a:bgClr>
                <a:sysClr val="window" lastClr="FFFFFF"/>
              </a:bgClr>
            </a:pattFill>
            <a:ln>
              <a:solidFill>
                <a:srgbClr val="00B050"/>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24-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26-F738-4300-B2F2-72EF8E1C7848}"/>
              </c:ext>
            </c:extLst>
          </c:dPt>
          <c:cat>
            <c:strRef>
              <c:f>'ostas dz'!$V$5:$V$6</c:f>
              <c:strCache>
                <c:ptCount val="2"/>
                <c:pt idx="0">
                  <c:v>Ostas</c:v>
                </c:pt>
                <c:pt idx="1">
                  <c:v>Dzelzceļš</c:v>
                </c:pt>
              </c:strCache>
            </c:strRef>
          </c:cat>
          <c:val>
            <c:numRef>
              <c:f>'ostas dz'!$AE$5:$AE$6</c:f>
              <c:numCache>
                <c:formatCode>General</c:formatCode>
                <c:ptCount val="2"/>
                <c:pt idx="0">
                  <c:v>43058.5</c:v>
                </c:pt>
                <c:pt idx="1">
                  <c:v>30368.7</c:v>
                </c:pt>
              </c:numCache>
            </c:numRef>
          </c:val>
          <c:extLst>
            <c:ext xmlns:c16="http://schemas.microsoft.com/office/drawing/2014/chart" uri="{C3380CC4-5D6E-409C-BE32-E72D297353CC}">
              <c16:uniqueId val="{00000027-F738-4300-B2F2-72EF8E1C7848}"/>
            </c:ext>
          </c:extLst>
        </c:ser>
        <c:ser>
          <c:idx val="8"/>
          <c:order val="8"/>
          <c:tx>
            <c:strRef>
              <c:f>'ostas dz'!$AF$4</c:f>
              <c:strCache>
                <c:ptCount val="1"/>
                <c:pt idx="0">
                  <c:v>2018</c:v>
                </c:pt>
              </c:strCache>
            </c:strRef>
          </c:tx>
          <c:spPr>
            <a:pattFill prst="dkUpDiag">
              <a:fgClr>
                <a:srgbClr val="002060"/>
              </a:fgClr>
              <a:bgClr>
                <a:sysClr val="window" lastClr="FFFFFF"/>
              </a:bgClr>
            </a:pattFill>
            <a:ln>
              <a:solidFill>
                <a:srgbClr val="002060"/>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29-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2B-F738-4300-B2F2-72EF8E1C7848}"/>
              </c:ext>
            </c:extLst>
          </c:dPt>
          <c:cat>
            <c:strRef>
              <c:f>'ostas dz'!$V$5:$V$6</c:f>
              <c:strCache>
                <c:ptCount val="2"/>
                <c:pt idx="0">
                  <c:v>Ostas</c:v>
                </c:pt>
                <c:pt idx="1">
                  <c:v>Dzelzceļš</c:v>
                </c:pt>
              </c:strCache>
            </c:strRef>
          </c:cat>
          <c:val>
            <c:numRef>
              <c:f>'ostas dz'!$AF$5:$AF$6</c:f>
              <c:numCache>
                <c:formatCode>General</c:formatCode>
                <c:ptCount val="2"/>
                <c:pt idx="0">
                  <c:v>43468.44</c:v>
                </c:pt>
                <c:pt idx="1">
                  <c:v>32337.9</c:v>
                </c:pt>
              </c:numCache>
            </c:numRef>
          </c:val>
          <c:extLst>
            <c:ext xmlns:c16="http://schemas.microsoft.com/office/drawing/2014/chart" uri="{C3380CC4-5D6E-409C-BE32-E72D297353CC}">
              <c16:uniqueId val="{0000002C-F738-4300-B2F2-72EF8E1C7848}"/>
            </c:ext>
          </c:extLst>
        </c:ser>
        <c:ser>
          <c:idx val="9"/>
          <c:order val="9"/>
          <c:tx>
            <c:strRef>
              <c:f>'ostas dz'!$AG$4</c:f>
              <c:strCache>
                <c:ptCount val="1"/>
                <c:pt idx="0">
                  <c:v>2019</c:v>
                </c:pt>
              </c:strCache>
            </c:strRef>
          </c:tx>
          <c:spPr>
            <a:pattFill prst="dkUpDiag">
              <a:fgClr>
                <a:srgbClr val="002060"/>
              </a:fgClr>
              <a:bgClr>
                <a:sysClr val="window" lastClr="FFFFFF"/>
              </a:bgClr>
            </a:pattFill>
            <a:ln>
              <a:noFill/>
            </a:ln>
            <a:effectLst/>
          </c:spPr>
          <c:invertIfNegative val="0"/>
          <c:dPt>
            <c:idx val="0"/>
            <c:invertIfNegative val="0"/>
            <c:bubble3D val="0"/>
            <c:spPr>
              <a:pattFill prst="dkUpDiag">
                <a:fgClr>
                  <a:srgbClr val="002060"/>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2E-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0-F738-4300-B2F2-72EF8E1C7848}"/>
              </c:ext>
            </c:extLst>
          </c:dPt>
          <c:dLbls>
            <c:dLbl>
              <c:idx val="0"/>
              <c:layout>
                <c:manualLayout>
                  <c:x val="0.12843565373747753"/>
                  <c:y val="0.70582038451409002"/>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t>2024. </a:t>
                    </a: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E-F738-4300-B2F2-72EF8E1C7848}"/>
                </c:ext>
              </c:extLst>
            </c:dLbl>
            <c:dLbl>
              <c:idx val="1"/>
              <c:layout>
                <c:manualLayout>
                  <c:x val="0.14384793218597483"/>
                  <c:y val="0.5022220194558904"/>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t>2024.</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extLst>
                <c:ext xmlns:c15="http://schemas.microsoft.com/office/drawing/2012/chart" uri="{CE6537A1-D6FC-4f65-9D91-7224C49458BB}">
                  <c15:layout>
                    <c:manualLayout>
                      <c:w val="6.7428718212175706E-2"/>
                      <c:h val="7.5559859731781615E-2"/>
                    </c:manualLayout>
                  </c15:layout>
                  <c15:showDataLabelsRange val="0"/>
                </c:ext>
                <c:ext xmlns:c16="http://schemas.microsoft.com/office/drawing/2014/chart" uri="{C3380CC4-5D6E-409C-BE32-E72D297353CC}">
                  <c16:uniqueId val="{00000030-F738-4300-B2F2-72EF8E1C784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'ostas dz'!$V$5:$V$6</c:f>
              <c:strCache>
                <c:ptCount val="2"/>
                <c:pt idx="0">
                  <c:v>Ostas</c:v>
                </c:pt>
                <c:pt idx="1">
                  <c:v>Dzelzceļš</c:v>
                </c:pt>
              </c:strCache>
            </c:strRef>
          </c:cat>
          <c:val>
            <c:numRef>
              <c:f>'ostas dz'!$AG$5:$AG$6</c:f>
              <c:numCache>
                <c:formatCode>General</c:formatCode>
                <c:ptCount val="2"/>
                <c:pt idx="0">
                  <c:v>42321.4</c:v>
                </c:pt>
                <c:pt idx="1">
                  <c:v>28372.7</c:v>
                </c:pt>
              </c:numCache>
            </c:numRef>
          </c:val>
          <c:extLst>
            <c:ext xmlns:c16="http://schemas.microsoft.com/office/drawing/2014/chart" uri="{C3380CC4-5D6E-409C-BE32-E72D297353CC}">
              <c16:uniqueId val="{00000031-F738-4300-B2F2-72EF8E1C7848}"/>
            </c:ext>
          </c:extLst>
        </c:ser>
        <c:ser>
          <c:idx val="10"/>
          <c:order val="10"/>
          <c:tx>
            <c:strRef>
              <c:f>'ostas dz'!$AH$4</c:f>
              <c:strCache>
                <c:ptCount val="1"/>
                <c:pt idx="0">
                  <c:v>2020</c:v>
                </c:pt>
              </c:strCache>
            </c:strRef>
          </c:tx>
          <c:spPr>
            <a:pattFill prst="dkUpDiag">
              <a:fgClr>
                <a:srgbClr val="4472C4">
                  <a:lumMod val="50000"/>
                </a:srgbClr>
              </a:fgClr>
              <a:bgClr>
                <a:sysClr val="window" lastClr="FFFFFF"/>
              </a:bgClr>
            </a:pattFill>
            <a:ln>
              <a:solidFill>
                <a:srgbClr val="4472C4">
                  <a:lumMod val="50000"/>
                </a:srgbClr>
              </a:solidFill>
            </a:ln>
            <a:effectLst/>
          </c:spPr>
          <c:invertIfNegative val="0"/>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3-F738-4300-B2F2-72EF8E1C7848}"/>
              </c:ext>
            </c:extLst>
          </c:dPt>
          <c:cat>
            <c:strRef>
              <c:f>'ostas dz'!$V$5:$V$6</c:f>
              <c:strCache>
                <c:ptCount val="2"/>
                <c:pt idx="0">
                  <c:v>Ostas</c:v>
                </c:pt>
                <c:pt idx="1">
                  <c:v>Dzelzceļš</c:v>
                </c:pt>
              </c:strCache>
            </c:strRef>
          </c:cat>
          <c:val>
            <c:numRef>
              <c:f>'ostas dz'!$AH$5:$AH$6</c:f>
              <c:numCache>
                <c:formatCode>General</c:formatCode>
                <c:ptCount val="2"/>
                <c:pt idx="0">
                  <c:v>29744.1</c:v>
                </c:pt>
                <c:pt idx="1">
                  <c:v>15524.8</c:v>
                </c:pt>
              </c:numCache>
            </c:numRef>
          </c:val>
          <c:extLst>
            <c:ext xmlns:c16="http://schemas.microsoft.com/office/drawing/2014/chart" uri="{C3380CC4-5D6E-409C-BE32-E72D297353CC}">
              <c16:uniqueId val="{00000034-F738-4300-B2F2-72EF8E1C7848}"/>
            </c:ext>
          </c:extLst>
        </c:ser>
        <c:ser>
          <c:idx val="11"/>
          <c:order val="11"/>
          <c:tx>
            <c:strRef>
              <c:f>'ostas dz'!$AI$4</c:f>
              <c:strCache>
                <c:ptCount val="1"/>
                <c:pt idx="0">
                  <c:v>2021</c:v>
                </c:pt>
              </c:strCache>
            </c:strRef>
          </c:tx>
          <c:spPr>
            <a:pattFill prst="dkUpDiag">
              <a:fgClr>
                <a:srgbClr val="002060"/>
              </a:fgClr>
              <a:bgClr>
                <a:sysClr val="window" lastClr="FFFFFF"/>
              </a:bgClr>
            </a:pattFill>
            <a:ln>
              <a:solidFill>
                <a:srgbClr val="002060"/>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36-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8-F738-4300-B2F2-72EF8E1C7848}"/>
              </c:ext>
            </c:extLst>
          </c:dPt>
          <c:cat>
            <c:strRef>
              <c:f>'ostas dz'!$V$5:$V$6</c:f>
              <c:strCache>
                <c:ptCount val="2"/>
                <c:pt idx="0">
                  <c:v>Ostas</c:v>
                </c:pt>
                <c:pt idx="1">
                  <c:v>Dzelzceļš</c:v>
                </c:pt>
              </c:strCache>
            </c:strRef>
          </c:cat>
          <c:val>
            <c:numRef>
              <c:f>'ostas dz'!$AI$5:$AI$6</c:f>
              <c:numCache>
                <c:formatCode>General</c:formatCode>
                <c:ptCount val="2"/>
                <c:pt idx="0">
                  <c:v>26549.5</c:v>
                </c:pt>
                <c:pt idx="1">
                  <c:v>13226.4</c:v>
                </c:pt>
              </c:numCache>
            </c:numRef>
          </c:val>
          <c:extLst>
            <c:ext xmlns:c16="http://schemas.microsoft.com/office/drawing/2014/chart" uri="{C3380CC4-5D6E-409C-BE32-E72D297353CC}">
              <c16:uniqueId val="{00000039-F738-4300-B2F2-72EF8E1C7848}"/>
            </c:ext>
          </c:extLst>
        </c:ser>
        <c:ser>
          <c:idx val="12"/>
          <c:order val="12"/>
          <c:tx>
            <c:strRef>
              <c:f>'ostas dz'!$AJ$4</c:f>
              <c:strCache>
                <c:ptCount val="1"/>
                <c:pt idx="0">
                  <c:v>2022</c:v>
                </c:pt>
              </c:strCache>
            </c:strRef>
          </c:tx>
          <c:spPr>
            <a:solidFill>
              <a:schemeClr val="accent1">
                <a:lumMod val="80000"/>
                <a:lumOff val="20000"/>
              </a:schemeClr>
            </a:solidFill>
            <a:ln>
              <a:noFill/>
            </a:ln>
            <a:effectLst/>
          </c:spPr>
          <c:invertIfNegative val="0"/>
          <c:dPt>
            <c:idx val="0"/>
            <c:invertIfNegative val="0"/>
            <c:bubble3D val="0"/>
            <c:spPr>
              <a:pattFill prst="dkUpDiag">
                <a:fgClr>
                  <a:srgbClr val="002060"/>
                </a:fgClr>
                <a:bgClr>
                  <a:sysClr val="window" lastClr="FFFFFF"/>
                </a:bgClr>
              </a:pattFill>
              <a:ln>
                <a:solidFill>
                  <a:srgbClr val="002060"/>
                </a:solidFill>
              </a:ln>
              <a:effectLst/>
            </c:spPr>
            <c:extLst>
              <c:ext xmlns:c16="http://schemas.microsoft.com/office/drawing/2014/chart" uri="{C3380CC4-5D6E-409C-BE32-E72D297353CC}">
                <c16:uniqueId val="{0000003B-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D-F738-4300-B2F2-72EF8E1C7848}"/>
              </c:ext>
            </c:extLst>
          </c:dPt>
          <c:cat>
            <c:strRef>
              <c:f>'ostas dz'!$V$5:$V$6</c:f>
              <c:strCache>
                <c:ptCount val="2"/>
                <c:pt idx="0">
                  <c:v>Ostas</c:v>
                </c:pt>
                <c:pt idx="1">
                  <c:v>Dzelzceļš</c:v>
                </c:pt>
              </c:strCache>
            </c:strRef>
          </c:cat>
          <c:val>
            <c:numRef>
              <c:f>'ostas dz'!$AJ$5:$AJ$6</c:f>
              <c:numCache>
                <c:formatCode>0.0</c:formatCode>
                <c:ptCount val="2"/>
                <c:pt idx="0">
                  <c:v>30873.4</c:v>
                </c:pt>
                <c:pt idx="1">
                  <c:v>15080.2</c:v>
                </c:pt>
              </c:numCache>
            </c:numRef>
          </c:val>
          <c:extLst>
            <c:ext xmlns:c16="http://schemas.microsoft.com/office/drawing/2014/chart" uri="{C3380CC4-5D6E-409C-BE32-E72D297353CC}">
              <c16:uniqueId val="{0000003E-F738-4300-B2F2-72EF8E1C7848}"/>
            </c:ext>
          </c:extLst>
        </c:ser>
        <c:ser>
          <c:idx val="13"/>
          <c:order val="13"/>
          <c:tx>
            <c:strRef>
              <c:f>'ostas dz'!$AK$4</c:f>
              <c:strCache>
                <c:ptCount val="1"/>
                <c:pt idx="0">
                  <c:v>2023</c:v>
                </c:pt>
              </c:strCache>
            </c:strRef>
          </c:tx>
          <c:spPr>
            <a:pattFill prst="dkUpDiag">
              <a:fgClr>
                <a:srgbClr val="002060"/>
              </a:fgClr>
              <a:bgClr>
                <a:sysClr val="window" lastClr="FFFFFF"/>
              </a:bgClr>
            </a:pattFill>
            <a:ln>
              <a:solidFill>
                <a:srgbClr val="002060"/>
              </a:solidFill>
            </a:ln>
            <a:effectLst/>
          </c:spPr>
          <c:invertIfNegative val="0"/>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40-F738-4300-B2F2-72EF8E1C7848}"/>
              </c:ext>
            </c:extLst>
          </c:dPt>
          <c:cat>
            <c:strRef>
              <c:f>'ostas dz'!$V$5:$V$6</c:f>
              <c:strCache>
                <c:ptCount val="2"/>
                <c:pt idx="0">
                  <c:v>Ostas</c:v>
                </c:pt>
                <c:pt idx="1">
                  <c:v>Dzelzceļš</c:v>
                </c:pt>
              </c:strCache>
            </c:strRef>
          </c:cat>
          <c:val>
            <c:numRef>
              <c:f>'ostas dz'!$AK$5:$AK$6</c:f>
              <c:numCache>
                <c:formatCode>General</c:formatCode>
                <c:ptCount val="2"/>
                <c:pt idx="0">
                  <c:v>25702</c:v>
                </c:pt>
                <c:pt idx="1">
                  <c:v>10240.6</c:v>
                </c:pt>
              </c:numCache>
            </c:numRef>
          </c:val>
          <c:extLst>
            <c:ext xmlns:c16="http://schemas.microsoft.com/office/drawing/2014/chart" uri="{C3380CC4-5D6E-409C-BE32-E72D297353CC}">
              <c16:uniqueId val="{00000041-F738-4300-B2F2-72EF8E1C7848}"/>
            </c:ext>
          </c:extLst>
        </c:ser>
        <c:ser>
          <c:idx val="14"/>
          <c:order val="14"/>
          <c:tx>
            <c:strRef>
              <c:f>'ostas dz'!$AL$4</c:f>
              <c:strCache>
                <c:ptCount val="1"/>
                <c:pt idx="0">
                  <c:v>2024</c:v>
                </c:pt>
              </c:strCache>
            </c:strRef>
          </c:tx>
          <c:spPr>
            <a:solidFill>
              <a:schemeClr val="accent3">
                <a:lumMod val="80000"/>
                <a:lumOff val="20000"/>
              </a:schemeClr>
            </a:solidFill>
            <a:ln>
              <a:noFill/>
            </a:ln>
            <a:effectLst/>
          </c:spPr>
          <c:invertIfNegative val="0"/>
          <c:dPt>
            <c:idx val="0"/>
            <c:invertIfNegative val="0"/>
            <c:bubble3D val="0"/>
            <c:spPr>
              <a:pattFill prst="dkUpDiag">
                <a:fgClr>
                  <a:srgbClr val="002060"/>
                </a:fgClr>
                <a:bgClr>
                  <a:sysClr val="window" lastClr="FFFFFF"/>
                </a:bgClr>
              </a:pattFill>
              <a:ln>
                <a:solidFill>
                  <a:srgbClr val="002060"/>
                </a:solidFill>
              </a:ln>
              <a:effectLst/>
            </c:spPr>
            <c:extLst>
              <c:ext xmlns:c16="http://schemas.microsoft.com/office/drawing/2014/chart" uri="{C3380CC4-5D6E-409C-BE32-E72D297353CC}">
                <c16:uniqueId val="{00000043-F738-4300-B2F2-72EF8E1C7848}"/>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45-F738-4300-B2F2-72EF8E1C7848}"/>
              </c:ext>
            </c:extLst>
          </c:dPt>
          <c:cat>
            <c:strRef>
              <c:f>'ostas dz'!$V$5:$V$6</c:f>
              <c:strCache>
                <c:ptCount val="2"/>
                <c:pt idx="0">
                  <c:v>Ostas</c:v>
                </c:pt>
                <c:pt idx="1">
                  <c:v>Dzelzceļš</c:v>
                </c:pt>
              </c:strCache>
            </c:strRef>
          </c:cat>
          <c:val>
            <c:numRef>
              <c:f>'ostas dz'!$AL$5:$AL$6</c:f>
              <c:numCache>
                <c:formatCode>General</c:formatCode>
                <c:ptCount val="2"/>
                <c:pt idx="0">
                  <c:v>23202.400000000001</c:v>
                </c:pt>
                <c:pt idx="1">
                  <c:v>7605.4</c:v>
                </c:pt>
              </c:numCache>
            </c:numRef>
          </c:val>
          <c:extLst>
            <c:ext xmlns:c16="http://schemas.microsoft.com/office/drawing/2014/chart" uri="{C3380CC4-5D6E-409C-BE32-E72D297353CC}">
              <c16:uniqueId val="{00000046-F738-4300-B2F2-72EF8E1C7848}"/>
            </c:ext>
          </c:extLst>
        </c:ser>
        <c:dLbls>
          <c:showLegendKey val="0"/>
          <c:showVal val="0"/>
          <c:showCatName val="0"/>
          <c:showSerName val="0"/>
          <c:showPercent val="0"/>
          <c:showBubbleSize val="0"/>
        </c:dLbls>
        <c:gapWidth val="219"/>
        <c:overlap val="-27"/>
        <c:axId val="221658064"/>
        <c:axId val="221658456"/>
      </c:barChart>
      <c:catAx>
        <c:axId val="22165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21658456"/>
        <c:crosses val="autoZero"/>
        <c:auto val="1"/>
        <c:lblAlgn val="ctr"/>
        <c:lblOffset val="100"/>
        <c:noMultiLvlLbl val="0"/>
      </c:catAx>
      <c:valAx>
        <c:axId val="221658456"/>
        <c:scaling>
          <c:orientation val="minMax"/>
          <c:max val="60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216580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bg1">
                <a:lumMod val="50000"/>
              </a:schemeClr>
            </a:solidFill>
            <a:ln>
              <a:noFill/>
            </a:ln>
            <a:effectLst/>
          </c:spPr>
          <c:invertIfNegative val="0"/>
          <c:dLbls>
            <c:spPr>
              <a:solidFill>
                <a:sysClr val="window" lastClr="FFFFFF">
                  <a:alpha val="50000"/>
                </a:sys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'Būvn apj, sal.c.'!$CL$2:$CU$3</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extLst/>
            </c:multiLvlStrRef>
          </c:cat>
          <c:val>
            <c:numRef>
              <c:f>'Būvn apj, sal.c.'!$CL$22:$CU$22</c:f>
              <c:numCache>
                <c:formatCode>0.0</c:formatCode>
                <c:ptCount val="10"/>
                <c:pt idx="0">
                  <c:v>-8.4</c:v>
                </c:pt>
                <c:pt idx="1">
                  <c:v>-13.8</c:v>
                </c:pt>
                <c:pt idx="2">
                  <c:v>-13.6</c:v>
                </c:pt>
                <c:pt idx="3">
                  <c:v>-8.3000000000000007</c:v>
                </c:pt>
                <c:pt idx="4">
                  <c:v>17</c:v>
                </c:pt>
                <c:pt idx="5">
                  <c:v>15.4</c:v>
                </c:pt>
                <c:pt idx="6">
                  <c:v>16.100000000000001</c:v>
                </c:pt>
                <c:pt idx="7">
                  <c:v>25.7</c:v>
                </c:pt>
                <c:pt idx="8" formatCode="General">
                  <c:v>-3.6</c:v>
                </c:pt>
                <c:pt idx="9" formatCode="General">
                  <c:v>-1.5</c:v>
                </c:pt>
              </c:numCache>
              <c:extLst/>
            </c:numRef>
          </c:val>
          <c:extLst>
            <c:ext xmlns:c16="http://schemas.microsoft.com/office/drawing/2014/chart" uri="{C3380CC4-5D6E-409C-BE32-E72D297353CC}">
              <c16:uniqueId val="{00000000-1343-49A0-870D-E0F8A26EE430}"/>
            </c:ext>
          </c:extLst>
        </c:ser>
        <c:dLbls>
          <c:dLblPos val="outEnd"/>
          <c:showLegendKey val="0"/>
          <c:showVal val="1"/>
          <c:showCatName val="0"/>
          <c:showSerName val="0"/>
          <c:showPercent val="0"/>
          <c:showBubbleSize val="0"/>
        </c:dLbls>
        <c:gapWidth val="94"/>
        <c:overlap val="-27"/>
        <c:axId val="149140703"/>
        <c:axId val="149201663"/>
      </c:barChart>
      <c:catAx>
        <c:axId val="149140703"/>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49201663"/>
        <c:crosses val="autoZero"/>
        <c:auto val="1"/>
        <c:lblAlgn val="ctr"/>
        <c:lblOffset val="100"/>
        <c:noMultiLvlLbl val="0"/>
      </c:catAx>
      <c:valAx>
        <c:axId val="14920166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49140703"/>
        <c:crosses val="autoZero"/>
        <c:crossBetween val="between"/>
        <c:majorUnit val="1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withinLinearReversed" id="25">
  <a:schemeClr val="accent5"/>
</cs:colorStyle>
</file>

<file path=word/charts/colors24.xml><?xml version="1.0" encoding="utf-8"?>
<cs:colorStyle xmlns:cs="http://schemas.microsoft.com/office/drawing/2012/chartStyle" xmlns:a="http://schemas.openxmlformats.org/drawingml/2006/main" meth="withinLinearReversed" id="25">
  <a:schemeClr val="accent5"/>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1.png"/></Relationships>
</file>

<file path=word/drawings/drawing1.xml><?xml version="1.0" encoding="utf-8"?>
<c:userShapes xmlns:c="http://schemas.openxmlformats.org/drawingml/2006/chart">
  <cdr:relSizeAnchor xmlns:cdr="http://schemas.openxmlformats.org/drawingml/2006/chartDrawing">
    <cdr:from>
      <cdr:x>0</cdr:x>
      <cdr:y>0.71726</cdr:y>
    </cdr:from>
    <cdr:to>
      <cdr:x>0.11097</cdr:x>
      <cdr:y>0.86011</cdr:y>
    </cdr:to>
    <cdr:pic>
      <cdr:nvPicPr>
        <cdr:cNvPr id="2" name="chart">
          <a:extLst xmlns:a="http://schemas.openxmlformats.org/drawingml/2006/main">
            <a:ext uri="{FF2B5EF4-FFF2-40B4-BE49-F238E27FC236}">
              <a16:creationId xmlns:a16="http://schemas.microsoft.com/office/drawing/2014/main" id="{59AEB541-2E09-B6DA-A72E-5F5328646A1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1876508"/>
          <a:ext cx="520743" cy="373710"/>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0.54339</cdr:x>
      <cdr:y>0.2267</cdr:y>
    </cdr:from>
    <cdr:to>
      <cdr:x>1</cdr:x>
      <cdr:y>0.30515</cdr:y>
    </cdr:to>
    <cdr:sp macro="" textlink="">
      <cdr:nvSpPr>
        <cdr:cNvPr id="2" name="TextBox 1"/>
        <cdr:cNvSpPr txBox="1"/>
      </cdr:nvSpPr>
      <cdr:spPr>
        <a:xfrm xmlns:a="http://schemas.openxmlformats.org/drawingml/2006/main">
          <a:off x="2866008" y="675292"/>
          <a:ext cx="2408302" cy="23368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lv-LV" sz="900" b="1">
              <a:latin typeface="Times New Roman" panose="02020603050405020304" pitchFamily="18" charset="0"/>
              <a:cs typeface="Times New Roman" panose="02020603050405020304" pitchFamily="18" charset="0"/>
            </a:rPr>
            <a:t>Vidēji ES27</a:t>
          </a:r>
          <a:r>
            <a:rPr lang="lv-LV" sz="900" b="1" baseline="0">
              <a:latin typeface="Times New Roman" panose="02020603050405020304" pitchFamily="18" charset="0"/>
              <a:cs typeface="Times New Roman" panose="02020603050405020304" pitchFamily="18" charset="0"/>
            </a:rPr>
            <a:t> </a:t>
          </a:r>
          <a:r>
            <a:rPr lang="lv-LV" sz="900" b="1">
              <a:latin typeface="Times New Roman" panose="02020603050405020304" pitchFamily="18" charset="0"/>
              <a:cs typeface="Times New Roman" panose="02020603050405020304" pitchFamily="18" charset="0"/>
            </a:rPr>
            <a:t>- 100</a:t>
          </a:r>
        </a:p>
      </cdr:txBody>
    </cdr:sp>
  </cdr:relSizeAnchor>
</c:userShapes>
</file>

<file path=word/drawings/drawing3.xml><?xml version="1.0" encoding="utf-8"?>
<c:userShapes xmlns:c="http://schemas.openxmlformats.org/drawingml/2006/chart">
  <cdr:relSizeAnchor xmlns:cdr="http://schemas.openxmlformats.org/drawingml/2006/chartDrawing">
    <cdr:from>
      <cdr:x>0.06273</cdr:x>
      <cdr:y>0.87093</cdr:y>
    </cdr:from>
    <cdr:to>
      <cdr:x>0.2418</cdr:x>
      <cdr:y>0.91705</cdr:y>
    </cdr:to>
    <cdr:sp macro="" textlink="">
      <cdr:nvSpPr>
        <cdr:cNvPr id="2" name="Left Brace 1"/>
        <cdr:cNvSpPr/>
      </cdr:nvSpPr>
      <cdr:spPr>
        <a:xfrm xmlns:a="http://schemas.openxmlformats.org/drawingml/2006/main" rot="5400000" flipH="1">
          <a:off x="807492" y="2180777"/>
          <a:ext cx="139109" cy="1031459"/>
        </a:xfrm>
        <a:prstGeom xmlns:a="http://schemas.openxmlformats.org/drawingml/2006/main" prst="leftBrace">
          <a:avLst>
            <a:gd name="adj1" fmla="val 119900"/>
            <a:gd name="adj2" fmla="val 47557"/>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lv-LV"/>
        </a:p>
      </cdr:txBody>
    </cdr:sp>
  </cdr:relSizeAnchor>
  <cdr:relSizeAnchor xmlns:cdr="http://schemas.openxmlformats.org/drawingml/2006/chartDrawing">
    <cdr:from>
      <cdr:x>0.09837</cdr:x>
      <cdr:y>0.71004</cdr:y>
    </cdr:from>
    <cdr:to>
      <cdr:x>0.22249</cdr:x>
      <cdr:y>0.84199</cdr:y>
    </cdr:to>
    <cdr:sp macro="" textlink="">
      <cdr:nvSpPr>
        <cdr:cNvPr id="3" name="Rectangle 2"/>
        <cdr:cNvSpPr/>
      </cdr:nvSpPr>
      <cdr:spPr>
        <a:xfrm xmlns:a="http://schemas.openxmlformats.org/drawingml/2006/main">
          <a:off x="566630" y="1785471"/>
          <a:ext cx="714916" cy="331801"/>
        </a:xfrm>
        <a:prstGeom xmlns:a="http://schemas.openxmlformats.org/drawingml/2006/main" prst="rect">
          <a:avLst/>
        </a:prstGeom>
        <a:solidFill xmlns:a="http://schemas.openxmlformats.org/drawingml/2006/main">
          <a:schemeClr val="bg1"/>
        </a:solidFill>
        <a:ln xmlns:a="http://schemas.openxmlformats.org/drawingml/2006/main" w="9525">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lIns="0" tIns="0" rIns="0" bIns="0">
          <a:spAutoFit/>
        </a:bodyP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lv-LV" sz="900">
              <a:latin typeface="Times New Roman" panose="02020603050405020304" pitchFamily="18" charset="0"/>
              <a:cs typeface="Times New Roman" panose="02020603050405020304" pitchFamily="18" charset="0"/>
            </a:rPr>
            <a:t>Starptautiskā aizdevuma programma</a:t>
          </a:r>
          <a:endParaRPr lang="en-US" sz="900">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C0206B-6A7E-44A6-944B-A937BF17BB22}">
  <ds:schemaRefs>
    <ds:schemaRef ds:uri="http://schemas.openxmlformats.org/officeDocument/2006/bibliography"/>
  </ds:schemaRefs>
</ds:datastoreItem>
</file>

<file path=docMetadata/LabelInfo.xml><?xml version="1.0" encoding="utf-8"?>
<clbl:labelList xmlns:clbl="http://schemas.microsoft.com/office/2020/mipLabelMetadata">
  <clbl:label id="{1b8a7570-3ec8-4c4e-9532-5dbb2f157b31}" enabled="1" method="Standard" siteId="{fd50a0e4-c289-4266-b7ff-7d9cf5066e91}" contentBits="0" removed="0"/>
</clbl:labelList>
</file>

<file path=docProps/app.xml><?xml version="1.0" encoding="utf-8"?>
<Properties xmlns="http://schemas.openxmlformats.org/officeDocument/2006/extended-properties" xmlns:vt="http://schemas.openxmlformats.org/officeDocument/2006/docPropsVTypes">
  <Template>Normal.dotm</Template>
  <TotalTime>23</TotalTime>
  <Pages>136</Pages>
  <Words>214289</Words>
  <Characters>122146</Characters>
  <Application>Microsoft Office Word</Application>
  <DocSecurity>0</DocSecurity>
  <Lines>1017</Lines>
  <Paragraphs>671</Paragraphs>
  <ScaleCrop>false</ScaleCrop>
  <HeadingPairs>
    <vt:vector size="2" baseType="variant">
      <vt:variant>
        <vt:lpstr>Title</vt:lpstr>
      </vt:variant>
      <vt:variant>
        <vt:i4>1</vt:i4>
      </vt:variant>
    </vt:vector>
  </HeadingPairs>
  <TitlesOfParts>
    <vt:vector size="1" baseType="lpstr">
      <vt:lpstr>Likumprojekta “Par valsts budžetu 2025. gadam un budžeta ietvaru 2025., 2026. un 2027. gadam” paskaidrojumu I. nodaļa</vt:lpstr>
    </vt:vector>
  </TitlesOfParts>
  <Company>Finanšu Ministrija</Company>
  <LinksUpToDate>false</LinksUpToDate>
  <CharactersWithSpaces>335764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Likumprojekta “Par valsts budžetu 2025. gadam un budžeta ietvaru 2025., 2026. un 2027. gadam” paskaidrojumu I. nodaļa</dc:title>
  <dc:subject/>
  <dc:creator>klinta.krauze@fm.gov.lv</dc:creator>
  <cp:keywords/>
  <dc:description>klinta.krauze@fm.gov.lv; 25681938</dc:description>
  <cp:lastModifiedBy>Finanšu ministrija</cp:lastModifiedBy>
  <cp:revision>7</cp:revision>
  <cp:lastPrinted>2020-02-10T11:16:00Z</cp:lastPrinted>
  <dcterms:created xsi:type="dcterms:W3CDTF">2024-10-09T14:51:00Z</dcterms:created>
  <dcterms:modified xsi:type="dcterms:W3CDTF">2024-10-11T06:45:00Z</dcterms:modified>
  <cp:contentStatus/>
</cp:coreProperties>
</file>