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5F2AD" w14:textId="77777777" w:rsidR="006E13F3" w:rsidRDefault="006E13F3" w:rsidP="006E13F3">
      <w:pPr>
        <w:pStyle w:val="H4"/>
        <w:spacing w:after="480"/>
      </w:pPr>
      <w:bookmarkStart w:id="0" w:name="_Hlk84153943"/>
      <w:bookmarkEnd w:id="0"/>
      <w:r>
        <w:t>32. Prokuratūra</w:t>
      </w:r>
    </w:p>
    <w:p w14:paraId="3A84B1A9" w14:textId="77777777" w:rsidR="00A61AE5" w:rsidRDefault="00A61AE5" w:rsidP="00B5174D">
      <w:pPr>
        <w:spacing w:after="240"/>
        <w:ind w:firstLine="0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>Prokuratūras darbības joma</w:t>
      </w:r>
      <w:r>
        <w:rPr>
          <w:b/>
          <w:bCs/>
          <w:szCs w:val="24"/>
        </w:rPr>
        <w:t>:</w:t>
      </w:r>
    </w:p>
    <w:p w14:paraId="0FA061BC" w14:textId="77777777" w:rsidR="00A61AE5" w:rsidRDefault="00A61AE5" w:rsidP="00A61AE5">
      <w:pPr>
        <w:spacing w:before="130" w:after="0" w:line="240" w:lineRule="atLeast"/>
        <w:ind w:firstLine="0"/>
        <w:jc w:val="center"/>
        <w:rPr>
          <w:rFonts w:ascii="Cambria" w:hAnsi="Cambria"/>
          <w:bCs/>
          <w:sz w:val="19"/>
          <w:szCs w:val="19"/>
        </w:rPr>
      </w:pPr>
      <w:r>
        <w:rPr>
          <w:b/>
          <w:noProof/>
          <w:lang w:eastAsia="lv-LV"/>
        </w:rPr>
        <w:drawing>
          <wp:inline distT="0" distB="0" distL="0" distR="0" wp14:anchorId="0586C25C" wp14:editId="1DDAF181">
            <wp:extent cx="4905375" cy="961970"/>
            <wp:effectExtent l="0" t="76200" r="0" b="10541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6D22BC3" w14:textId="77777777" w:rsidR="00A61AE5" w:rsidRDefault="00A61AE5" w:rsidP="00B5174D">
      <w:pPr>
        <w:spacing w:before="480"/>
        <w:ind w:firstLine="0"/>
        <w:rPr>
          <w:b/>
          <w:bCs/>
          <w:szCs w:val="24"/>
          <w:lang w:eastAsia="lv-LV"/>
        </w:rPr>
      </w:pPr>
      <w:r>
        <w:rPr>
          <w:b/>
          <w:bCs/>
          <w:szCs w:val="24"/>
          <w:u w:val="single"/>
          <w:lang w:eastAsia="lv-LV"/>
        </w:rPr>
        <w:t>Prokuratūras galvenie pasākumi 2025. gadā</w:t>
      </w:r>
      <w:r>
        <w:rPr>
          <w:b/>
          <w:bCs/>
          <w:szCs w:val="24"/>
          <w:lang w:eastAsia="lv-LV"/>
        </w:rPr>
        <w:t>:</w:t>
      </w:r>
    </w:p>
    <w:p w14:paraId="17E58FBD" w14:textId="77777777" w:rsidR="00A61AE5" w:rsidRDefault="00A61AE5" w:rsidP="00110ED0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izmeklēšanas un operatīvās darbības uzraudzība;</w:t>
      </w:r>
    </w:p>
    <w:p w14:paraId="5CC80C77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 xml:space="preserve">izmeklēšanas organizēšana, vadīšana un veikšana; </w:t>
      </w:r>
    </w:p>
    <w:p w14:paraId="01932406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kriminālvajāšanas uzsākšana un veikšana;</w:t>
      </w:r>
    </w:p>
    <w:p w14:paraId="04D9B826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sodu izpildes uzraudzība;</w:t>
      </w:r>
    </w:p>
    <w:p w14:paraId="2F7A459A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personu un valsts tiesību un likumīgo interešu aizsardzība likumā noteiktajā kārtībā;</w:t>
      </w:r>
    </w:p>
    <w:p w14:paraId="00CCE1F9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prasības pieteikumu vai iesniegumu tiesā iesniegšana likumā noteiktajos gadījumos;</w:t>
      </w:r>
    </w:p>
    <w:p w14:paraId="4F05CA69" w14:textId="77777777" w:rsidR="00A61AE5" w:rsidRDefault="00A61AE5" w:rsidP="00B5174D">
      <w:pPr>
        <w:numPr>
          <w:ilvl w:val="0"/>
          <w:numId w:val="1"/>
        </w:numPr>
        <w:tabs>
          <w:tab w:val="left" w:pos="993"/>
        </w:tabs>
        <w:spacing w:after="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piedalīšanās lietu izskatīšanā tiesā likumā noteiktajos gadījumos.</w:t>
      </w:r>
    </w:p>
    <w:p w14:paraId="2C330224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Prokuratūras kopējo </w:t>
      </w:r>
      <w:r>
        <w:rPr>
          <w:b/>
          <w:u w:val="single"/>
        </w:rPr>
        <w:t>izdevumu</w:t>
      </w:r>
      <w:r>
        <w:rPr>
          <w:b/>
          <w:u w:val="single"/>
          <w:lang w:eastAsia="lv-LV"/>
        </w:rPr>
        <w:t xml:space="preserve"> izmaiņas no 2023. līdz 2027. gadam </w:t>
      </w:r>
    </w:p>
    <w:p w14:paraId="3BE5DA32" w14:textId="77777777" w:rsidR="00A61AE5" w:rsidRPr="005B72C2" w:rsidRDefault="00A61AE5" w:rsidP="00A61AE5">
      <w:pPr>
        <w:pStyle w:val="Tabuluvirsraksti"/>
        <w:spacing w:after="0"/>
        <w:jc w:val="right"/>
        <w:rPr>
          <w:b/>
          <w:u w:val="single"/>
          <w:lang w:eastAsia="lv-LV"/>
        </w:rPr>
      </w:pPr>
      <w:r w:rsidRPr="00945760">
        <w:rPr>
          <w:noProof/>
          <w:sz w:val="20"/>
          <w:lang w:eastAsia="lv-LV"/>
        </w:rPr>
        <w:drawing>
          <wp:anchor distT="0" distB="0" distL="114300" distR="114300" simplePos="0" relativeHeight="251659264" behindDoc="0" locked="0" layoutInCell="1" allowOverlap="1" wp14:anchorId="736FB089" wp14:editId="6D01F0F3">
            <wp:simplePos x="0" y="0"/>
            <wp:positionH relativeFrom="margin">
              <wp:posOffset>43816</wp:posOffset>
            </wp:positionH>
            <wp:positionV relativeFrom="paragraph">
              <wp:posOffset>133350</wp:posOffset>
            </wp:positionV>
            <wp:extent cx="5715000" cy="3434715"/>
            <wp:effectExtent l="0" t="0" r="0" b="13335"/>
            <wp:wrapNone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i/>
          <w:sz w:val="18"/>
          <w:szCs w:val="18"/>
          <w:lang w:eastAsia="lv-LV"/>
        </w:rPr>
        <w:t>Euro</w:t>
      </w:r>
      <w:proofErr w:type="spellEnd"/>
    </w:p>
    <w:p w14:paraId="7BF09610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57B9E536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119B3D22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0B850624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09493CD1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59AED812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23A40295" w14:textId="77777777" w:rsidR="00A61AE5" w:rsidRDefault="00A61AE5" w:rsidP="00A61AE5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3B9CACA9" w14:textId="77777777" w:rsidR="00A61AE5" w:rsidRDefault="00A61AE5" w:rsidP="00A61AE5">
      <w:pPr>
        <w:spacing w:before="240" w:after="240"/>
        <w:ind w:firstLine="0"/>
        <w:rPr>
          <w:b/>
        </w:rPr>
      </w:pPr>
    </w:p>
    <w:p w14:paraId="049894A2" w14:textId="77777777" w:rsidR="00A61AE5" w:rsidRPr="00BF5AFF" w:rsidRDefault="00A61AE5" w:rsidP="00DA1A3C">
      <w:pPr>
        <w:spacing w:before="480" w:after="240"/>
        <w:ind w:firstLine="0"/>
        <w:jc w:val="center"/>
        <w:rPr>
          <w:b/>
        </w:rPr>
      </w:pPr>
      <w:r>
        <w:rPr>
          <w:b/>
        </w:rPr>
        <w:lastRenderedPageBreak/>
        <w:t>Vidējais amata vietu skaits no 2023. līdz 2027.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A61AE5" w14:paraId="58A753FE" w14:textId="77777777" w:rsidTr="00A61AE5">
        <w:trPr>
          <w:trHeight w:val="425"/>
          <w:tblHeader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B808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2F90E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 gads</w:t>
            </w:r>
            <w:r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94229" w14:textId="78B1492E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2024. gada plāns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C01F4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2025. gada </w:t>
            </w:r>
            <w:r>
              <w:rPr>
                <w:sz w:val="18"/>
                <w:lang w:eastAsia="lv-LV"/>
              </w:rPr>
              <w:t>projekts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3A637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2026.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C44C7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A61AE5" w14:paraId="496A20A7" w14:textId="77777777" w:rsidTr="00A61AE5">
        <w:trPr>
          <w:trHeight w:val="183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64E1EFA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071F49" w14:textId="77777777" w:rsidR="00A61AE5" w:rsidRPr="0033692F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 w:rsidRPr="0033692F">
              <w:rPr>
                <w:sz w:val="18"/>
                <w:lang w:eastAsia="lv-LV"/>
              </w:rPr>
              <w:t>84</w:t>
            </w:r>
            <w:r>
              <w:rPr>
                <w:sz w:val="18"/>
                <w:lang w:eastAsia="lv-LV"/>
              </w:rPr>
              <w:t>9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247EB6B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1F2EAD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4E95A4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CF728A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  <w:tr w:rsidR="00A61AE5" w14:paraId="7840686D" w14:textId="77777777" w:rsidTr="00A61AE5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95A4" w14:textId="77777777" w:rsidR="00A61AE5" w:rsidRPr="0033692F" w:rsidRDefault="00A61AE5" w:rsidP="00433568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33692F">
              <w:rPr>
                <w:i/>
                <w:sz w:val="18"/>
                <w:lang w:eastAsia="lv-LV"/>
              </w:rPr>
              <w:t>Tajā skaitā:</w:t>
            </w:r>
          </w:p>
        </w:tc>
      </w:tr>
      <w:tr w:rsidR="00A61AE5" w14:paraId="5D0AA765" w14:textId="77777777" w:rsidTr="00A61AE5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3121C" w14:textId="77777777" w:rsidR="00A61AE5" w:rsidRPr="0033692F" w:rsidRDefault="00A61AE5" w:rsidP="00433568">
            <w:pPr>
              <w:spacing w:after="0"/>
              <w:ind w:firstLine="313"/>
              <w:jc w:val="left"/>
              <w:rPr>
                <w:sz w:val="18"/>
                <w:lang w:eastAsia="lv-LV"/>
              </w:rPr>
            </w:pPr>
            <w:r w:rsidRPr="0033692F">
              <w:rPr>
                <w:i/>
                <w:sz w:val="18"/>
                <w:lang w:eastAsia="lv-LV"/>
              </w:rPr>
              <w:t>Valsts pamatfunkciju īstenošana</w:t>
            </w:r>
          </w:p>
        </w:tc>
      </w:tr>
      <w:tr w:rsidR="00A61AE5" w14:paraId="496EF62E" w14:textId="77777777" w:rsidTr="00A61AE5">
        <w:trPr>
          <w:trHeight w:val="92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CC4A4C1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EF182DE" w14:textId="77777777" w:rsidR="00A61AE5" w:rsidRPr="0033692F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 w:rsidRPr="0033692F">
              <w:rPr>
                <w:sz w:val="18"/>
                <w:lang w:eastAsia="lv-LV"/>
              </w:rPr>
              <w:t>84</w:t>
            </w:r>
            <w:r>
              <w:rPr>
                <w:sz w:val="18"/>
                <w:lang w:eastAsia="lv-LV"/>
              </w:rPr>
              <w:t>9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23630C7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3FA099F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A5015F8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D679293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</w:tbl>
    <w:p w14:paraId="40E72850" w14:textId="77777777" w:rsidR="00A61AE5" w:rsidRDefault="00A61AE5" w:rsidP="00DA1A3C">
      <w:pPr>
        <w:spacing w:before="48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Darbības </w:t>
      </w:r>
      <w:r>
        <w:rPr>
          <w:b/>
          <w:u w:val="single"/>
        </w:rPr>
        <w:t>virziena</w:t>
      </w:r>
      <w:r>
        <w:rPr>
          <w:b/>
          <w:u w:val="single"/>
          <w:lang w:eastAsia="lv-LV"/>
        </w:rPr>
        <w:t xml:space="preserve"> un resursu vadības karte</w:t>
      </w:r>
    </w:p>
    <w:p w14:paraId="7F026A96" w14:textId="77777777" w:rsidR="00A61AE5" w:rsidRDefault="00A61AE5" w:rsidP="003E7856">
      <w:pPr>
        <w:numPr>
          <w:ilvl w:val="0"/>
          <w:numId w:val="2"/>
        </w:numPr>
        <w:tabs>
          <w:tab w:val="left" w:pos="284"/>
        </w:tabs>
        <w:ind w:left="0" w:firstLine="0"/>
        <w:rPr>
          <w:lang w:eastAsia="lv-LV"/>
        </w:rPr>
      </w:pPr>
      <w:r>
        <w:rPr>
          <w:b/>
          <w:lang w:eastAsia="lv-LV"/>
        </w:rPr>
        <w:t xml:space="preserve">Likumības ievērošanas uzraudzība Prokuratūras likumā noteiktās kompetences ietvaros un reaģēšana uz likuma pārkāpumu un ar to saistītās lietas izlemšanas nodrošināšana likumā noteiktajā kārtībā </w:t>
      </w:r>
    </w:p>
    <w:tbl>
      <w:tblPr>
        <w:tblStyle w:val="TableGrid4"/>
        <w:tblW w:w="90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A61AE5" w14:paraId="53032256" w14:textId="77777777" w:rsidTr="00433568">
        <w:trPr>
          <w:trHeight w:val="219"/>
        </w:trPr>
        <w:tc>
          <w:tcPr>
            <w:tcW w:w="9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C0016B" w14:textId="77777777" w:rsidR="00A61AE5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 mērķis: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nodrošināt pastāvīgu likumības ievērošanas uzraudzību un reaģēšanu uz likuma pārkāpumu likumā noteiktajā kārtībā</w:t>
            </w:r>
            <w:r>
              <w:rPr>
                <w:sz w:val="18"/>
                <w:szCs w:val="18"/>
                <w:lang w:eastAsia="lv-LV"/>
              </w:rPr>
              <w:t xml:space="preserve"> /</w:t>
            </w:r>
            <w:r>
              <w:rPr>
                <w:i/>
                <w:sz w:val="18"/>
                <w:szCs w:val="18"/>
                <w:lang w:eastAsia="lv-LV"/>
              </w:rPr>
              <w:t xml:space="preserve"> Prokuratūras likums</w:t>
            </w:r>
          </w:p>
        </w:tc>
      </w:tr>
    </w:tbl>
    <w:p w14:paraId="3A492D7C" w14:textId="77777777" w:rsidR="00A61AE5" w:rsidRPr="00F67226" w:rsidRDefault="00A61AE5" w:rsidP="00A61AE5">
      <w:pPr>
        <w:rPr>
          <w:sz w:val="2"/>
          <w:szCs w:val="2"/>
        </w:rPr>
      </w:pPr>
    </w:p>
    <w:tbl>
      <w:tblPr>
        <w:tblStyle w:val="TableGrid4"/>
        <w:tblW w:w="5000" w:type="pct"/>
        <w:tblLook w:val="04A0" w:firstRow="1" w:lastRow="0" w:firstColumn="1" w:lastColumn="0" w:noHBand="0" w:noVBand="1"/>
      </w:tblPr>
      <w:tblGrid>
        <w:gridCol w:w="2833"/>
        <w:gridCol w:w="1243"/>
        <w:gridCol w:w="1243"/>
        <w:gridCol w:w="1243"/>
        <w:gridCol w:w="1241"/>
        <w:gridCol w:w="1258"/>
      </w:tblGrid>
      <w:tr w:rsidR="00A61AE5" w:rsidRPr="00433E38" w14:paraId="34703F3B" w14:textId="77777777" w:rsidTr="00A61AE5">
        <w:trPr>
          <w:trHeight w:val="28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BA2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DAAB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2023. gads</w:t>
            </w:r>
            <w:r w:rsidRPr="00433E38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C3A3" w14:textId="4C6CEB64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2024. gada plāns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253F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2025. gada projekts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C46C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2026. gada prognoze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113E" w14:textId="77777777" w:rsidR="00A61AE5" w:rsidRPr="00433E38" w:rsidRDefault="00A61AE5" w:rsidP="00433568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2027. gada prognoze</w:t>
            </w:r>
          </w:p>
        </w:tc>
      </w:tr>
      <w:tr w:rsidR="00A61AE5" w:rsidRPr="00433E38" w14:paraId="34E8FE5B" w14:textId="77777777" w:rsidTr="00A61AE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368DC1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Ieguldījumi</w:t>
            </w:r>
          </w:p>
        </w:tc>
      </w:tr>
      <w:tr w:rsidR="00A61AE5" w:rsidRPr="00433E38" w14:paraId="37A0AD5E" w14:textId="77777777" w:rsidTr="00A61AE5">
        <w:trPr>
          <w:trHeight w:val="142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A958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Izdevumi kopā</w:t>
            </w:r>
            <w:r w:rsidRPr="00433E38">
              <w:rPr>
                <w:sz w:val="18"/>
                <w:szCs w:val="18"/>
                <w:lang w:eastAsia="lv-LV"/>
              </w:rPr>
              <w:t xml:space="preserve">, </w:t>
            </w:r>
            <w:proofErr w:type="spellStart"/>
            <w:r w:rsidRPr="00433E38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433E38">
              <w:rPr>
                <w:i/>
                <w:sz w:val="18"/>
                <w:szCs w:val="18"/>
                <w:lang w:eastAsia="lv-LV"/>
              </w:rPr>
              <w:t>,</w:t>
            </w:r>
            <w:r w:rsidRPr="00433E38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6ED78F53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 xml:space="preserve">Vidējais amata vietu skaits kopā, </w:t>
            </w:r>
            <w:r w:rsidRPr="00433E38">
              <w:rPr>
                <w:bCs/>
                <w:sz w:val="18"/>
                <w:szCs w:val="18"/>
                <w:lang w:eastAsia="lv-LV"/>
              </w:rPr>
              <w:t>t.sk.: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54BE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</w:rPr>
              <w:t>44 583 814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E4F4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</w:rPr>
              <w:t>50 415 671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15A4" w14:textId="77777777" w:rsidR="00A61AE5" w:rsidRPr="00433E38" w:rsidRDefault="00A61AE5" w:rsidP="00433568">
            <w:pPr>
              <w:pStyle w:val="tabteksts"/>
              <w:jc w:val="right"/>
              <w:rPr>
                <w:color w:val="FF0000"/>
                <w:szCs w:val="18"/>
                <w:lang w:eastAsia="lv-LV"/>
              </w:rPr>
            </w:pPr>
            <w:r w:rsidRPr="00433E38">
              <w:rPr>
                <w:b/>
                <w:szCs w:val="18"/>
              </w:rPr>
              <w:t>53 574 500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2CD7" w14:textId="77777777" w:rsidR="00A61AE5" w:rsidRPr="00433E38" w:rsidRDefault="00A61AE5" w:rsidP="00433568">
            <w:pPr>
              <w:pStyle w:val="tabteksts"/>
              <w:jc w:val="right"/>
              <w:rPr>
                <w:color w:val="FF0000"/>
                <w:szCs w:val="18"/>
                <w:lang w:eastAsia="lv-LV"/>
              </w:rPr>
            </w:pPr>
            <w:r w:rsidRPr="00433E38">
              <w:rPr>
                <w:b/>
                <w:szCs w:val="18"/>
              </w:rPr>
              <w:t>57 799 999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C1C" w14:textId="77777777" w:rsidR="00A61AE5" w:rsidRPr="00433E38" w:rsidRDefault="00A61AE5" w:rsidP="00433568">
            <w:pPr>
              <w:pStyle w:val="tabteksts"/>
              <w:jc w:val="right"/>
              <w:rPr>
                <w:color w:val="FF0000"/>
                <w:szCs w:val="18"/>
                <w:lang w:eastAsia="lv-LV"/>
              </w:rPr>
            </w:pPr>
            <w:r w:rsidRPr="00433E38">
              <w:rPr>
                <w:b/>
                <w:szCs w:val="18"/>
              </w:rPr>
              <w:t>52 537 919</w:t>
            </w:r>
          </w:p>
        </w:tc>
      </w:tr>
      <w:tr w:rsidR="00A61AE5" w:rsidRPr="00433E38" w14:paraId="05F915E4" w14:textId="77777777" w:rsidTr="00A61AE5">
        <w:trPr>
          <w:trHeight w:val="42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B7E8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0111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849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D572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624F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601D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vertAlign w:val="superscript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3C8E" w14:textId="77777777" w:rsidR="00A61AE5" w:rsidRPr="00433E38" w:rsidRDefault="00A61AE5" w:rsidP="00433568">
            <w:pPr>
              <w:spacing w:after="0"/>
              <w:ind w:firstLine="5"/>
              <w:jc w:val="righ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908</w:t>
            </w:r>
          </w:p>
        </w:tc>
      </w:tr>
      <w:tr w:rsidR="00A61AE5" w:rsidRPr="00433E38" w14:paraId="2445CD21" w14:textId="77777777" w:rsidTr="00A61AE5">
        <w:trPr>
          <w:trHeight w:val="93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7A82" w14:textId="77777777" w:rsidR="00A61AE5" w:rsidRPr="00433E38" w:rsidRDefault="00A61AE5" w:rsidP="00974CD4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01.00.00 Prokuratūras iestāžu uzturēšana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AD49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44 571 920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9E1E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bCs/>
                <w:sz w:val="18"/>
                <w:szCs w:val="18"/>
              </w:rPr>
              <w:t>50 155 012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9B26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53 199 188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C7C2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57 658 744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5E35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52 537 919</w:t>
            </w:r>
          </w:p>
        </w:tc>
      </w:tr>
      <w:tr w:rsidR="00A61AE5" w:rsidRPr="00433E38" w14:paraId="0FAF214A" w14:textId="77777777" w:rsidTr="00A61AE5">
        <w:trPr>
          <w:trHeight w:val="126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3578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0534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849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4FBD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FA2C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5523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C974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A61AE5" w:rsidRPr="00433E38" w14:paraId="61F73C85" w14:textId="77777777" w:rsidTr="00A61AE5">
        <w:trPr>
          <w:trHeight w:val="435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C58F" w14:textId="3435D684" w:rsidR="00A61AE5" w:rsidRPr="00433E38" w:rsidRDefault="00A61AE5" w:rsidP="00433568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70.10.00 Citu ES politiku instrumentu projektu un pasākumu īstenošana (2014</w:t>
            </w:r>
            <w:r w:rsidR="00110ED0">
              <w:rPr>
                <w:sz w:val="18"/>
                <w:szCs w:val="18"/>
                <w:lang w:eastAsia="lv-LV"/>
              </w:rPr>
              <w:t xml:space="preserve"> </w:t>
            </w:r>
            <w:r w:rsidRPr="00433E38">
              <w:rPr>
                <w:sz w:val="18"/>
                <w:szCs w:val="18"/>
                <w:lang w:eastAsia="lv-LV"/>
              </w:rPr>
              <w:t>-</w:t>
            </w:r>
            <w:r w:rsidR="00110ED0">
              <w:rPr>
                <w:sz w:val="18"/>
                <w:szCs w:val="18"/>
                <w:lang w:eastAsia="lv-LV"/>
              </w:rPr>
              <w:t xml:space="preserve"> </w:t>
            </w:r>
            <w:r w:rsidRPr="00433E38">
              <w:rPr>
                <w:sz w:val="18"/>
                <w:szCs w:val="18"/>
                <w:lang w:eastAsia="lv-LV"/>
              </w:rPr>
              <w:t>2020)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E933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8 578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12BB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7B88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E3F3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CF6B" w14:textId="77777777" w:rsidR="00A61AE5" w:rsidRPr="00433E38" w:rsidRDefault="00A61AE5" w:rsidP="00433568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:rsidRPr="00433E38" w14:paraId="00B4C5AA" w14:textId="77777777" w:rsidTr="00A61AE5">
        <w:trPr>
          <w:trHeight w:val="151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B5DF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1A02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8B14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5BA1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EF68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19F0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:rsidRPr="00433E38" w14:paraId="33F3DBF1" w14:textId="77777777" w:rsidTr="00A61AE5">
        <w:trPr>
          <w:trHeight w:val="151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FB279" w14:textId="663C8AC0" w:rsidR="00A61AE5" w:rsidRPr="00433E38" w:rsidRDefault="00A61AE5" w:rsidP="00974CD4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70.21.00 Atmaksas valsts pamatbudžetā par Eiropas Savienības politiku instrumentu finansējumu (2014</w:t>
            </w:r>
            <w:r w:rsidR="00974CD4">
              <w:rPr>
                <w:sz w:val="18"/>
                <w:szCs w:val="18"/>
                <w:lang w:eastAsia="lv-LV"/>
              </w:rPr>
              <w:t xml:space="preserve"> </w:t>
            </w:r>
            <w:r w:rsidRPr="00433E38">
              <w:rPr>
                <w:sz w:val="18"/>
                <w:szCs w:val="18"/>
                <w:lang w:eastAsia="lv-LV"/>
              </w:rPr>
              <w:t>-</w:t>
            </w:r>
            <w:r w:rsidR="00110ED0">
              <w:rPr>
                <w:sz w:val="18"/>
                <w:szCs w:val="18"/>
                <w:lang w:eastAsia="lv-LV"/>
              </w:rPr>
              <w:t xml:space="preserve"> </w:t>
            </w:r>
            <w:r w:rsidRPr="00433E38">
              <w:rPr>
                <w:sz w:val="18"/>
                <w:szCs w:val="18"/>
                <w:lang w:eastAsia="lv-LV"/>
              </w:rPr>
              <w:t>2020)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9C7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3 316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50A7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DF16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B01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A14D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:rsidRPr="00433E38" w14:paraId="0BA8F66A" w14:textId="77777777" w:rsidTr="00A61AE5">
        <w:trPr>
          <w:trHeight w:val="151"/>
        </w:trPr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85A4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BD4A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27C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999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B885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9C90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:rsidRPr="00433E38" w14:paraId="742C2748" w14:textId="77777777" w:rsidTr="00A61AE5">
        <w:trPr>
          <w:trHeight w:val="315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F987" w14:textId="77777777" w:rsidR="00A61AE5" w:rsidRPr="00433E38" w:rsidRDefault="00A61AE5" w:rsidP="00974CD4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74.06.00 Atveseļošanas un noturības mehānisma (ANM) projekti un pasākumi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92A7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C5A4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260 659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0E87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375 312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4BD" w14:textId="77777777" w:rsidR="00A61AE5" w:rsidRPr="00433E38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141 255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3C62" w14:textId="77777777" w:rsidR="00A61AE5" w:rsidRPr="00433E38" w:rsidRDefault="00A61AE5" w:rsidP="00433568">
            <w:pPr>
              <w:spacing w:after="0"/>
              <w:ind w:firstLine="5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</w:rPr>
              <w:t>-</w:t>
            </w:r>
          </w:p>
        </w:tc>
      </w:tr>
      <w:tr w:rsidR="00A61AE5" w:rsidRPr="00433E38" w14:paraId="54857BDB" w14:textId="77777777" w:rsidTr="00A61AE5">
        <w:trPr>
          <w:trHeight w:val="291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F163" w14:textId="77777777" w:rsidR="00A61AE5" w:rsidRPr="00433E38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4319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F1A6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1F6F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ACA9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7FDF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:rsidRPr="00433E38" w14:paraId="715579D8" w14:textId="77777777" w:rsidTr="00A61AE5">
        <w:trPr>
          <w:trHeight w:val="1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ED6557" w14:textId="77777777" w:rsidR="00A61AE5" w:rsidRPr="000E1E0F" w:rsidRDefault="00A61AE5" w:rsidP="00433568">
            <w:pPr>
              <w:spacing w:after="0"/>
              <w:ind w:firstLine="0"/>
              <w:jc w:val="center"/>
              <w:rPr>
                <w:b/>
                <w:bCs/>
                <w:i/>
                <w:sz w:val="18"/>
                <w:szCs w:val="18"/>
                <w:lang w:eastAsia="lv-LV"/>
              </w:rPr>
            </w:pPr>
            <w:r w:rsidRPr="000E1E0F">
              <w:rPr>
                <w:b/>
                <w:bCs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A61AE5" w:rsidRPr="00433E38" w14:paraId="420ED755" w14:textId="77777777" w:rsidTr="00A61AE5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38FE" w14:textId="77777777" w:rsidR="00A61AE5" w:rsidRPr="00433E38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Uzsākti kriminālprocesi, kuros prokurori veic uzraudzību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6D46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32 403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D9CB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33 000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F89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31 000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0CDB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D81F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29 000</w:t>
            </w:r>
          </w:p>
        </w:tc>
      </w:tr>
      <w:tr w:rsidR="00A61AE5" w:rsidRPr="00433E38" w14:paraId="487AD0E2" w14:textId="77777777" w:rsidTr="00A61AE5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A8F3" w14:textId="77777777" w:rsidR="00A61AE5" w:rsidRPr="00433E38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60A5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13 865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8923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14 700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CC78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15 300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FBF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15 000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0873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14 500</w:t>
            </w:r>
          </w:p>
        </w:tc>
      </w:tr>
      <w:tr w:rsidR="00A61AE5" w:rsidRPr="00433E38" w14:paraId="51BC7A46" w14:textId="77777777" w:rsidTr="00A61AE5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548" w14:textId="77777777" w:rsidR="00A61AE5" w:rsidRPr="00433E38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Prokuratūrā pabeigtie kriminālprocesi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6334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5 424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96A3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5 700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AF67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4 200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C121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4 000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077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4 100</w:t>
            </w:r>
          </w:p>
        </w:tc>
      </w:tr>
      <w:tr w:rsidR="00A61AE5" w:rsidRPr="00433E38" w14:paraId="4EF856B2" w14:textId="77777777" w:rsidTr="00A61AE5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AF7D" w14:textId="77777777" w:rsidR="00A61AE5" w:rsidRPr="00433E38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Tiesai nodotās krimināllietas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2301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4 462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B9F9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72C8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5 000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16BB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4 700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E6FD" w14:textId="77777777" w:rsidR="00A61AE5" w:rsidRPr="00433E38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4 400</w:t>
            </w:r>
          </w:p>
        </w:tc>
      </w:tr>
    </w:tbl>
    <w:p w14:paraId="2822BBE3" w14:textId="77777777" w:rsidR="00A61AE5" w:rsidRPr="00AF462A" w:rsidRDefault="00A61AE5" w:rsidP="00110ED0">
      <w:pPr>
        <w:spacing w:before="480" w:after="0"/>
        <w:ind w:firstLine="0"/>
        <w:jc w:val="center"/>
        <w:rPr>
          <w:rFonts w:eastAsia="Calibri"/>
          <w:b/>
          <w:bCs/>
          <w:u w:val="single"/>
        </w:rPr>
      </w:pPr>
      <w:r w:rsidRPr="00AF462A">
        <w:rPr>
          <w:rFonts w:eastAsia="Calibri"/>
          <w:b/>
          <w:bCs/>
          <w:u w:val="single"/>
        </w:rPr>
        <w:t>Prioritārajiem pasākumiem</w:t>
      </w:r>
    </w:p>
    <w:p w14:paraId="578EC968" w14:textId="77777777" w:rsidR="00A61AE5" w:rsidRDefault="00A61AE5" w:rsidP="00457329">
      <w:pPr>
        <w:spacing w:after="240"/>
        <w:ind w:firstLine="0"/>
        <w:jc w:val="center"/>
        <w:rPr>
          <w:b/>
          <w:bCs/>
          <w:u w:val="single"/>
        </w:rPr>
      </w:pPr>
      <w:r w:rsidRPr="00AF462A">
        <w:rPr>
          <w:rFonts w:eastAsia="Calibri"/>
          <w:b/>
          <w:bCs/>
          <w:u w:val="single"/>
        </w:rPr>
        <w:t>papildu piešķirtais finansējums no 202</w:t>
      </w:r>
      <w:r>
        <w:rPr>
          <w:rFonts w:eastAsia="Calibri"/>
          <w:b/>
          <w:bCs/>
          <w:u w:val="single"/>
        </w:rPr>
        <w:t>5</w:t>
      </w:r>
      <w:r w:rsidRPr="00AF462A">
        <w:rPr>
          <w:rFonts w:eastAsia="Calibri"/>
          <w:b/>
          <w:bCs/>
          <w:u w:val="single"/>
        </w:rPr>
        <w:t>. līdz 202</w:t>
      </w:r>
      <w:r>
        <w:rPr>
          <w:rFonts w:eastAsia="Calibri"/>
          <w:b/>
          <w:bCs/>
          <w:u w:val="single"/>
        </w:rPr>
        <w:t>7</w:t>
      </w:r>
      <w:r w:rsidRPr="00AF462A">
        <w:rPr>
          <w:rFonts w:eastAsia="Calibri"/>
          <w:b/>
          <w:bCs/>
          <w:u w:val="single"/>
        </w:rPr>
        <w:t xml:space="preserve">. </w:t>
      </w:r>
      <w:r w:rsidRPr="00AF462A">
        <w:rPr>
          <w:b/>
          <w:bCs/>
          <w:u w:val="single"/>
        </w:rPr>
        <w:t>gadam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" w:type="dxa"/>
          <w:left w:w="28" w:type="dxa"/>
          <w:bottom w:w="6" w:type="dxa"/>
          <w:right w:w="28" w:type="dxa"/>
        </w:tblCellMar>
        <w:tblLook w:val="04A0" w:firstRow="1" w:lastRow="0" w:firstColumn="1" w:lastColumn="0" w:noHBand="0" w:noVBand="1"/>
      </w:tblPr>
      <w:tblGrid>
        <w:gridCol w:w="621"/>
        <w:gridCol w:w="4057"/>
        <w:gridCol w:w="984"/>
        <w:gridCol w:w="69"/>
        <w:gridCol w:w="1145"/>
        <w:gridCol w:w="62"/>
        <w:gridCol w:w="1095"/>
        <w:gridCol w:w="1028"/>
      </w:tblGrid>
      <w:tr w:rsidR="00A61AE5" w14:paraId="0939C4EF" w14:textId="77777777" w:rsidTr="00A61AE5">
        <w:trPr>
          <w:cantSplit/>
          <w:trHeight w:val="166"/>
          <w:tblHeader/>
        </w:trPr>
        <w:tc>
          <w:tcPr>
            <w:tcW w:w="343" w:type="pct"/>
            <w:vMerge w:val="restart"/>
            <w:vAlign w:val="center"/>
            <w:hideMark/>
          </w:tcPr>
          <w:p w14:paraId="1BD181BC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Nr.</w:t>
            </w:r>
            <w:r>
              <w:rPr>
                <w:rFonts w:eastAsia="Calibri"/>
                <w:sz w:val="18"/>
                <w:szCs w:val="18"/>
                <w:lang w:eastAsia="lv-LV"/>
              </w:rPr>
              <w:br/>
              <w:t>p.k.</w:t>
            </w:r>
          </w:p>
        </w:tc>
        <w:tc>
          <w:tcPr>
            <w:tcW w:w="2239" w:type="pct"/>
            <w:vMerge w:val="restart"/>
            <w:hideMark/>
          </w:tcPr>
          <w:p w14:paraId="4F6AD2CD" w14:textId="77777777" w:rsidR="00A61AE5" w:rsidRDefault="00A61AE5" w:rsidP="00433568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Pasākuma nosaukums</w:t>
            </w:r>
          </w:p>
          <w:p w14:paraId="5025E394" w14:textId="77777777" w:rsidR="00A61AE5" w:rsidRDefault="00A61AE5" w:rsidP="00433568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Darbības apraksts</w:t>
            </w:r>
            <w:r>
              <w:rPr>
                <w:rFonts w:eastAsia="Calibri"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rFonts w:eastAsia="Calibri"/>
                <w:b/>
                <w:i/>
                <w:sz w:val="18"/>
                <w:szCs w:val="18"/>
                <w:lang w:eastAsia="lv-LV"/>
              </w:rPr>
              <w:t>ar norādi uz līdzekļu izlietojumu</w:t>
            </w:r>
            <w:r>
              <w:rPr>
                <w:rFonts w:eastAsia="Calibri"/>
                <w:b/>
                <w:sz w:val="18"/>
                <w:szCs w:val="18"/>
                <w:lang w:eastAsia="lv-LV"/>
              </w:rPr>
              <w:t xml:space="preserve"> </w:t>
            </w:r>
          </w:p>
          <w:p w14:paraId="58988E30" w14:textId="77777777" w:rsidR="00A61AE5" w:rsidRDefault="00A61AE5" w:rsidP="00433568">
            <w:pPr>
              <w:spacing w:after="0"/>
              <w:ind w:left="340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Darbības rezultāts</w:t>
            </w:r>
          </w:p>
          <w:p w14:paraId="6F93B714" w14:textId="77777777" w:rsidR="00A61AE5" w:rsidRDefault="00A61AE5" w:rsidP="00433568">
            <w:pPr>
              <w:spacing w:after="0"/>
              <w:ind w:left="510" w:firstLine="0"/>
              <w:jc w:val="left"/>
              <w:rPr>
                <w:rFonts w:eastAsia="Calibri"/>
                <w:i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sz w:val="18"/>
                <w:szCs w:val="18"/>
                <w:lang w:eastAsia="lv-LV"/>
              </w:rPr>
              <w:t>Rezultatīvais rādītājs</w:t>
            </w:r>
          </w:p>
          <w:p w14:paraId="10E36CD6" w14:textId="77777777" w:rsidR="00A61AE5" w:rsidRDefault="00A61AE5" w:rsidP="00433568">
            <w:pPr>
              <w:spacing w:after="0"/>
              <w:ind w:right="-75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Programmas (apakšprogrammas) kods un nosaukums</w:t>
            </w:r>
          </w:p>
        </w:tc>
        <w:tc>
          <w:tcPr>
            <w:tcW w:w="1851" w:type="pct"/>
            <w:gridSpan w:val="5"/>
            <w:vAlign w:val="center"/>
            <w:hideMark/>
          </w:tcPr>
          <w:p w14:paraId="7FD2F6E0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Izdevumi</w:t>
            </w:r>
            <w:r>
              <w:rPr>
                <w:rFonts w:eastAsia="Calibri"/>
                <w:sz w:val="18"/>
                <w:szCs w:val="18"/>
                <w:lang w:eastAsia="lv-LV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rFonts w:eastAsia="Calibri"/>
                <w:sz w:val="18"/>
                <w:szCs w:val="18"/>
                <w:lang w:eastAsia="lv-LV"/>
              </w:rPr>
              <w:t>/ rādītāji, vērtība</w:t>
            </w:r>
          </w:p>
        </w:tc>
        <w:tc>
          <w:tcPr>
            <w:tcW w:w="567" w:type="pct"/>
            <w:vMerge w:val="restart"/>
            <w:vAlign w:val="center"/>
            <w:hideMark/>
          </w:tcPr>
          <w:p w14:paraId="5B55E4DC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Pamatojums</w:t>
            </w:r>
          </w:p>
        </w:tc>
      </w:tr>
      <w:tr w:rsidR="00A61AE5" w14:paraId="7BCAFEE9" w14:textId="77777777" w:rsidTr="00A61AE5">
        <w:trPr>
          <w:cantSplit/>
          <w:trHeight w:val="570"/>
          <w:tblHeader/>
        </w:trPr>
        <w:tc>
          <w:tcPr>
            <w:tcW w:w="343" w:type="pct"/>
            <w:vMerge/>
            <w:vAlign w:val="center"/>
            <w:hideMark/>
          </w:tcPr>
          <w:p w14:paraId="0844C5B7" w14:textId="77777777" w:rsidR="00A61AE5" w:rsidRDefault="00A61AE5" w:rsidP="00433568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2239" w:type="pct"/>
            <w:vMerge/>
            <w:vAlign w:val="center"/>
            <w:hideMark/>
          </w:tcPr>
          <w:p w14:paraId="5161BC7F" w14:textId="77777777" w:rsidR="00A61AE5" w:rsidRDefault="00A61AE5" w:rsidP="00433568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581" w:type="pct"/>
            <w:gridSpan w:val="2"/>
            <w:vAlign w:val="center"/>
            <w:hideMark/>
          </w:tcPr>
          <w:p w14:paraId="2D8924C3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2025. gadā</w:t>
            </w:r>
          </w:p>
        </w:tc>
        <w:tc>
          <w:tcPr>
            <w:tcW w:w="632" w:type="pct"/>
            <w:vAlign w:val="center"/>
            <w:hideMark/>
          </w:tcPr>
          <w:p w14:paraId="01541167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2026. gadā</w:t>
            </w:r>
          </w:p>
        </w:tc>
        <w:tc>
          <w:tcPr>
            <w:tcW w:w="638" w:type="pct"/>
            <w:gridSpan w:val="2"/>
            <w:vAlign w:val="center"/>
            <w:hideMark/>
          </w:tcPr>
          <w:p w14:paraId="112C579D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2027. gadā</w:t>
            </w:r>
          </w:p>
        </w:tc>
        <w:tc>
          <w:tcPr>
            <w:tcW w:w="567" w:type="pct"/>
            <w:vMerge/>
            <w:vAlign w:val="center"/>
            <w:hideMark/>
          </w:tcPr>
          <w:p w14:paraId="6D29E88B" w14:textId="77777777" w:rsidR="00A61AE5" w:rsidRDefault="00A61AE5" w:rsidP="00433568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A61AE5" w14:paraId="5C979EFA" w14:textId="77777777" w:rsidTr="00A61AE5">
        <w:trPr>
          <w:cantSplit/>
        </w:trPr>
        <w:tc>
          <w:tcPr>
            <w:tcW w:w="343" w:type="pct"/>
            <w:vMerge w:val="restart"/>
            <w:hideMark/>
          </w:tcPr>
          <w:p w14:paraId="35A23425" w14:textId="77777777" w:rsidR="00A61AE5" w:rsidRDefault="00A61AE5" w:rsidP="00433568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2239" w:type="pct"/>
            <w:shd w:val="clear" w:color="auto" w:fill="D9D9D9" w:themeFill="background1" w:themeFillShade="D9"/>
            <w:hideMark/>
          </w:tcPr>
          <w:p w14:paraId="2AB740E4" w14:textId="77777777" w:rsidR="00A61AE5" w:rsidRPr="00686CC0" w:rsidRDefault="00A61AE5" w:rsidP="000E1E0F">
            <w:pPr>
              <w:spacing w:after="0"/>
              <w:ind w:left="60" w:right="117" w:firstLine="0"/>
              <w:rPr>
                <w:rFonts w:eastAsia="Calibri"/>
                <w:b/>
                <w:color w:val="FF0000"/>
                <w:sz w:val="18"/>
                <w:szCs w:val="18"/>
                <w:lang w:eastAsia="lv-LV"/>
              </w:rPr>
            </w:pPr>
            <w:r w:rsidRPr="00AC66E7">
              <w:rPr>
                <w:rFonts w:eastAsia="Calibri"/>
                <w:b/>
                <w:sz w:val="18"/>
                <w:szCs w:val="18"/>
                <w:lang w:eastAsia="lv-LV"/>
              </w:rPr>
              <w:t>Prokuratūras informācijas sistēmas pārvaldības un arhitektūras ietvara pilnveide</w:t>
            </w:r>
          </w:p>
        </w:tc>
        <w:tc>
          <w:tcPr>
            <w:tcW w:w="581" w:type="pct"/>
            <w:gridSpan w:val="2"/>
            <w:shd w:val="clear" w:color="auto" w:fill="D9D9D9" w:themeFill="background1" w:themeFillShade="D9"/>
          </w:tcPr>
          <w:p w14:paraId="53412F50" w14:textId="77777777" w:rsidR="00A61AE5" w:rsidRPr="00686CC0" w:rsidRDefault="00A61AE5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color w:val="FF0000"/>
                <w:sz w:val="18"/>
                <w:szCs w:val="18"/>
                <w:lang w:eastAsia="lv-LV"/>
              </w:rPr>
            </w:pPr>
            <w:r w:rsidRPr="00AC66E7">
              <w:rPr>
                <w:rFonts w:eastAsia="Calibri"/>
                <w:b/>
                <w:sz w:val="18"/>
                <w:szCs w:val="18"/>
                <w:lang w:eastAsia="lv-LV"/>
              </w:rPr>
              <w:t>1 452 000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06C0EAA8" w14:textId="77777777" w:rsidR="00A61AE5" w:rsidRPr="00686CC0" w:rsidRDefault="00A61AE5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color w:val="FF0000"/>
                <w:sz w:val="18"/>
                <w:szCs w:val="18"/>
                <w:lang w:eastAsia="lv-LV"/>
              </w:rPr>
            </w:pPr>
            <w:r w:rsidRPr="006C77E1">
              <w:rPr>
                <w:rFonts w:eastAsia="Calibri"/>
                <w:b/>
                <w:sz w:val="18"/>
                <w:szCs w:val="18"/>
                <w:lang w:eastAsia="lv-LV"/>
              </w:rPr>
              <w:t>2 783 000</w:t>
            </w:r>
          </w:p>
        </w:tc>
        <w:tc>
          <w:tcPr>
            <w:tcW w:w="638" w:type="pct"/>
            <w:gridSpan w:val="2"/>
            <w:shd w:val="clear" w:color="auto" w:fill="D9D9D9" w:themeFill="background1" w:themeFillShade="D9"/>
          </w:tcPr>
          <w:p w14:paraId="31F6D34C" w14:textId="4F9D8ED4" w:rsidR="00A61AE5" w:rsidRPr="00686CC0" w:rsidRDefault="000E1E0F" w:rsidP="000E1E0F">
            <w:pPr>
              <w:spacing w:after="0"/>
              <w:ind w:firstLine="0"/>
              <w:jc w:val="center"/>
              <w:rPr>
                <w:rFonts w:eastAsia="Calibri"/>
                <w:b/>
                <w:color w:val="FF0000"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67" w:type="pct"/>
            <w:vMerge w:val="restart"/>
            <w:hideMark/>
          </w:tcPr>
          <w:p w14:paraId="6514E126" w14:textId="707A7485" w:rsidR="00A61AE5" w:rsidRDefault="00A61AE5" w:rsidP="00457329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19.09.2024. sēdes prot. Nr.38 2.</w:t>
            </w:r>
            <w:r w:rsidRPr="009E1A9E">
              <w:rPr>
                <w:rFonts w:eastAsia="Calibri"/>
                <w:sz w:val="18"/>
                <w:szCs w:val="18"/>
                <w:lang w:eastAsia="lv-LV"/>
              </w:rPr>
              <w:t xml:space="preserve">§ </w:t>
            </w:r>
            <w:r>
              <w:rPr>
                <w:rFonts w:eastAsia="Calibri"/>
                <w:sz w:val="18"/>
                <w:szCs w:val="18"/>
                <w:lang w:eastAsia="lv-LV"/>
              </w:rPr>
              <w:t>2</w:t>
            </w:r>
            <w:r w:rsidRPr="00282AED">
              <w:rPr>
                <w:rFonts w:eastAsia="Calibri"/>
                <w:sz w:val="18"/>
                <w:szCs w:val="18"/>
                <w:lang w:eastAsia="lv-LV"/>
              </w:rPr>
              <w:t>.p</w:t>
            </w:r>
            <w:r>
              <w:rPr>
                <w:rFonts w:eastAsia="Calibri"/>
                <w:sz w:val="18"/>
                <w:szCs w:val="18"/>
                <w:lang w:eastAsia="lv-LV"/>
              </w:rPr>
              <w:t>.</w:t>
            </w:r>
          </w:p>
          <w:p w14:paraId="6D0E6723" w14:textId="77777777" w:rsidR="00A61AE5" w:rsidRDefault="00A61AE5" w:rsidP="00110ED0">
            <w:pPr>
              <w:spacing w:after="0"/>
              <w:ind w:left="31" w:right="-32"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542CE581" w14:textId="77777777" w:rsidTr="00D70B87">
        <w:trPr>
          <w:cantSplit/>
        </w:trPr>
        <w:tc>
          <w:tcPr>
            <w:tcW w:w="343" w:type="pct"/>
            <w:vMerge/>
          </w:tcPr>
          <w:p w14:paraId="0E8391C8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2239" w:type="pct"/>
            <w:shd w:val="clear" w:color="auto" w:fill="F2F2F2" w:themeFill="background1" w:themeFillShade="F2"/>
          </w:tcPr>
          <w:p w14:paraId="687C62B8" w14:textId="5EC7E070" w:rsidR="00D70B87" w:rsidRPr="00D70B87" w:rsidRDefault="00D70B87" w:rsidP="000E1E0F">
            <w:pPr>
              <w:spacing w:after="0"/>
              <w:ind w:right="124" w:firstLine="0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 w:rsidRPr="00D70B87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 xml:space="preserve">Veikta </w:t>
            </w:r>
            <w:proofErr w:type="spellStart"/>
            <w:r w:rsidRPr="00D70B87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ProIS</w:t>
            </w:r>
            <w:proofErr w:type="spellEnd"/>
            <w:r w:rsidRPr="00D70B87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 xml:space="preserve"> pārvaldības un arhitektūras ietvara pilnveide, pārbūvējot vairākas būtiskas </w:t>
            </w:r>
            <w:proofErr w:type="spellStart"/>
            <w:r w:rsidRPr="00D70B87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ProIS</w:t>
            </w:r>
            <w:proofErr w:type="spellEnd"/>
            <w:r w:rsidRPr="00D70B87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 xml:space="preserve"> sastāvdaļas (moduļus)</w:t>
            </w:r>
          </w:p>
        </w:tc>
        <w:tc>
          <w:tcPr>
            <w:tcW w:w="581" w:type="pct"/>
            <w:gridSpan w:val="2"/>
            <w:shd w:val="clear" w:color="auto" w:fill="F2F2F2" w:themeFill="background1" w:themeFillShade="F2"/>
          </w:tcPr>
          <w:p w14:paraId="06E42E79" w14:textId="788E4C56" w:rsidR="00D70B87" w:rsidRPr="007B08BD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 w:rsidRPr="007B08BD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1 452 000</w:t>
            </w:r>
          </w:p>
        </w:tc>
        <w:tc>
          <w:tcPr>
            <w:tcW w:w="632" w:type="pct"/>
            <w:shd w:val="clear" w:color="auto" w:fill="F2F2F2" w:themeFill="background1" w:themeFillShade="F2"/>
          </w:tcPr>
          <w:p w14:paraId="7AD79492" w14:textId="06137901" w:rsidR="00D70B87" w:rsidRPr="007B08BD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</w:pPr>
            <w:r w:rsidRPr="007B08BD">
              <w:rPr>
                <w:rFonts w:eastAsia="Calibri"/>
                <w:b/>
                <w:i/>
                <w:iCs/>
                <w:sz w:val="18"/>
                <w:szCs w:val="18"/>
                <w:lang w:eastAsia="lv-LV"/>
              </w:rPr>
              <w:t>2 783 000</w:t>
            </w:r>
          </w:p>
        </w:tc>
        <w:tc>
          <w:tcPr>
            <w:tcW w:w="638" w:type="pct"/>
            <w:gridSpan w:val="2"/>
            <w:shd w:val="clear" w:color="auto" w:fill="F2F2F2" w:themeFill="background1" w:themeFillShade="F2"/>
          </w:tcPr>
          <w:p w14:paraId="3B6BA338" w14:textId="61CE96CE" w:rsidR="00D70B87" w:rsidRPr="000E1E0F" w:rsidRDefault="000E1E0F" w:rsidP="000E1E0F">
            <w:pPr>
              <w:spacing w:after="0"/>
              <w:ind w:firstLine="0"/>
              <w:jc w:val="center"/>
              <w:rPr>
                <w:rFonts w:eastAsia="Calibri"/>
                <w:bCs/>
                <w:sz w:val="18"/>
                <w:szCs w:val="18"/>
                <w:lang w:eastAsia="lv-LV"/>
              </w:rPr>
            </w:pPr>
            <w:r w:rsidRPr="000E1E0F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67" w:type="pct"/>
            <w:vMerge/>
          </w:tcPr>
          <w:p w14:paraId="2B6170B0" w14:textId="77777777" w:rsidR="00D70B87" w:rsidRDefault="00D70B87" w:rsidP="00D70B87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33F510F5" w14:textId="77777777" w:rsidTr="00C24F59">
        <w:trPr>
          <w:cantSplit/>
          <w:trHeight w:val="78"/>
        </w:trPr>
        <w:tc>
          <w:tcPr>
            <w:tcW w:w="343" w:type="pct"/>
            <w:vMerge/>
            <w:vAlign w:val="center"/>
            <w:hideMark/>
          </w:tcPr>
          <w:p w14:paraId="3FBAC100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90" w:type="pct"/>
            <w:gridSpan w:val="6"/>
            <w:shd w:val="clear" w:color="auto" w:fill="FFFFFF" w:themeFill="background1"/>
          </w:tcPr>
          <w:p w14:paraId="7A8AF137" w14:textId="0A43FDF4" w:rsidR="00D70B87" w:rsidRPr="00EA34CC" w:rsidRDefault="00D70B87" w:rsidP="00D70B87">
            <w:pPr>
              <w:spacing w:after="0"/>
              <w:ind w:left="284" w:right="284" w:firstLine="0"/>
              <w:jc w:val="left"/>
              <w:rPr>
                <w:rFonts w:eastAsia="Calibri"/>
                <w:iCs/>
                <w:sz w:val="18"/>
                <w:szCs w:val="18"/>
                <w:lang w:eastAsia="lv-LV"/>
              </w:rPr>
            </w:pPr>
            <w:r w:rsidRPr="00C24F59">
              <w:rPr>
                <w:rFonts w:eastAsia="Calibri"/>
                <w:iCs/>
                <w:sz w:val="18"/>
                <w:szCs w:val="18"/>
                <w:lang w:eastAsia="lv-LV"/>
              </w:rPr>
              <w:t xml:space="preserve">Uzlabota </w:t>
            </w:r>
            <w:proofErr w:type="spellStart"/>
            <w:r w:rsidRPr="00C24F59">
              <w:rPr>
                <w:rFonts w:eastAsia="Calibri"/>
                <w:iCs/>
                <w:sz w:val="18"/>
                <w:szCs w:val="18"/>
                <w:lang w:eastAsia="lv-LV"/>
              </w:rPr>
              <w:t>ProIS</w:t>
            </w:r>
            <w:proofErr w:type="spellEnd"/>
            <w:r w:rsidRPr="00C24F59">
              <w:rPr>
                <w:rFonts w:eastAsia="Calibri"/>
                <w:iCs/>
                <w:sz w:val="18"/>
                <w:szCs w:val="18"/>
                <w:lang w:eastAsia="lv-LV"/>
              </w:rPr>
              <w:t xml:space="preserve"> veiktspēja un rasti atbilstoši un ilgtspējīgi sistēmas arhitektūras risinājumi</w:t>
            </w:r>
          </w:p>
        </w:tc>
        <w:tc>
          <w:tcPr>
            <w:tcW w:w="567" w:type="pct"/>
            <w:vMerge/>
            <w:vAlign w:val="center"/>
            <w:hideMark/>
          </w:tcPr>
          <w:p w14:paraId="3F54D17A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0AE8C742" w14:textId="77777777" w:rsidTr="00D70B87">
        <w:trPr>
          <w:cantSplit/>
          <w:trHeight w:val="110"/>
        </w:trPr>
        <w:tc>
          <w:tcPr>
            <w:tcW w:w="343" w:type="pct"/>
            <w:vMerge/>
            <w:vAlign w:val="center"/>
          </w:tcPr>
          <w:p w14:paraId="5B986676" w14:textId="77777777" w:rsidR="00D70B87" w:rsidRPr="002352B8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2239" w:type="pct"/>
            <w:shd w:val="clear" w:color="auto" w:fill="FFFFFF"/>
          </w:tcPr>
          <w:p w14:paraId="009FA672" w14:textId="77777777" w:rsidR="00D70B87" w:rsidRPr="008D5E34" w:rsidRDefault="00D70B87" w:rsidP="00D70B87">
            <w:pPr>
              <w:pStyle w:val="CommentText"/>
              <w:spacing w:after="0"/>
              <w:ind w:left="601" w:firstLine="0"/>
              <w:rPr>
                <w:rFonts w:eastAsia="Calibri"/>
                <w:bCs/>
                <w:i/>
                <w:sz w:val="18"/>
                <w:szCs w:val="18"/>
                <w:lang w:eastAsia="lv-LV"/>
              </w:rPr>
            </w:pPr>
            <w:r w:rsidRPr="008D5E34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Izstrādāti </w:t>
            </w:r>
            <w:proofErr w:type="spellStart"/>
            <w:r w:rsidRPr="008D5E34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ProIS</w:t>
            </w:r>
            <w:proofErr w:type="spellEnd"/>
            <w:r w:rsidRPr="008D5E34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</w:t>
            </w:r>
            <w:proofErr w:type="spellStart"/>
            <w:r w:rsidRPr="008D5E34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konteinerizētie</w:t>
            </w:r>
            <w:proofErr w:type="spellEnd"/>
            <w:r w:rsidRPr="008D5E34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 xml:space="preserve"> moduļi (skaits)</w:t>
            </w:r>
          </w:p>
        </w:tc>
        <w:tc>
          <w:tcPr>
            <w:tcW w:w="581" w:type="pct"/>
            <w:gridSpan w:val="2"/>
            <w:shd w:val="clear" w:color="auto" w:fill="FFFFFF"/>
          </w:tcPr>
          <w:p w14:paraId="07C11445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10</w:t>
            </w:r>
          </w:p>
        </w:tc>
        <w:tc>
          <w:tcPr>
            <w:tcW w:w="632" w:type="pct"/>
            <w:shd w:val="clear" w:color="auto" w:fill="FFFFFF"/>
          </w:tcPr>
          <w:p w14:paraId="15335F08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2</w:t>
            </w:r>
          </w:p>
        </w:tc>
        <w:tc>
          <w:tcPr>
            <w:tcW w:w="638" w:type="pct"/>
            <w:gridSpan w:val="2"/>
            <w:shd w:val="clear" w:color="auto" w:fill="FFFFFF" w:themeFill="background1"/>
          </w:tcPr>
          <w:p w14:paraId="6ED16B37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67" w:type="pct"/>
            <w:vMerge/>
            <w:vAlign w:val="center"/>
          </w:tcPr>
          <w:p w14:paraId="730B131A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5089E9DB" w14:textId="77777777" w:rsidTr="00A61AE5">
        <w:trPr>
          <w:cantSplit/>
          <w:trHeight w:val="37"/>
        </w:trPr>
        <w:tc>
          <w:tcPr>
            <w:tcW w:w="343" w:type="pct"/>
            <w:vMerge/>
            <w:vAlign w:val="center"/>
            <w:hideMark/>
          </w:tcPr>
          <w:p w14:paraId="1F30D75E" w14:textId="77777777" w:rsidR="00D70B87" w:rsidRPr="002352B8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90" w:type="pct"/>
            <w:gridSpan w:val="6"/>
            <w:hideMark/>
          </w:tcPr>
          <w:p w14:paraId="2FC2E0F4" w14:textId="77777777" w:rsidR="00D70B87" w:rsidRPr="00F66CD5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 w:rsidRPr="00F66CD5">
              <w:rPr>
                <w:rFonts w:eastAsia="Calibri"/>
                <w:sz w:val="18"/>
                <w:szCs w:val="18"/>
                <w:lang w:eastAsia="lv-LV"/>
              </w:rPr>
              <w:t>01.00.00 Prokuratūras iestāžu uzturēšana</w:t>
            </w:r>
          </w:p>
        </w:tc>
        <w:tc>
          <w:tcPr>
            <w:tcW w:w="567" w:type="pct"/>
            <w:vMerge/>
            <w:vAlign w:val="center"/>
            <w:hideMark/>
          </w:tcPr>
          <w:p w14:paraId="623CC622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10C8A6E8" w14:textId="77777777" w:rsidTr="00A61AE5">
        <w:trPr>
          <w:cantSplit/>
          <w:trHeight w:val="383"/>
        </w:trPr>
        <w:tc>
          <w:tcPr>
            <w:tcW w:w="343" w:type="pct"/>
            <w:vMerge w:val="restart"/>
            <w:hideMark/>
          </w:tcPr>
          <w:p w14:paraId="55DD58CA" w14:textId="77777777" w:rsidR="00D70B87" w:rsidRPr="00D21801" w:rsidRDefault="00D70B87" w:rsidP="00D70B87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2</w:t>
            </w:r>
            <w:r w:rsidRPr="00D21801">
              <w:rPr>
                <w:rFonts w:eastAsia="Calibri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2239" w:type="pct"/>
            <w:shd w:val="clear" w:color="auto" w:fill="D9D9D9" w:themeFill="background1" w:themeFillShade="D9"/>
            <w:hideMark/>
          </w:tcPr>
          <w:p w14:paraId="27A41C3E" w14:textId="77777777" w:rsidR="00D70B87" w:rsidRPr="00D21801" w:rsidRDefault="00D70B87" w:rsidP="000E1E0F">
            <w:pPr>
              <w:spacing w:after="0"/>
              <w:ind w:left="60" w:right="117" w:firstLine="0"/>
              <w:rPr>
                <w:rFonts w:eastAsia="Calibri"/>
                <w:b/>
                <w:bCs/>
                <w:color w:val="FF0000"/>
                <w:sz w:val="18"/>
                <w:szCs w:val="18"/>
                <w:lang w:eastAsia="lv-LV"/>
              </w:rPr>
            </w:pPr>
            <w:r w:rsidRPr="009F0B54"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Pabalstu un kompensāciju nodrošināšana par dienestu ārvalstīs kvalitatīvai Latvijas nacionālo drošības un ekonomisko interešu aizstāvībai</w:t>
            </w:r>
          </w:p>
        </w:tc>
        <w:tc>
          <w:tcPr>
            <w:tcW w:w="581" w:type="pct"/>
            <w:gridSpan w:val="2"/>
            <w:shd w:val="clear" w:color="auto" w:fill="D9D9D9" w:themeFill="background1" w:themeFillShade="D9"/>
          </w:tcPr>
          <w:p w14:paraId="5DDC4EB6" w14:textId="77777777" w:rsidR="00D70B87" w:rsidRPr="005B6751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67C4944D" w14:textId="77777777" w:rsidR="00D70B87" w:rsidRPr="005B6751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638" w:type="pct"/>
            <w:gridSpan w:val="2"/>
            <w:shd w:val="clear" w:color="auto" w:fill="D9D9D9" w:themeFill="background1" w:themeFillShade="D9"/>
          </w:tcPr>
          <w:p w14:paraId="7B7A354C" w14:textId="77777777" w:rsidR="00D70B87" w:rsidRPr="005B6751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567" w:type="pct"/>
            <w:vMerge w:val="restart"/>
            <w:hideMark/>
          </w:tcPr>
          <w:p w14:paraId="1A5B90F5" w14:textId="539FB497" w:rsidR="00D70B87" w:rsidRDefault="00D70B87" w:rsidP="00D70B87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MK 19.09.2024. sēdes prot. Nr.38 2.</w:t>
            </w:r>
            <w:r w:rsidRPr="009E1A9E">
              <w:rPr>
                <w:rFonts w:eastAsia="Calibri"/>
                <w:sz w:val="18"/>
                <w:szCs w:val="18"/>
                <w:lang w:eastAsia="lv-LV"/>
              </w:rPr>
              <w:t xml:space="preserve">§ </w:t>
            </w:r>
            <w:r>
              <w:rPr>
                <w:rFonts w:eastAsia="Calibri"/>
                <w:sz w:val="18"/>
                <w:szCs w:val="18"/>
                <w:lang w:eastAsia="lv-LV"/>
              </w:rPr>
              <w:t>2</w:t>
            </w:r>
            <w:r w:rsidRPr="00282AED">
              <w:rPr>
                <w:rFonts w:eastAsia="Calibri"/>
                <w:sz w:val="18"/>
                <w:szCs w:val="18"/>
                <w:lang w:eastAsia="lv-LV"/>
              </w:rPr>
              <w:t>.p</w:t>
            </w:r>
            <w:r>
              <w:rPr>
                <w:rFonts w:eastAsia="Calibri"/>
                <w:sz w:val="18"/>
                <w:szCs w:val="18"/>
                <w:lang w:eastAsia="lv-LV"/>
              </w:rPr>
              <w:t>.</w:t>
            </w:r>
          </w:p>
          <w:p w14:paraId="45D4D3A8" w14:textId="77777777" w:rsidR="00D70B87" w:rsidRDefault="00D70B87" w:rsidP="00D70B87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3D91EC03" w14:textId="77777777" w:rsidTr="00D70B87">
        <w:trPr>
          <w:cantSplit/>
          <w:trHeight w:val="129"/>
        </w:trPr>
        <w:tc>
          <w:tcPr>
            <w:tcW w:w="343" w:type="pct"/>
            <w:vMerge/>
          </w:tcPr>
          <w:p w14:paraId="27C179AA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2239" w:type="pct"/>
            <w:shd w:val="clear" w:color="auto" w:fill="F2F2F2" w:themeFill="background1" w:themeFillShade="F2"/>
          </w:tcPr>
          <w:p w14:paraId="4465242F" w14:textId="5A794E52" w:rsidR="00D70B87" w:rsidRPr="00D70B87" w:rsidRDefault="00D70B87" w:rsidP="000E1E0F">
            <w:pPr>
              <w:spacing w:after="0"/>
              <w:ind w:right="124" w:firstLine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</w:pPr>
            <w:r w:rsidRPr="00D70B87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 xml:space="preserve">Nodrošināta pabalstu un kompensāciju izmaksa </w:t>
            </w:r>
            <w:proofErr w:type="spellStart"/>
            <w:r w:rsidRPr="00D70B87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>Eirojusta</w:t>
            </w:r>
            <w:proofErr w:type="spellEnd"/>
            <w:r w:rsidRPr="00D70B87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 xml:space="preserve"> pārstāvja vietniekam par dienestu ārvalstīs</w:t>
            </w:r>
          </w:p>
        </w:tc>
        <w:tc>
          <w:tcPr>
            <w:tcW w:w="581" w:type="pct"/>
            <w:gridSpan w:val="2"/>
            <w:shd w:val="clear" w:color="auto" w:fill="F2F2F2" w:themeFill="background1" w:themeFillShade="F2"/>
          </w:tcPr>
          <w:p w14:paraId="7729E61A" w14:textId="63F30B6B" w:rsidR="00D70B87" w:rsidRPr="007B08BD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</w:pPr>
            <w:r w:rsidRPr="007B08BD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632" w:type="pct"/>
            <w:shd w:val="clear" w:color="auto" w:fill="F2F2F2" w:themeFill="background1" w:themeFillShade="F2"/>
          </w:tcPr>
          <w:p w14:paraId="1D6D7B25" w14:textId="7E09FE2E" w:rsidR="00D70B87" w:rsidRPr="007B08BD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</w:pPr>
            <w:r w:rsidRPr="007B08BD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638" w:type="pct"/>
            <w:gridSpan w:val="2"/>
            <w:shd w:val="clear" w:color="auto" w:fill="F2F2F2" w:themeFill="background1" w:themeFillShade="F2"/>
          </w:tcPr>
          <w:p w14:paraId="0C19EC1F" w14:textId="606923A5" w:rsidR="00D70B87" w:rsidRPr="007B08BD" w:rsidRDefault="00D70B87" w:rsidP="000E1E0F">
            <w:pPr>
              <w:spacing w:after="0"/>
              <w:ind w:right="40"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</w:pPr>
            <w:r w:rsidRPr="007B08BD">
              <w:rPr>
                <w:rFonts w:eastAsia="Calibri"/>
                <w:b/>
                <w:bCs/>
                <w:i/>
                <w:iCs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567" w:type="pct"/>
            <w:vMerge/>
          </w:tcPr>
          <w:p w14:paraId="59842525" w14:textId="77777777" w:rsidR="00D70B87" w:rsidRDefault="00D70B87" w:rsidP="00D70B87">
            <w:pPr>
              <w:spacing w:after="0"/>
              <w:ind w:left="31" w:right="-32"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3D10BD71" w14:textId="77777777" w:rsidTr="00C24F59">
        <w:trPr>
          <w:cantSplit/>
          <w:trHeight w:val="39"/>
        </w:trPr>
        <w:tc>
          <w:tcPr>
            <w:tcW w:w="343" w:type="pct"/>
            <w:vMerge/>
            <w:vAlign w:val="center"/>
            <w:hideMark/>
          </w:tcPr>
          <w:p w14:paraId="7CB7C1B5" w14:textId="77777777" w:rsidR="00D70B87" w:rsidRPr="00D21801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90" w:type="pct"/>
            <w:gridSpan w:val="6"/>
            <w:shd w:val="clear" w:color="auto" w:fill="FFFFFF" w:themeFill="background1"/>
          </w:tcPr>
          <w:p w14:paraId="308F3C22" w14:textId="77777777" w:rsidR="00D70B87" w:rsidRPr="00EA34CC" w:rsidRDefault="00D70B87" w:rsidP="00D70B87">
            <w:pPr>
              <w:spacing w:after="0"/>
              <w:ind w:left="284" w:firstLine="0"/>
              <w:jc w:val="left"/>
              <w:rPr>
                <w:rFonts w:eastAsia="Calibri"/>
                <w:bCs/>
                <w:iCs/>
                <w:sz w:val="18"/>
                <w:szCs w:val="18"/>
                <w:lang w:eastAsia="lv-LV"/>
              </w:rPr>
            </w:pPr>
            <w:r w:rsidRPr="00C24F59">
              <w:rPr>
                <w:rFonts w:eastAsia="Calibri"/>
                <w:bCs/>
                <w:iCs/>
                <w:sz w:val="18"/>
                <w:szCs w:val="18"/>
                <w:lang w:eastAsia="lv-LV"/>
              </w:rPr>
              <w:t xml:space="preserve">Latvijas pārstāvības </w:t>
            </w:r>
            <w:proofErr w:type="spellStart"/>
            <w:r w:rsidRPr="00C24F59">
              <w:rPr>
                <w:rFonts w:eastAsia="Calibri"/>
                <w:bCs/>
                <w:iCs/>
                <w:sz w:val="18"/>
                <w:szCs w:val="18"/>
                <w:lang w:eastAsia="lv-LV"/>
              </w:rPr>
              <w:t>Eirojusta</w:t>
            </w:r>
            <w:proofErr w:type="spellEnd"/>
            <w:r w:rsidRPr="00C24F59">
              <w:rPr>
                <w:rFonts w:eastAsia="Calibri"/>
                <w:bCs/>
                <w:iCs/>
                <w:sz w:val="18"/>
                <w:szCs w:val="18"/>
                <w:lang w:eastAsia="lv-LV"/>
              </w:rPr>
              <w:t xml:space="preserve"> mītnē Hāgā kapacitātes stiprināšana</w:t>
            </w:r>
          </w:p>
        </w:tc>
        <w:tc>
          <w:tcPr>
            <w:tcW w:w="567" w:type="pct"/>
            <w:vMerge/>
            <w:vAlign w:val="center"/>
            <w:hideMark/>
          </w:tcPr>
          <w:p w14:paraId="0202B61A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1BB8036E" w14:textId="77777777" w:rsidTr="00D70B87">
        <w:trPr>
          <w:cantSplit/>
          <w:trHeight w:val="125"/>
        </w:trPr>
        <w:tc>
          <w:tcPr>
            <w:tcW w:w="343" w:type="pct"/>
            <w:vMerge/>
            <w:vAlign w:val="center"/>
          </w:tcPr>
          <w:p w14:paraId="46406228" w14:textId="77777777" w:rsidR="00D70B87" w:rsidRPr="00D21801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2239" w:type="pct"/>
            <w:shd w:val="clear" w:color="auto" w:fill="auto"/>
          </w:tcPr>
          <w:p w14:paraId="2F027BAA" w14:textId="77777777" w:rsidR="00D70B87" w:rsidRPr="001552EB" w:rsidRDefault="00D70B87" w:rsidP="000E1E0F">
            <w:pPr>
              <w:spacing w:after="0"/>
              <w:ind w:left="601" w:right="124" w:firstLine="0"/>
              <w:outlineLvl w:val="8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P</w:t>
            </w:r>
            <w:r w:rsidRPr="001552EB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rokuror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i</w:t>
            </w:r>
            <w:r w:rsidRPr="001552EB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, kuriem tiek nodrošināti pabalsti un izdevumu kompensācijas par dienestu ārvalstīs (skaits)</w:t>
            </w:r>
          </w:p>
        </w:tc>
        <w:tc>
          <w:tcPr>
            <w:tcW w:w="543" w:type="pct"/>
            <w:shd w:val="clear" w:color="auto" w:fill="auto"/>
          </w:tcPr>
          <w:p w14:paraId="0D4EE827" w14:textId="77777777" w:rsidR="00D70B87" w:rsidRPr="00D21801" w:rsidRDefault="00D70B87" w:rsidP="00D70B87">
            <w:pPr>
              <w:spacing w:after="0"/>
              <w:ind w:firstLine="0"/>
              <w:jc w:val="center"/>
              <w:outlineLvl w:val="8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704" w:type="pct"/>
            <w:gridSpan w:val="3"/>
            <w:shd w:val="clear" w:color="auto" w:fill="FFFFFF" w:themeFill="background1"/>
          </w:tcPr>
          <w:p w14:paraId="272CC6E8" w14:textId="77777777" w:rsidR="00D70B87" w:rsidRPr="00D21801" w:rsidRDefault="00D70B87" w:rsidP="00D70B87">
            <w:pPr>
              <w:spacing w:after="0"/>
              <w:ind w:firstLine="0"/>
              <w:jc w:val="center"/>
              <w:outlineLvl w:val="8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604" w:type="pct"/>
            <w:shd w:val="clear" w:color="auto" w:fill="FFFFFF" w:themeFill="background1"/>
          </w:tcPr>
          <w:p w14:paraId="7BD78898" w14:textId="77777777" w:rsidR="00D70B87" w:rsidRPr="00D21801" w:rsidRDefault="00D70B87" w:rsidP="00D70B87">
            <w:pPr>
              <w:spacing w:after="0"/>
              <w:ind w:firstLine="0"/>
              <w:jc w:val="center"/>
              <w:outlineLvl w:val="8"/>
              <w:rPr>
                <w:rFonts w:eastAsia="Calibri"/>
                <w:i/>
                <w:iCs/>
                <w:sz w:val="18"/>
                <w:szCs w:val="18"/>
                <w:lang w:eastAsia="lv-LV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567" w:type="pct"/>
            <w:vMerge/>
            <w:vAlign w:val="center"/>
          </w:tcPr>
          <w:p w14:paraId="16A03904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7C282A5B" w14:textId="77777777" w:rsidTr="00457329">
        <w:trPr>
          <w:cantSplit/>
          <w:trHeight w:val="100"/>
        </w:trPr>
        <w:tc>
          <w:tcPr>
            <w:tcW w:w="343" w:type="pct"/>
            <w:vMerge/>
            <w:vAlign w:val="center"/>
            <w:hideMark/>
          </w:tcPr>
          <w:p w14:paraId="7D68568B" w14:textId="77777777" w:rsidR="00D70B87" w:rsidRPr="002352B8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  <w:tc>
          <w:tcPr>
            <w:tcW w:w="4090" w:type="pct"/>
            <w:gridSpan w:val="6"/>
            <w:hideMark/>
          </w:tcPr>
          <w:p w14:paraId="23677962" w14:textId="1E67BF9F" w:rsidR="00D70B87" w:rsidRPr="00457329" w:rsidRDefault="00D70B87" w:rsidP="00D70B87">
            <w:pPr>
              <w:spacing w:after="0"/>
              <w:ind w:firstLine="0"/>
              <w:jc w:val="left"/>
              <w:outlineLvl w:val="8"/>
              <w:rPr>
                <w:rFonts w:eastAsia="Calibri"/>
                <w:sz w:val="18"/>
                <w:szCs w:val="18"/>
                <w:lang w:eastAsia="lv-LV"/>
              </w:rPr>
            </w:pPr>
            <w:r w:rsidRPr="00E925D8">
              <w:rPr>
                <w:rFonts w:eastAsia="Calibri"/>
                <w:sz w:val="18"/>
                <w:szCs w:val="18"/>
                <w:lang w:eastAsia="lv-LV"/>
              </w:rPr>
              <w:t>01.00.00 Prokuratūras iestāžu uzturēšana</w:t>
            </w:r>
          </w:p>
        </w:tc>
        <w:tc>
          <w:tcPr>
            <w:tcW w:w="567" w:type="pct"/>
            <w:vMerge/>
            <w:vAlign w:val="center"/>
            <w:hideMark/>
          </w:tcPr>
          <w:p w14:paraId="53A85741" w14:textId="77777777" w:rsidR="00D70B87" w:rsidRDefault="00D70B87" w:rsidP="00D70B87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  <w:lang w:eastAsia="lv-LV"/>
              </w:rPr>
            </w:pPr>
          </w:p>
        </w:tc>
      </w:tr>
      <w:tr w:rsidR="00D70B87" w14:paraId="3B82D3A2" w14:textId="77777777" w:rsidTr="00A61AE5">
        <w:trPr>
          <w:cantSplit/>
        </w:trPr>
        <w:tc>
          <w:tcPr>
            <w:tcW w:w="2581" w:type="pct"/>
            <w:gridSpan w:val="2"/>
            <w:shd w:val="clear" w:color="auto" w:fill="D9D9D9"/>
            <w:vAlign w:val="center"/>
            <w:hideMark/>
          </w:tcPr>
          <w:p w14:paraId="2BEDEBC8" w14:textId="77777777" w:rsidR="00D70B87" w:rsidRDefault="00D70B87" w:rsidP="00D70B87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Kopā</w:t>
            </w:r>
          </w:p>
        </w:tc>
        <w:tc>
          <w:tcPr>
            <w:tcW w:w="581" w:type="pct"/>
            <w:gridSpan w:val="2"/>
            <w:shd w:val="clear" w:color="auto" w:fill="D9D9D9"/>
            <w:vAlign w:val="center"/>
          </w:tcPr>
          <w:p w14:paraId="617B21E9" w14:textId="77777777" w:rsidR="00D70B87" w:rsidRPr="00C97FAF" w:rsidRDefault="00D70B87" w:rsidP="009979D1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1 504 004</w:t>
            </w:r>
          </w:p>
        </w:tc>
        <w:tc>
          <w:tcPr>
            <w:tcW w:w="632" w:type="pct"/>
            <w:shd w:val="clear" w:color="auto" w:fill="D9D9D9"/>
            <w:vAlign w:val="center"/>
          </w:tcPr>
          <w:p w14:paraId="4BD0C1B5" w14:textId="77777777" w:rsidR="00D70B87" w:rsidRPr="00C97FAF" w:rsidRDefault="00D70B87" w:rsidP="009979D1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 w:rsidRPr="00C97FAF">
              <w:rPr>
                <w:rFonts w:eastAsia="Calibri"/>
                <w:b/>
                <w:sz w:val="18"/>
                <w:szCs w:val="18"/>
                <w:lang w:eastAsia="lv-LV"/>
              </w:rPr>
              <w:t>2</w:t>
            </w:r>
            <w:r>
              <w:rPr>
                <w:rFonts w:eastAsia="Calibri"/>
                <w:b/>
                <w:sz w:val="18"/>
                <w:szCs w:val="18"/>
                <w:lang w:eastAsia="lv-LV"/>
              </w:rPr>
              <w:t> 835 004</w:t>
            </w:r>
          </w:p>
        </w:tc>
        <w:tc>
          <w:tcPr>
            <w:tcW w:w="638" w:type="pct"/>
            <w:gridSpan w:val="2"/>
            <w:shd w:val="clear" w:color="auto" w:fill="D9D9D9"/>
            <w:vAlign w:val="center"/>
          </w:tcPr>
          <w:p w14:paraId="22A42355" w14:textId="77777777" w:rsidR="00D70B87" w:rsidRPr="00C97FAF" w:rsidRDefault="00D70B87" w:rsidP="009979D1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  <w:lang w:eastAsia="lv-LV"/>
              </w:rPr>
            </w:pPr>
            <w:r>
              <w:rPr>
                <w:rFonts w:eastAsia="Calibri"/>
                <w:b/>
                <w:sz w:val="18"/>
                <w:szCs w:val="18"/>
                <w:lang w:eastAsia="lv-LV"/>
              </w:rPr>
              <w:t>52 0</w:t>
            </w:r>
            <w:r w:rsidRPr="00C97FAF">
              <w:rPr>
                <w:rFonts w:eastAsia="Calibri"/>
                <w:b/>
                <w:sz w:val="18"/>
                <w:szCs w:val="18"/>
                <w:lang w:eastAsia="lv-LV"/>
              </w:rPr>
              <w:t>04</w:t>
            </w:r>
          </w:p>
        </w:tc>
        <w:tc>
          <w:tcPr>
            <w:tcW w:w="567" w:type="pct"/>
            <w:vAlign w:val="center"/>
            <w:hideMark/>
          </w:tcPr>
          <w:p w14:paraId="0DEC40E9" w14:textId="77777777" w:rsidR="00D70B87" w:rsidRDefault="00D70B87" w:rsidP="00D70B87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lv-LV"/>
              </w:rPr>
            </w:pPr>
            <w:r>
              <w:rPr>
                <w:rFonts w:eastAsia="Calibri"/>
                <w:sz w:val="18"/>
                <w:szCs w:val="18"/>
                <w:lang w:eastAsia="lv-LV"/>
              </w:rPr>
              <w:t>-</w:t>
            </w:r>
          </w:p>
        </w:tc>
      </w:tr>
    </w:tbl>
    <w:p w14:paraId="24FDAF0B" w14:textId="77777777" w:rsidR="00A61AE5" w:rsidRPr="00AF462A" w:rsidRDefault="00A61AE5" w:rsidP="001F1614">
      <w:pPr>
        <w:widowControl w:val="0"/>
        <w:spacing w:before="480" w:after="240"/>
        <w:ind w:firstLine="0"/>
        <w:jc w:val="center"/>
        <w:rPr>
          <w:b/>
          <w:noProof/>
          <w:u w:val="single"/>
        </w:rPr>
      </w:pPr>
      <w:r w:rsidRPr="00AF462A">
        <w:rPr>
          <w:b/>
          <w:noProof/>
          <w:u w:val="single"/>
        </w:rPr>
        <w:t>Budžeta programmu (apakšprogrammu) paskaidrojumi</w:t>
      </w:r>
    </w:p>
    <w:p w14:paraId="3330ED86" w14:textId="77777777" w:rsidR="00A61AE5" w:rsidRPr="00AF462A" w:rsidRDefault="00A61AE5" w:rsidP="001F1614">
      <w:pPr>
        <w:widowControl w:val="0"/>
        <w:spacing w:after="240"/>
        <w:ind w:firstLine="0"/>
        <w:jc w:val="center"/>
        <w:rPr>
          <w:b/>
          <w:noProof/>
        </w:rPr>
      </w:pPr>
      <w:r w:rsidRPr="00AF462A">
        <w:rPr>
          <w:b/>
          <w:noProof/>
        </w:rPr>
        <w:t>01.00.00 Prokuratūras iestāžu uzturēšana</w:t>
      </w:r>
    </w:p>
    <w:p w14:paraId="7714EDD1" w14:textId="77777777" w:rsidR="00A61AE5" w:rsidRPr="00AF462A" w:rsidRDefault="00A61AE5" w:rsidP="001F1614">
      <w:pPr>
        <w:ind w:firstLine="0"/>
        <w:jc w:val="left"/>
        <w:rPr>
          <w:szCs w:val="24"/>
          <w:u w:val="single"/>
        </w:rPr>
      </w:pPr>
      <w:r w:rsidRPr="00AF462A">
        <w:rPr>
          <w:szCs w:val="24"/>
          <w:u w:val="single"/>
        </w:rPr>
        <w:t>Programmas mērķis:</w:t>
      </w:r>
    </w:p>
    <w:p w14:paraId="78F45758" w14:textId="77777777" w:rsidR="00A61AE5" w:rsidRPr="00AF462A" w:rsidRDefault="00A61AE5" w:rsidP="0047742C">
      <w:pPr>
        <w:ind w:firstLine="720"/>
        <w:rPr>
          <w:szCs w:val="19"/>
        </w:rPr>
      </w:pPr>
      <w:r w:rsidRPr="00AF462A">
        <w:rPr>
          <w:szCs w:val="19"/>
        </w:rPr>
        <w:t>nodrošināt uzraudzību pār likumības ievērošanu un reaģēt uz likuma pārkāpumu, nodrošinot ar to saistītas lietas izlemšanu likumā noteiktajā kārtībā.</w:t>
      </w:r>
    </w:p>
    <w:p w14:paraId="50C7C4E0" w14:textId="77777777" w:rsidR="00A61AE5" w:rsidRPr="00AF462A" w:rsidRDefault="00A61AE5" w:rsidP="001F1614">
      <w:pPr>
        <w:ind w:firstLine="0"/>
        <w:rPr>
          <w:szCs w:val="24"/>
          <w:u w:val="single"/>
        </w:rPr>
      </w:pPr>
      <w:r w:rsidRPr="00AF462A">
        <w:rPr>
          <w:szCs w:val="24"/>
          <w:u w:val="single"/>
        </w:rPr>
        <w:t>Galvenās aktivitātes :</w:t>
      </w:r>
    </w:p>
    <w:p w14:paraId="1AD8B399" w14:textId="77777777" w:rsidR="00A61AE5" w:rsidRPr="00AF462A" w:rsidRDefault="00A61AE5" w:rsidP="0047742C">
      <w:pPr>
        <w:ind w:left="1077" w:hanging="357"/>
        <w:rPr>
          <w:szCs w:val="24"/>
        </w:rPr>
      </w:pPr>
      <w:r w:rsidRPr="00AF462A">
        <w:rPr>
          <w:szCs w:val="24"/>
        </w:rPr>
        <w:t>Ģenerālprokuratūras un prokuratūras struktūrvienību darbības nodrošināšana.</w:t>
      </w:r>
    </w:p>
    <w:p w14:paraId="066EAF7B" w14:textId="77777777" w:rsidR="00A61AE5" w:rsidRPr="00AF462A" w:rsidRDefault="00A61AE5" w:rsidP="001F1614">
      <w:pPr>
        <w:spacing w:after="240"/>
        <w:ind w:firstLine="0"/>
        <w:jc w:val="left"/>
        <w:rPr>
          <w:szCs w:val="24"/>
        </w:rPr>
      </w:pPr>
      <w:r w:rsidRPr="00AF462A">
        <w:rPr>
          <w:szCs w:val="24"/>
          <w:u w:val="single"/>
        </w:rPr>
        <w:t>Programmas izpildītājs</w:t>
      </w:r>
      <w:r w:rsidRPr="00AF462A">
        <w:rPr>
          <w:szCs w:val="24"/>
        </w:rPr>
        <w:t>: Ģenerālprokuratūra.</w:t>
      </w:r>
    </w:p>
    <w:p w14:paraId="5F4EAC51" w14:textId="77777777" w:rsidR="00A61AE5" w:rsidRPr="00AF462A" w:rsidRDefault="00A61AE5" w:rsidP="001F1614">
      <w:pPr>
        <w:spacing w:after="240"/>
        <w:ind w:firstLine="0"/>
        <w:jc w:val="center"/>
        <w:rPr>
          <w:lang w:eastAsia="lv-LV"/>
        </w:rPr>
      </w:pPr>
      <w:r w:rsidRPr="00AF462A">
        <w:rPr>
          <w:b/>
          <w:lang w:eastAsia="lv-LV"/>
        </w:rPr>
        <w:t>Darbības rezultāti un to rezultatīvie rādītāji no 202</w:t>
      </w:r>
      <w:r>
        <w:rPr>
          <w:b/>
          <w:lang w:eastAsia="lv-LV"/>
        </w:rPr>
        <w:t>3</w:t>
      </w:r>
      <w:r w:rsidRPr="00AF462A">
        <w:rPr>
          <w:b/>
          <w:lang w:eastAsia="lv-LV"/>
        </w:rPr>
        <w:t xml:space="preserve">. līdz </w:t>
      </w:r>
      <w:r>
        <w:rPr>
          <w:b/>
          <w:lang w:eastAsia="lv-LV"/>
        </w:rPr>
        <w:t>2027.</w:t>
      </w:r>
      <w:r w:rsidRPr="00AF462A">
        <w:rPr>
          <w:b/>
          <w:lang w:eastAsia="lv-LV"/>
        </w:rPr>
        <w:t xml:space="preserve">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4"/>
        <w:gridCol w:w="1147"/>
        <w:gridCol w:w="1147"/>
        <w:gridCol w:w="1147"/>
        <w:gridCol w:w="1147"/>
        <w:gridCol w:w="1169"/>
      </w:tblGrid>
      <w:tr w:rsidR="00A61AE5" w14:paraId="0192FBD9" w14:textId="77777777" w:rsidTr="001F1614">
        <w:trPr>
          <w:tblHeader/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86D3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23FF7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 gads (izpilde)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CD579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gada plāns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66EA2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projekts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EF101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2026.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07705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A61AE5" w14:paraId="3455A157" w14:textId="77777777" w:rsidTr="001F1614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D45F36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Veikts Prokuratūras darbs </w:t>
            </w:r>
            <w:r>
              <w:rPr>
                <w:noProof/>
                <w:sz w:val="18"/>
                <w:szCs w:val="18"/>
                <w:lang w:eastAsia="lv-LV"/>
              </w:rPr>
              <w:t xml:space="preserve">pirmstiesas </w:t>
            </w:r>
            <w:r>
              <w:rPr>
                <w:sz w:val="18"/>
                <w:szCs w:val="18"/>
                <w:lang w:eastAsia="lv-LV"/>
              </w:rPr>
              <w:t>kriminālprocesā</w:t>
            </w:r>
          </w:p>
        </w:tc>
      </w:tr>
      <w:tr w:rsidR="00A61AE5" w:rsidRPr="008761F3" w14:paraId="278EEA9A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B5C3F" w14:textId="77777777" w:rsidR="00A61AE5" w:rsidRPr="002A6080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t>Uzsākti kriminālprocesi, kuros prokurori veic uzraudzību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ECE54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32 403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E4682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33 000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A278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31 000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CD1B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53DB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29 000</w:t>
            </w:r>
          </w:p>
        </w:tc>
      </w:tr>
      <w:tr w:rsidR="00A61AE5" w:rsidRPr="008761F3" w14:paraId="62D1E872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CADB1B" w14:textId="77777777" w:rsidR="00A61AE5" w:rsidRPr="002A6080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A6080">
              <w:rPr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46762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13 865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F0CDD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14 700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7AA3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15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300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9ED3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15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D5CC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14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500</w:t>
            </w:r>
          </w:p>
        </w:tc>
      </w:tr>
      <w:tr w:rsidR="00A61AE5" w:rsidRPr="008761F3" w14:paraId="2987616E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F48A3" w14:textId="77777777" w:rsidR="00A61AE5" w:rsidRPr="002A6080" w:rsidRDefault="00A61AE5" w:rsidP="00433568">
            <w:pPr>
              <w:spacing w:after="0"/>
              <w:ind w:firstLine="0"/>
              <w:rPr>
                <w:iCs/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t>Prokuratūrā pabeigtie kriminālprocesi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26C49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5 424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A0E28C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5 700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C6EA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200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BF5F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7A79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100</w:t>
            </w:r>
          </w:p>
        </w:tc>
      </w:tr>
      <w:tr w:rsidR="00A61AE5" w:rsidRPr="008761F3" w14:paraId="67168B74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17AE6" w14:textId="77777777" w:rsidR="00A61AE5" w:rsidRPr="002A6080" w:rsidRDefault="00A61AE5" w:rsidP="00433568">
            <w:pPr>
              <w:spacing w:after="0"/>
              <w:ind w:firstLine="0"/>
              <w:rPr>
                <w:iCs/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t>Tiesai nodotās krimināllietas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49D66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4 462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D735B5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4 200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50ED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5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4459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09A4" w14:textId="77777777" w:rsidR="00A61AE5" w:rsidRPr="00D46D54" w:rsidRDefault="00A61AE5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6308AB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6308AB">
              <w:rPr>
                <w:sz w:val="18"/>
                <w:szCs w:val="18"/>
                <w:lang w:eastAsia="lv-LV"/>
              </w:rPr>
              <w:t>400</w:t>
            </w:r>
          </w:p>
        </w:tc>
      </w:tr>
      <w:tr w:rsidR="00A61AE5" w:rsidRPr="008761F3" w14:paraId="3E2D8ABE" w14:textId="77777777" w:rsidTr="001F1614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F0C7CA" w14:textId="77777777" w:rsidR="00A61AE5" w:rsidRPr="008761F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Veikts </w:t>
            </w:r>
            <w:r w:rsidRPr="008761F3">
              <w:rPr>
                <w:sz w:val="18"/>
                <w:szCs w:val="18"/>
                <w:lang w:eastAsia="lv-LV"/>
              </w:rPr>
              <w:t xml:space="preserve">Prokuratūras darbs, kas nav saistīts ar </w:t>
            </w:r>
            <w:r w:rsidRPr="008761F3">
              <w:rPr>
                <w:noProof/>
                <w:sz w:val="18"/>
                <w:szCs w:val="18"/>
                <w:lang w:eastAsia="lv-LV"/>
              </w:rPr>
              <w:t>pirmstiesas</w:t>
            </w:r>
            <w:r w:rsidRPr="008761F3">
              <w:rPr>
                <w:sz w:val="18"/>
                <w:szCs w:val="18"/>
                <w:lang w:eastAsia="lv-LV"/>
              </w:rPr>
              <w:t xml:space="preserve"> kriminālprocesa virzību</w:t>
            </w:r>
          </w:p>
        </w:tc>
      </w:tr>
      <w:tr w:rsidR="00A61AE5" w:rsidRPr="008761F3" w14:paraId="7F71CB47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306640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pirmās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F8D2C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4 185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7CECA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4 500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F453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DEEF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800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34F0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900</w:t>
            </w:r>
          </w:p>
        </w:tc>
      </w:tr>
      <w:tr w:rsidR="00A61AE5" w:rsidRPr="008761F3" w14:paraId="6BCFB174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9058CE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apelācijas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BB3F8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909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428D5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310B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5FA5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980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FEF4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000</w:t>
            </w:r>
          </w:p>
        </w:tc>
      </w:tr>
      <w:tr w:rsidR="00A61AE5" w:rsidRPr="008761F3" w14:paraId="58BA47CF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D78EAD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kasācijas instances tiesā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94D19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FB883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39F4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209B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A16A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95</w:t>
            </w:r>
          </w:p>
        </w:tc>
      </w:tr>
      <w:tr w:rsidR="00A61AE5" w:rsidRPr="008761F3" w14:paraId="07093964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61A40A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civillietas ar prokurora piedalīšanos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F1DA7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1 176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1599E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1 100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0D51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AD46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2FE5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900</w:t>
            </w:r>
          </w:p>
        </w:tc>
      </w:tr>
      <w:tr w:rsidR="00A61AE5" w:rsidRPr="008761F3" w14:paraId="660AE64B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B529A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Pārbaudīta informācija, izlemtas sūdzības, veidojot pārbaudes lietas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C83EF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7 542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E452F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7 700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025B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500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0E36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600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0D74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8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C06DE3">
              <w:rPr>
                <w:sz w:val="18"/>
                <w:szCs w:val="18"/>
                <w:lang w:eastAsia="lv-LV"/>
              </w:rPr>
              <w:t>700</w:t>
            </w:r>
          </w:p>
        </w:tc>
      </w:tr>
      <w:tr w:rsidR="00A61AE5" w:rsidRPr="008761F3" w14:paraId="52EF5611" w14:textId="77777777" w:rsidTr="001F1614">
        <w:trPr>
          <w:jc w:val="center"/>
        </w:trPr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31AC34" w14:textId="77777777" w:rsidR="00A61AE5" w:rsidRPr="008761F3" w:rsidRDefault="00A61AE5" w:rsidP="0043356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Izpildīti ārvalstu iestāžu tiesiskās palīdzības lūgumi (skaits)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82261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686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BB4C4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650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684A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DBB7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67D" w14:textId="77777777" w:rsidR="00A61AE5" w:rsidRPr="00C06DE3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6DE3">
              <w:rPr>
                <w:sz w:val="18"/>
                <w:szCs w:val="18"/>
                <w:lang w:eastAsia="lv-LV"/>
              </w:rPr>
              <w:t>700</w:t>
            </w:r>
          </w:p>
        </w:tc>
      </w:tr>
    </w:tbl>
    <w:p w14:paraId="674ADA31" w14:textId="77777777" w:rsidR="00642010" w:rsidRDefault="00642010" w:rsidP="00B77447">
      <w:pPr>
        <w:spacing w:before="240" w:after="240"/>
        <w:ind w:firstLine="0"/>
        <w:jc w:val="center"/>
        <w:rPr>
          <w:b/>
          <w:lang w:eastAsia="lv-LV"/>
        </w:rPr>
      </w:pPr>
    </w:p>
    <w:p w14:paraId="788E81AA" w14:textId="77777777" w:rsidR="00642010" w:rsidRDefault="00642010">
      <w:pPr>
        <w:spacing w:after="0"/>
        <w:ind w:firstLine="0"/>
        <w:jc w:val="left"/>
        <w:rPr>
          <w:b/>
          <w:lang w:eastAsia="lv-LV"/>
        </w:rPr>
      </w:pPr>
      <w:r>
        <w:rPr>
          <w:b/>
          <w:lang w:eastAsia="lv-LV"/>
        </w:rPr>
        <w:br w:type="page"/>
      </w:r>
    </w:p>
    <w:p w14:paraId="42C5ADE8" w14:textId="3DA18595" w:rsidR="00A61AE5" w:rsidRPr="00AF462A" w:rsidRDefault="00A61AE5" w:rsidP="00B77447">
      <w:pPr>
        <w:spacing w:before="240" w:after="240"/>
        <w:ind w:firstLine="0"/>
        <w:jc w:val="center"/>
        <w:rPr>
          <w:lang w:eastAsia="lv-LV"/>
        </w:rPr>
      </w:pPr>
      <w:r w:rsidRPr="00AF462A">
        <w:rPr>
          <w:b/>
          <w:lang w:eastAsia="lv-LV"/>
        </w:rPr>
        <w:lastRenderedPageBreak/>
        <w:t>Finansiālie rādītāji no 202</w:t>
      </w:r>
      <w:r>
        <w:rPr>
          <w:b/>
          <w:lang w:eastAsia="lv-LV"/>
        </w:rPr>
        <w:t>3</w:t>
      </w:r>
      <w:r w:rsidRPr="00AF462A">
        <w:rPr>
          <w:b/>
          <w:lang w:eastAsia="lv-LV"/>
        </w:rPr>
        <w:t>. līdz 202</w:t>
      </w:r>
      <w:r>
        <w:rPr>
          <w:b/>
          <w:lang w:eastAsia="lv-LV"/>
        </w:rPr>
        <w:t>7</w:t>
      </w:r>
      <w:r w:rsidRPr="00AF462A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3"/>
        <w:gridCol w:w="1135"/>
        <w:gridCol w:w="1134"/>
        <w:gridCol w:w="1134"/>
        <w:gridCol w:w="1134"/>
        <w:gridCol w:w="1131"/>
      </w:tblGrid>
      <w:tr w:rsidR="00A61AE5" w14:paraId="2BDEC754" w14:textId="77777777" w:rsidTr="001F1614">
        <w:trPr>
          <w:trHeight w:val="283"/>
          <w:tblHeader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6E0E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3E194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 gads (izpilde)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1EA72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gada plāns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DEAB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projekts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A3C5C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2026.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A612D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A61AE5" w14:paraId="40AD8392" w14:textId="77777777" w:rsidTr="001F1614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919C0A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Kopējie izdevumi,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1BD9CB" w14:textId="77777777" w:rsidR="00A61AE5" w:rsidRPr="00820C3A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7526B">
              <w:rPr>
                <w:sz w:val="18"/>
                <w:szCs w:val="18"/>
              </w:rPr>
              <w:t>44 571 92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7EF006" w14:textId="77777777" w:rsidR="00A61AE5" w:rsidRPr="00820C3A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7526B">
              <w:rPr>
                <w:bCs/>
                <w:sz w:val="18"/>
                <w:szCs w:val="18"/>
              </w:rPr>
              <w:t>50 155 012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CB07A0" w14:textId="77777777" w:rsidR="00A61AE5" w:rsidRDefault="00A61AE5" w:rsidP="00433568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806FD">
              <w:rPr>
                <w:szCs w:val="18"/>
              </w:rPr>
              <w:t>53 199 188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F038C0" w14:textId="77777777" w:rsidR="00A61AE5" w:rsidRDefault="00A61AE5" w:rsidP="00433568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806FD">
              <w:rPr>
                <w:szCs w:val="18"/>
              </w:rPr>
              <w:t>57 658 744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BDFD5D" w14:textId="77777777" w:rsidR="00A61AE5" w:rsidRDefault="00A61AE5" w:rsidP="00433568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806FD">
              <w:rPr>
                <w:szCs w:val="18"/>
              </w:rPr>
              <w:t>52 537 919</w:t>
            </w:r>
          </w:p>
        </w:tc>
      </w:tr>
      <w:tr w:rsidR="00A61AE5" w14:paraId="7E216AB6" w14:textId="77777777" w:rsidTr="001F1614">
        <w:trPr>
          <w:trHeight w:val="28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D4703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Kopējo izdevumu izmaiņas,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A292A" w14:textId="77777777" w:rsidR="00A61AE5" w:rsidRPr="00820C3A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20C3A"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F963" w14:textId="77777777" w:rsidR="00A61AE5" w:rsidRPr="00820C3A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5 583 092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2F98" w14:textId="77777777" w:rsidR="00A61AE5" w:rsidRDefault="00A61AE5" w:rsidP="00433568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3 044 176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B1F6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4 459 556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F8BD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-5 120 825</w:t>
            </w:r>
          </w:p>
        </w:tc>
      </w:tr>
      <w:tr w:rsidR="00A61AE5" w14:paraId="03898D7F" w14:textId="77777777" w:rsidTr="001F1614">
        <w:trPr>
          <w:trHeight w:val="28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7B24A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FA98F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8A346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12,5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837A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6,1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D15C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8,4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8A1F2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-8,9</w:t>
            </w:r>
          </w:p>
        </w:tc>
      </w:tr>
      <w:tr w:rsidR="00A61AE5" w14:paraId="7EA4DED8" w14:textId="77777777" w:rsidTr="001F1614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5E6AD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Atlīdzība,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54C3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35 720 242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957B" w14:textId="77777777" w:rsidR="00A61AE5" w:rsidRPr="004B328A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B328A">
              <w:rPr>
                <w:sz w:val="18"/>
                <w:szCs w:val="18"/>
                <w:lang w:eastAsia="lv-LV"/>
              </w:rPr>
              <w:t>41 777 840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64F4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112A59">
              <w:rPr>
                <w:sz w:val="18"/>
                <w:szCs w:val="18"/>
                <w:lang w:eastAsia="lv-LV"/>
              </w:rPr>
              <w:t>43 118 030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B33D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F3730D">
              <w:rPr>
                <w:sz w:val="18"/>
                <w:szCs w:val="18"/>
                <w:lang w:eastAsia="lv-LV"/>
              </w:rPr>
              <w:t>43 985 696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19C1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021918">
              <w:rPr>
                <w:sz w:val="18"/>
                <w:szCs w:val="18"/>
                <w:lang w:eastAsia="lv-LV"/>
              </w:rPr>
              <w:t>44 006 163</w:t>
            </w:r>
          </w:p>
        </w:tc>
      </w:tr>
      <w:tr w:rsidR="00A61AE5" w14:paraId="4CE8A0C4" w14:textId="77777777" w:rsidTr="001F1614">
        <w:trPr>
          <w:trHeight w:val="7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60DAA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Vidējais amata vietu skaits gadā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FCB7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820C3A">
              <w:rPr>
                <w:sz w:val="18"/>
                <w:szCs w:val="18"/>
                <w:lang w:eastAsia="lv-LV"/>
              </w:rPr>
              <w:t>8</w:t>
            </w:r>
            <w:r>
              <w:rPr>
                <w:sz w:val="18"/>
                <w:szCs w:val="18"/>
                <w:lang w:eastAsia="lv-LV"/>
              </w:rPr>
              <w:t>49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B6AC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B52F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31B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vertAlign w:val="superscript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087D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A61AE5" w14:paraId="3DC4215D" w14:textId="77777777" w:rsidTr="001F1614">
        <w:trPr>
          <w:trHeight w:val="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C54B3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Vidējā atlīdzība amata vietai (mēnesī),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A142B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3 470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497DA" w14:textId="77777777" w:rsidR="00A61AE5" w:rsidRPr="00CD6AFE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D6AFE">
              <w:rPr>
                <w:sz w:val="18"/>
                <w:szCs w:val="18"/>
                <w:lang w:eastAsia="lv-LV"/>
              </w:rPr>
              <w:t>3 820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2650F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CD6AFE">
              <w:rPr>
                <w:sz w:val="18"/>
                <w:szCs w:val="18"/>
                <w:lang w:eastAsia="lv-LV"/>
              </w:rPr>
              <w:t>3 943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BA247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B1501C">
              <w:rPr>
                <w:sz w:val="18"/>
                <w:szCs w:val="18"/>
                <w:lang w:eastAsia="lv-LV"/>
              </w:rPr>
              <w:t>4 023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D4F9D" w14:textId="77777777" w:rsidR="00A61AE5" w:rsidRPr="00D54EAE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B1501C">
              <w:rPr>
                <w:sz w:val="18"/>
                <w:szCs w:val="18"/>
                <w:lang w:eastAsia="lv-LV"/>
              </w:rPr>
              <w:t>4 025</w:t>
            </w:r>
          </w:p>
        </w:tc>
      </w:tr>
      <w:tr w:rsidR="00A61AE5" w14:paraId="7273EED4" w14:textId="77777777" w:rsidTr="001F1614">
        <w:trPr>
          <w:trHeight w:val="567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0B2C5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6FC11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372 654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D10378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7F16FF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A1E69D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18F4CB" w14:textId="77777777" w:rsidR="00A61AE5" w:rsidRPr="00060A92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060A92">
              <w:rPr>
                <w:sz w:val="18"/>
                <w:szCs w:val="18"/>
                <w:lang w:eastAsia="lv-LV"/>
              </w:rPr>
              <w:t>150 444</w:t>
            </w:r>
          </w:p>
        </w:tc>
      </w:tr>
    </w:tbl>
    <w:p w14:paraId="649E281C" w14:textId="77777777" w:rsidR="00A61AE5" w:rsidRPr="00AF462A" w:rsidRDefault="00A61AE5" w:rsidP="00EA34CC">
      <w:pPr>
        <w:spacing w:before="240" w:after="240"/>
        <w:ind w:firstLine="0"/>
        <w:jc w:val="center"/>
        <w:rPr>
          <w:b/>
          <w:szCs w:val="24"/>
          <w:lang w:eastAsia="lv-LV"/>
        </w:rPr>
      </w:pPr>
      <w:r w:rsidRPr="00AF462A">
        <w:rPr>
          <w:b/>
          <w:szCs w:val="24"/>
          <w:lang w:eastAsia="lv-LV"/>
        </w:rPr>
        <w:t>Izmaiņas izdevumos, salīdzinot 202</w:t>
      </w:r>
      <w:r>
        <w:rPr>
          <w:b/>
          <w:szCs w:val="24"/>
          <w:lang w:eastAsia="lv-LV"/>
        </w:rPr>
        <w:t>5</w:t>
      </w:r>
      <w:r w:rsidRPr="00AF462A">
        <w:rPr>
          <w:b/>
          <w:szCs w:val="24"/>
          <w:lang w:eastAsia="lv-LV"/>
        </w:rPr>
        <w:t>. gada p</w:t>
      </w:r>
      <w:r>
        <w:rPr>
          <w:b/>
          <w:szCs w:val="24"/>
          <w:lang w:eastAsia="lv-LV"/>
        </w:rPr>
        <w:t>rojektu</w:t>
      </w:r>
      <w:r w:rsidRPr="00AF462A">
        <w:rPr>
          <w:b/>
          <w:szCs w:val="24"/>
          <w:lang w:eastAsia="lv-LV"/>
        </w:rPr>
        <w:t xml:space="preserve"> ar 202</w:t>
      </w:r>
      <w:r>
        <w:rPr>
          <w:b/>
          <w:szCs w:val="24"/>
          <w:lang w:eastAsia="lv-LV"/>
        </w:rPr>
        <w:t>4</w:t>
      </w:r>
      <w:r w:rsidRPr="00AF462A">
        <w:rPr>
          <w:b/>
          <w:szCs w:val="24"/>
          <w:lang w:eastAsia="lv-LV"/>
        </w:rPr>
        <w:t>. gada plānu</w:t>
      </w:r>
    </w:p>
    <w:p w14:paraId="2275A5FF" w14:textId="77777777" w:rsidR="00A61AE5" w:rsidRPr="00AF462A" w:rsidRDefault="00A61AE5" w:rsidP="00A61AE5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 w:rsidRPr="00AF462A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2"/>
        <w:gridCol w:w="1278"/>
        <w:gridCol w:w="1243"/>
        <w:gridCol w:w="968"/>
      </w:tblGrid>
      <w:tr w:rsidR="00A61AE5" w14:paraId="59D0E954" w14:textId="77777777" w:rsidTr="00DA1A3C">
        <w:trPr>
          <w:trHeight w:val="142"/>
          <w:tblHeader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E9BA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C3FFE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FA853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942B6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A61AE5" w14:paraId="61474AB0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94119C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745C32" w14:textId="77777777" w:rsidR="00A61AE5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 xml:space="preserve">3 382 682 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01D1C9" w14:textId="77777777" w:rsidR="00A61AE5" w:rsidRDefault="00A61AE5" w:rsidP="0043356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6 426 858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DA143C" w14:textId="77777777" w:rsidR="00A61AE5" w:rsidRDefault="00A61AE5" w:rsidP="00433568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3 044 176</w:t>
            </w:r>
          </w:p>
        </w:tc>
      </w:tr>
      <w:tr w:rsidR="00A61AE5" w14:paraId="086C3A11" w14:textId="77777777" w:rsidTr="00DA1A3C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93CC0" w14:textId="77777777" w:rsidR="00A61AE5" w:rsidRDefault="00A61AE5" w:rsidP="00433568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A61AE5" w14:paraId="50589296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AFC4703" w14:textId="77777777" w:rsidR="00A61AE5" w:rsidRDefault="00A61AE5" w:rsidP="00433568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Prioritārie pasākumi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B3D17B3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C33785" w14:textId="77777777" w:rsidR="00A61AE5" w:rsidRPr="00F44951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F44951">
              <w:rPr>
                <w:sz w:val="18"/>
                <w:szCs w:val="18"/>
                <w:lang w:eastAsia="lv-LV"/>
              </w:rPr>
              <w:t>1 504 004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35CF24" w14:textId="77777777" w:rsidR="00A61AE5" w:rsidRPr="00F44951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F44951">
              <w:rPr>
                <w:sz w:val="18"/>
                <w:szCs w:val="18"/>
                <w:lang w:eastAsia="lv-LV"/>
              </w:rPr>
              <w:t>1 504 004</w:t>
            </w:r>
          </w:p>
        </w:tc>
      </w:tr>
      <w:tr w:rsidR="00A61AE5" w14:paraId="08105CAA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C5DA7" w14:textId="77777777" w:rsidR="00A61AE5" w:rsidRPr="00D142F6" w:rsidRDefault="00A61AE5" w:rsidP="00433568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 w:rsidRPr="00D142F6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 xml:space="preserve">Prokuratūras informācijas sistēmas pārvaldības un arhitektūras ietvara pilnveide (MK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19</w:t>
            </w:r>
            <w:r w:rsidRPr="00D142F6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.09.202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4</w:t>
            </w:r>
            <w:r w:rsidRPr="00D142F6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. sēdes prot. Nr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.38 2</w:t>
            </w:r>
            <w:r w:rsidRPr="00D142F6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 xml:space="preserve">.§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2</w:t>
            </w:r>
            <w:r w:rsidRPr="00D142F6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 xml:space="preserve"> .p.)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1D5B8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A5AD" w14:textId="77777777" w:rsidR="00A61AE5" w:rsidRPr="008143D4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8143D4">
              <w:rPr>
                <w:rFonts w:eastAsia="Calibri"/>
                <w:bCs/>
                <w:sz w:val="18"/>
                <w:szCs w:val="18"/>
                <w:lang w:eastAsia="lv-LV"/>
              </w:rPr>
              <w:t>1 452 000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894E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8143D4">
              <w:rPr>
                <w:rFonts w:eastAsia="Calibri"/>
                <w:bCs/>
                <w:sz w:val="18"/>
                <w:szCs w:val="18"/>
                <w:lang w:eastAsia="lv-LV"/>
              </w:rPr>
              <w:t>1 452 000</w:t>
            </w:r>
          </w:p>
        </w:tc>
      </w:tr>
      <w:tr w:rsidR="00A61AE5" w14:paraId="625DC2B7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ABBD" w14:textId="77777777" w:rsidR="00A61AE5" w:rsidRPr="00424AC3" w:rsidRDefault="00A61AE5" w:rsidP="00433568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8143D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Pabalstu un kompensāciju nodrošināšana par dienestu ārvalstīs kvalitatīvai Latvijas nacionālo drošības un ekonomisko interešu aizstāvībai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(</w:t>
            </w:r>
            <w:r w:rsidRPr="00E775A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MK 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19</w:t>
            </w:r>
            <w:r w:rsidRPr="00E775A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.09.202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4</w:t>
            </w:r>
            <w:r w:rsidRPr="00E775A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. sēdes prot. Nr.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38 2</w:t>
            </w:r>
            <w:r w:rsidRPr="00E775A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.§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 xml:space="preserve"> 2</w:t>
            </w:r>
            <w:r w:rsidRPr="00E775A4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.p.</w:t>
            </w:r>
            <w:r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C6487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540D" w14:textId="77777777" w:rsidR="00A61AE5" w:rsidRPr="006B2AAA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B2AAA">
              <w:rPr>
                <w:rFonts w:eastAsia="Calibri"/>
                <w:sz w:val="18"/>
                <w:szCs w:val="18"/>
                <w:lang w:eastAsia="lv-LV"/>
              </w:rPr>
              <w:t>52 004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5BBA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B2AAA">
              <w:rPr>
                <w:rFonts w:eastAsia="Calibri"/>
                <w:sz w:val="18"/>
                <w:szCs w:val="18"/>
                <w:lang w:eastAsia="lv-LV"/>
              </w:rPr>
              <w:t>52 004</w:t>
            </w:r>
          </w:p>
        </w:tc>
      </w:tr>
      <w:tr w:rsidR="00A61AE5" w14:paraId="2F5DBD53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203BFA5" w14:textId="77777777" w:rsidR="00A61AE5" w:rsidRPr="008143D4" w:rsidRDefault="00A61AE5" w:rsidP="00433568">
            <w:pPr>
              <w:spacing w:after="0"/>
              <w:ind w:firstLine="0"/>
              <w:jc w:val="left"/>
              <w:rPr>
                <w:color w:val="FF0000"/>
                <w:sz w:val="18"/>
                <w:szCs w:val="18"/>
                <w:u w:val="single"/>
                <w:lang w:eastAsia="lv-LV"/>
              </w:rPr>
            </w:pPr>
            <w:r w:rsidRPr="00212139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4DBFCA0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C05185">
              <w:rPr>
                <w:sz w:val="18"/>
                <w:szCs w:val="18"/>
                <w:lang w:eastAsia="lv-LV"/>
              </w:rPr>
              <w:t>7</w:t>
            </w:r>
            <w:r>
              <w:rPr>
                <w:sz w:val="18"/>
                <w:szCs w:val="18"/>
                <w:lang w:eastAsia="lv-LV"/>
              </w:rPr>
              <w:t>50 371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6775E3E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C05185">
              <w:rPr>
                <w:sz w:val="18"/>
                <w:szCs w:val="18"/>
                <w:lang w:eastAsia="lv-LV"/>
              </w:rPr>
              <w:t>7</w:t>
            </w:r>
            <w:r>
              <w:rPr>
                <w:sz w:val="18"/>
                <w:szCs w:val="18"/>
                <w:lang w:eastAsia="lv-LV"/>
              </w:rPr>
              <w:t>52 187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C673B60" w14:textId="77777777" w:rsidR="00A61AE5" w:rsidRPr="00C05185" w:rsidRDefault="00A61AE5" w:rsidP="00433568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1 816</w:t>
            </w:r>
          </w:p>
        </w:tc>
      </w:tr>
      <w:tr w:rsidR="00A61AE5" w14:paraId="246FBC70" w14:textId="77777777" w:rsidTr="00DA1A3C">
        <w:trPr>
          <w:trHeight w:val="118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4DEC3" w14:textId="77777777" w:rsidR="00A61AE5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Ēkas Rīgā, Kalnciema ielā 14, telpu nomas maksa (MK 21.09.2017.rīk. Nr.524)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2AEDE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B2DD4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9D3D1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14:paraId="641E8C61" w14:textId="77777777" w:rsidTr="00DA1A3C">
        <w:trPr>
          <w:trHeight w:val="178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CE169" w14:textId="49B42982" w:rsidR="00A61AE5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0A56A8">
              <w:rPr>
                <w:i/>
                <w:sz w:val="18"/>
                <w:szCs w:val="18"/>
                <w:lang w:eastAsia="lv-LV"/>
              </w:rPr>
              <w:t>Nekustamā īpašuma Rīgā, Aspazijas bulvārī 7, telpu nomas maksa (t.sk. telpu nomas maksas pieauguma segšanai, izdevumu pārdale no FM resora (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MK 24.08.2021 sēdes prot. Nr.57 52§ 18.7.5.p.) (MK 21.09.2017. rīk.</w:t>
            </w:r>
            <w:r w:rsidR="00D04B8E"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Nr.525 1.1</w:t>
            </w:r>
            <w:r>
              <w:rPr>
                <w:i/>
                <w:iCs/>
                <w:sz w:val="18"/>
                <w:szCs w:val="18"/>
                <w:lang w:eastAsia="lv-LV"/>
              </w:rPr>
              <w:t>.p.)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07959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1 464 298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C1D13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1 464 298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468A0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14:paraId="7179D86D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C3F4E" w14:textId="382DD756" w:rsidR="00A61AE5" w:rsidRDefault="00A61AE5" w:rsidP="00433568">
            <w:pPr>
              <w:spacing w:after="0"/>
              <w:ind w:firstLine="0"/>
              <w:rPr>
                <w:sz w:val="18"/>
                <w:szCs w:val="18"/>
                <w:u w:val="single"/>
                <w:lang w:eastAsia="lv-LV"/>
              </w:rPr>
            </w:pPr>
            <w:r w:rsidRPr="00542750">
              <w:rPr>
                <w:i/>
                <w:sz w:val="18"/>
                <w:szCs w:val="18"/>
                <w:lang w:eastAsia="lv-LV"/>
              </w:rPr>
              <w:t>Telpu Rīgā, Talejas ielā 1 nomas maksas izdevumu segšana (MK 31.01.2023. sēdes prot. Nr.5 30.§ 3.p.) (MK 01.02.2023. rīk.</w:t>
            </w:r>
            <w:r w:rsidR="004D5D3A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542750">
              <w:rPr>
                <w:i/>
                <w:sz w:val="18"/>
                <w:szCs w:val="18"/>
                <w:lang w:eastAsia="lv-LV"/>
              </w:rPr>
              <w:t>Nr.59 3.p.)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5538D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70 5</w:t>
            </w:r>
            <w:r>
              <w:rPr>
                <w:sz w:val="18"/>
                <w:szCs w:val="18"/>
                <w:lang w:eastAsia="lv-LV"/>
              </w:rPr>
              <w:t>10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31541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70 510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31E99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14:paraId="70FBFDEE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CFBF" w14:textId="309AA80D" w:rsidR="00A61AE5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01423">
              <w:rPr>
                <w:i/>
                <w:sz w:val="18"/>
                <w:szCs w:val="18"/>
                <w:lang w:eastAsia="lv-LV"/>
              </w:rPr>
              <w:t xml:space="preserve">Ēkas </w:t>
            </w:r>
            <w:proofErr w:type="spellStart"/>
            <w:r w:rsidRPr="00301423">
              <w:rPr>
                <w:i/>
                <w:sz w:val="18"/>
                <w:szCs w:val="18"/>
                <w:lang w:eastAsia="lv-LV"/>
              </w:rPr>
              <w:t>Cēsu</w:t>
            </w:r>
            <w:proofErr w:type="spellEnd"/>
            <w:r w:rsidRPr="00301423">
              <w:rPr>
                <w:i/>
                <w:sz w:val="18"/>
                <w:szCs w:val="18"/>
                <w:lang w:eastAsia="lv-LV"/>
              </w:rPr>
              <w:t xml:space="preserve"> ielā 28, Limbažos telpu nomas maksas starpības izdevumu segšana (MK 28.09.2021. rīk.</w:t>
            </w:r>
            <w:r w:rsidR="004D5D3A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301423">
              <w:rPr>
                <w:i/>
                <w:sz w:val="18"/>
                <w:szCs w:val="18"/>
                <w:lang w:eastAsia="lv-LV"/>
              </w:rPr>
              <w:t>Nr.686 3.6.p</w:t>
            </w:r>
            <w:r>
              <w:rPr>
                <w:i/>
                <w:sz w:val="18"/>
                <w:szCs w:val="18"/>
                <w:lang w:eastAsia="lv-LV"/>
              </w:rPr>
              <w:t>.</w:t>
            </w:r>
            <w:r w:rsidRPr="00301423"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BFDC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19 475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1CDB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19 475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F7C5" w14:textId="77777777" w:rsidR="00A61AE5" w:rsidRPr="00C0518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A61AE5" w14:paraId="03A2173F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8A9A" w14:textId="29A3FFD0" w:rsidR="00A61AE5" w:rsidRPr="00FF0A03" w:rsidRDefault="00A61AE5" w:rsidP="00433568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FF0A03">
              <w:rPr>
                <w:i/>
                <w:sz w:val="18"/>
                <w:szCs w:val="18"/>
                <w:lang w:eastAsia="lv-LV"/>
              </w:rPr>
              <w:t xml:space="preserve">Ēkas Krišjāņa Valdemāra ielā 2, Cēsīs, </w:t>
            </w:r>
            <w:proofErr w:type="spellStart"/>
            <w:r w:rsidRPr="00FF0A03">
              <w:rPr>
                <w:i/>
                <w:sz w:val="18"/>
                <w:szCs w:val="18"/>
                <w:lang w:eastAsia="lv-LV"/>
              </w:rPr>
              <w:t>Cēsu</w:t>
            </w:r>
            <w:proofErr w:type="spellEnd"/>
            <w:r w:rsidRPr="00FF0A03">
              <w:rPr>
                <w:i/>
                <w:sz w:val="18"/>
                <w:szCs w:val="18"/>
                <w:lang w:eastAsia="lv-LV"/>
              </w:rPr>
              <w:t xml:space="preserve"> novadā, telpu nomas maksa (MK 27.11.2023. rīk.</w:t>
            </w:r>
            <w:r w:rsidR="004D5D3A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FF0A03">
              <w:rPr>
                <w:i/>
                <w:sz w:val="18"/>
                <w:szCs w:val="18"/>
                <w:lang w:eastAsia="lv-LV"/>
              </w:rPr>
              <w:t>Nr.795 1.1.p.) (atbalstīts Saeimā 2.lasījumā 2023. gada 9. decembrī).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E23B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3 630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252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5 446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92C" w14:textId="77777777" w:rsidR="00A61AE5" w:rsidRPr="00C0518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1 816</w:t>
            </w:r>
          </w:p>
        </w:tc>
      </w:tr>
      <w:tr w:rsidR="00A61AE5" w14:paraId="63EC3868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629071" w14:textId="77777777" w:rsidR="00A61AE5" w:rsidRDefault="00A61AE5" w:rsidP="00433568">
            <w:pPr>
              <w:spacing w:after="0"/>
              <w:ind w:firstLine="0"/>
              <w:jc w:val="left"/>
              <w:rPr>
                <w:i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4C46F8" w14:textId="77777777" w:rsidR="00A61AE5" w:rsidRPr="00844C9F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8308C9">
              <w:rPr>
                <w:sz w:val="18"/>
                <w:szCs w:val="18"/>
                <w:lang w:eastAsia="lv-LV"/>
              </w:rPr>
              <w:t>1 632 311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4B851D" w14:textId="77777777" w:rsidR="00A61AE5" w:rsidRPr="005C4514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B77E04">
              <w:rPr>
                <w:sz w:val="18"/>
                <w:szCs w:val="18"/>
                <w:lang w:eastAsia="lv-LV"/>
              </w:rPr>
              <w:t>3 170 667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E8E76" w14:textId="77777777" w:rsidR="00A61AE5" w:rsidRPr="005C4514" w:rsidRDefault="00A61AE5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7C6727">
              <w:rPr>
                <w:sz w:val="18"/>
                <w:szCs w:val="18"/>
                <w:lang w:eastAsia="lv-LV"/>
              </w:rPr>
              <w:t>1 538 356</w:t>
            </w:r>
          </w:p>
        </w:tc>
      </w:tr>
      <w:tr w:rsidR="00A61AE5" w14:paraId="04597601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CCB37" w14:textId="77777777" w:rsidR="00A61AE5" w:rsidRPr="00820C3A" w:rsidRDefault="00A61AE5" w:rsidP="00433568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FF6881">
              <w:rPr>
                <w:i/>
                <w:iCs/>
                <w:sz w:val="18"/>
                <w:szCs w:val="18"/>
                <w:lang w:eastAsia="lv-LV"/>
              </w:rPr>
              <w:t>Izdevumi, ņemot vērā Saeimas ievēlēto, apstiprināto un iecelto amatpersonu mēnešalgu aprēķināšanas koeficientus (atbilstoši Valsts un pašvaldību institūciju amatpersonu un darbinieku atlīdzības likumam un MK 19.09.2024. sēdes prot. Nr.38 2.§ 40.p.)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CEA3A" w14:textId="77777777" w:rsidR="00A61AE5" w:rsidRPr="005A7240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102E92">
              <w:rPr>
                <w:bCs/>
                <w:sz w:val="18"/>
                <w:szCs w:val="18"/>
                <w:lang w:eastAsia="lv-LV"/>
              </w:rPr>
              <w:t>1</w:t>
            </w:r>
            <w:r>
              <w:rPr>
                <w:bCs/>
                <w:sz w:val="18"/>
                <w:szCs w:val="18"/>
                <w:lang w:eastAsia="lv-LV"/>
              </w:rPr>
              <w:t> </w:t>
            </w:r>
            <w:r w:rsidRPr="00102E92">
              <w:rPr>
                <w:bCs/>
                <w:sz w:val="18"/>
                <w:szCs w:val="18"/>
                <w:lang w:eastAsia="lv-LV"/>
              </w:rPr>
              <w:t>069</w:t>
            </w:r>
            <w:r>
              <w:rPr>
                <w:bCs/>
                <w:sz w:val="18"/>
                <w:szCs w:val="18"/>
                <w:lang w:eastAsia="lv-LV"/>
              </w:rPr>
              <w:t xml:space="preserve"> </w:t>
            </w:r>
            <w:r w:rsidRPr="00102E92">
              <w:rPr>
                <w:bCs/>
                <w:sz w:val="18"/>
                <w:szCs w:val="18"/>
                <w:lang w:eastAsia="lv-LV"/>
              </w:rPr>
              <w:t>861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2869D" w14:textId="77777777" w:rsidR="00A61AE5" w:rsidRPr="00836D20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836D20">
              <w:rPr>
                <w:bCs/>
                <w:sz w:val="18"/>
                <w:szCs w:val="18"/>
                <w:lang w:eastAsia="lv-LV"/>
              </w:rPr>
              <w:t>1 887 990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3232E" w14:textId="77777777" w:rsidR="00A61AE5" w:rsidRPr="00D6061E" w:rsidRDefault="00A61AE5" w:rsidP="00433568">
            <w:pPr>
              <w:spacing w:after="0"/>
              <w:ind w:firstLine="0"/>
              <w:jc w:val="right"/>
              <w:rPr>
                <w:bCs/>
                <w:sz w:val="17"/>
                <w:szCs w:val="17"/>
                <w:lang w:eastAsia="lv-LV"/>
              </w:rPr>
            </w:pPr>
            <w:r>
              <w:rPr>
                <w:bCs/>
                <w:sz w:val="17"/>
                <w:szCs w:val="17"/>
                <w:lang w:eastAsia="lv-LV"/>
              </w:rPr>
              <w:t>818 129</w:t>
            </w:r>
          </w:p>
        </w:tc>
      </w:tr>
      <w:tr w:rsidR="00A61AE5" w14:paraId="6A034FDE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0B31E" w14:textId="77777777" w:rsidR="00A61AE5" w:rsidRPr="00820C3A" w:rsidRDefault="00A61AE5" w:rsidP="00433568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FF6881">
              <w:rPr>
                <w:i/>
                <w:iCs/>
                <w:sz w:val="18"/>
                <w:szCs w:val="18"/>
                <w:lang w:eastAsia="lv-LV"/>
              </w:rPr>
              <w:t>Minimālās mēneša darba algas palielināšana (MK 19.09.2024 sēdes prot. Nr.38 2.§ 2.p.)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46CEC" w14:textId="77777777" w:rsidR="00A61AE5" w:rsidRPr="00C70787" w:rsidRDefault="00A61AE5" w:rsidP="0043356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C70787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C390A5" w14:textId="77777777" w:rsidR="00A61AE5" w:rsidRPr="00C70787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16 907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0EDE6" w14:textId="77777777" w:rsidR="00A61AE5" w:rsidRPr="00C70787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16 907</w:t>
            </w:r>
          </w:p>
        </w:tc>
      </w:tr>
      <w:tr w:rsidR="00A61AE5" w14:paraId="5CEADB71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BE426" w14:textId="1A4A5B1C" w:rsidR="00A61AE5" w:rsidRPr="00AA221B" w:rsidRDefault="00A61AE5" w:rsidP="00433568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proofErr w:type="spellStart"/>
            <w:r w:rsidRPr="008179CA">
              <w:rPr>
                <w:i/>
                <w:iCs/>
                <w:sz w:val="18"/>
                <w:szCs w:val="18"/>
                <w:lang w:eastAsia="lv-LV"/>
              </w:rPr>
              <w:t>Transferts</w:t>
            </w:r>
            <w:proofErr w:type="spellEnd"/>
            <w:r w:rsidRPr="008179CA">
              <w:rPr>
                <w:i/>
                <w:iCs/>
                <w:sz w:val="18"/>
                <w:szCs w:val="18"/>
                <w:lang w:eastAsia="lv-LV"/>
              </w:rPr>
              <w:t xml:space="preserve"> no IeM uz Prokuratūru, lai nodrošinātu prokuratūras darbinieku izglītības ieguvi konsorcija </w:t>
            </w:r>
            <w:r w:rsidR="00EA34CC">
              <w:rPr>
                <w:i/>
                <w:iCs/>
                <w:sz w:val="18"/>
                <w:szCs w:val="18"/>
                <w:lang w:eastAsia="lv-LV"/>
              </w:rPr>
              <w:t>“</w:t>
            </w:r>
            <w:r w:rsidRPr="008179CA">
              <w:rPr>
                <w:i/>
                <w:iCs/>
                <w:sz w:val="18"/>
                <w:szCs w:val="18"/>
                <w:lang w:eastAsia="lv-LV"/>
              </w:rPr>
              <w:t>Iekšējās drošības akadēmija” studiju programmās (otrā cikla profesionālās augstākās izglītības studiju programmā “</w:t>
            </w:r>
            <w:proofErr w:type="spellStart"/>
            <w:r w:rsidRPr="008179CA">
              <w:rPr>
                <w:i/>
                <w:iCs/>
                <w:sz w:val="18"/>
                <w:szCs w:val="18"/>
                <w:lang w:eastAsia="lv-LV"/>
              </w:rPr>
              <w:t>Pirmstiesas</w:t>
            </w:r>
            <w:proofErr w:type="spellEnd"/>
            <w:r w:rsidRPr="008179CA">
              <w:rPr>
                <w:i/>
                <w:iCs/>
                <w:sz w:val="18"/>
                <w:szCs w:val="18"/>
                <w:lang w:eastAsia="lv-LV"/>
              </w:rPr>
              <w:t xml:space="preserve"> izmeklēšana”, ko īsteno Latvijas Universitāte (ĢP 19.09.2024. vēstule Nr.101-2024-00440)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C39E0" w14:textId="0769CB09" w:rsidR="00A61AE5" w:rsidRPr="00C70787" w:rsidRDefault="005551C8" w:rsidP="0043356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54FCA" w14:textId="77777777" w:rsidR="00A61AE5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20 060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2FDAE" w14:textId="77777777" w:rsidR="00A61AE5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20 060</w:t>
            </w:r>
          </w:p>
        </w:tc>
      </w:tr>
      <w:tr w:rsidR="00A61AE5" w14:paraId="7E8E7C4D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17915" w14:textId="12A478E1" w:rsidR="00A61AE5" w:rsidRPr="00820C3A" w:rsidRDefault="00A61AE5" w:rsidP="00433568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B75E96">
              <w:rPr>
                <w:bCs/>
                <w:i/>
                <w:sz w:val="18"/>
                <w:szCs w:val="18"/>
                <w:lang w:eastAsia="lv-LV"/>
              </w:rPr>
              <w:t>Izdevumu izmaiņas 202</w:t>
            </w:r>
            <w:r>
              <w:rPr>
                <w:bCs/>
                <w:i/>
                <w:sz w:val="18"/>
                <w:szCs w:val="18"/>
                <w:lang w:eastAsia="lv-LV"/>
              </w:rPr>
              <w:t>4</w:t>
            </w:r>
            <w:r w:rsidRPr="00B75E96">
              <w:rPr>
                <w:bCs/>
                <w:i/>
                <w:sz w:val="18"/>
                <w:szCs w:val="18"/>
                <w:lang w:eastAsia="lv-LV"/>
              </w:rPr>
              <w:t>.</w:t>
            </w:r>
            <w:r w:rsidR="007D452F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>-</w:t>
            </w:r>
            <w:r w:rsidR="007D452F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>2026.</w:t>
            </w:r>
            <w:r w:rsidR="007D452F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B75E96">
              <w:rPr>
                <w:bCs/>
                <w:i/>
                <w:sz w:val="18"/>
                <w:szCs w:val="18"/>
                <w:lang w:eastAsia="lv-LV"/>
              </w:rPr>
              <w:t>gada prioritārajam pasākumam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“</w:t>
            </w:r>
            <w:r w:rsidRPr="004C04A3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Prokuratūras darbinieku atalgojuma palielināšana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” (</w:t>
            </w:r>
            <w:r w:rsidRPr="00E775A4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MK 26.09.2023. sēdes prot. Nr.47 43.§  2.p.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EFE36" w14:textId="77777777" w:rsidR="00A61AE5" w:rsidRPr="0024259E" w:rsidRDefault="00A61AE5" w:rsidP="00433568">
            <w:pPr>
              <w:spacing w:after="0"/>
              <w:ind w:firstLine="0"/>
              <w:jc w:val="center"/>
              <w:rPr>
                <w:bCs/>
                <w:color w:val="FF0000"/>
                <w:sz w:val="18"/>
                <w:szCs w:val="18"/>
                <w:lang w:eastAsia="lv-LV"/>
              </w:rPr>
            </w:pPr>
            <w:r w:rsidRPr="00DA5B3B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B2075" w14:textId="77777777" w:rsidR="00A61AE5" w:rsidRPr="0024259E" w:rsidRDefault="00A61AE5" w:rsidP="00433568">
            <w:pPr>
              <w:spacing w:after="0"/>
              <w:ind w:firstLine="0"/>
              <w:jc w:val="right"/>
              <w:rPr>
                <w:bCs/>
                <w:color w:val="FF0000"/>
                <w:sz w:val="18"/>
                <w:szCs w:val="18"/>
                <w:lang w:eastAsia="lv-LV"/>
              </w:rPr>
            </w:pPr>
            <w:r w:rsidRPr="00D81435">
              <w:rPr>
                <w:bCs/>
                <w:sz w:val="18"/>
                <w:szCs w:val="18"/>
                <w:lang w:eastAsia="lv-LV"/>
              </w:rPr>
              <w:t>505 154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8DCE1" w14:textId="77777777" w:rsidR="00A61AE5" w:rsidRPr="0024259E" w:rsidRDefault="00A61AE5" w:rsidP="00433568">
            <w:pPr>
              <w:spacing w:after="0"/>
              <w:ind w:firstLine="0"/>
              <w:jc w:val="right"/>
              <w:rPr>
                <w:bCs/>
                <w:color w:val="FF0000"/>
                <w:sz w:val="18"/>
                <w:szCs w:val="18"/>
                <w:lang w:eastAsia="lv-LV"/>
              </w:rPr>
            </w:pPr>
            <w:r w:rsidRPr="00D81435">
              <w:rPr>
                <w:bCs/>
                <w:sz w:val="18"/>
                <w:szCs w:val="18"/>
                <w:lang w:eastAsia="lv-LV"/>
              </w:rPr>
              <w:t>505 154</w:t>
            </w:r>
          </w:p>
        </w:tc>
      </w:tr>
      <w:tr w:rsidR="00A61AE5" w14:paraId="4E98C5D0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38AA3" w14:textId="37EB41AB" w:rsidR="00A61AE5" w:rsidRPr="00B75E96" w:rsidRDefault="00A61AE5" w:rsidP="00433568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Samazināti izdevumi, kas tika paredzēti vienreizējo pārcelšanās </w:t>
            </w:r>
            <w:r>
              <w:rPr>
                <w:bCs/>
                <w:i/>
                <w:sz w:val="18"/>
                <w:szCs w:val="18"/>
                <w:lang w:eastAsia="lv-LV"/>
              </w:rPr>
              <w:t>no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ēk</w:t>
            </w:r>
            <w:r>
              <w:rPr>
                <w:bCs/>
                <w:i/>
                <w:sz w:val="18"/>
                <w:szCs w:val="18"/>
                <w:lang w:eastAsia="lv-LV"/>
              </w:rPr>
              <w:t>as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Kalpaka bulvārī 6, Rīgā 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uz pagaidu telpām Talejas ielā 1 un Ierēdņu ielā 3, Rīgā, 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izdevumu segšanai 202</w:t>
            </w:r>
            <w:r>
              <w:rPr>
                <w:bCs/>
                <w:i/>
                <w:sz w:val="18"/>
                <w:szCs w:val="18"/>
                <w:lang w:eastAsia="lv-LV"/>
              </w:rPr>
              <w:t>4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</w:t>
            </w:r>
            <w:r w:rsidR="007D452F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gadā </w:t>
            </w:r>
            <w:r>
              <w:rPr>
                <w:bCs/>
                <w:i/>
                <w:sz w:val="18"/>
                <w:szCs w:val="18"/>
                <w:lang w:eastAsia="lv-LV"/>
              </w:rPr>
              <w:t>(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saskaņā ar MK 2</w:t>
            </w:r>
            <w:r>
              <w:rPr>
                <w:bCs/>
                <w:i/>
                <w:sz w:val="18"/>
                <w:szCs w:val="18"/>
                <w:lang w:eastAsia="lv-LV"/>
              </w:rPr>
              <w:t>7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</w:t>
            </w:r>
            <w:r>
              <w:rPr>
                <w:bCs/>
                <w:i/>
                <w:sz w:val="18"/>
                <w:szCs w:val="18"/>
                <w:lang w:eastAsia="lv-LV"/>
              </w:rPr>
              <w:t>11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.202</w:t>
            </w:r>
            <w:r>
              <w:rPr>
                <w:bCs/>
                <w:i/>
                <w:sz w:val="18"/>
                <w:szCs w:val="18"/>
                <w:lang w:eastAsia="lv-LV"/>
              </w:rPr>
              <w:t>3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 rīk.</w:t>
            </w:r>
            <w:r w:rsidR="004D5D3A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Nr.</w:t>
            </w:r>
            <w:r>
              <w:rPr>
                <w:bCs/>
                <w:i/>
                <w:sz w:val="18"/>
                <w:szCs w:val="18"/>
                <w:lang w:eastAsia="lv-LV"/>
              </w:rPr>
              <w:t>792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3.</w:t>
            </w:r>
            <w:r>
              <w:rPr>
                <w:bCs/>
                <w:i/>
                <w:sz w:val="18"/>
                <w:szCs w:val="18"/>
                <w:lang w:eastAsia="lv-LV"/>
              </w:rPr>
              <w:t>2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.p</w:t>
            </w:r>
            <w:r>
              <w:rPr>
                <w:bCs/>
                <w:i/>
                <w:sz w:val="18"/>
                <w:szCs w:val="18"/>
                <w:lang w:eastAsia="lv-LV"/>
              </w:rPr>
              <w:t>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A6203" w14:textId="77777777" w:rsidR="00A61AE5" w:rsidRDefault="00A61AE5" w:rsidP="00433568">
            <w:pPr>
              <w:spacing w:after="0"/>
              <w:ind w:firstLine="0"/>
              <w:jc w:val="right"/>
              <w:rPr>
                <w:bCs/>
                <w:color w:val="FF0000"/>
                <w:sz w:val="18"/>
                <w:szCs w:val="18"/>
                <w:lang w:eastAsia="lv-LV"/>
              </w:rPr>
            </w:pPr>
            <w:r w:rsidRPr="001F0911">
              <w:rPr>
                <w:bCs/>
                <w:sz w:val="18"/>
                <w:szCs w:val="18"/>
                <w:lang w:eastAsia="lv-LV"/>
              </w:rPr>
              <w:t>361 537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EDBEA" w14:textId="3C28E1C3" w:rsidR="00A61AE5" w:rsidRDefault="005551C8" w:rsidP="005551C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77D25" w14:textId="77777777" w:rsidR="00A61AE5" w:rsidRPr="00D81435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-361 537</w:t>
            </w:r>
          </w:p>
        </w:tc>
      </w:tr>
      <w:tr w:rsidR="00A61AE5" w14:paraId="601F251A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9A071" w14:textId="3C25CB13" w:rsidR="00A61AE5" w:rsidRPr="00310B68" w:rsidRDefault="00A61AE5" w:rsidP="00433568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>Palielināti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 xml:space="preserve"> izdevumi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 xml:space="preserve">pagaidu telpu nomas maksas un komunālo pakalpojumu izdevumu segšanai 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Talejas ielā 1 un Ierēdņu ielā 3, Rīgā, 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>202</w:t>
            </w:r>
            <w:r>
              <w:rPr>
                <w:bCs/>
                <w:i/>
                <w:sz w:val="18"/>
                <w:szCs w:val="18"/>
                <w:lang w:eastAsia="lv-LV"/>
              </w:rPr>
              <w:t>5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>.gadā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(ņemot vērā prokuratūras bāzes izdevumos pieejamo finansējumu) (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>saskaņā ar MK 28.09.2021. rīk.</w:t>
            </w:r>
            <w:r w:rsidR="004D5D3A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660835">
              <w:rPr>
                <w:bCs/>
                <w:i/>
                <w:sz w:val="18"/>
                <w:szCs w:val="18"/>
                <w:lang w:eastAsia="lv-LV"/>
              </w:rPr>
              <w:t>Nr.686  3.3.p</w:t>
            </w:r>
            <w:r>
              <w:rPr>
                <w:bCs/>
                <w:i/>
                <w:sz w:val="18"/>
                <w:szCs w:val="18"/>
                <w:lang w:eastAsia="lv-LV"/>
              </w:rPr>
              <w:t>.)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BCEDC2" w14:textId="77777777" w:rsidR="00A61AE5" w:rsidRDefault="00A61AE5" w:rsidP="00433568">
            <w:pPr>
              <w:spacing w:after="0"/>
              <w:ind w:firstLine="0"/>
              <w:jc w:val="center"/>
              <w:rPr>
                <w:bCs/>
                <w:color w:val="FF0000"/>
                <w:sz w:val="18"/>
                <w:szCs w:val="18"/>
                <w:lang w:eastAsia="lv-LV"/>
              </w:rPr>
            </w:pPr>
            <w:r w:rsidRPr="00E52018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A1C18" w14:textId="77777777" w:rsidR="00A61AE5" w:rsidRPr="00CE78F2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CE78F2">
              <w:rPr>
                <w:bCs/>
                <w:sz w:val="18"/>
                <w:szCs w:val="18"/>
                <w:lang w:eastAsia="lv-LV"/>
              </w:rPr>
              <w:t>740 556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49EDD" w14:textId="77777777" w:rsidR="00A61AE5" w:rsidRPr="00CE78F2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CE78F2">
              <w:rPr>
                <w:bCs/>
                <w:sz w:val="18"/>
                <w:szCs w:val="18"/>
                <w:lang w:eastAsia="lv-LV"/>
              </w:rPr>
              <w:t>740 556</w:t>
            </w:r>
          </w:p>
        </w:tc>
      </w:tr>
      <w:tr w:rsidR="00A61AE5" w14:paraId="4548C05E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F45B7" w14:textId="37412C1F" w:rsidR="00A61AE5" w:rsidRDefault="00A61AE5" w:rsidP="00433568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lastRenderedPageBreak/>
              <w:t xml:space="preserve">Samazināti izdevumi, kas tika paredzēti ēkas </w:t>
            </w:r>
            <w:proofErr w:type="spellStart"/>
            <w:r>
              <w:rPr>
                <w:bCs/>
                <w:i/>
                <w:sz w:val="18"/>
                <w:szCs w:val="18"/>
                <w:lang w:eastAsia="lv-LV"/>
              </w:rPr>
              <w:t>Kr</w:t>
            </w:r>
            <w:proofErr w:type="spellEnd"/>
            <w:r>
              <w:rPr>
                <w:bCs/>
                <w:i/>
                <w:sz w:val="18"/>
                <w:szCs w:val="18"/>
                <w:lang w:eastAsia="lv-LV"/>
              </w:rPr>
              <w:t xml:space="preserve">. Valdemāra ielā 2, Cēsīs, </w:t>
            </w:r>
            <w:proofErr w:type="spellStart"/>
            <w:r>
              <w:rPr>
                <w:bCs/>
                <w:i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bCs/>
                <w:i/>
                <w:sz w:val="18"/>
                <w:szCs w:val="18"/>
                <w:lang w:eastAsia="lv-LV"/>
              </w:rPr>
              <w:t xml:space="preserve"> novadā telpu pielāgošanas izdevumu segšanai VAS “Valsts nekustamie īpašumi” 2024.</w:t>
            </w:r>
            <w:r w:rsidR="007D452F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gadā </w:t>
            </w:r>
            <w:r w:rsidRPr="00C31299">
              <w:rPr>
                <w:i/>
                <w:sz w:val="18"/>
                <w:szCs w:val="18"/>
                <w:lang w:eastAsia="lv-LV"/>
              </w:rPr>
              <w:t>(MK 27.11.2023. rīk.</w:t>
            </w:r>
            <w:r w:rsidR="003A6C06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C31299">
              <w:rPr>
                <w:i/>
                <w:sz w:val="18"/>
                <w:szCs w:val="18"/>
                <w:lang w:eastAsia="lv-LV"/>
              </w:rPr>
              <w:t>Nr.795 1.</w:t>
            </w:r>
            <w:r>
              <w:rPr>
                <w:i/>
                <w:sz w:val="18"/>
                <w:szCs w:val="18"/>
                <w:lang w:eastAsia="lv-LV"/>
              </w:rPr>
              <w:t>2</w:t>
            </w:r>
            <w:r w:rsidRPr="00C31299">
              <w:rPr>
                <w:i/>
                <w:sz w:val="18"/>
                <w:szCs w:val="18"/>
                <w:lang w:eastAsia="lv-LV"/>
              </w:rPr>
              <w:t xml:space="preserve">.p.) </w:t>
            </w:r>
            <w:r w:rsidRPr="00FF0A03">
              <w:rPr>
                <w:i/>
                <w:sz w:val="18"/>
                <w:szCs w:val="18"/>
                <w:lang w:eastAsia="lv-LV"/>
              </w:rPr>
              <w:t>(atbalstīts Saeimā 2.lasījumā 2023. gada 9. decembrī).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24D35" w14:textId="77777777" w:rsidR="00A61AE5" w:rsidRPr="00BC15E8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BC15E8">
              <w:rPr>
                <w:bCs/>
                <w:sz w:val="18"/>
                <w:szCs w:val="18"/>
                <w:lang w:eastAsia="lv-LV"/>
              </w:rPr>
              <w:t>104 076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8A7EB" w14:textId="77777777" w:rsidR="00A61AE5" w:rsidRPr="00BC15E8" w:rsidRDefault="00A61AE5" w:rsidP="0043356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BC15E8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ECF04" w14:textId="77777777" w:rsidR="00A61AE5" w:rsidRPr="00BC15E8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BC15E8">
              <w:rPr>
                <w:bCs/>
                <w:sz w:val="18"/>
                <w:szCs w:val="18"/>
                <w:lang w:eastAsia="lv-LV"/>
              </w:rPr>
              <w:t>-104 076</w:t>
            </w:r>
          </w:p>
        </w:tc>
      </w:tr>
      <w:tr w:rsidR="00A61AE5" w14:paraId="58B9EFE1" w14:textId="77777777" w:rsidTr="00DA1A3C">
        <w:trPr>
          <w:trHeight w:val="142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8AFEA" w14:textId="605774A7" w:rsidR="00A61AE5" w:rsidRDefault="00A61AE5" w:rsidP="00433568">
            <w:pPr>
              <w:spacing w:after="0"/>
              <w:ind w:firstLine="0"/>
              <w:rPr>
                <w:bCs/>
                <w:i/>
                <w:sz w:val="18"/>
                <w:szCs w:val="18"/>
                <w:lang w:eastAsia="lv-LV"/>
              </w:rPr>
            </w:pPr>
            <w:r>
              <w:rPr>
                <w:bCs/>
                <w:i/>
                <w:sz w:val="18"/>
                <w:szCs w:val="18"/>
                <w:lang w:eastAsia="lv-LV"/>
              </w:rPr>
              <w:t xml:space="preserve">Samazināti izdevumi, kas tika paredzēti 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vienreizējo pārcelšanās </w:t>
            </w:r>
            <w:r>
              <w:rPr>
                <w:bCs/>
                <w:i/>
                <w:sz w:val="18"/>
                <w:szCs w:val="18"/>
                <w:lang w:eastAsia="lv-LV"/>
              </w:rPr>
              <w:t>no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ēk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as Bērzaines ielā 6, Cēsīs, </w:t>
            </w:r>
            <w:proofErr w:type="spellStart"/>
            <w:r>
              <w:rPr>
                <w:bCs/>
                <w:i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bCs/>
                <w:i/>
                <w:sz w:val="18"/>
                <w:szCs w:val="18"/>
                <w:lang w:eastAsia="lv-LV"/>
              </w:rPr>
              <w:t xml:space="preserve"> novadā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uz ēku </w:t>
            </w:r>
            <w:proofErr w:type="spellStart"/>
            <w:r>
              <w:rPr>
                <w:bCs/>
                <w:i/>
                <w:sz w:val="18"/>
                <w:szCs w:val="18"/>
                <w:lang w:eastAsia="lv-LV"/>
              </w:rPr>
              <w:t>Kr</w:t>
            </w:r>
            <w:proofErr w:type="spellEnd"/>
            <w:r>
              <w:rPr>
                <w:bCs/>
                <w:i/>
                <w:sz w:val="18"/>
                <w:szCs w:val="18"/>
                <w:lang w:eastAsia="lv-LV"/>
              </w:rPr>
              <w:t xml:space="preserve">. Valdemāra ielā 2, Cēsīs, </w:t>
            </w:r>
            <w:proofErr w:type="spellStart"/>
            <w:r>
              <w:rPr>
                <w:bCs/>
                <w:i/>
                <w:sz w:val="18"/>
                <w:szCs w:val="18"/>
                <w:lang w:eastAsia="lv-LV"/>
              </w:rPr>
              <w:t>Cēsu</w:t>
            </w:r>
            <w:proofErr w:type="spellEnd"/>
            <w:r>
              <w:rPr>
                <w:bCs/>
                <w:i/>
                <w:sz w:val="18"/>
                <w:szCs w:val="18"/>
                <w:lang w:eastAsia="lv-LV"/>
              </w:rPr>
              <w:t xml:space="preserve"> novadā,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 xml:space="preserve"> izdevumu segšanai 202</w:t>
            </w:r>
            <w:r>
              <w:rPr>
                <w:bCs/>
                <w:i/>
                <w:sz w:val="18"/>
                <w:szCs w:val="18"/>
                <w:lang w:eastAsia="lv-LV"/>
              </w:rPr>
              <w:t>4</w:t>
            </w:r>
            <w:r w:rsidRPr="00310B68">
              <w:rPr>
                <w:bCs/>
                <w:i/>
                <w:sz w:val="18"/>
                <w:szCs w:val="18"/>
                <w:lang w:eastAsia="lv-LV"/>
              </w:rPr>
              <w:t>.gadā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C31299">
              <w:rPr>
                <w:i/>
                <w:sz w:val="18"/>
                <w:szCs w:val="18"/>
                <w:lang w:eastAsia="lv-LV"/>
              </w:rPr>
              <w:t>(MK 27.11.2023. rīk.</w:t>
            </w:r>
            <w:r w:rsidR="003A6C06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C31299">
              <w:rPr>
                <w:i/>
                <w:sz w:val="18"/>
                <w:szCs w:val="18"/>
                <w:lang w:eastAsia="lv-LV"/>
              </w:rPr>
              <w:t>Nr.795 1.</w:t>
            </w:r>
            <w:r>
              <w:rPr>
                <w:i/>
                <w:sz w:val="18"/>
                <w:szCs w:val="18"/>
                <w:lang w:eastAsia="lv-LV"/>
              </w:rPr>
              <w:t>3</w:t>
            </w:r>
            <w:r w:rsidRPr="00C31299">
              <w:rPr>
                <w:i/>
                <w:sz w:val="18"/>
                <w:szCs w:val="18"/>
                <w:lang w:eastAsia="lv-LV"/>
              </w:rPr>
              <w:t xml:space="preserve">.p.) </w:t>
            </w:r>
            <w:r w:rsidRPr="00FF0A03">
              <w:rPr>
                <w:i/>
                <w:sz w:val="18"/>
                <w:szCs w:val="18"/>
                <w:lang w:eastAsia="lv-LV"/>
              </w:rPr>
              <w:t>(atbalstīts Saeimā 2.lasījumā 2023. gada 9. decembrī)</w:t>
            </w:r>
            <w:r w:rsidRPr="00C31299">
              <w:rPr>
                <w:i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16EB6" w14:textId="77777777" w:rsidR="00A61AE5" w:rsidRPr="00BC15E8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3 246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119A2" w14:textId="77777777" w:rsidR="00A61AE5" w:rsidRPr="00BC15E8" w:rsidRDefault="00A61AE5" w:rsidP="0043356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10356" w14:textId="77777777" w:rsidR="00A61AE5" w:rsidRPr="00BC15E8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-3 246</w:t>
            </w:r>
          </w:p>
        </w:tc>
      </w:tr>
      <w:tr w:rsidR="00A61AE5" w14:paraId="41C65EE8" w14:textId="77777777" w:rsidTr="00DA1A3C">
        <w:trPr>
          <w:trHeight w:val="354"/>
          <w:jc w:val="center"/>
        </w:trPr>
        <w:tc>
          <w:tcPr>
            <w:tcW w:w="3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48252" w14:textId="16232747" w:rsidR="00A61AE5" w:rsidRPr="00FF0A03" w:rsidRDefault="00A61AE5" w:rsidP="00433568">
            <w:pPr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FF0A03">
              <w:rPr>
                <w:i/>
                <w:iCs/>
                <w:sz w:val="18"/>
                <w:szCs w:val="18"/>
                <w:lang w:eastAsia="lv-LV"/>
              </w:rPr>
              <w:t xml:space="preserve">Samazināti izdevumi, kas tika paredzēti aprīkojuma iegādes ēkai </w:t>
            </w:r>
            <w:proofErr w:type="spellStart"/>
            <w:r w:rsidRPr="00FF0A03">
              <w:rPr>
                <w:i/>
                <w:iCs/>
                <w:sz w:val="18"/>
                <w:szCs w:val="18"/>
                <w:lang w:eastAsia="lv-LV"/>
              </w:rPr>
              <w:t>Kr</w:t>
            </w:r>
            <w:proofErr w:type="spellEnd"/>
            <w:r w:rsidRPr="00FF0A03">
              <w:rPr>
                <w:i/>
                <w:iCs/>
                <w:sz w:val="18"/>
                <w:szCs w:val="18"/>
                <w:lang w:eastAsia="lv-LV"/>
              </w:rPr>
              <w:t xml:space="preserve">. Valdemāra ielā 2, Cēsīs, </w:t>
            </w:r>
            <w:proofErr w:type="spellStart"/>
            <w:r w:rsidRPr="00FF0A03">
              <w:rPr>
                <w:i/>
                <w:iCs/>
                <w:sz w:val="18"/>
                <w:szCs w:val="18"/>
                <w:lang w:eastAsia="lv-LV"/>
              </w:rPr>
              <w:t>Cēsu</w:t>
            </w:r>
            <w:proofErr w:type="spellEnd"/>
            <w:r w:rsidRPr="00FF0A03">
              <w:rPr>
                <w:i/>
                <w:iCs/>
                <w:sz w:val="18"/>
                <w:szCs w:val="18"/>
                <w:lang w:eastAsia="lv-LV"/>
              </w:rPr>
              <w:t xml:space="preserve"> novadā, izdevumu segšanai 2024.</w:t>
            </w:r>
            <w:r w:rsidR="007D452F"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FF0A03">
              <w:rPr>
                <w:i/>
                <w:iCs/>
                <w:sz w:val="18"/>
                <w:szCs w:val="18"/>
                <w:lang w:eastAsia="lv-LV"/>
              </w:rPr>
              <w:t>gadā (MK 27.11.2023. rīk.</w:t>
            </w:r>
            <w:r w:rsidR="003A6C06"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FF0A03">
              <w:rPr>
                <w:i/>
                <w:iCs/>
                <w:sz w:val="18"/>
                <w:szCs w:val="18"/>
                <w:lang w:eastAsia="lv-LV"/>
              </w:rPr>
              <w:t>Nr.795 1.4.p.) (atbalstīts Saeimā 2.lasījumā 2023. gada 9. decembrī)</w:t>
            </w:r>
            <w:r>
              <w:rPr>
                <w:i/>
                <w:iCs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88019" w14:textId="77777777" w:rsidR="00A61AE5" w:rsidRPr="008308C9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8308C9">
              <w:rPr>
                <w:bCs/>
                <w:sz w:val="18"/>
                <w:szCs w:val="18"/>
                <w:lang w:eastAsia="lv-LV"/>
              </w:rPr>
              <w:t>93 591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6FFC0" w14:textId="77777777" w:rsidR="00A61AE5" w:rsidRPr="008308C9" w:rsidRDefault="00A61AE5" w:rsidP="00433568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8308C9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E12DC" w14:textId="77777777" w:rsidR="00A61AE5" w:rsidRPr="008308C9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8308C9">
              <w:rPr>
                <w:bCs/>
                <w:sz w:val="18"/>
                <w:szCs w:val="18"/>
                <w:lang w:eastAsia="lv-LV"/>
              </w:rPr>
              <w:t>-93 591</w:t>
            </w:r>
          </w:p>
        </w:tc>
      </w:tr>
    </w:tbl>
    <w:p w14:paraId="495BEF63" w14:textId="77777777" w:rsidR="00A61AE5" w:rsidRDefault="00A61AE5" w:rsidP="00F06F2C">
      <w:pPr>
        <w:spacing w:before="240" w:after="240"/>
        <w:ind w:firstLine="0"/>
        <w:jc w:val="center"/>
        <w:rPr>
          <w:b/>
          <w:bCs/>
          <w:color w:val="FF0000"/>
          <w:szCs w:val="24"/>
          <w:lang w:eastAsia="lv-LV"/>
        </w:rPr>
      </w:pPr>
      <w:r w:rsidRPr="009D4161">
        <w:rPr>
          <w:b/>
          <w:bCs/>
          <w:szCs w:val="24"/>
          <w:lang w:eastAsia="lv-LV"/>
        </w:rPr>
        <w:t>74.06.00 Atveseļošanas un noturības mehānisma (ANM) projekti un pasākumi</w:t>
      </w:r>
      <w:r w:rsidRPr="009D4161">
        <w:rPr>
          <w:b/>
          <w:bCs/>
          <w:color w:val="FF0000"/>
          <w:szCs w:val="24"/>
          <w:lang w:eastAsia="lv-LV"/>
        </w:rPr>
        <w:t xml:space="preserve"> </w:t>
      </w:r>
    </w:p>
    <w:p w14:paraId="16AABE46" w14:textId="77777777" w:rsidR="00F06F2C" w:rsidRDefault="00F06F2C" w:rsidP="00F06F2C">
      <w:pPr>
        <w:tabs>
          <w:tab w:val="left" w:pos="9531"/>
        </w:tabs>
        <w:ind w:right="34" w:firstLine="0"/>
        <w:rPr>
          <w:rFonts w:eastAsia="Calibri"/>
          <w:szCs w:val="24"/>
          <w:u w:val="single"/>
          <w:lang w:eastAsia="lv-LV"/>
        </w:rPr>
      </w:pPr>
      <w:r>
        <w:rPr>
          <w:rFonts w:eastAsia="Calibri"/>
          <w:szCs w:val="24"/>
          <w:u w:val="single"/>
          <w:lang w:eastAsia="lv-LV"/>
        </w:rPr>
        <w:t>Apakšprogrammas mērķis:</w:t>
      </w:r>
    </w:p>
    <w:p w14:paraId="54F86DC0" w14:textId="36901C18" w:rsidR="00F06F2C" w:rsidRPr="00820C3A" w:rsidRDefault="00F06F2C" w:rsidP="00F06F2C">
      <w:pPr>
        <w:tabs>
          <w:tab w:val="left" w:pos="9531"/>
        </w:tabs>
        <w:ind w:firstLine="720"/>
        <w:rPr>
          <w:szCs w:val="24"/>
          <w:lang w:eastAsia="lv-LV"/>
        </w:rPr>
      </w:pPr>
      <w:r w:rsidRPr="00820C3A">
        <w:t>e-lietas programmas turpmāka attīstība un pilnveide projekta “Prokuratūras informācijas sistēmas attīstība E-lietas 2.</w:t>
      </w:r>
      <w:r w:rsidR="00EC2E0F">
        <w:t xml:space="preserve"> </w:t>
      </w:r>
      <w:r w:rsidRPr="00820C3A">
        <w:t>posms” ietvaros.</w:t>
      </w:r>
    </w:p>
    <w:p w14:paraId="59973D15" w14:textId="77777777" w:rsidR="00F06F2C" w:rsidRDefault="00F06F2C" w:rsidP="00F06F2C">
      <w:pPr>
        <w:ind w:firstLine="0"/>
        <w:rPr>
          <w:szCs w:val="24"/>
          <w:u w:val="single"/>
          <w:lang w:eastAsia="lv-LV"/>
        </w:rPr>
      </w:pPr>
      <w:r>
        <w:rPr>
          <w:szCs w:val="24"/>
          <w:u w:val="single"/>
          <w:lang w:eastAsia="lv-LV"/>
        </w:rPr>
        <w:t>Galvenās aktivitātes:</w:t>
      </w:r>
    </w:p>
    <w:p w14:paraId="1A0F42C5" w14:textId="77777777" w:rsidR="00F06F2C" w:rsidRPr="002A6080" w:rsidRDefault="00F06F2C" w:rsidP="00F06F2C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  <w:rPr>
          <w:u w:val="single"/>
          <w:lang w:eastAsia="lv-LV"/>
        </w:rPr>
      </w:pPr>
      <w:r>
        <w:t>p</w:t>
      </w:r>
      <w:r w:rsidRPr="00A9632F">
        <w:t xml:space="preserve">irmās kārtas ietvaros izveidoto </w:t>
      </w:r>
      <w:proofErr w:type="spellStart"/>
      <w:r w:rsidRPr="00A9632F">
        <w:t>ProIS</w:t>
      </w:r>
      <w:proofErr w:type="spellEnd"/>
      <w:r w:rsidRPr="00A9632F">
        <w:t xml:space="preserve"> veidlapu izveides rīka funkcionalitātes pilnveidošana, un koplietošanas izstrāde;</w:t>
      </w:r>
    </w:p>
    <w:p w14:paraId="568147DF" w14:textId="77777777" w:rsidR="00F06F2C" w:rsidRPr="002A6080" w:rsidRDefault="00F06F2C" w:rsidP="00F06F2C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  <w:rPr>
          <w:u w:val="single"/>
          <w:lang w:eastAsia="lv-LV"/>
        </w:rPr>
      </w:pPr>
      <w:r>
        <w:t>d</w:t>
      </w:r>
      <w:r w:rsidRPr="00A9632F">
        <w:t>ežurējošo prokuroru elektroniska kalendāra izveide un datu koplietošana E-lietas platformā, kas veicinātu ātrāku un efektīvāku sadarbību ar izmeklēšanas iestādes pārstāvjiem;</w:t>
      </w:r>
    </w:p>
    <w:p w14:paraId="38AF1AB7" w14:textId="77777777" w:rsidR="00F06F2C" w:rsidRPr="002A6080" w:rsidRDefault="00F06F2C" w:rsidP="00F06F2C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  <w:rPr>
          <w:u w:val="single"/>
          <w:lang w:eastAsia="lv-LV"/>
        </w:rPr>
      </w:pPr>
      <w:proofErr w:type="spellStart"/>
      <w:r w:rsidRPr="00A9632F">
        <w:t>ProIS</w:t>
      </w:r>
      <w:proofErr w:type="spellEnd"/>
      <w:r w:rsidRPr="00A9632F">
        <w:t xml:space="preserve"> attīstība uzlabojot, automatizējot un pilnveidojot sadarbības procesus ar tiesu un sodu izpildes iestādēm u.c. </w:t>
      </w:r>
    </w:p>
    <w:p w14:paraId="30A0BD1E" w14:textId="77777777" w:rsidR="00F06F2C" w:rsidRDefault="00F06F2C" w:rsidP="00F06F2C">
      <w:pPr>
        <w:spacing w:after="0"/>
        <w:ind w:firstLine="0"/>
        <w:rPr>
          <w:szCs w:val="24"/>
          <w:lang w:eastAsia="lv-LV"/>
        </w:rPr>
      </w:pPr>
      <w:r>
        <w:rPr>
          <w:szCs w:val="24"/>
          <w:u w:val="single"/>
          <w:lang w:eastAsia="lv-LV"/>
        </w:rPr>
        <w:t>Apakšprogrammas izpildītājs</w:t>
      </w:r>
      <w:r>
        <w:rPr>
          <w:szCs w:val="24"/>
          <w:lang w:eastAsia="lv-LV"/>
        </w:rPr>
        <w:t>: Ģenerālprokuratūra.</w:t>
      </w:r>
    </w:p>
    <w:p w14:paraId="7416E003" w14:textId="72B5FE94" w:rsidR="00F06F2C" w:rsidRDefault="00F06F2C" w:rsidP="00F06F2C">
      <w:pPr>
        <w:spacing w:before="240" w:after="240"/>
        <w:ind w:firstLine="0"/>
        <w:jc w:val="center"/>
        <w:rPr>
          <w:b/>
          <w:lang w:eastAsia="lv-LV"/>
        </w:rPr>
      </w:pPr>
      <w:r>
        <w:rPr>
          <w:b/>
          <w:lang w:eastAsia="lv-LV"/>
        </w:rPr>
        <w:t>Finansiālie rādītāji no 2023. līdz 2027. gadam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1"/>
        <w:gridCol w:w="1130"/>
        <w:gridCol w:w="1134"/>
        <w:gridCol w:w="1134"/>
        <w:gridCol w:w="1134"/>
        <w:gridCol w:w="1139"/>
      </w:tblGrid>
      <w:tr w:rsidR="00F06F2C" w14:paraId="18C5AF08" w14:textId="77777777" w:rsidTr="00F06F2C">
        <w:trPr>
          <w:trHeight w:val="283"/>
          <w:tblHeader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15A4" w14:textId="77777777" w:rsidR="00F06F2C" w:rsidRDefault="00F06F2C" w:rsidP="00433568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EE8CD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2023. gads (izpilde)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5F178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gada plāns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D38C6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projekts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7D5E7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2026. gada prognoze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5CDD2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2027. gada prognoze</w:t>
            </w:r>
          </w:p>
        </w:tc>
      </w:tr>
      <w:tr w:rsidR="00F06F2C" w14:paraId="503720C8" w14:textId="77777777" w:rsidTr="00F06F2C">
        <w:trPr>
          <w:trHeight w:val="142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D89328" w14:textId="77777777" w:rsidR="00F06F2C" w:rsidRDefault="00F06F2C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Kopējie izdevumi,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9249C8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257F5B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260 659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593B015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1581F">
              <w:rPr>
                <w:sz w:val="18"/>
                <w:szCs w:val="18"/>
              </w:rPr>
              <w:t>375 312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D6F05E" w14:textId="77777777" w:rsidR="00F06F2C" w:rsidRDefault="00F06F2C" w:rsidP="00433568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41581F">
              <w:rPr>
                <w:sz w:val="18"/>
                <w:szCs w:val="18"/>
              </w:rPr>
              <w:t>141 255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D01EB7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F06F2C" w14:paraId="1F56EF59" w14:textId="77777777" w:rsidTr="00F06F2C">
        <w:trPr>
          <w:trHeight w:val="283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16B60" w14:textId="77777777" w:rsidR="00F06F2C" w:rsidRDefault="00F06F2C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Kopējo izdevumu izmaiņas,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13018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EA0C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260 659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5CCB0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114 653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A5F37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-234 057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B4AC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F06F2C" w14:paraId="21C9C27D" w14:textId="77777777" w:rsidTr="00F06F2C">
        <w:trPr>
          <w:trHeight w:val="283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8DA09" w14:textId="77777777" w:rsidR="00F06F2C" w:rsidRDefault="00F06F2C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167A7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7072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185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0AC23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44,0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8BC0B" w14:textId="77777777" w:rsidR="00F06F2C" w:rsidRDefault="00F06F2C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-62,4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B941" w14:textId="77777777" w:rsidR="00F06F2C" w:rsidRDefault="00F06F2C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</w:tbl>
    <w:p w14:paraId="44B63764" w14:textId="77777777" w:rsidR="00A61AE5" w:rsidRDefault="00A61AE5" w:rsidP="00C861E7">
      <w:pPr>
        <w:spacing w:before="240" w:after="240"/>
        <w:ind w:firstLine="0"/>
        <w:jc w:val="center"/>
        <w:rPr>
          <w:b/>
          <w:szCs w:val="24"/>
          <w:lang w:eastAsia="lv-LV"/>
        </w:rPr>
      </w:pPr>
      <w:r>
        <w:rPr>
          <w:b/>
          <w:szCs w:val="24"/>
          <w:lang w:eastAsia="lv-LV"/>
        </w:rPr>
        <w:t>Izmaiņas izdevumos, salīdzinot 2025. gada projektu ar 2024. gada plānu</w:t>
      </w:r>
    </w:p>
    <w:p w14:paraId="1D77DBBC" w14:textId="77777777" w:rsidR="00A61AE5" w:rsidRDefault="00A61AE5" w:rsidP="00A61AE5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Euro</w:t>
      </w:r>
      <w:proofErr w:type="spellEnd"/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1277"/>
        <w:gridCol w:w="1277"/>
        <w:gridCol w:w="1277"/>
      </w:tblGrid>
      <w:tr w:rsidR="00A61AE5" w14:paraId="197107A0" w14:textId="77777777" w:rsidTr="00433568">
        <w:trPr>
          <w:trHeight w:val="142"/>
          <w:tblHeader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57E10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1D939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71608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4FED5" w14:textId="77777777" w:rsidR="00A61AE5" w:rsidRDefault="00A61AE5" w:rsidP="00433568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A61AE5" w14:paraId="3423EC57" w14:textId="77777777" w:rsidTr="00433568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03E3B3A" w14:textId="77777777" w:rsidR="00A61AE5" w:rsidRDefault="00A61AE5" w:rsidP="00433568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72D918" w14:textId="77777777" w:rsidR="00A61AE5" w:rsidRPr="004D2D0F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4D2D0F">
              <w:rPr>
                <w:b/>
                <w:sz w:val="18"/>
                <w:szCs w:val="18"/>
                <w:lang w:eastAsia="lv-LV"/>
              </w:rPr>
              <w:t>260 659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6FF29F6" w14:textId="77777777" w:rsidR="00A61AE5" w:rsidRPr="004D2D0F" w:rsidRDefault="00A61AE5" w:rsidP="0043356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5F99DB4" w14:textId="77777777" w:rsidR="00A61AE5" w:rsidRDefault="00A61AE5" w:rsidP="00433568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114 653</w:t>
            </w:r>
          </w:p>
        </w:tc>
      </w:tr>
      <w:tr w:rsidR="00A61AE5" w14:paraId="53BBF4B1" w14:textId="77777777" w:rsidTr="00433568">
        <w:trPr>
          <w:jc w:val="center"/>
        </w:trPr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E994C" w14:textId="77777777" w:rsidR="00A61AE5" w:rsidRDefault="00A61AE5" w:rsidP="00433568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A61AE5" w14:paraId="290E81A5" w14:textId="77777777" w:rsidTr="00433568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CA6FC58" w14:textId="77777777" w:rsidR="00A61AE5" w:rsidRDefault="00A61AE5" w:rsidP="00433568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D2BB833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1612DA">
              <w:rPr>
                <w:b/>
                <w:sz w:val="18"/>
                <w:szCs w:val="18"/>
                <w:lang w:eastAsia="lv-LV"/>
              </w:rPr>
              <w:t>260 659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465CA8" w14:textId="77777777" w:rsidR="00A61AE5" w:rsidRPr="001F7E7F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1F7E7F">
              <w:rPr>
                <w:b/>
                <w:sz w:val="18"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5D9AF5" w14:textId="77777777" w:rsidR="00A61AE5" w:rsidRPr="00372C95" w:rsidRDefault="00A61AE5" w:rsidP="00433568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372C95">
              <w:rPr>
                <w:b/>
                <w:sz w:val="18"/>
                <w:szCs w:val="18"/>
                <w:lang w:eastAsia="lv-LV"/>
              </w:rPr>
              <w:t>114 653</w:t>
            </w:r>
          </w:p>
        </w:tc>
      </w:tr>
      <w:tr w:rsidR="00A61AE5" w14:paraId="484D8878" w14:textId="77777777" w:rsidTr="00433568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06C36" w14:textId="75E65E3B" w:rsidR="00A61AE5" w:rsidRDefault="00A61AE5" w:rsidP="00433568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bCs/>
                <w:i/>
                <w:iCs/>
                <w:sz w:val="18"/>
                <w:szCs w:val="18"/>
                <w:lang w:eastAsia="lv-LV"/>
              </w:rPr>
              <w:t xml:space="preserve">Palielināti izdevumi 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(pārdale no programmas 80.00.00), lai nodrošinātu projekta 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“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>Prokuratūras informācijas sistēmas attīstība – E-lietas 2. posms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”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 īstenošanu 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(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>M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K 17.03.2023. rīk. Nr.140)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2238" w14:textId="77777777" w:rsidR="00A61AE5" w:rsidRDefault="00A61AE5" w:rsidP="00433568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260 659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8693" w14:textId="77777777" w:rsidR="00A61AE5" w:rsidRDefault="00A61AE5" w:rsidP="00433568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9324" w14:textId="77777777" w:rsidR="00A61AE5" w:rsidRDefault="00A61AE5" w:rsidP="00433568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114 653</w:t>
            </w:r>
          </w:p>
        </w:tc>
      </w:tr>
    </w:tbl>
    <w:p w14:paraId="61794CDE" w14:textId="77777777" w:rsidR="00A61AE5" w:rsidRPr="00C05185" w:rsidRDefault="00A61AE5" w:rsidP="00A61AE5">
      <w:pPr>
        <w:spacing w:after="0"/>
        <w:ind w:firstLine="0"/>
        <w:rPr>
          <w:sz w:val="2"/>
          <w:szCs w:val="2"/>
        </w:rPr>
      </w:pPr>
    </w:p>
    <w:sectPr w:rsidR="00A61AE5" w:rsidRPr="00C05185" w:rsidSect="00E07392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84D8E" w14:textId="77777777" w:rsidR="008E0CD5" w:rsidRDefault="008E0CD5" w:rsidP="005F0727">
      <w:r>
        <w:separator/>
      </w:r>
    </w:p>
  </w:endnote>
  <w:endnote w:type="continuationSeparator" w:id="0">
    <w:p w14:paraId="3EB4C6F6" w14:textId="77777777" w:rsidR="008E0CD5" w:rsidRDefault="008E0CD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A2285" w14:textId="1D74CA2E" w:rsidR="008E0CD5" w:rsidRPr="008E6CB3" w:rsidRDefault="008E0CD5" w:rsidP="00AC3694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2B41F7">
      <w:rPr>
        <w:noProof/>
        <w:sz w:val="20"/>
      </w:rPr>
      <w:t>FMPask_5.3_32_Prok_</w:t>
    </w:r>
    <w:r w:rsidR="00661AD8">
      <w:rPr>
        <w:noProof/>
        <w:sz w:val="20"/>
      </w:rPr>
      <w:t>1</w:t>
    </w:r>
    <w:r w:rsidR="006420A4">
      <w:rPr>
        <w:noProof/>
        <w:sz w:val="20"/>
      </w:rPr>
      <w:t>4</w:t>
    </w:r>
    <w:r w:rsidR="002B41F7">
      <w:rPr>
        <w:noProof/>
        <w:sz w:val="20"/>
      </w:rPr>
      <w:t>102</w:t>
    </w:r>
    <w:r w:rsidR="00661AD8">
      <w:rPr>
        <w:noProof/>
        <w:sz w:val="20"/>
      </w:rPr>
      <w:t>4</w:t>
    </w:r>
    <w:r w:rsidR="002B41F7">
      <w:rPr>
        <w:noProof/>
        <w:sz w:val="20"/>
      </w:rPr>
      <w:t>_proj202</w:t>
    </w:r>
    <w:r w:rsidR="00661AD8">
      <w:rPr>
        <w:noProof/>
        <w:sz w:val="20"/>
      </w:rPr>
      <w:t>5</w:t>
    </w:r>
    <w:r w:rsidR="002B41F7">
      <w:rPr>
        <w:noProof/>
        <w:sz w:val="20"/>
      </w:rPr>
      <w:t>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0DA01" w14:textId="77777777" w:rsidR="008E0CD5" w:rsidRDefault="008E0CD5" w:rsidP="00E81CF6">
      <w:pPr>
        <w:spacing w:after="0"/>
        <w:ind w:firstLine="0"/>
      </w:pPr>
      <w:r>
        <w:separator/>
      </w:r>
    </w:p>
  </w:footnote>
  <w:footnote w:type="continuationSeparator" w:id="0">
    <w:p w14:paraId="12DF157F" w14:textId="77777777" w:rsidR="008E0CD5" w:rsidRDefault="008E0CD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3C69B" w14:textId="6A2841F6" w:rsidR="008E0CD5" w:rsidRDefault="008E0CD5" w:rsidP="00094CCE">
    <w:pPr>
      <w:pStyle w:val="Header"/>
      <w:spacing w:after="0"/>
      <w:ind w:firstLine="0"/>
      <w:jc w:val="center"/>
      <w:rPr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4D68A9">
      <w:rPr>
        <w:noProof/>
        <w:szCs w:val="24"/>
      </w:rPr>
      <w:t>859</w:t>
    </w:r>
    <w:r w:rsidRPr="00847B1A">
      <w:rPr>
        <w:szCs w:val="24"/>
      </w:rPr>
      <w:fldChar w:fldCharType="end"/>
    </w:r>
  </w:p>
  <w:p w14:paraId="25777A32" w14:textId="286D9CB2" w:rsidR="00D91D9A" w:rsidRPr="00094CCE" w:rsidRDefault="00D91D9A" w:rsidP="00D91D9A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661AD8">
      <w:rPr>
        <w:sz w:val="20"/>
      </w:rPr>
      <w:t>5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D7A8A"/>
    <w:multiLevelType w:val="hybridMultilevel"/>
    <w:tmpl w:val="B2562C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260B0"/>
    <w:multiLevelType w:val="hybridMultilevel"/>
    <w:tmpl w:val="DD52572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12D9A"/>
    <w:multiLevelType w:val="hybridMultilevel"/>
    <w:tmpl w:val="4FE6A16E"/>
    <w:lvl w:ilvl="0" w:tplc="2098D8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E654D"/>
    <w:multiLevelType w:val="hybridMultilevel"/>
    <w:tmpl w:val="4C2805B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878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311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6317049">
    <w:abstractNumId w:val="0"/>
  </w:num>
  <w:num w:numId="4" w16cid:durableId="39393904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6C0D"/>
    <w:rsid w:val="000121BD"/>
    <w:rsid w:val="00016579"/>
    <w:rsid w:val="00023746"/>
    <w:rsid w:val="0002445B"/>
    <w:rsid w:val="00024D7E"/>
    <w:rsid w:val="00027873"/>
    <w:rsid w:val="00032675"/>
    <w:rsid w:val="00032C6D"/>
    <w:rsid w:val="00037238"/>
    <w:rsid w:val="00045FB3"/>
    <w:rsid w:val="00050C4D"/>
    <w:rsid w:val="000519FE"/>
    <w:rsid w:val="00062214"/>
    <w:rsid w:val="00062720"/>
    <w:rsid w:val="000630FF"/>
    <w:rsid w:val="000666B5"/>
    <w:rsid w:val="00066A13"/>
    <w:rsid w:val="00066E95"/>
    <w:rsid w:val="00077A9C"/>
    <w:rsid w:val="000836AC"/>
    <w:rsid w:val="0008404A"/>
    <w:rsid w:val="00084F53"/>
    <w:rsid w:val="000858CD"/>
    <w:rsid w:val="00091F10"/>
    <w:rsid w:val="00094CCE"/>
    <w:rsid w:val="00097EF8"/>
    <w:rsid w:val="000B04E6"/>
    <w:rsid w:val="000B0DBF"/>
    <w:rsid w:val="000B1C41"/>
    <w:rsid w:val="000B7BBD"/>
    <w:rsid w:val="000C1C19"/>
    <w:rsid w:val="000D0A9D"/>
    <w:rsid w:val="000D6A3E"/>
    <w:rsid w:val="000D740C"/>
    <w:rsid w:val="000E1E0F"/>
    <w:rsid w:val="000E7922"/>
    <w:rsid w:val="000F153F"/>
    <w:rsid w:val="000F3720"/>
    <w:rsid w:val="000F43BA"/>
    <w:rsid w:val="00102A30"/>
    <w:rsid w:val="00110ED0"/>
    <w:rsid w:val="0011280A"/>
    <w:rsid w:val="00113272"/>
    <w:rsid w:val="001147F3"/>
    <w:rsid w:val="00124ABC"/>
    <w:rsid w:val="001254B0"/>
    <w:rsid w:val="00132518"/>
    <w:rsid w:val="001369DD"/>
    <w:rsid w:val="0014415C"/>
    <w:rsid w:val="00147519"/>
    <w:rsid w:val="00162A1E"/>
    <w:rsid w:val="00162B1F"/>
    <w:rsid w:val="00166708"/>
    <w:rsid w:val="00166E65"/>
    <w:rsid w:val="001704C5"/>
    <w:rsid w:val="00173C8A"/>
    <w:rsid w:val="00174A7F"/>
    <w:rsid w:val="0019314B"/>
    <w:rsid w:val="001A0EAA"/>
    <w:rsid w:val="001A1908"/>
    <w:rsid w:val="001A300F"/>
    <w:rsid w:val="001B4FB8"/>
    <w:rsid w:val="001B5012"/>
    <w:rsid w:val="001B649F"/>
    <w:rsid w:val="001C3C65"/>
    <w:rsid w:val="001C5268"/>
    <w:rsid w:val="001C6B44"/>
    <w:rsid w:val="001D2765"/>
    <w:rsid w:val="001D31B9"/>
    <w:rsid w:val="001D6024"/>
    <w:rsid w:val="001D71DE"/>
    <w:rsid w:val="001E0C10"/>
    <w:rsid w:val="001E0D84"/>
    <w:rsid w:val="001E171E"/>
    <w:rsid w:val="001E53E0"/>
    <w:rsid w:val="001E6ECB"/>
    <w:rsid w:val="001F1614"/>
    <w:rsid w:val="001F4B21"/>
    <w:rsid w:val="001F6172"/>
    <w:rsid w:val="001F6239"/>
    <w:rsid w:val="001F6912"/>
    <w:rsid w:val="001F7937"/>
    <w:rsid w:val="00200271"/>
    <w:rsid w:val="002011FA"/>
    <w:rsid w:val="00212205"/>
    <w:rsid w:val="002131E7"/>
    <w:rsid w:val="00213B1D"/>
    <w:rsid w:val="0021578A"/>
    <w:rsid w:val="00220385"/>
    <w:rsid w:val="00221C33"/>
    <w:rsid w:val="0022630C"/>
    <w:rsid w:val="00237863"/>
    <w:rsid w:val="00244520"/>
    <w:rsid w:val="00254EE8"/>
    <w:rsid w:val="0025760E"/>
    <w:rsid w:val="00260628"/>
    <w:rsid w:val="00261952"/>
    <w:rsid w:val="002637B9"/>
    <w:rsid w:val="00265634"/>
    <w:rsid w:val="002666BF"/>
    <w:rsid w:val="00272B08"/>
    <w:rsid w:val="00274C07"/>
    <w:rsid w:val="0027622E"/>
    <w:rsid w:val="00285F09"/>
    <w:rsid w:val="00290A6A"/>
    <w:rsid w:val="002913F3"/>
    <w:rsid w:val="00293DCF"/>
    <w:rsid w:val="002962A5"/>
    <w:rsid w:val="002978EC"/>
    <w:rsid w:val="00297D59"/>
    <w:rsid w:val="002A3449"/>
    <w:rsid w:val="002A50F6"/>
    <w:rsid w:val="002A6080"/>
    <w:rsid w:val="002A62C5"/>
    <w:rsid w:val="002A63DF"/>
    <w:rsid w:val="002A667F"/>
    <w:rsid w:val="002B41F7"/>
    <w:rsid w:val="002B51A7"/>
    <w:rsid w:val="002B687D"/>
    <w:rsid w:val="002B6B7C"/>
    <w:rsid w:val="002B7E2B"/>
    <w:rsid w:val="002C0759"/>
    <w:rsid w:val="002C317A"/>
    <w:rsid w:val="002C3A8F"/>
    <w:rsid w:val="002C5661"/>
    <w:rsid w:val="002D228C"/>
    <w:rsid w:val="002D2A80"/>
    <w:rsid w:val="002D372C"/>
    <w:rsid w:val="002E1D57"/>
    <w:rsid w:val="002E2994"/>
    <w:rsid w:val="002E2C75"/>
    <w:rsid w:val="002E52A3"/>
    <w:rsid w:val="002E7B93"/>
    <w:rsid w:val="00306EFD"/>
    <w:rsid w:val="003116EB"/>
    <w:rsid w:val="00312CAE"/>
    <w:rsid w:val="00317266"/>
    <w:rsid w:val="003174D7"/>
    <w:rsid w:val="00322EC7"/>
    <w:rsid w:val="00324820"/>
    <w:rsid w:val="00324CFA"/>
    <w:rsid w:val="0033265B"/>
    <w:rsid w:val="00335091"/>
    <w:rsid w:val="00340AE2"/>
    <w:rsid w:val="00340D63"/>
    <w:rsid w:val="003432CF"/>
    <w:rsid w:val="0034507B"/>
    <w:rsid w:val="00347F97"/>
    <w:rsid w:val="00350039"/>
    <w:rsid w:val="00351698"/>
    <w:rsid w:val="00354391"/>
    <w:rsid w:val="00357D2A"/>
    <w:rsid w:val="0036049D"/>
    <w:rsid w:val="00381010"/>
    <w:rsid w:val="00382B05"/>
    <w:rsid w:val="0038773E"/>
    <w:rsid w:val="00390279"/>
    <w:rsid w:val="00392D94"/>
    <w:rsid w:val="00396D42"/>
    <w:rsid w:val="003975BD"/>
    <w:rsid w:val="003A038A"/>
    <w:rsid w:val="003A0A84"/>
    <w:rsid w:val="003A3845"/>
    <w:rsid w:val="003A6223"/>
    <w:rsid w:val="003A6C06"/>
    <w:rsid w:val="003B01D9"/>
    <w:rsid w:val="003C1645"/>
    <w:rsid w:val="003C411E"/>
    <w:rsid w:val="003D00BD"/>
    <w:rsid w:val="003D2CDA"/>
    <w:rsid w:val="003D3D93"/>
    <w:rsid w:val="003E0849"/>
    <w:rsid w:val="003E45EA"/>
    <w:rsid w:val="003E7592"/>
    <w:rsid w:val="003E7856"/>
    <w:rsid w:val="00403A29"/>
    <w:rsid w:val="004053E6"/>
    <w:rsid w:val="004062F7"/>
    <w:rsid w:val="004063CA"/>
    <w:rsid w:val="004264F7"/>
    <w:rsid w:val="00433E38"/>
    <w:rsid w:val="0043758B"/>
    <w:rsid w:val="0044065A"/>
    <w:rsid w:val="0045304B"/>
    <w:rsid w:val="00454C24"/>
    <w:rsid w:val="00457329"/>
    <w:rsid w:val="00473244"/>
    <w:rsid w:val="00473BE8"/>
    <w:rsid w:val="00475439"/>
    <w:rsid w:val="0047742C"/>
    <w:rsid w:val="00480D5A"/>
    <w:rsid w:val="00481939"/>
    <w:rsid w:val="004819E3"/>
    <w:rsid w:val="0048432F"/>
    <w:rsid w:val="004846D4"/>
    <w:rsid w:val="00490482"/>
    <w:rsid w:val="00491EA0"/>
    <w:rsid w:val="00494399"/>
    <w:rsid w:val="00496D00"/>
    <w:rsid w:val="004A0DBF"/>
    <w:rsid w:val="004A3C47"/>
    <w:rsid w:val="004A6433"/>
    <w:rsid w:val="004B1F91"/>
    <w:rsid w:val="004B6390"/>
    <w:rsid w:val="004C179C"/>
    <w:rsid w:val="004C1B05"/>
    <w:rsid w:val="004C3ACB"/>
    <w:rsid w:val="004C4CF9"/>
    <w:rsid w:val="004C701A"/>
    <w:rsid w:val="004D005E"/>
    <w:rsid w:val="004D1332"/>
    <w:rsid w:val="004D2BE7"/>
    <w:rsid w:val="004D47E4"/>
    <w:rsid w:val="004D5D3A"/>
    <w:rsid w:val="004D66C3"/>
    <w:rsid w:val="004D68A9"/>
    <w:rsid w:val="004E4410"/>
    <w:rsid w:val="004E7071"/>
    <w:rsid w:val="004F2B94"/>
    <w:rsid w:val="004F367D"/>
    <w:rsid w:val="004F50D5"/>
    <w:rsid w:val="00501A04"/>
    <w:rsid w:val="00506FE7"/>
    <w:rsid w:val="00512E31"/>
    <w:rsid w:val="00514595"/>
    <w:rsid w:val="00526CB7"/>
    <w:rsid w:val="00527401"/>
    <w:rsid w:val="00527F6E"/>
    <w:rsid w:val="00530B04"/>
    <w:rsid w:val="00535248"/>
    <w:rsid w:val="00540B8A"/>
    <w:rsid w:val="00545AAB"/>
    <w:rsid w:val="00550414"/>
    <w:rsid w:val="00554044"/>
    <w:rsid w:val="005551C8"/>
    <w:rsid w:val="00555CA1"/>
    <w:rsid w:val="00557B21"/>
    <w:rsid w:val="00565444"/>
    <w:rsid w:val="00570AB5"/>
    <w:rsid w:val="005761EA"/>
    <w:rsid w:val="00581162"/>
    <w:rsid w:val="005835CA"/>
    <w:rsid w:val="005837E3"/>
    <w:rsid w:val="00585304"/>
    <w:rsid w:val="00587AAC"/>
    <w:rsid w:val="0059172F"/>
    <w:rsid w:val="00592354"/>
    <w:rsid w:val="005932A8"/>
    <w:rsid w:val="00595A07"/>
    <w:rsid w:val="0059659D"/>
    <w:rsid w:val="005A1B93"/>
    <w:rsid w:val="005A3481"/>
    <w:rsid w:val="005A3DCC"/>
    <w:rsid w:val="005A45AD"/>
    <w:rsid w:val="005A479D"/>
    <w:rsid w:val="005A4E37"/>
    <w:rsid w:val="005A7240"/>
    <w:rsid w:val="005B0BB3"/>
    <w:rsid w:val="005B37B8"/>
    <w:rsid w:val="005B6BD0"/>
    <w:rsid w:val="005B7363"/>
    <w:rsid w:val="005B7FC4"/>
    <w:rsid w:val="005C2852"/>
    <w:rsid w:val="005C3757"/>
    <w:rsid w:val="005C3D81"/>
    <w:rsid w:val="005D168E"/>
    <w:rsid w:val="005D4524"/>
    <w:rsid w:val="005D45D4"/>
    <w:rsid w:val="005D6596"/>
    <w:rsid w:val="005E6D4D"/>
    <w:rsid w:val="005E7CB8"/>
    <w:rsid w:val="005E7FDF"/>
    <w:rsid w:val="005F0727"/>
    <w:rsid w:val="005F23E4"/>
    <w:rsid w:val="00600830"/>
    <w:rsid w:val="00604440"/>
    <w:rsid w:val="006111AC"/>
    <w:rsid w:val="00611FD3"/>
    <w:rsid w:val="00614C64"/>
    <w:rsid w:val="006210FB"/>
    <w:rsid w:val="006249CB"/>
    <w:rsid w:val="00625580"/>
    <w:rsid w:val="00626F00"/>
    <w:rsid w:val="00631158"/>
    <w:rsid w:val="00633965"/>
    <w:rsid w:val="00633E88"/>
    <w:rsid w:val="0063670B"/>
    <w:rsid w:val="006402FC"/>
    <w:rsid w:val="00642010"/>
    <w:rsid w:val="006420A4"/>
    <w:rsid w:val="0064614F"/>
    <w:rsid w:val="006476DF"/>
    <w:rsid w:val="00647F3F"/>
    <w:rsid w:val="0065077E"/>
    <w:rsid w:val="00652CF1"/>
    <w:rsid w:val="006532DF"/>
    <w:rsid w:val="00653374"/>
    <w:rsid w:val="00657568"/>
    <w:rsid w:val="00661AD8"/>
    <w:rsid w:val="006636CE"/>
    <w:rsid w:val="00663DA3"/>
    <w:rsid w:val="00664B2E"/>
    <w:rsid w:val="00664B5F"/>
    <w:rsid w:val="006678A5"/>
    <w:rsid w:val="0067679B"/>
    <w:rsid w:val="006836AE"/>
    <w:rsid w:val="00683915"/>
    <w:rsid w:val="00686120"/>
    <w:rsid w:val="00687913"/>
    <w:rsid w:val="006A177D"/>
    <w:rsid w:val="006A2DC8"/>
    <w:rsid w:val="006A49CA"/>
    <w:rsid w:val="006A5045"/>
    <w:rsid w:val="006A6469"/>
    <w:rsid w:val="006C1C95"/>
    <w:rsid w:val="006C1DD4"/>
    <w:rsid w:val="006C4B51"/>
    <w:rsid w:val="006C52C4"/>
    <w:rsid w:val="006D261E"/>
    <w:rsid w:val="006D73C8"/>
    <w:rsid w:val="006D7938"/>
    <w:rsid w:val="006E0231"/>
    <w:rsid w:val="006E13F3"/>
    <w:rsid w:val="006E6F78"/>
    <w:rsid w:val="006E7629"/>
    <w:rsid w:val="006F1D2F"/>
    <w:rsid w:val="006F2517"/>
    <w:rsid w:val="006F64BA"/>
    <w:rsid w:val="0070317D"/>
    <w:rsid w:val="00704EE2"/>
    <w:rsid w:val="00707003"/>
    <w:rsid w:val="00710D4E"/>
    <w:rsid w:val="00711ED8"/>
    <w:rsid w:val="007145F1"/>
    <w:rsid w:val="00715289"/>
    <w:rsid w:val="007158DA"/>
    <w:rsid w:val="00715A85"/>
    <w:rsid w:val="0072222F"/>
    <w:rsid w:val="00730F06"/>
    <w:rsid w:val="0073611B"/>
    <w:rsid w:val="00741AA7"/>
    <w:rsid w:val="00742CA1"/>
    <w:rsid w:val="00743F92"/>
    <w:rsid w:val="007535F0"/>
    <w:rsid w:val="00753A77"/>
    <w:rsid w:val="00756284"/>
    <w:rsid w:val="007577EE"/>
    <w:rsid w:val="00760731"/>
    <w:rsid w:val="00761244"/>
    <w:rsid w:val="00762B0D"/>
    <w:rsid w:val="0076502E"/>
    <w:rsid w:val="007707A3"/>
    <w:rsid w:val="00772E9A"/>
    <w:rsid w:val="007834E7"/>
    <w:rsid w:val="007A0306"/>
    <w:rsid w:val="007A1376"/>
    <w:rsid w:val="007A2383"/>
    <w:rsid w:val="007A3F79"/>
    <w:rsid w:val="007A6CBC"/>
    <w:rsid w:val="007A7A05"/>
    <w:rsid w:val="007B08BD"/>
    <w:rsid w:val="007B1DAA"/>
    <w:rsid w:val="007B1FE0"/>
    <w:rsid w:val="007B251E"/>
    <w:rsid w:val="007B42FF"/>
    <w:rsid w:val="007B4E3B"/>
    <w:rsid w:val="007C1421"/>
    <w:rsid w:val="007C5628"/>
    <w:rsid w:val="007C6F66"/>
    <w:rsid w:val="007D331F"/>
    <w:rsid w:val="007D452F"/>
    <w:rsid w:val="007E688D"/>
    <w:rsid w:val="007E6F18"/>
    <w:rsid w:val="007F24A7"/>
    <w:rsid w:val="00802B2C"/>
    <w:rsid w:val="008039DE"/>
    <w:rsid w:val="00807168"/>
    <w:rsid w:val="00807825"/>
    <w:rsid w:val="00811AB4"/>
    <w:rsid w:val="008121DA"/>
    <w:rsid w:val="00816C37"/>
    <w:rsid w:val="00823467"/>
    <w:rsid w:val="008260A4"/>
    <w:rsid w:val="00826F95"/>
    <w:rsid w:val="00844DC8"/>
    <w:rsid w:val="00847B1A"/>
    <w:rsid w:val="00851354"/>
    <w:rsid w:val="0085270B"/>
    <w:rsid w:val="00854E6F"/>
    <w:rsid w:val="00855C4D"/>
    <w:rsid w:val="00862892"/>
    <w:rsid w:val="0086293F"/>
    <w:rsid w:val="008650F5"/>
    <w:rsid w:val="00865D1F"/>
    <w:rsid w:val="008670DB"/>
    <w:rsid w:val="00867F65"/>
    <w:rsid w:val="008717B8"/>
    <w:rsid w:val="008739BB"/>
    <w:rsid w:val="00873A9B"/>
    <w:rsid w:val="00874736"/>
    <w:rsid w:val="00877226"/>
    <w:rsid w:val="00877C4D"/>
    <w:rsid w:val="008828A3"/>
    <w:rsid w:val="00882A41"/>
    <w:rsid w:val="00890C6B"/>
    <w:rsid w:val="00891708"/>
    <w:rsid w:val="008A1BC9"/>
    <w:rsid w:val="008A539A"/>
    <w:rsid w:val="008A6C9C"/>
    <w:rsid w:val="008B2260"/>
    <w:rsid w:val="008B7102"/>
    <w:rsid w:val="008C1572"/>
    <w:rsid w:val="008C1DED"/>
    <w:rsid w:val="008C5A0E"/>
    <w:rsid w:val="008C73C5"/>
    <w:rsid w:val="008D0C49"/>
    <w:rsid w:val="008D5D0C"/>
    <w:rsid w:val="008E0CD5"/>
    <w:rsid w:val="008E5777"/>
    <w:rsid w:val="008E6CB3"/>
    <w:rsid w:val="008E721F"/>
    <w:rsid w:val="008E787D"/>
    <w:rsid w:val="008F125B"/>
    <w:rsid w:val="008F1E54"/>
    <w:rsid w:val="008F221C"/>
    <w:rsid w:val="008F3904"/>
    <w:rsid w:val="008F491C"/>
    <w:rsid w:val="008F5A77"/>
    <w:rsid w:val="008F7893"/>
    <w:rsid w:val="00902698"/>
    <w:rsid w:val="00903B5A"/>
    <w:rsid w:val="0090506A"/>
    <w:rsid w:val="009069FD"/>
    <w:rsid w:val="00911D3B"/>
    <w:rsid w:val="0092504E"/>
    <w:rsid w:val="00932D0E"/>
    <w:rsid w:val="009335E4"/>
    <w:rsid w:val="009426BE"/>
    <w:rsid w:val="00945C5E"/>
    <w:rsid w:val="00953049"/>
    <w:rsid w:val="009530E2"/>
    <w:rsid w:val="00954A02"/>
    <w:rsid w:val="009601DA"/>
    <w:rsid w:val="00960DB2"/>
    <w:rsid w:val="00967A04"/>
    <w:rsid w:val="00967A14"/>
    <w:rsid w:val="009713F7"/>
    <w:rsid w:val="009717B2"/>
    <w:rsid w:val="009723EE"/>
    <w:rsid w:val="00974CD4"/>
    <w:rsid w:val="00975036"/>
    <w:rsid w:val="00982F08"/>
    <w:rsid w:val="009841BD"/>
    <w:rsid w:val="00984753"/>
    <w:rsid w:val="0098490E"/>
    <w:rsid w:val="0098698E"/>
    <w:rsid w:val="00986DED"/>
    <w:rsid w:val="00990B64"/>
    <w:rsid w:val="0099288D"/>
    <w:rsid w:val="00994F11"/>
    <w:rsid w:val="009979D1"/>
    <w:rsid w:val="009A23DC"/>
    <w:rsid w:val="009A74D8"/>
    <w:rsid w:val="009A76E6"/>
    <w:rsid w:val="009B1159"/>
    <w:rsid w:val="009B286D"/>
    <w:rsid w:val="009B31A4"/>
    <w:rsid w:val="009B380F"/>
    <w:rsid w:val="009B4A07"/>
    <w:rsid w:val="009B5262"/>
    <w:rsid w:val="009C1195"/>
    <w:rsid w:val="009C1A32"/>
    <w:rsid w:val="009D1F72"/>
    <w:rsid w:val="009D2497"/>
    <w:rsid w:val="009D70B8"/>
    <w:rsid w:val="009E6AC2"/>
    <w:rsid w:val="009F0E96"/>
    <w:rsid w:val="009F1DD0"/>
    <w:rsid w:val="009F258D"/>
    <w:rsid w:val="009F529C"/>
    <w:rsid w:val="009F6166"/>
    <w:rsid w:val="00A007DC"/>
    <w:rsid w:val="00A01000"/>
    <w:rsid w:val="00A13566"/>
    <w:rsid w:val="00A17AAE"/>
    <w:rsid w:val="00A23E3F"/>
    <w:rsid w:val="00A2762A"/>
    <w:rsid w:val="00A31AAA"/>
    <w:rsid w:val="00A36BAA"/>
    <w:rsid w:val="00A43551"/>
    <w:rsid w:val="00A45912"/>
    <w:rsid w:val="00A505BD"/>
    <w:rsid w:val="00A5210E"/>
    <w:rsid w:val="00A5580E"/>
    <w:rsid w:val="00A619A3"/>
    <w:rsid w:val="00A61AE5"/>
    <w:rsid w:val="00A6378E"/>
    <w:rsid w:val="00A675A3"/>
    <w:rsid w:val="00A71A30"/>
    <w:rsid w:val="00A72D7F"/>
    <w:rsid w:val="00A75DA8"/>
    <w:rsid w:val="00A76116"/>
    <w:rsid w:val="00A81275"/>
    <w:rsid w:val="00A856CF"/>
    <w:rsid w:val="00A86BD4"/>
    <w:rsid w:val="00A86C54"/>
    <w:rsid w:val="00A87A86"/>
    <w:rsid w:val="00A9066A"/>
    <w:rsid w:val="00A926CF"/>
    <w:rsid w:val="00A97C51"/>
    <w:rsid w:val="00AA122E"/>
    <w:rsid w:val="00AA21D5"/>
    <w:rsid w:val="00AA4046"/>
    <w:rsid w:val="00AA7DE9"/>
    <w:rsid w:val="00AB4510"/>
    <w:rsid w:val="00AB5513"/>
    <w:rsid w:val="00AB5BF9"/>
    <w:rsid w:val="00AC29DC"/>
    <w:rsid w:val="00AC3694"/>
    <w:rsid w:val="00AC5436"/>
    <w:rsid w:val="00AD13E1"/>
    <w:rsid w:val="00AD3855"/>
    <w:rsid w:val="00AD3D68"/>
    <w:rsid w:val="00AD40A2"/>
    <w:rsid w:val="00AE3E29"/>
    <w:rsid w:val="00AE6EAF"/>
    <w:rsid w:val="00AE7F1D"/>
    <w:rsid w:val="00B00B34"/>
    <w:rsid w:val="00B00FA8"/>
    <w:rsid w:val="00B01D89"/>
    <w:rsid w:val="00B02FC8"/>
    <w:rsid w:val="00B0385B"/>
    <w:rsid w:val="00B03D5E"/>
    <w:rsid w:val="00B05EE1"/>
    <w:rsid w:val="00B06B77"/>
    <w:rsid w:val="00B12825"/>
    <w:rsid w:val="00B12A2D"/>
    <w:rsid w:val="00B14C37"/>
    <w:rsid w:val="00B15FC5"/>
    <w:rsid w:val="00B16D98"/>
    <w:rsid w:val="00B17736"/>
    <w:rsid w:val="00B25BD3"/>
    <w:rsid w:val="00B266EA"/>
    <w:rsid w:val="00B32F38"/>
    <w:rsid w:val="00B344AD"/>
    <w:rsid w:val="00B34758"/>
    <w:rsid w:val="00B3658B"/>
    <w:rsid w:val="00B42127"/>
    <w:rsid w:val="00B43DCE"/>
    <w:rsid w:val="00B506D8"/>
    <w:rsid w:val="00B51110"/>
    <w:rsid w:val="00B5174D"/>
    <w:rsid w:val="00B52E1D"/>
    <w:rsid w:val="00B566A7"/>
    <w:rsid w:val="00B5764F"/>
    <w:rsid w:val="00B62167"/>
    <w:rsid w:val="00B665A7"/>
    <w:rsid w:val="00B72C83"/>
    <w:rsid w:val="00B77447"/>
    <w:rsid w:val="00B777C5"/>
    <w:rsid w:val="00B819B1"/>
    <w:rsid w:val="00B8790F"/>
    <w:rsid w:val="00B902BB"/>
    <w:rsid w:val="00B94221"/>
    <w:rsid w:val="00B9430A"/>
    <w:rsid w:val="00B96D2E"/>
    <w:rsid w:val="00BA17A5"/>
    <w:rsid w:val="00BA4149"/>
    <w:rsid w:val="00BA5208"/>
    <w:rsid w:val="00BA6288"/>
    <w:rsid w:val="00BB5614"/>
    <w:rsid w:val="00BB7404"/>
    <w:rsid w:val="00BD36DF"/>
    <w:rsid w:val="00BE2161"/>
    <w:rsid w:val="00BE2CAA"/>
    <w:rsid w:val="00BE3407"/>
    <w:rsid w:val="00BE7C02"/>
    <w:rsid w:val="00BF015C"/>
    <w:rsid w:val="00BF3262"/>
    <w:rsid w:val="00BF5AFF"/>
    <w:rsid w:val="00BF6DA7"/>
    <w:rsid w:val="00BF71D7"/>
    <w:rsid w:val="00C05185"/>
    <w:rsid w:val="00C068CA"/>
    <w:rsid w:val="00C1479A"/>
    <w:rsid w:val="00C24F59"/>
    <w:rsid w:val="00C25E5D"/>
    <w:rsid w:val="00C274DB"/>
    <w:rsid w:val="00C30A41"/>
    <w:rsid w:val="00C32AC6"/>
    <w:rsid w:val="00C34225"/>
    <w:rsid w:val="00C35261"/>
    <w:rsid w:val="00C37835"/>
    <w:rsid w:val="00C42DD7"/>
    <w:rsid w:val="00C44624"/>
    <w:rsid w:val="00C46807"/>
    <w:rsid w:val="00C52374"/>
    <w:rsid w:val="00C52C76"/>
    <w:rsid w:val="00C55A3C"/>
    <w:rsid w:val="00C60208"/>
    <w:rsid w:val="00C634C7"/>
    <w:rsid w:val="00C67163"/>
    <w:rsid w:val="00C73A77"/>
    <w:rsid w:val="00C761C8"/>
    <w:rsid w:val="00C765E6"/>
    <w:rsid w:val="00C8007B"/>
    <w:rsid w:val="00C85A78"/>
    <w:rsid w:val="00C861E7"/>
    <w:rsid w:val="00C92549"/>
    <w:rsid w:val="00C92B37"/>
    <w:rsid w:val="00C96B13"/>
    <w:rsid w:val="00CA2749"/>
    <w:rsid w:val="00CA2B84"/>
    <w:rsid w:val="00CA682E"/>
    <w:rsid w:val="00CA6FEB"/>
    <w:rsid w:val="00CB0952"/>
    <w:rsid w:val="00CB3D89"/>
    <w:rsid w:val="00CB55FC"/>
    <w:rsid w:val="00CB6629"/>
    <w:rsid w:val="00CB7218"/>
    <w:rsid w:val="00CC27B3"/>
    <w:rsid w:val="00CC6297"/>
    <w:rsid w:val="00CD4E68"/>
    <w:rsid w:val="00CD5FBF"/>
    <w:rsid w:val="00CD7394"/>
    <w:rsid w:val="00CE1708"/>
    <w:rsid w:val="00CE27D5"/>
    <w:rsid w:val="00CE2D15"/>
    <w:rsid w:val="00CE3450"/>
    <w:rsid w:val="00CE5C40"/>
    <w:rsid w:val="00CF6494"/>
    <w:rsid w:val="00D00E64"/>
    <w:rsid w:val="00D01A92"/>
    <w:rsid w:val="00D02127"/>
    <w:rsid w:val="00D0436E"/>
    <w:rsid w:val="00D04B8E"/>
    <w:rsid w:val="00D06F7F"/>
    <w:rsid w:val="00D10333"/>
    <w:rsid w:val="00D1107D"/>
    <w:rsid w:val="00D147F9"/>
    <w:rsid w:val="00D16721"/>
    <w:rsid w:val="00D2225C"/>
    <w:rsid w:val="00D22E1C"/>
    <w:rsid w:val="00D24212"/>
    <w:rsid w:val="00D253A6"/>
    <w:rsid w:val="00D25BD9"/>
    <w:rsid w:val="00D27239"/>
    <w:rsid w:val="00D330F4"/>
    <w:rsid w:val="00D36595"/>
    <w:rsid w:val="00D41825"/>
    <w:rsid w:val="00D41E59"/>
    <w:rsid w:val="00D42A6F"/>
    <w:rsid w:val="00D4452C"/>
    <w:rsid w:val="00D548BB"/>
    <w:rsid w:val="00D5548C"/>
    <w:rsid w:val="00D6131C"/>
    <w:rsid w:val="00D70B87"/>
    <w:rsid w:val="00D75D0E"/>
    <w:rsid w:val="00D843B6"/>
    <w:rsid w:val="00D91D9A"/>
    <w:rsid w:val="00D92715"/>
    <w:rsid w:val="00D93960"/>
    <w:rsid w:val="00D939B1"/>
    <w:rsid w:val="00DA026F"/>
    <w:rsid w:val="00DA1A3C"/>
    <w:rsid w:val="00DA465B"/>
    <w:rsid w:val="00DB06AA"/>
    <w:rsid w:val="00DB0D0A"/>
    <w:rsid w:val="00DB470D"/>
    <w:rsid w:val="00DC02DA"/>
    <w:rsid w:val="00DC25AB"/>
    <w:rsid w:val="00DC460F"/>
    <w:rsid w:val="00DC4C36"/>
    <w:rsid w:val="00DC5B01"/>
    <w:rsid w:val="00DC5CB7"/>
    <w:rsid w:val="00DD0EC1"/>
    <w:rsid w:val="00DE3E1E"/>
    <w:rsid w:val="00DE4709"/>
    <w:rsid w:val="00DF0992"/>
    <w:rsid w:val="00DF0C2D"/>
    <w:rsid w:val="00DF3762"/>
    <w:rsid w:val="00DF4AD8"/>
    <w:rsid w:val="00DF4E28"/>
    <w:rsid w:val="00E0340D"/>
    <w:rsid w:val="00E047A9"/>
    <w:rsid w:val="00E05947"/>
    <w:rsid w:val="00E0670C"/>
    <w:rsid w:val="00E07392"/>
    <w:rsid w:val="00E07773"/>
    <w:rsid w:val="00E100F9"/>
    <w:rsid w:val="00E11ABA"/>
    <w:rsid w:val="00E30D5C"/>
    <w:rsid w:val="00E33044"/>
    <w:rsid w:val="00E34A92"/>
    <w:rsid w:val="00E3718B"/>
    <w:rsid w:val="00E421FD"/>
    <w:rsid w:val="00E42F1D"/>
    <w:rsid w:val="00E43D7B"/>
    <w:rsid w:val="00E43E19"/>
    <w:rsid w:val="00E47BA0"/>
    <w:rsid w:val="00E51707"/>
    <w:rsid w:val="00E5280D"/>
    <w:rsid w:val="00E53E2F"/>
    <w:rsid w:val="00E629A7"/>
    <w:rsid w:val="00E63618"/>
    <w:rsid w:val="00E662C2"/>
    <w:rsid w:val="00E7035D"/>
    <w:rsid w:val="00E73B50"/>
    <w:rsid w:val="00E77295"/>
    <w:rsid w:val="00E80B91"/>
    <w:rsid w:val="00E81CF6"/>
    <w:rsid w:val="00E82C4B"/>
    <w:rsid w:val="00E919AA"/>
    <w:rsid w:val="00E93F40"/>
    <w:rsid w:val="00E9658F"/>
    <w:rsid w:val="00E97123"/>
    <w:rsid w:val="00E976D8"/>
    <w:rsid w:val="00EA34CC"/>
    <w:rsid w:val="00EA6823"/>
    <w:rsid w:val="00EA6B02"/>
    <w:rsid w:val="00EA7ABB"/>
    <w:rsid w:val="00EB3D47"/>
    <w:rsid w:val="00EB41AF"/>
    <w:rsid w:val="00EC0704"/>
    <w:rsid w:val="00EC09E2"/>
    <w:rsid w:val="00EC14C0"/>
    <w:rsid w:val="00EC2E0F"/>
    <w:rsid w:val="00EC3013"/>
    <w:rsid w:val="00EC5EC8"/>
    <w:rsid w:val="00ED1166"/>
    <w:rsid w:val="00ED2B82"/>
    <w:rsid w:val="00ED4102"/>
    <w:rsid w:val="00EE161C"/>
    <w:rsid w:val="00EE273D"/>
    <w:rsid w:val="00EE5672"/>
    <w:rsid w:val="00EE6F64"/>
    <w:rsid w:val="00EF6CEF"/>
    <w:rsid w:val="00F01115"/>
    <w:rsid w:val="00F066DE"/>
    <w:rsid w:val="00F06F2C"/>
    <w:rsid w:val="00F079C4"/>
    <w:rsid w:val="00F11D1F"/>
    <w:rsid w:val="00F25E62"/>
    <w:rsid w:val="00F27C86"/>
    <w:rsid w:val="00F311EB"/>
    <w:rsid w:val="00F32C09"/>
    <w:rsid w:val="00F52365"/>
    <w:rsid w:val="00F56416"/>
    <w:rsid w:val="00F57DB1"/>
    <w:rsid w:val="00F65378"/>
    <w:rsid w:val="00F67226"/>
    <w:rsid w:val="00F70773"/>
    <w:rsid w:val="00F75584"/>
    <w:rsid w:val="00F814BD"/>
    <w:rsid w:val="00F86FC6"/>
    <w:rsid w:val="00F87858"/>
    <w:rsid w:val="00F87D79"/>
    <w:rsid w:val="00F91ABA"/>
    <w:rsid w:val="00F9571D"/>
    <w:rsid w:val="00FA3938"/>
    <w:rsid w:val="00FA46F8"/>
    <w:rsid w:val="00FA5D6D"/>
    <w:rsid w:val="00FA6900"/>
    <w:rsid w:val="00FA7E75"/>
    <w:rsid w:val="00FC22ED"/>
    <w:rsid w:val="00FD0B59"/>
    <w:rsid w:val="00FD26D5"/>
    <w:rsid w:val="00FD5982"/>
    <w:rsid w:val="00FE0C32"/>
    <w:rsid w:val="00FE36DF"/>
    <w:rsid w:val="00FE37FA"/>
    <w:rsid w:val="00FE46CE"/>
    <w:rsid w:val="00FE52C9"/>
    <w:rsid w:val="00FE5985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6EFF5"/>
  <w15:docId w15:val="{A0B29E43-8FF7-43FB-8049-7C8169D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C5E"/>
    <w:pPr>
      <w:spacing w:after="120"/>
      <w:ind w:firstLine="709"/>
      <w:jc w:val="both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335091"/>
    <w:pPr>
      <w:ind w:left="720" w:hanging="720"/>
    </w:pPr>
    <w:rPr>
      <w:lang w:eastAsia="lv-LV"/>
    </w:rPr>
  </w:style>
  <w:style w:type="character" w:customStyle="1" w:styleId="cipariChar">
    <w:name w:val="cipari Char"/>
    <w:link w:val="cipari"/>
    <w:locked/>
    <w:rsid w:val="00335091"/>
    <w:rPr>
      <w:rFonts w:eastAsia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rsid w:val="00091F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1F1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91F10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72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37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52374"/>
    <w:rPr>
      <w:rFonts w:cs="Times New Roman"/>
      <w:vertAlign w:val="superscript"/>
    </w:rPr>
  </w:style>
  <w:style w:type="paragraph" w:customStyle="1" w:styleId="paraksti">
    <w:name w:val="paraksti"/>
    <w:basedOn w:val="Normal"/>
    <w:qFormat/>
    <w:rsid w:val="00CC27B3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C34225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szCs w:val="20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szCs w:val="20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szCs w:val="20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szCs w:val="20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basedOn w:val="Normal"/>
    <w:uiPriority w:val="99"/>
    <w:rsid w:val="00B0385B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B0385B"/>
    <w:pPr>
      <w:keepNext w:val="0"/>
    </w:pPr>
  </w:style>
  <w:style w:type="table" w:customStyle="1" w:styleId="Reatabula1">
    <w:name w:val="Režģa tabula1"/>
    <w:basedOn w:val="TableNormal"/>
    <w:next w:val="TableGrid"/>
    <w:uiPriority w:val="59"/>
    <w:rsid w:val="00807825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B1C41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4507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A274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locked/>
    <w:rsid w:val="005D45D4"/>
    <w:pPr>
      <w:spacing w:after="0"/>
      <w:ind w:firstLine="0"/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D45D4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527F6E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apple-converted-space">
    <w:name w:val="apple-converted-space"/>
    <w:basedOn w:val="DefaultParagraphFont"/>
    <w:rsid w:val="00527F6E"/>
  </w:style>
  <w:style w:type="paragraph" w:customStyle="1" w:styleId="Default">
    <w:name w:val="Default"/>
    <w:rsid w:val="00E73B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aiskr">
    <w:name w:val="naiskr"/>
    <w:basedOn w:val="Normal"/>
    <w:uiPriority w:val="99"/>
    <w:rsid w:val="007A3F79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7A3F79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lv-LV"/>
    </w:rPr>
  </w:style>
  <w:style w:type="table" w:customStyle="1" w:styleId="TableGrid4">
    <w:name w:val="Table Grid4"/>
    <w:basedOn w:val="TableNormal"/>
    <w:next w:val="TableGrid"/>
    <w:uiPriority w:val="39"/>
    <w:rsid w:val="003D00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2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4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4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54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5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026362270753891"/>
          <c:y val="6.7269886164078002E-2"/>
          <c:w val="0.86363442777200017"/>
          <c:h val="0.6554516476325179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dati!$A$5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9BBB59">
                  <a:shade val="95000"/>
                  <a:satMod val="105000"/>
                </a:srgbClr>
              </a:solidFill>
              <a:prstDash val="solid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7D8-4158-AB5B-0E7C261666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dati!$B$3:$F$3</c:f>
              <c:strCache>
                <c:ptCount val="5"/>
                <c:pt idx="0">
                  <c:v>2023. gads
(izpilde)</c:v>
                </c:pt>
                <c:pt idx="1">
                  <c:v>2024. gada
plāns</c:v>
                </c:pt>
                <c:pt idx="2">
                  <c:v>2025. gada
projekts</c:v>
                </c:pt>
                <c:pt idx="3">
                  <c:v>2026. gada
prognoze</c:v>
                </c:pt>
                <c:pt idx="4">
                  <c:v>2027. gada
prognoze</c:v>
                </c:pt>
              </c:strCache>
            </c:strRef>
          </c:cat>
          <c:val>
            <c:numRef>
              <c:f>dati!$B$5:$F$5</c:f>
              <c:numCache>
                <c:formatCode>#,##0</c:formatCode>
                <c:ptCount val="5"/>
                <c:pt idx="0">
                  <c:v>44571920</c:v>
                </c:pt>
                <c:pt idx="1">
                  <c:v>50155012</c:v>
                </c:pt>
                <c:pt idx="2">
                  <c:v>53199188</c:v>
                </c:pt>
                <c:pt idx="3">
                  <c:v>57658744</c:v>
                </c:pt>
                <c:pt idx="4">
                  <c:v>52537919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7D8-4158-AB5B-0E7C261666EB}"/>
            </c:ext>
          </c:extLst>
        </c:ser>
        <c:ser>
          <c:idx val="2"/>
          <c:order val="2"/>
          <c:tx>
            <c:strRef>
              <c:f>dati!$A$6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gradFill rotWithShape="1">
              <a:gsLst>
                <a:gs pos="0">
                  <a:srgbClr val="F79646">
                    <a:shade val="51000"/>
                    <a:satMod val="130000"/>
                  </a:srgbClr>
                </a:gs>
                <a:gs pos="80000">
                  <a:srgbClr val="F79646">
                    <a:shade val="93000"/>
                    <a:satMod val="130000"/>
                  </a:srgbClr>
                </a:gs>
                <a:gs pos="100000">
                  <a:srgbClr val="F79646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F79646">
                  <a:shade val="95000"/>
                  <a:satMod val="105000"/>
                </a:srgbClr>
              </a:solidFill>
              <a:prstDash val="solid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dati!$B$3:$F$3</c:f>
              <c:strCache>
                <c:ptCount val="5"/>
                <c:pt idx="0">
                  <c:v>2023. gads
(izpilde)</c:v>
                </c:pt>
                <c:pt idx="1">
                  <c:v>2024. gada
plāns</c:v>
                </c:pt>
                <c:pt idx="2">
                  <c:v>2025. gada
projekts</c:v>
                </c:pt>
                <c:pt idx="3">
                  <c:v>2026. gada
prognoze</c:v>
                </c:pt>
                <c:pt idx="4">
                  <c:v>2027. gada
prognoze</c:v>
                </c:pt>
              </c:strCache>
            </c:strRef>
          </c:cat>
          <c:val>
            <c:numRef>
              <c:f>dati!$B$6:$F$6</c:f>
              <c:numCache>
                <c:formatCode>#,##0</c:formatCode>
                <c:ptCount val="5"/>
                <c:pt idx="0">
                  <c:v>11894</c:v>
                </c:pt>
                <c:pt idx="1">
                  <c:v>260659</c:v>
                </c:pt>
                <c:pt idx="2">
                  <c:v>375312</c:v>
                </c:pt>
                <c:pt idx="3">
                  <c:v>141255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7D8-4158-AB5B-0E7C26166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09232928"/>
        <c:axId val="20923528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dati!$A$4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dati!$B$3:$F$3</c15:sqref>
                        </c15:formulaRef>
                      </c:ext>
                    </c:extLst>
                    <c:strCache>
                      <c:ptCount val="5"/>
                      <c:pt idx="0">
                        <c:v>2023. gads
(izpilde)</c:v>
                      </c:pt>
                      <c:pt idx="1">
                        <c:v>2024. gada
plāns</c:v>
                      </c:pt>
                      <c:pt idx="2">
                        <c:v>2025. gada
projekts</c:v>
                      </c:pt>
                      <c:pt idx="3">
                        <c:v>2026. gada
prognoze</c:v>
                      </c:pt>
                      <c:pt idx="4">
                        <c:v>2027.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dati!$B$4:$F$4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44583814</c:v>
                      </c:pt>
                      <c:pt idx="1">
                        <c:v>50415671</c:v>
                      </c:pt>
                      <c:pt idx="2">
                        <c:v>53574500</c:v>
                      </c:pt>
                      <c:pt idx="3">
                        <c:v>57799999</c:v>
                      </c:pt>
                      <c:pt idx="4">
                        <c:v>52537919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A7D8-4158-AB5B-0E7C261666EB}"/>
                  </c:ext>
                </c:extLst>
              </c15:ser>
            </c15:filteredBarSeries>
          </c:ext>
        </c:extLst>
      </c:barChart>
      <c:catAx>
        <c:axId val="20923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9235280"/>
        <c:crosses val="autoZero"/>
        <c:auto val="1"/>
        <c:lblAlgn val="ctr"/>
        <c:lblOffset val="100"/>
        <c:noMultiLvlLbl val="0"/>
      </c:catAx>
      <c:valAx>
        <c:axId val="20923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923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5332458442694669E-2"/>
          <c:y val="0.83389874162925903"/>
          <c:w val="0.8751389326334208"/>
          <c:h val="0.11928741383962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spcAft>
          <a:spcPts val="2400"/>
        </a:spcAft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DFB8FFAF-9415-4F50-9A94-32DA1B13243C}">
      <dgm:prSet phldrT="[Text]" custT="1"/>
      <dgm:spPr>
        <a:xfrm>
          <a:off x="561507" y="330"/>
          <a:ext cx="3764682" cy="961254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buNone/>
          </a:pPr>
          <a:r>
            <a:rPr lang="lv-LV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gm:t>
    </dgm:pt>
    <dgm:pt modelId="{1D465977-C32D-4447-9C50-EC1AC18FD3C1}" type="parTrans" cxnId="{739E1F01-839E-4C4D-A9D5-37810EC8CF41}">
      <dgm:prSet/>
      <dgm:spPr/>
      <dgm:t>
        <a:bodyPr/>
        <a:lstStyle/>
        <a:p>
          <a:endParaRPr lang="en-US"/>
        </a:p>
      </dgm:t>
    </dgm:pt>
    <dgm:pt modelId="{F3C9FAF8-5295-4733-B8CF-730BC9A4F4D1}" type="sibTrans" cxnId="{739E1F01-839E-4C4D-A9D5-37810EC8CF41}">
      <dgm:prSet/>
      <dgm:spPr/>
      <dgm:t>
        <a:bodyPr/>
        <a:lstStyle/>
        <a:p>
          <a:endParaRPr lang="en-US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DA01B86E-E122-43C9-B7DD-3C1BE2071788}" type="pres">
      <dgm:prSet presAssocID="{DFB8FFAF-9415-4F50-9A94-32DA1B13243C}" presName="node" presStyleLbl="node1" presStyleIdx="0" presStyleCnt="1" custScaleX="82205" custScaleY="34983" custLinFactNeighborX="-193" custLinFactNeighborY="-1">
        <dgm:presLayoutVars>
          <dgm:bulletEnabled val="1"/>
        </dgm:presLayoutVars>
      </dgm:prSet>
      <dgm:spPr/>
    </dgm:pt>
  </dgm:ptLst>
  <dgm:cxnLst>
    <dgm:cxn modelId="{739E1F01-839E-4C4D-A9D5-37810EC8CF41}" srcId="{306E2546-2846-449E-BACA-6E538AEB741C}" destId="{DFB8FFAF-9415-4F50-9A94-32DA1B13243C}" srcOrd="0" destOrd="0" parTransId="{1D465977-C32D-4447-9C50-EC1AC18FD3C1}" sibTransId="{F3C9FAF8-5295-4733-B8CF-730BC9A4F4D1}"/>
    <dgm:cxn modelId="{B63AD882-1137-40C8-BF2C-183697CB0370}" type="presOf" srcId="{306E2546-2846-449E-BACA-6E538AEB741C}" destId="{742CD35E-24E8-4AF8-8ED4-3DD4C1D57ACF}" srcOrd="0" destOrd="0" presId="urn:microsoft.com/office/officeart/2005/8/layout/default"/>
    <dgm:cxn modelId="{F97FAEA2-A69C-4B36-A3DB-3FA703BCA57F}" type="presOf" srcId="{DFB8FFAF-9415-4F50-9A94-32DA1B13243C}" destId="{DA01B86E-E122-43C9-B7DD-3C1BE2071788}" srcOrd="0" destOrd="0" presId="urn:microsoft.com/office/officeart/2005/8/layout/default"/>
    <dgm:cxn modelId="{5C5E4F20-274D-4DAC-B192-6BB892273D53}" type="presParOf" srcId="{742CD35E-24E8-4AF8-8ED4-3DD4C1D57ACF}" destId="{DA01B86E-E122-43C9-B7DD-3C1BE2071788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01B86E-E122-43C9-B7DD-3C1BE2071788}">
      <dsp:nvSpPr>
        <dsp:cNvPr id="0" name=""/>
        <dsp:cNvSpPr/>
      </dsp:nvSpPr>
      <dsp:spPr>
        <a:xfrm>
          <a:off x="561507" y="330"/>
          <a:ext cx="3764682" cy="961254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sp:txBody>
      <dsp:txXfrm>
        <a:off x="561507" y="330"/>
        <a:ext cx="3764682" cy="9612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0.3137</cdr:x>
      <cdr:y>0.11708</cdr:y>
    </cdr:from>
    <cdr:to>
      <cdr:x>0.45907</cdr:x>
      <cdr:y>0.1845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05543" y="457878"/>
          <a:ext cx="836697" cy="263677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50 415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671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0.48338</cdr:x>
      <cdr:y>0.11346</cdr:y>
    </cdr:from>
    <cdr:to>
      <cdr:x>0.6286</cdr:x>
      <cdr:y>0.17521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734889" y="408525"/>
          <a:ext cx="821633" cy="22229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53 574 500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0.65516</cdr:x>
      <cdr:y>0.09055</cdr:y>
    </cdr:from>
    <cdr:to>
      <cdr:x>0.79978</cdr:x>
      <cdr:y>0.15837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706794" y="326005"/>
          <a:ext cx="818238" cy="24418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57 799 999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0.82968</cdr:x>
      <cdr:y>0.09779</cdr:y>
    </cdr:from>
    <cdr:to>
      <cdr:x>0.97312</cdr:x>
      <cdr:y>0.1592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694188" y="352079"/>
          <a:ext cx="811562" cy="22110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52 537 919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0.13737</cdr:x>
      <cdr:y>0.13654</cdr:y>
    </cdr:from>
    <cdr:to>
      <cdr:x>0.28468</cdr:x>
      <cdr:y>0.20401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777219" y="491623"/>
          <a:ext cx="833458" cy="242887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44 583 814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D6B2-D9B9-4FE2-BF28-B1F180A466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1700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2025. gadam un budžeta ietvaru 2025., 2026. un 2027.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2025. gadam un budžeta ietvaru 2025., 2026. un 2027.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Dace Godiņa</cp:lastModifiedBy>
  <cp:revision>105</cp:revision>
  <cp:lastPrinted>2019-10-09T11:09:00Z</cp:lastPrinted>
  <dcterms:created xsi:type="dcterms:W3CDTF">2019-05-08T08:06:00Z</dcterms:created>
  <dcterms:modified xsi:type="dcterms:W3CDTF">2024-10-11T08:27:00Z</dcterms:modified>
</cp:coreProperties>
</file>