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EA09A6" w14:textId="6F583A50" w:rsidR="005122AF" w:rsidRDefault="006F2A7E">
      <w:pPr>
        <w:spacing w:after="240"/>
        <w:jc w:val="center"/>
        <w:rPr>
          <w:b/>
        </w:rPr>
      </w:pPr>
      <w:r>
        <w:rPr>
          <w:b/>
        </w:rPr>
        <w:t xml:space="preserve">“Publiskās apspriešanas laikā 11.09.2025. - 25.09.2025. saņemto viedokļu, priekšlikumu un iebildumu apkopojums par Grozījumi Ministru kabineta 2013. gada 12. novembra noteikumos Nr. </w:t>
      </w:r>
      <w:r>
        <w:rPr>
          <w:b/>
        </w:rPr>
        <w:t>1284 "Darbinieku apstarošanas kontroles un uzskaites kārtība"”</w:t>
      </w:r>
    </w:p>
    <w:tbl>
      <w:tblPr>
        <w:tblW w:w="14567" w:type="dxa"/>
        <w:tblInd w:w="8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47"/>
        <w:gridCol w:w="4082"/>
        <w:gridCol w:w="4033"/>
        <w:gridCol w:w="796"/>
        <w:gridCol w:w="845"/>
        <w:gridCol w:w="3983"/>
        <w:gridCol w:w="81"/>
      </w:tblGrid>
      <w:tr w:rsidR="006F2A7E" w14:paraId="75D7F214" w14:textId="77777777" w:rsidTr="006F2A7E">
        <w:tc>
          <w:tcPr>
            <w:tcW w:w="747" w:type="dxa"/>
            <w:shd w:val="clear" w:color="auto" w:fill="FFFFFF" w:themeFill="background1"/>
            <w:noWrap/>
            <w:tcMar>
              <w:top w:w="75" w:type="dxa"/>
              <w:left w:w="75" w:type="dxa"/>
              <w:bottom w:w="75" w:type="dxa"/>
              <w:right w:w="75" w:type="dxa"/>
            </w:tcMar>
            <w:vAlign w:val="center"/>
          </w:tcPr>
          <w:p w14:paraId="5AA4F532" w14:textId="77777777" w:rsidR="006F2A7E" w:rsidRDefault="006F2A7E" w:rsidP="005453C1">
            <w:pPr>
              <w:jc w:val="center"/>
            </w:pPr>
            <w:proofErr w:type="spellStart"/>
            <w:r>
              <w:rPr>
                <w:b/>
              </w:rPr>
              <w:t>Nr.p.k</w:t>
            </w:r>
            <w:proofErr w:type="spellEnd"/>
            <w:r>
              <w:rPr>
                <w:b/>
              </w:rPr>
              <w:t>.</w:t>
            </w:r>
          </w:p>
        </w:tc>
        <w:tc>
          <w:tcPr>
            <w:tcW w:w="4082" w:type="dxa"/>
            <w:shd w:val="clear" w:color="auto" w:fill="FFFFFF" w:themeFill="background1"/>
            <w:noWrap/>
            <w:tcMar>
              <w:top w:w="75" w:type="dxa"/>
              <w:left w:w="75" w:type="dxa"/>
              <w:bottom w:w="75" w:type="dxa"/>
              <w:right w:w="75" w:type="dxa"/>
            </w:tcMar>
            <w:vAlign w:val="center"/>
          </w:tcPr>
          <w:p w14:paraId="055F5E67" w14:textId="77777777" w:rsidR="006F2A7E" w:rsidRDefault="006F2A7E" w:rsidP="005453C1">
            <w:pPr>
              <w:jc w:val="center"/>
            </w:pPr>
            <w:r>
              <w:rPr>
                <w:b/>
              </w:rPr>
              <w:t>Viedokļa / priekšlikuma / iebilduma iesniedzējs*</w:t>
            </w:r>
          </w:p>
        </w:tc>
        <w:tc>
          <w:tcPr>
            <w:tcW w:w="4033" w:type="dxa"/>
            <w:shd w:val="clear" w:color="auto" w:fill="FFFFFF" w:themeFill="background1"/>
            <w:noWrap/>
            <w:tcMar>
              <w:top w:w="75" w:type="dxa"/>
              <w:left w:w="75" w:type="dxa"/>
              <w:bottom w:w="75" w:type="dxa"/>
              <w:right w:w="75" w:type="dxa"/>
            </w:tcMar>
            <w:vAlign w:val="center"/>
          </w:tcPr>
          <w:p w14:paraId="36B543B9" w14:textId="77777777" w:rsidR="006F2A7E" w:rsidRDefault="006F2A7E" w:rsidP="005453C1">
            <w:pPr>
              <w:jc w:val="center"/>
            </w:pPr>
            <w:r>
              <w:rPr>
                <w:b/>
              </w:rPr>
              <w:t>Iesniegtā viedokļa / priekšlikuma / iebilduma būtība</w:t>
            </w:r>
          </w:p>
        </w:tc>
        <w:tc>
          <w:tcPr>
            <w:tcW w:w="1641" w:type="dxa"/>
            <w:gridSpan w:val="2"/>
            <w:shd w:val="clear" w:color="auto" w:fill="FFFFFF" w:themeFill="background1"/>
            <w:noWrap/>
            <w:tcMar>
              <w:top w:w="75" w:type="dxa"/>
              <w:left w:w="75" w:type="dxa"/>
              <w:bottom w:w="75" w:type="dxa"/>
              <w:right w:w="75" w:type="dxa"/>
            </w:tcMar>
            <w:vAlign w:val="center"/>
          </w:tcPr>
          <w:p w14:paraId="62F3F3C9" w14:textId="77777777" w:rsidR="006F2A7E" w:rsidRDefault="006F2A7E" w:rsidP="005453C1">
            <w:pPr>
              <w:jc w:val="center"/>
            </w:pPr>
            <w:r>
              <w:rPr>
                <w:b/>
              </w:rPr>
              <w:t>Ņemts vērā / ņemts vērā daļēji / nav ņemts vērā</w:t>
            </w:r>
          </w:p>
        </w:tc>
        <w:tc>
          <w:tcPr>
            <w:tcW w:w="4064" w:type="dxa"/>
            <w:gridSpan w:val="2"/>
            <w:shd w:val="clear" w:color="auto" w:fill="FFFFFF" w:themeFill="background1"/>
            <w:noWrap/>
            <w:tcMar>
              <w:top w:w="75" w:type="dxa"/>
              <w:left w:w="75" w:type="dxa"/>
              <w:bottom w:w="75" w:type="dxa"/>
              <w:right w:w="75" w:type="dxa"/>
            </w:tcMar>
            <w:vAlign w:val="center"/>
          </w:tcPr>
          <w:p w14:paraId="43DC4F38" w14:textId="77777777" w:rsidR="006F2A7E" w:rsidRDefault="006F2A7E" w:rsidP="005453C1">
            <w:pPr>
              <w:jc w:val="center"/>
            </w:pPr>
            <w:r>
              <w:rPr>
                <w:b/>
              </w:rPr>
              <w:t>Skaidrojums, kādā veidā viedoklis / priekšlikums / iebildums ir ņemts vērā vai ņemts vērā daļēji, vai pamatojums, ja viedoklis / priekšlikums / iebildums nav ņemts vērā</w:t>
            </w:r>
          </w:p>
        </w:tc>
      </w:tr>
      <w:tr w:rsidR="006F2A7E" w14:paraId="3233442E" w14:textId="77777777" w:rsidTr="006F2A7E">
        <w:tc>
          <w:tcPr>
            <w:tcW w:w="747" w:type="dxa"/>
            <w:shd w:val="clear" w:color="auto" w:fill="FFFFFF" w:themeFill="background1"/>
            <w:noWrap/>
            <w:tcMar>
              <w:top w:w="75" w:type="dxa"/>
              <w:left w:w="75" w:type="dxa"/>
              <w:bottom w:w="75" w:type="dxa"/>
              <w:right w:w="75" w:type="dxa"/>
            </w:tcMar>
            <w:vAlign w:val="center"/>
          </w:tcPr>
          <w:p w14:paraId="786EE831" w14:textId="77777777" w:rsidR="006F2A7E" w:rsidRDefault="006F2A7E" w:rsidP="005453C1">
            <w:pPr>
              <w:jc w:val="center"/>
            </w:pPr>
            <w:r>
              <w:t>1.</w:t>
            </w:r>
          </w:p>
        </w:tc>
        <w:tc>
          <w:tcPr>
            <w:tcW w:w="4082" w:type="dxa"/>
            <w:shd w:val="clear" w:color="auto" w:fill="FFFFFF" w:themeFill="background1"/>
            <w:noWrap/>
            <w:tcMar>
              <w:top w:w="75" w:type="dxa"/>
              <w:left w:w="75" w:type="dxa"/>
              <w:bottom w:w="75" w:type="dxa"/>
              <w:right w:w="75" w:type="dxa"/>
            </w:tcMar>
            <w:vAlign w:val="center"/>
          </w:tcPr>
          <w:p w14:paraId="51CE949D" w14:textId="77777777" w:rsidR="006F2A7E" w:rsidRDefault="006F2A7E" w:rsidP="005453C1">
            <w:pPr>
              <w:jc w:val="left"/>
            </w:pPr>
            <w:r>
              <w:t>Fiziska persona</w:t>
            </w:r>
          </w:p>
        </w:tc>
        <w:tc>
          <w:tcPr>
            <w:tcW w:w="4033" w:type="dxa"/>
            <w:shd w:val="clear" w:color="auto" w:fill="FFFFFF" w:themeFill="background1"/>
            <w:noWrap/>
            <w:tcMar>
              <w:top w:w="75" w:type="dxa"/>
              <w:left w:w="75" w:type="dxa"/>
              <w:bottom w:w="75" w:type="dxa"/>
              <w:right w:w="75" w:type="dxa"/>
            </w:tcMar>
            <w:vAlign w:val="center"/>
          </w:tcPr>
          <w:p w14:paraId="7D282BC4" w14:textId="77777777" w:rsidR="006F2A7E" w:rsidRDefault="006F2A7E" w:rsidP="005453C1">
            <w:pPr>
              <w:jc w:val="left"/>
            </w:pPr>
            <w:r>
              <w:t>Latvijas Universitāte par  Grozījumiem Ministru kabineta 2013. gada 12. novembra noteikumos Nr. 1284 "Darbinieku apstarošanas kontroles un uzskaites kārtība" (turpmāk - Projekts) izsaka šādus iebildumus:</w:t>
            </w:r>
            <w:r>
              <w:br/>
              <w:t xml:space="preserve">Pretēji Projekta anotācijā noteiktajam mērķim, Projekta 4.punkta redakcija palielina </w:t>
            </w:r>
            <w:proofErr w:type="spellStart"/>
            <w:r>
              <w:t>birorāktisko</w:t>
            </w:r>
            <w:proofErr w:type="spellEnd"/>
            <w:r>
              <w:t xml:space="preserve"> slogu Latvijas Universitātei, kurā operatori nevis "viesstrādnieku darba devēji", tātad Universitāte, ir atbildīga par studentiem, kā tas ir bijis līdz šim. Universitāte izsniedza </w:t>
            </w:r>
            <w:r>
              <w:lastRenderedPageBreak/>
              <w:t xml:space="preserve">individuālos dozimetrus prakses laikam un </w:t>
            </w:r>
            <w:proofErr w:type="spellStart"/>
            <w:r>
              <w:t>dozimetrijas</w:t>
            </w:r>
            <w:proofErr w:type="spellEnd"/>
            <w:r>
              <w:t xml:space="preserve"> rezultāti tika iesniegti studējošo darba devējam. Tas nozīmē, ka tagad operatoriem būs papildus atbildība, izmaksas, datu apstrāde, kā arī informācijas koordinēšana ar universitāti. Pastāv liels risks, ka operatori var kļūt mazāk ieinteresēti uzņemt studentus praksēs, ja izmaksas un birokrātija pieaug. Noteikti radīsies strīdi par izmaksu segšanu, atbildības robežām, datu aizsardzību. Atsevišķās Universitāšu slimnīcās prakses jau šobrīd ir ļoti dārgas, bet šis punkts var palielināt maksu par 1 studenta prakses dienu vēl vairāk, līdz ar to Universitātei </w:t>
            </w:r>
            <w:proofErr w:type="spellStart"/>
            <w:r>
              <w:t>naksies</w:t>
            </w:r>
            <w:proofErr w:type="spellEnd"/>
            <w:r>
              <w:t xml:space="preserve"> ierobežot studentu prakses šajās slimnīcās.</w:t>
            </w:r>
          </w:p>
        </w:tc>
        <w:tc>
          <w:tcPr>
            <w:tcW w:w="1641" w:type="dxa"/>
            <w:gridSpan w:val="2"/>
            <w:shd w:val="clear" w:color="auto" w:fill="FFFFFF" w:themeFill="background1"/>
            <w:noWrap/>
            <w:tcMar>
              <w:top w:w="75" w:type="dxa"/>
              <w:left w:w="75" w:type="dxa"/>
              <w:bottom w:w="75" w:type="dxa"/>
              <w:right w:w="75" w:type="dxa"/>
            </w:tcMar>
          </w:tcPr>
          <w:p w14:paraId="0923EB27"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4200EED7" w14:textId="77777777" w:rsidR="006F2A7E" w:rsidRDefault="006F2A7E" w:rsidP="005453C1">
            <w:pPr>
              <w:spacing w:line="259" w:lineRule="auto"/>
              <w:jc w:val="left"/>
            </w:pPr>
            <w:r>
              <w:t xml:space="preserve">Arī pašreiz spēkā esošo  Ministru kabineta 2013. gada 12. novembra noteikumu Nr. 1284 "Darbinieku apstarošanas kontroles un uzskaites kārtība" 4.punkts paredz, ka operators pilda gan darba devēja, gan operatora pienākumus: 4. Ja operatora kontrolētajā zonā strādā viesstrādnieki, kuru darba devējs ir cita fiziska vai juridiska persona, nevis šis operators (ieskaitot operatora personālu, kas veic jebkura veida darbības kontrolētajā zonā) (turpmāk – viesstrādnieka darba devējs), </w:t>
            </w:r>
            <w:r>
              <w:lastRenderedPageBreak/>
              <w:t>saskaņā ar šiem noteikumiem operators pilda gan darba devēja, gan operatora pienākumus.</w:t>
            </w:r>
          </w:p>
          <w:p w14:paraId="38D7865F" w14:textId="77777777" w:rsidR="006F2A7E" w:rsidRDefault="006F2A7E" w:rsidP="005453C1">
            <w:pPr>
              <w:jc w:val="left"/>
            </w:pPr>
          </w:p>
          <w:p w14:paraId="3F4AC34D" w14:textId="77777777" w:rsidR="006F2A7E" w:rsidRPr="00F6760B" w:rsidRDefault="006F2A7E" w:rsidP="005453C1">
            <w:pPr>
              <w:jc w:val="left"/>
            </w:pPr>
            <w:r>
              <w:t>Operators ir tā juridiskā persona, kas saņēmusi licenci jonizējošā starojuma avotu lietošanai, piemēram, ārstniecības iestāde. Noteikumu projekts paredz, ka operatoram jāsadarbojas ar viesstrādnieku darba devēju, ja tā ir cita juridiskā persona, piemēram, studentiem augstākās izglītības mācību iestāde. Atbildības sadalījums jāatrunā šīs sadarbības ietvaros.</w:t>
            </w:r>
          </w:p>
        </w:tc>
      </w:tr>
      <w:tr w:rsidR="006F2A7E" w14:paraId="20673A46" w14:textId="77777777" w:rsidTr="006F2A7E">
        <w:tc>
          <w:tcPr>
            <w:tcW w:w="747" w:type="dxa"/>
            <w:shd w:val="clear" w:color="auto" w:fill="FFFFFF" w:themeFill="background1"/>
            <w:noWrap/>
            <w:tcMar>
              <w:top w:w="75" w:type="dxa"/>
              <w:left w:w="75" w:type="dxa"/>
              <w:bottom w:w="75" w:type="dxa"/>
              <w:right w:w="75" w:type="dxa"/>
            </w:tcMar>
            <w:vAlign w:val="center"/>
          </w:tcPr>
          <w:p w14:paraId="73CB5F11" w14:textId="77777777" w:rsidR="006F2A7E" w:rsidRDefault="006F2A7E" w:rsidP="005453C1">
            <w:pPr>
              <w:jc w:val="center"/>
            </w:pPr>
            <w:r>
              <w:lastRenderedPageBreak/>
              <w:t>2.</w:t>
            </w:r>
          </w:p>
        </w:tc>
        <w:tc>
          <w:tcPr>
            <w:tcW w:w="4082" w:type="dxa"/>
            <w:shd w:val="clear" w:color="auto" w:fill="FFFFFF" w:themeFill="background1"/>
            <w:noWrap/>
            <w:tcMar>
              <w:top w:w="75" w:type="dxa"/>
              <w:left w:w="75" w:type="dxa"/>
              <w:bottom w:w="75" w:type="dxa"/>
              <w:right w:w="75" w:type="dxa"/>
            </w:tcMar>
            <w:vAlign w:val="center"/>
          </w:tcPr>
          <w:p w14:paraId="5C0AFE85" w14:textId="77777777" w:rsidR="006F2A7E" w:rsidRDefault="006F2A7E" w:rsidP="005453C1">
            <w:pPr>
              <w:jc w:val="left"/>
            </w:pPr>
            <w:r>
              <w:t>Fiziska persona</w:t>
            </w:r>
          </w:p>
        </w:tc>
        <w:tc>
          <w:tcPr>
            <w:tcW w:w="4033" w:type="dxa"/>
            <w:shd w:val="clear" w:color="auto" w:fill="FFFFFF" w:themeFill="background1"/>
            <w:noWrap/>
            <w:tcMar>
              <w:top w:w="75" w:type="dxa"/>
              <w:left w:w="75" w:type="dxa"/>
              <w:bottom w:w="75" w:type="dxa"/>
              <w:right w:w="75" w:type="dxa"/>
            </w:tcMar>
            <w:vAlign w:val="center"/>
          </w:tcPr>
          <w:p w14:paraId="2CD30B29" w14:textId="77777777" w:rsidR="006F2A7E" w:rsidRDefault="006F2A7E" w:rsidP="005453C1">
            <w:pPr>
              <w:jc w:val="left"/>
            </w:pPr>
            <w:r>
              <w:t xml:space="preserve">Vienlaicīgi papildus birokrātisko slogu radīs Projektā noteiktais 39.5.punkta papildinājums - augstskolām būs jāveido centralizēta sistēma dozu datu uzkrāšanai, jo students vairākkārt </w:t>
            </w:r>
            <w:r>
              <w:lastRenderedPageBreak/>
              <w:t xml:space="preserve">praksēs atrodas dažādās iestādēs. </w:t>
            </w:r>
            <w:proofErr w:type="spellStart"/>
            <w:r>
              <w:t>Radiogrāfijas</w:t>
            </w:r>
            <w:proofErr w:type="spellEnd"/>
            <w:r>
              <w:t xml:space="preserve"> studentiem dozas par 5 gadiem veidojas no iepriekšējos 3 gados koledžas studiju praksēs iegūtajām dozām, kā arī paralēli studijām strādājošiem būs dozas pamatdarbā. Nav mehānisma, kā Universitāte varētu pieprasīt dozu datus no operatoriem un no koledžas, turklāt ir jāievēro personas datu aizsardzība un ar to saistītie riski. Būs jāslēdz līgumi starp operatoriem un augstskolām par datu apstrādi. Līdz ar to radīsies papildus administratīvais slogs, jo augstskolai būs jāapkopo un jānodod dati katru reizi, kad students dodas praksē uz operatora kontrolētu zonu, savukārt operatoram būs jāapstrādā un jāuzglabā šī informācija, ievērojot faktu, ka a prakses LU sākas februārī, bieži vien operatoram nav vēl </w:t>
            </w:r>
            <w:proofErr w:type="spellStart"/>
            <w:r>
              <w:t>dozimetrijas</w:t>
            </w:r>
            <w:proofErr w:type="spellEnd"/>
            <w:r>
              <w:t xml:space="preserve"> rezultāti janvāra vidū pieejami, lai tos kopīgotu ar Universitāti.</w:t>
            </w:r>
          </w:p>
        </w:tc>
        <w:tc>
          <w:tcPr>
            <w:tcW w:w="1641" w:type="dxa"/>
            <w:gridSpan w:val="2"/>
            <w:shd w:val="clear" w:color="auto" w:fill="FFFFFF" w:themeFill="background1"/>
            <w:noWrap/>
            <w:tcMar>
              <w:top w:w="75" w:type="dxa"/>
              <w:left w:w="75" w:type="dxa"/>
              <w:bottom w:w="75" w:type="dxa"/>
              <w:right w:w="75" w:type="dxa"/>
            </w:tcMar>
          </w:tcPr>
          <w:p w14:paraId="375FEB61"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75D5A6A7" w14:textId="77777777" w:rsidR="006F2A7E" w:rsidRDefault="006F2A7E" w:rsidP="005453C1">
            <w:pPr>
              <w:jc w:val="left"/>
            </w:pPr>
            <w:r>
              <w:t xml:space="preserve">Prasības par </w:t>
            </w:r>
            <w:proofErr w:type="spellStart"/>
            <w:r>
              <w:t>dozimetrijas</w:t>
            </w:r>
            <w:proofErr w:type="spellEnd"/>
            <w:r>
              <w:t xml:space="preserve"> nodrošināšanu un saņemto dozu uzskaiti noteiktas projektā, t.sk. A kategorijas darbiniekiem. Ievērojot studentu veicamās darbības, noslodzi un paredzamo </w:t>
            </w:r>
            <w:r>
              <w:lastRenderedPageBreak/>
              <w:t xml:space="preserve">dozu, lielākoties studenti būs B kategorijas darbinieki. Savukārt tajos gadījumos, kur studenti praksē veic darbības </w:t>
            </w:r>
            <w:proofErr w:type="spellStart"/>
            <w:r>
              <w:t>kodolmedicīnā</w:t>
            </w:r>
            <w:proofErr w:type="spellEnd"/>
            <w:r>
              <w:t>, radioterapijā u.c. lielāka riska objektos, it īpaši svarīgi, lai būtu atrunāta operatora un darba devēja sadarbība un informētība par studentu saņemtajām dozām.</w:t>
            </w:r>
          </w:p>
        </w:tc>
      </w:tr>
      <w:tr w:rsidR="006F2A7E" w14:paraId="14FFA0CB" w14:textId="77777777" w:rsidTr="006F2A7E">
        <w:tc>
          <w:tcPr>
            <w:tcW w:w="747" w:type="dxa"/>
            <w:shd w:val="clear" w:color="auto" w:fill="FFFFFF" w:themeFill="background1"/>
            <w:noWrap/>
            <w:tcMar>
              <w:top w:w="75" w:type="dxa"/>
              <w:left w:w="75" w:type="dxa"/>
              <w:bottom w:w="75" w:type="dxa"/>
              <w:right w:w="75" w:type="dxa"/>
            </w:tcMar>
            <w:vAlign w:val="center"/>
          </w:tcPr>
          <w:p w14:paraId="33334E98" w14:textId="77777777" w:rsidR="006F2A7E" w:rsidRDefault="006F2A7E" w:rsidP="005453C1">
            <w:pPr>
              <w:jc w:val="center"/>
            </w:pPr>
            <w:r>
              <w:lastRenderedPageBreak/>
              <w:t>3.</w:t>
            </w:r>
          </w:p>
        </w:tc>
        <w:tc>
          <w:tcPr>
            <w:tcW w:w="4082" w:type="dxa"/>
            <w:shd w:val="clear" w:color="auto" w:fill="FFFFFF" w:themeFill="background1"/>
            <w:noWrap/>
            <w:tcMar>
              <w:top w:w="75" w:type="dxa"/>
              <w:left w:w="75" w:type="dxa"/>
              <w:bottom w:w="75" w:type="dxa"/>
              <w:right w:w="75" w:type="dxa"/>
            </w:tcMar>
            <w:vAlign w:val="center"/>
          </w:tcPr>
          <w:p w14:paraId="525AFBC7"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0779E3FA" w14:textId="77777777" w:rsidR="006F2A7E" w:rsidRDefault="006F2A7E" w:rsidP="005453C1">
            <w:pPr>
              <w:jc w:val="left"/>
            </w:pPr>
            <w:r>
              <w:t>4. punkts</w:t>
            </w:r>
            <w:r>
              <w:br/>
              <w:t>Prasība nav pārdomāta attiecināma uz studentiem augstskolās. Vai katra studenta darba devējam būs jāsniedz informācija par sava darbinieka pēdējo piecu gadu laikā saņemtajām dozām augstskolai, kā to noteic 39.</w:t>
            </w:r>
            <w:r>
              <w:rPr>
                <w:vertAlign w:val="superscript"/>
              </w:rPr>
              <w:t>5</w:t>
            </w:r>
            <w:r>
              <w:t>5. punkts? Kas augstskolai jāiesāk ar šo informāciju? Šīs darbības un informācija augstskolai ir absolūti nelietderīga.</w:t>
            </w:r>
            <w:r>
              <w:br/>
              <w:t xml:space="preserve">Aicinām arī paredzēt, ka, piemēram, akreditētas institūcijas darbinieki, kas veic darba vietas monitoringu, nav uzskatāmi par viesstrādniekiem, pretējā gadījumā veidojas absurda situācija, kad operatoram šo institūciju darbiniekiem katrreiz jānodrošina dozu novērtējums, kā arī individuālā </w:t>
            </w:r>
            <w:proofErr w:type="spellStart"/>
            <w:r>
              <w:t>dozimetrija</w:t>
            </w:r>
            <w:proofErr w:type="spellEnd"/>
            <w:r>
              <w:t>, kā to noteic 39.</w:t>
            </w:r>
            <w:r>
              <w:rPr>
                <w:vertAlign w:val="superscript"/>
              </w:rPr>
              <w:t>7</w:t>
            </w:r>
            <w:r>
              <w:t xml:space="preserve"> punkts, bet institūcijas darbinieku darba devējam katru reizi operatoram jānodod informācija par savu darbinieku pēdējo piecu gadu laikā </w:t>
            </w:r>
            <w:r>
              <w:lastRenderedPageBreak/>
              <w:t>saņemtajām dozām, kā to noteic 39.</w:t>
            </w:r>
            <w:r>
              <w:rPr>
                <w:vertAlign w:val="superscript"/>
              </w:rPr>
              <w:t>5</w:t>
            </w:r>
            <w:r>
              <w:t>5. punkts. Šīs darbības un informācija operatoram ir absolūti nelietderīga.</w:t>
            </w:r>
          </w:p>
        </w:tc>
        <w:tc>
          <w:tcPr>
            <w:tcW w:w="1641" w:type="dxa"/>
            <w:gridSpan w:val="2"/>
            <w:shd w:val="clear" w:color="auto" w:fill="FFFFFF" w:themeFill="background1"/>
            <w:noWrap/>
            <w:tcMar>
              <w:top w:w="75" w:type="dxa"/>
              <w:left w:w="75" w:type="dxa"/>
              <w:bottom w:w="75" w:type="dxa"/>
              <w:right w:w="75" w:type="dxa"/>
            </w:tcMar>
          </w:tcPr>
          <w:p w14:paraId="6A2BA9C3"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281C83AB" w14:textId="77777777" w:rsidR="006F2A7E" w:rsidRDefault="006F2A7E" w:rsidP="005453C1">
            <w:pPr>
              <w:spacing w:line="259" w:lineRule="auto"/>
              <w:jc w:val="left"/>
            </w:pPr>
            <w:r>
              <w:t>Arī pašreiz spēkā esošo  Ministru kabineta 2013. gada 12. novembra noteikumu Nr. 1284 "Darbinieku apstarošanas kontroles un uzskaites kārtība" 4.punkts paredz, ka operators pilda gan darba devēja, gan operatora pienākumus: 4. Ja operatora kontrolētajā zonā strādā viesstrādnieki, kuru darba devējs ir cita fiziska vai juridiska persona, nevis šis operators (ieskaitot operatora personālu, kas veic jebkura veida darbības kontrolētajā zonā) (turpmāk – viesstrādnieka darba devējs), saskaņā ar šiem noteikumiem operators pilda gan darba devēja, gan operatora pienākumus.</w:t>
            </w:r>
          </w:p>
          <w:p w14:paraId="68F40B30" w14:textId="77777777" w:rsidR="006F2A7E" w:rsidRDefault="006F2A7E" w:rsidP="005453C1">
            <w:pPr>
              <w:jc w:val="left"/>
            </w:pPr>
          </w:p>
          <w:p w14:paraId="755E28FF" w14:textId="77777777" w:rsidR="006F2A7E" w:rsidRDefault="006F2A7E" w:rsidP="005453C1">
            <w:pPr>
              <w:jc w:val="left"/>
            </w:pPr>
            <w:r>
              <w:t xml:space="preserve">Operators ir tā juridiskā persona, kas saņēmusi licenci jonizējošā starojuma avotu lietošanai, piemēram, ārstniecības iestāde. Noteikumu projekts paredz, ka operatoram jāsadarbojas ar viesstrādnieku darba devēju, ja tā </w:t>
            </w:r>
            <w:r>
              <w:lastRenderedPageBreak/>
              <w:t>ir cita juridiskā persona, piemēram, studentiem augstākās izglītības mācību iestāde. Atbildības sadalījums jāatrunā šīs sadarbības ietvaros.</w:t>
            </w:r>
          </w:p>
          <w:p w14:paraId="3857A271" w14:textId="77777777" w:rsidR="006F2A7E" w:rsidDel="05D9EE36" w:rsidRDefault="006F2A7E" w:rsidP="005453C1">
            <w:pPr>
              <w:jc w:val="left"/>
            </w:pPr>
            <w:r>
              <w:t>Noteikumu projekta prasību izpratnē akreditētas institūcijas darbinieki, kas veic darba vietas monitoringu, un citu pakalpojumu sniedzēji, kas saņēmuši licenci darbībām ar jonizējošā starojuma avotiem, nav viesstrādnieki, tiem ir izsniegtas licences darbību veikšanai un par darbiniekiem atbild darba devējs, kas ir arī operators. Gadījumā, ja šāds pakalpojuma sniedzējs piesaista kādu viesstrādnieku, kuram pats nav darba devējs, tad attiecīgi pilda operatora pienākumus un sadarbojas ar darba devēju.</w:t>
            </w:r>
          </w:p>
        </w:tc>
      </w:tr>
      <w:tr w:rsidR="006F2A7E" w14:paraId="675B7379" w14:textId="77777777" w:rsidTr="006F2A7E">
        <w:tc>
          <w:tcPr>
            <w:tcW w:w="747" w:type="dxa"/>
            <w:shd w:val="clear" w:color="auto" w:fill="FFFFFF" w:themeFill="background1"/>
            <w:noWrap/>
            <w:tcMar>
              <w:top w:w="75" w:type="dxa"/>
              <w:left w:w="75" w:type="dxa"/>
              <w:bottom w:w="75" w:type="dxa"/>
              <w:right w:w="75" w:type="dxa"/>
            </w:tcMar>
            <w:vAlign w:val="center"/>
          </w:tcPr>
          <w:p w14:paraId="2DC85A1F" w14:textId="77777777" w:rsidR="006F2A7E" w:rsidRDefault="006F2A7E" w:rsidP="005453C1">
            <w:pPr>
              <w:jc w:val="center"/>
            </w:pPr>
            <w:r>
              <w:lastRenderedPageBreak/>
              <w:t>4.</w:t>
            </w:r>
          </w:p>
        </w:tc>
        <w:tc>
          <w:tcPr>
            <w:tcW w:w="4082" w:type="dxa"/>
            <w:shd w:val="clear" w:color="auto" w:fill="FFFFFF" w:themeFill="background1"/>
            <w:noWrap/>
            <w:tcMar>
              <w:top w:w="75" w:type="dxa"/>
              <w:left w:w="75" w:type="dxa"/>
              <w:bottom w:w="75" w:type="dxa"/>
              <w:right w:w="75" w:type="dxa"/>
            </w:tcMar>
            <w:vAlign w:val="center"/>
          </w:tcPr>
          <w:p w14:paraId="7A3630F3"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0C00C461" w14:textId="77777777" w:rsidR="006F2A7E" w:rsidRDefault="006F2A7E" w:rsidP="005453C1">
            <w:pPr>
              <w:jc w:val="left"/>
            </w:pPr>
            <w:r>
              <w:t>7.3. punkts</w:t>
            </w:r>
            <w:r>
              <w:br/>
              <w:t xml:space="preserve">Pašreiz spēkā esošajos noteikumos (p.7.4.) noteikti konkrēti limiti, kuru pārsniegšanas gadījumā būtu iegūstama operatīva informācija </w:t>
            </w:r>
            <w:r>
              <w:lastRenderedPageBreak/>
              <w:t>par atsevišķu darbinieku saņemtajām jonizējošā starojuma dozām, tomēr grozījumos noteikumu punktu 7.4. paredzēts svītrot.</w:t>
            </w:r>
            <w:r>
              <w:br/>
              <w:t>Lūdzam precizēt 7.3.punkta prasības, proti, norādīt, kādos gadījumos radiācijas drošības kvalitātes nodrošināšanas programmā būtu iekļaujama prasība nodrošināt operatīvo informāciju par atsevišķu darbinieku saņemtajām jonizējošā starojuma dozām.</w:t>
            </w:r>
            <w:r>
              <w:br/>
              <w:t>Uzskatām, ka, precizējumu neietverot, prasība kļūst bezjēdzīga, jo nav nosacījumu, kad tā piemērojama, attiecīgi prasība netiks pildīta.</w:t>
            </w:r>
            <w:r>
              <w:br/>
            </w:r>
          </w:p>
        </w:tc>
        <w:tc>
          <w:tcPr>
            <w:tcW w:w="1641" w:type="dxa"/>
            <w:gridSpan w:val="2"/>
            <w:shd w:val="clear" w:color="auto" w:fill="FFFFFF" w:themeFill="background1"/>
            <w:noWrap/>
            <w:tcMar>
              <w:top w:w="75" w:type="dxa"/>
              <w:left w:w="75" w:type="dxa"/>
              <w:bottom w:w="75" w:type="dxa"/>
              <w:right w:w="75" w:type="dxa"/>
            </w:tcMar>
          </w:tcPr>
          <w:p w14:paraId="147A7882"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396DE0B4" w14:textId="77777777" w:rsidR="006F2A7E" w:rsidRPr="00C86398" w:rsidDel="05D9EE36" w:rsidRDefault="006F2A7E" w:rsidP="005453C1">
            <w:pPr>
              <w:jc w:val="left"/>
            </w:pPr>
            <w:r>
              <w:t>Noteikumu projektā  svītrotais 7.4. apakšpunkts nepaskaidro citus apakšpunktus, tas nav sasaistīts ar 7.3.apakšpunktu, tāpēc tā svītrošana neietekmē pārējos apakšpunktus.</w:t>
            </w:r>
          </w:p>
          <w:p w14:paraId="47522C30" w14:textId="77777777" w:rsidR="006F2A7E" w:rsidRPr="00C86398" w:rsidDel="05D9EE36" w:rsidRDefault="006F2A7E" w:rsidP="005453C1">
            <w:pPr>
              <w:spacing w:line="259" w:lineRule="auto"/>
              <w:jc w:val="left"/>
            </w:pPr>
            <w:r>
              <w:lastRenderedPageBreak/>
              <w:t xml:space="preserve">Tā ir operatora atbildība noteikt kritērijus, kuros gadījumos nepieciešams biežāk iegūt individuālās </w:t>
            </w:r>
            <w:proofErr w:type="spellStart"/>
            <w:r>
              <w:t>dozimetrijas</w:t>
            </w:r>
            <w:proofErr w:type="spellEnd"/>
            <w:r>
              <w:t xml:space="preserve"> rezultātus. Operators seko līdzi savas radiācijas drošības kvalitātes nodrošināšanas programmas izpildei.</w:t>
            </w:r>
          </w:p>
          <w:p w14:paraId="3675FC43" w14:textId="77777777" w:rsidR="006F2A7E" w:rsidRPr="00C86398" w:rsidDel="05D9EE36" w:rsidRDefault="006F2A7E" w:rsidP="005453C1">
            <w:pPr>
              <w:jc w:val="left"/>
            </w:pPr>
          </w:p>
        </w:tc>
      </w:tr>
      <w:tr w:rsidR="006F2A7E" w14:paraId="26604368" w14:textId="77777777" w:rsidTr="006F2A7E">
        <w:tc>
          <w:tcPr>
            <w:tcW w:w="747" w:type="dxa"/>
            <w:shd w:val="clear" w:color="auto" w:fill="FFFFFF" w:themeFill="background1"/>
            <w:noWrap/>
            <w:tcMar>
              <w:top w:w="75" w:type="dxa"/>
              <w:left w:w="75" w:type="dxa"/>
              <w:bottom w:w="75" w:type="dxa"/>
              <w:right w:w="75" w:type="dxa"/>
            </w:tcMar>
            <w:vAlign w:val="center"/>
          </w:tcPr>
          <w:p w14:paraId="3A69E0B1" w14:textId="77777777" w:rsidR="006F2A7E" w:rsidRDefault="006F2A7E" w:rsidP="005453C1">
            <w:pPr>
              <w:jc w:val="center"/>
            </w:pPr>
            <w:r>
              <w:lastRenderedPageBreak/>
              <w:t>5.</w:t>
            </w:r>
          </w:p>
        </w:tc>
        <w:tc>
          <w:tcPr>
            <w:tcW w:w="4082" w:type="dxa"/>
            <w:shd w:val="clear" w:color="auto" w:fill="FFFFFF" w:themeFill="background1"/>
            <w:noWrap/>
            <w:tcMar>
              <w:top w:w="75" w:type="dxa"/>
              <w:left w:w="75" w:type="dxa"/>
              <w:bottom w:w="75" w:type="dxa"/>
              <w:right w:w="75" w:type="dxa"/>
            </w:tcMar>
            <w:vAlign w:val="center"/>
          </w:tcPr>
          <w:p w14:paraId="0ADDCA2F"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79A2256B" w14:textId="77777777" w:rsidR="006F2A7E" w:rsidRDefault="006F2A7E" w:rsidP="005453C1">
            <w:pPr>
              <w:jc w:val="left"/>
            </w:pPr>
            <w:r>
              <w:t>7.5. punkts</w:t>
            </w:r>
            <w:r>
              <w:br/>
              <w:t xml:space="preserve">Ietverta jauna prasība par TLD dozimetru nomaiņu reizi sešos mēnešos pirmajā darbības gadā, jaunam operatoram uzsākot veikt licencējamas darbības ar jonizējošā starojuma avotiem vai </w:t>
            </w:r>
            <w:r>
              <w:lastRenderedPageBreak/>
              <w:t>uzsākot licencējamu darbību veikšanu jaunā jomā, operatora nodarbinātajiem B kategorijas darbiniekiem.</w:t>
            </w:r>
            <w:r>
              <w:br/>
              <w:t>Aicinām prasībā precizēt, ka TLD dozimetri nepieciešami tikai tiem B kategorijas darbiniekiem, kas veic darbības tieši jaunā jomā, jo pretējā gadījumā no prasības lasāms, ka operatoram uzsākot darbību veikšanu jaunā jomā, tam būtu jānodrošina TLD nomaiņa visiem saviem B kategorijas darbiniekiem (jo izņēmumi nav ietverti).</w:t>
            </w:r>
            <w:r>
              <w:br/>
              <w:t>Piedāvājam redakciju:</w:t>
            </w:r>
            <w:r>
              <w:br/>
              <w:t>reizi sešos mēnešos pirmajā darbības gadā, jaunam operatoram uzsākot veikt licencējamas darbības ar jonizējošā starojuma avotiem, operatora nodarbinātajiem B kategorijas darbiniekiem, vai jau licencētam operatoram uzsākot licencējamu darbību veikšanu jaunā jomā, B kategorijas darbiniekiem, ko operators nodarbina jaunā jomā.</w:t>
            </w:r>
          </w:p>
        </w:tc>
        <w:tc>
          <w:tcPr>
            <w:tcW w:w="1641" w:type="dxa"/>
            <w:gridSpan w:val="2"/>
            <w:shd w:val="clear" w:color="auto" w:fill="FFFFFF" w:themeFill="background1"/>
            <w:noWrap/>
            <w:tcMar>
              <w:top w:w="75" w:type="dxa"/>
              <w:left w:w="75" w:type="dxa"/>
              <w:bottom w:w="75" w:type="dxa"/>
              <w:right w:w="75" w:type="dxa"/>
            </w:tcMar>
          </w:tcPr>
          <w:p w14:paraId="5C826A7D" w14:textId="77777777" w:rsidR="006F2A7E" w:rsidRDefault="006F2A7E" w:rsidP="005453C1">
            <w:pPr>
              <w:jc w:val="left"/>
            </w:pPr>
            <w:r>
              <w:lastRenderedPageBreak/>
              <w:t>Ņemts vērā</w:t>
            </w:r>
          </w:p>
        </w:tc>
        <w:tc>
          <w:tcPr>
            <w:tcW w:w="4064" w:type="dxa"/>
            <w:gridSpan w:val="2"/>
            <w:shd w:val="clear" w:color="auto" w:fill="FFFFFF" w:themeFill="background1"/>
            <w:noWrap/>
            <w:tcMar>
              <w:top w:w="75" w:type="dxa"/>
              <w:left w:w="75" w:type="dxa"/>
              <w:bottom w:w="75" w:type="dxa"/>
              <w:right w:w="75" w:type="dxa"/>
            </w:tcMar>
          </w:tcPr>
          <w:p w14:paraId="123C178D" w14:textId="77777777" w:rsidR="006F2A7E" w:rsidRPr="00122F31" w:rsidDel="05D9EE36" w:rsidRDefault="006F2A7E" w:rsidP="005453C1">
            <w:pPr>
              <w:spacing w:line="259" w:lineRule="auto"/>
              <w:jc w:val="left"/>
            </w:pPr>
            <w:r>
              <w:t>N</w:t>
            </w:r>
            <w:r w:rsidRPr="00122F31">
              <w:t>oteikumu projekt</w:t>
            </w:r>
            <w:r>
              <w:t xml:space="preserve">a </w:t>
            </w:r>
            <w:r w:rsidRPr="00122F31">
              <w:t>7.5.</w:t>
            </w:r>
            <w:r>
              <w:t xml:space="preserve"> </w:t>
            </w:r>
            <w:r w:rsidRPr="00122F31">
              <w:t>apakšpunkts izteikts šād</w:t>
            </w:r>
            <w:r>
              <w:t>ā redakcijā:</w:t>
            </w:r>
            <w:r w:rsidRPr="00122F31">
              <w:t xml:space="preserve"> “reizi sešos mēnešos pirmajā darbības gadā, jaunam operatoram uzsākot veikt licencējamas darbības ar jonizējošā starojuma avotiem vai </w:t>
            </w:r>
            <w:r w:rsidRPr="00122F31">
              <w:lastRenderedPageBreak/>
              <w:t>uzsākot licencējamu darbību veikšanu jaunā jomā, operatora attiecīgajās licencējamās darbībās nodarbinātajiem B kategorijas darbiniekiem”</w:t>
            </w:r>
            <w:r>
              <w:t>.</w:t>
            </w:r>
          </w:p>
        </w:tc>
      </w:tr>
      <w:tr w:rsidR="006F2A7E" w14:paraId="5026FADD" w14:textId="77777777" w:rsidTr="006F2A7E">
        <w:tc>
          <w:tcPr>
            <w:tcW w:w="747" w:type="dxa"/>
            <w:shd w:val="clear" w:color="auto" w:fill="FFFFFF" w:themeFill="background1"/>
            <w:noWrap/>
            <w:tcMar>
              <w:top w:w="75" w:type="dxa"/>
              <w:left w:w="75" w:type="dxa"/>
              <w:bottom w:w="75" w:type="dxa"/>
              <w:right w:w="75" w:type="dxa"/>
            </w:tcMar>
            <w:vAlign w:val="center"/>
          </w:tcPr>
          <w:p w14:paraId="5606B5AF" w14:textId="77777777" w:rsidR="006F2A7E" w:rsidRDefault="006F2A7E" w:rsidP="005453C1">
            <w:pPr>
              <w:jc w:val="center"/>
            </w:pPr>
            <w:r>
              <w:lastRenderedPageBreak/>
              <w:t>6.</w:t>
            </w:r>
          </w:p>
        </w:tc>
        <w:tc>
          <w:tcPr>
            <w:tcW w:w="4082" w:type="dxa"/>
            <w:shd w:val="clear" w:color="auto" w:fill="FFFFFF" w:themeFill="background1"/>
            <w:noWrap/>
            <w:tcMar>
              <w:top w:w="75" w:type="dxa"/>
              <w:left w:w="75" w:type="dxa"/>
              <w:bottom w:w="75" w:type="dxa"/>
              <w:right w:w="75" w:type="dxa"/>
            </w:tcMar>
            <w:vAlign w:val="center"/>
          </w:tcPr>
          <w:p w14:paraId="5A74F0A9"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5341676C" w14:textId="77777777" w:rsidR="006F2A7E" w:rsidRDefault="006F2A7E" w:rsidP="005453C1">
            <w:pPr>
              <w:jc w:val="left"/>
            </w:pPr>
            <w:r>
              <w:t>14.1. punkts</w:t>
            </w:r>
            <w:r>
              <w:br/>
              <w:t xml:space="preserve">Aicinām precizēt, kāds temperatūras un mitruma līmenis uzskatāms par augstu TLD gadījumā. Informējam, ka ir konstatēti gadījumi, kad operatoru darbinieki aizmirst TLD kabatā un netīšām izmazgā veļas mazgājamā mašīnā, kur t = 30...90 </w:t>
            </w:r>
            <w:proofErr w:type="spellStart"/>
            <w:r w:rsidRPr="2EB52DD1">
              <w:rPr>
                <w:vertAlign w:val="superscript"/>
              </w:rPr>
              <w:t>o</w:t>
            </w:r>
            <w:r>
              <w:t>C</w:t>
            </w:r>
            <w:proofErr w:type="spellEnd"/>
            <w:r>
              <w:t>, pēc kā iegūtais nolasījums neatšķiras no vidējiem rādījumiem, citā darbinieka darbības laika posmā.</w:t>
            </w:r>
          </w:p>
        </w:tc>
        <w:tc>
          <w:tcPr>
            <w:tcW w:w="1641" w:type="dxa"/>
            <w:gridSpan w:val="2"/>
            <w:shd w:val="clear" w:color="auto" w:fill="FFFFFF" w:themeFill="background1"/>
            <w:noWrap/>
            <w:tcMar>
              <w:top w:w="75" w:type="dxa"/>
              <w:left w:w="75" w:type="dxa"/>
              <w:bottom w:w="75" w:type="dxa"/>
              <w:right w:w="75" w:type="dxa"/>
            </w:tcMar>
          </w:tcPr>
          <w:p w14:paraId="0F2986E2" w14:textId="77777777" w:rsidR="006F2A7E" w:rsidRDefault="006F2A7E" w:rsidP="005453C1">
            <w:pPr>
              <w:jc w:val="left"/>
            </w:pPr>
            <w:r>
              <w:t>Nav ņemts vērā</w:t>
            </w:r>
          </w:p>
          <w:p w14:paraId="47284E1D"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70498958" w14:textId="77777777" w:rsidR="006F2A7E" w:rsidRPr="00C86398" w:rsidDel="05D9EE36" w:rsidRDefault="006F2A7E" w:rsidP="005453C1">
            <w:pPr>
              <w:jc w:val="left"/>
              <w:rPr>
                <w:color w:val="FF0000"/>
              </w:rPr>
            </w:pPr>
            <w:r w:rsidRPr="00132C62">
              <w:rPr>
                <w:color w:val="auto"/>
              </w:rPr>
              <w:t>Šādu prasību iekļaušana nav lietderīga un ir risināmi starp operatoriem un TLD izsniedzēju, tostarp iepazīstoties ar informāciju par TLD lietošanas nosacījumiem.</w:t>
            </w:r>
          </w:p>
        </w:tc>
      </w:tr>
      <w:tr w:rsidR="006F2A7E" w14:paraId="53EA5549" w14:textId="77777777" w:rsidTr="006F2A7E">
        <w:tc>
          <w:tcPr>
            <w:tcW w:w="747" w:type="dxa"/>
            <w:shd w:val="clear" w:color="auto" w:fill="FFFFFF" w:themeFill="background1"/>
            <w:noWrap/>
            <w:tcMar>
              <w:top w:w="75" w:type="dxa"/>
              <w:left w:w="75" w:type="dxa"/>
              <w:bottom w:w="75" w:type="dxa"/>
              <w:right w:w="75" w:type="dxa"/>
            </w:tcMar>
            <w:vAlign w:val="center"/>
          </w:tcPr>
          <w:p w14:paraId="0272E0E8" w14:textId="77777777" w:rsidR="006F2A7E" w:rsidRDefault="006F2A7E" w:rsidP="005453C1">
            <w:pPr>
              <w:jc w:val="center"/>
            </w:pPr>
            <w:r>
              <w:t>7.</w:t>
            </w:r>
          </w:p>
        </w:tc>
        <w:tc>
          <w:tcPr>
            <w:tcW w:w="4082" w:type="dxa"/>
            <w:shd w:val="clear" w:color="auto" w:fill="FFFFFF" w:themeFill="background1"/>
            <w:noWrap/>
            <w:tcMar>
              <w:top w:w="75" w:type="dxa"/>
              <w:left w:w="75" w:type="dxa"/>
              <w:bottom w:w="75" w:type="dxa"/>
              <w:right w:w="75" w:type="dxa"/>
            </w:tcMar>
            <w:vAlign w:val="center"/>
          </w:tcPr>
          <w:p w14:paraId="0C2AD7FC"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62AC9EC3" w14:textId="77777777" w:rsidR="006F2A7E" w:rsidRDefault="006F2A7E" w:rsidP="005453C1">
            <w:pPr>
              <w:jc w:val="left"/>
            </w:pPr>
            <w:r>
              <w:t>18.2.punkts</w:t>
            </w:r>
            <w:r>
              <w:br/>
              <w:t xml:space="preserve">Lūdzam skaidrot pieeju atšķirību nemedicīniskajā </w:t>
            </w:r>
            <w:proofErr w:type="spellStart"/>
            <w:r>
              <w:t>apstarošānā</w:t>
            </w:r>
            <w:proofErr w:type="spellEnd"/>
            <w:r>
              <w:t xml:space="preserve"> un medicīnā.</w:t>
            </w:r>
            <w:r>
              <w:br/>
              <w:t xml:space="preserve">Proti, nemedicīniskajā </w:t>
            </w:r>
            <w:proofErr w:type="spellStart"/>
            <w:r>
              <w:t>apstarošānā</w:t>
            </w:r>
            <w:proofErr w:type="spellEnd"/>
            <w:r>
              <w:t xml:space="preserve"> radioaktīvās vielas nesaturošiem jonizējošā starojuma avotiem bez noteikta montāžas plāna noteikts biežāks darba vietas monitorings kā radioaktīvās vielas nesaturošiem jonizējošā starojuma avotiem, kurus lieto noteiktā telpā atbilstoši montāžas plānam.</w:t>
            </w:r>
            <w:r>
              <w:br/>
              <w:t xml:space="preserve">Šādas kārtības saglabāšana nemedicīniskajā </w:t>
            </w:r>
            <w:proofErr w:type="spellStart"/>
            <w:r>
              <w:t>apstarošānā</w:t>
            </w:r>
            <w:proofErr w:type="spellEnd"/>
            <w:r>
              <w:t xml:space="preserve"> </w:t>
            </w:r>
            <w:r>
              <w:lastRenderedPageBreak/>
              <w:t>loģiski skaidrojama ar to, ka pārvietojami jonizējošā starojuma avoti var radīt lielāku bīstamību apkārtējiem to izmantošanas apstākļu mainīguma dēļ (piemēram, telpas bez sienu aizsardzības).</w:t>
            </w:r>
            <w:r>
              <w:br/>
            </w:r>
            <w:r>
              <w:br/>
              <w:t>Savukārt medicīnā nav paredzēta nekāda atšķirība darba vietas monitoringa biežumā tiem radioaktīvās vielas nesaturošiem jonizējošā starojuma avotiem, kurus lieto dažādās telpās bez noteikta telpas plāna (montāžas plāna), un tiem radioaktīvās vielas nesaturošiem jonizējošā starojuma avotiem, kurus lieto noteiktā telpā atbilstoši telpas plānam (montāžas plānam).</w:t>
            </w:r>
            <w:r>
              <w:br/>
              <w:t xml:space="preserve">Līdz ar to secināms, ka nepastāvēs atšķirība darba vietas monitoringa biežumā stacionārai iekārti un pārvietojamai iekārtai, kas pēc būtības nav īsti pareizi, jau minētā iemesla dēļ, proti, ka pārvietojami jonizējošā starojuma avoti var radīt lielāku bīstamību </w:t>
            </w:r>
            <w:r>
              <w:lastRenderedPageBreak/>
              <w:t>apkārtējiem to izmantošanas apstākļu mainīguma dēļ (piemēram, telpas bez sienu aizsardzības). Vēršam vērību, ka arī MK 482 prasībās pārvietojami jonizējošā starojuma avoti tomēr tiek uzskatīti par bīstamākiem, kas izriet, piemēram, no augstākām personāla iesaistes slodžu rādītājiem.</w:t>
            </w:r>
            <w:r>
              <w:br/>
              <w:t xml:space="preserve">Tāpat jau šobrīd VVD RDC ir fiksējis gadījumus, kad operatori pārvietojamas iekārtas faktiski izmanto stacionāri, bet tām netiek noteikta konkrēta izmantošanas vieta, izveidojot atbilstošu telpas plānu (montāžas plānu) un attiecīgi nosakot nepieciešamo aizsardzību pret jonizējošo starojumu. Uzskatām, ka </w:t>
            </w:r>
            <w:proofErr w:type="spellStart"/>
            <w:r>
              <w:t>jaunieviestā</w:t>
            </w:r>
            <w:proofErr w:type="spellEnd"/>
            <w:r>
              <w:t xml:space="preserve"> kārtība, kurā pārvietojamai iekārtai veicama darba vietas monitoringa biežums nebūs atkarīgs no tā, vai iekārtu izmanto stacionāri vai nē, tikai veicinās operatoru nevēlēšanos montāžas plānu saskaņot,  gadījumos, kad </w:t>
            </w:r>
            <w:r>
              <w:lastRenderedPageBreak/>
              <w:t>jonizējošā starojuma avotu tomēr izmanto stacionāri.</w:t>
            </w:r>
            <w:r>
              <w:br/>
              <w:t>Aicinām arī medicīnā saglabāt pieeju ar nedaudz biežāku darba vietas monitoringu radioaktīvās vielas nesaturošiem jonizējošā starojuma avotiem, kurus lieto dažādās telpās bez noteikta montāžas plāna.</w:t>
            </w:r>
          </w:p>
        </w:tc>
        <w:tc>
          <w:tcPr>
            <w:tcW w:w="1641" w:type="dxa"/>
            <w:gridSpan w:val="2"/>
            <w:shd w:val="clear" w:color="auto" w:fill="FFFFFF" w:themeFill="background1"/>
            <w:noWrap/>
            <w:tcMar>
              <w:top w:w="75" w:type="dxa"/>
              <w:left w:w="75" w:type="dxa"/>
              <w:bottom w:w="75" w:type="dxa"/>
              <w:right w:w="75" w:type="dxa"/>
            </w:tcMar>
          </w:tcPr>
          <w:p w14:paraId="135382DD" w14:textId="77777777" w:rsidR="006F2A7E" w:rsidRDefault="006F2A7E" w:rsidP="005453C1">
            <w:pPr>
              <w:jc w:val="left"/>
            </w:pPr>
            <w:r>
              <w:lastRenderedPageBreak/>
              <w:t>Nav ņemts vērā</w:t>
            </w:r>
          </w:p>
          <w:p w14:paraId="05D00F49"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19E72370" w14:textId="77777777" w:rsidR="006F2A7E" w:rsidRPr="00C86398" w:rsidRDefault="006F2A7E" w:rsidP="005453C1">
            <w:pPr>
              <w:jc w:val="left"/>
            </w:pPr>
            <w:r>
              <w:t>Atbilstoši anotācijā norādītajam, darba vietas monitoringa biežuma noteikšanas kritērijs noteikumu projektā tiek aizstāts ar jau likumā un citos tiesību aktos izmantoto kritēriju/pieeju, kas nosaka licencējamas un reģistrējamas darbības.</w:t>
            </w:r>
          </w:p>
          <w:p w14:paraId="534730D7" w14:textId="77777777" w:rsidR="006F2A7E" w:rsidRPr="00C86398" w:rsidRDefault="006F2A7E" w:rsidP="005453C1">
            <w:pPr>
              <w:jc w:val="left"/>
            </w:pPr>
            <w:r>
              <w:t xml:space="preserve">Jāņem vērā, ka medicīnā un zobārstniecībā jonizējošā starojuma avotiem papildus tiek veiktas arī tehnisko parametru pārbaudes, savukārt nemedicīniskās apstarošanas pielietojumos tiek veikts tikai </w:t>
            </w:r>
            <w:r>
              <w:lastRenderedPageBreak/>
              <w:t>darba vietas monitorings.</w:t>
            </w:r>
          </w:p>
          <w:p w14:paraId="6D2987F0" w14:textId="77777777" w:rsidR="006F2A7E" w:rsidRPr="00C86398" w:rsidRDefault="006F2A7E" w:rsidP="005453C1">
            <w:pPr>
              <w:jc w:val="left"/>
            </w:pPr>
            <w:r>
              <w:t>Medicīnā lietojamie pārvietojamie jonizējošā starojuma avoti tāpat ir saistīti ar tipveida darbībām un procedūrām, savukārt nemedicīniskās apstarošanas pielietojumos avotu veids, lietošanas apstākļi, lietošanas mērķis, iesaistītie darbinieki u.c. ir dažādi un nav tipveida.</w:t>
            </w:r>
          </w:p>
          <w:p w14:paraId="6D50E83D" w14:textId="77777777" w:rsidR="006F2A7E" w:rsidDel="05D9EE36" w:rsidRDefault="006F2A7E" w:rsidP="005453C1">
            <w:pPr>
              <w:jc w:val="left"/>
            </w:pPr>
            <w:r>
              <w:t>Tādu situāciju konstatēšana un novēršana, ka operators nevēlēsies saskaņot montāžas plānu pārvietojamām iekārtām, kuras faktiski izmanto stacionāri, risināma radiācijas drošības uzraudzības procesā.</w:t>
            </w:r>
          </w:p>
        </w:tc>
      </w:tr>
      <w:tr w:rsidR="006F2A7E" w14:paraId="71E86966" w14:textId="77777777" w:rsidTr="006F2A7E">
        <w:tc>
          <w:tcPr>
            <w:tcW w:w="747" w:type="dxa"/>
            <w:shd w:val="clear" w:color="auto" w:fill="FFFFFF" w:themeFill="background1"/>
            <w:noWrap/>
            <w:tcMar>
              <w:top w:w="75" w:type="dxa"/>
              <w:left w:w="75" w:type="dxa"/>
              <w:bottom w:w="75" w:type="dxa"/>
              <w:right w:w="75" w:type="dxa"/>
            </w:tcMar>
            <w:vAlign w:val="center"/>
          </w:tcPr>
          <w:p w14:paraId="5FD6A55D" w14:textId="77777777" w:rsidR="006F2A7E" w:rsidRDefault="006F2A7E" w:rsidP="005453C1">
            <w:pPr>
              <w:jc w:val="center"/>
            </w:pPr>
            <w:r>
              <w:lastRenderedPageBreak/>
              <w:t>8.</w:t>
            </w:r>
          </w:p>
        </w:tc>
        <w:tc>
          <w:tcPr>
            <w:tcW w:w="4082" w:type="dxa"/>
            <w:shd w:val="clear" w:color="auto" w:fill="FFFFFF" w:themeFill="background1"/>
            <w:noWrap/>
            <w:tcMar>
              <w:top w:w="75" w:type="dxa"/>
              <w:left w:w="75" w:type="dxa"/>
              <w:bottom w:w="75" w:type="dxa"/>
              <w:right w:w="75" w:type="dxa"/>
            </w:tcMar>
            <w:vAlign w:val="center"/>
          </w:tcPr>
          <w:p w14:paraId="4892C471"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4186ECDB" w14:textId="77777777" w:rsidR="006F2A7E" w:rsidRDefault="006F2A7E" w:rsidP="005453C1">
            <w:pPr>
              <w:jc w:val="left"/>
            </w:pPr>
            <w:r>
              <w:t>18.2.2. punkts</w:t>
            </w:r>
            <w:r>
              <w:br/>
              <w:t>Aicinām ietvert arī PAN3D iekārtas, jo starojuma jauda un darbības princips ir līdzvērtīgs datortomogrāfijas iekārtām.</w:t>
            </w:r>
          </w:p>
        </w:tc>
        <w:tc>
          <w:tcPr>
            <w:tcW w:w="1641" w:type="dxa"/>
            <w:gridSpan w:val="2"/>
            <w:shd w:val="clear" w:color="auto" w:fill="FFFFFF" w:themeFill="background1"/>
            <w:noWrap/>
            <w:tcMar>
              <w:top w:w="75" w:type="dxa"/>
              <w:left w:w="75" w:type="dxa"/>
              <w:bottom w:w="75" w:type="dxa"/>
              <w:right w:w="75" w:type="dxa"/>
            </w:tcMar>
          </w:tcPr>
          <w:p w14:paraId="7039642C" w14:textId="77777777" w:rsidR="006F2A7E" w:rsidRDefault="006F2A7E" w:rsidP="005453C1">
            <w:pPr>
              <w:jc w:val="left"/>
            </w:pPr>
            <w:r>
              <w:t xml:space="preserve">Nav ņemts vērā  </w:t>
            </w:r>
          </w:p>
        </w:tc>
        <w:tc>
          <w:tcPr>
            <w:tcW w:w="4064" w:type="dxa"/>
            <w:gridSpan w:val="2"/>
            <w:shd w:val="clear" w:color="auto" w:fill="FFFFFF" w:themeFill="background1"/>
            <w:noWrap/>
            <w:tcMar>
              <w:top w:w="75" w:type="dxa"/>
              <w:left w:w="75" w:type="dxa"/>
              <w:bottom w:w="75" w:type="dxa"/>
              <w:right w:w="75" w:type="dxa"/>
            </w:tcMar>
          </w:tcPr>
          <w:p w14:paraId="64C4EB49" w14:textId="77777777" w:rsidR="006F2A7E" w:rsidRPr="00C86398" w:rsidRDefault="006F2A7E" w:rsidP="005453C1">
            <w:pPr>
              <w:jc w:val="left"/>
            </w:pPr>
            <w:r>
              <w:t>Atbilstoši anotācijā norādītajam, darba vietas monitoringa biežuma noteikšanas kritērijs noteikumu projektā tiek aizstāts ar jau likumā un citos tiesību aktos izmantoto kritēriju/pieeju, kas nosaka licencējamas un reģistrējamas darbības.</w:t>
            </w:r>
          </w:p>
          <w:p w14:paraId="718340BC" w14:textId="77777777" w:rsidR="006F2A7E" w:rsidRPr="00C86398" w:rsidRDefault="006F2A7E" w:rsidP="005453C1">
            <w:pPr>
              <w:jc w:val="left"/>
            </w:pPr>
            <w:r>
              <w:t>Jāņem vērā, ka medicīnā un zobārstniecībā jonizējošā starojuma avotiem papildus tiek veiktas arī tehnisko parametru pārbaudes, savukārt nemedicīniskās apstarošanas pielietojumos tiek veikts tikai darba vietas monitorings.</w:t>
            </w:r>
          </w:p>
          <w:p w14:paraId="535757BE" w14:textId="77777777" w:rsidR="006F2A7E" w:rsidRPr="00C86398" w:rsidRDefault="006F2A7E" w:rsidP="005453C1">
            <w:pPr>
              <w:jc w:val="left"/>
            </w:pPr>
            <w:r>
              <w:t xml:space="preserve">Medicīnā lietojamie pārvietojamie jonizējošā starojuma avoti tāpat ir </w:t>
            </w:r>
            <w:r>
              <w:lastRenderedPageBreak/>
              <w:t>saistīti ar tipveida darbībām un procedūrām, savukārt nemedicīniskās apstarošanas pielietojumos avotu veids, lietošanas apstākļi, lietošanas mērķis, iesaistītie darbinieki u.c. ir dažādi un nav tipveida.</w:t>
            </w:r>
          </w:p>
          <w:p w14:paraId="58CE0025" w14:textId="77777777" w:rsidR="006F2A7E" w:rsidDel="05D9EE36" w:rsidRDefault="006F2A7E" w:rsidP="005453C1">
            <w:pPr>
              <w:spacing w:line="259" w:lineRule="auto"/>
            </w:pPr>
            <w:r>
              <w:t>Tādu situāciju konstatēšana un novēršana, ka operators nevēlēsies saskaņot montāžas plānu pārvietojamām iekārtām, kuras faktiski izmanto stacionāri, risināma radiācijas drošības uzraudzības procesā.</w:t>
            </w:r>
          </w:p>
        </w:tc>
      </w:tr>
      <w:tr w:rsidR="006F2A7E" w14:paraId="69EF1BB4" w14:textId="77777777" w:rsidTr="006F2A7E">
        <w:tc>
          <w:tcPr>
            <w:tcW w:w="747" w:type="dxa"/>
            <w:shd w:val="clear" w:color="auto" w:fill="FFFFFF" w:themeFill="background1"/>
            <w:noWrap/>
            <w:tcMar>
              <w:top w:w="75" w:type="dxa"/>
              <w:left w:w="75" w:type="dxa"/>
              <w:bottom w:w="75" w:type="dxa"/>
              <w:right w:w="75" w:type="dxa"/>
            </w:tcMar>
            <w:vAlign w:val="center"/>
          </w:tcPr>
          <w:p w14:paraId="7C2065B6" w14:textId="77777777" w:rsidR="006F2A7E" w:rsidRDefault="006F2A7E" w:rsidP="005453C1">
            <w:pPr>
              <w:jc w:val="center"/>
            </w:pPr>
            <w:r>
              <w:lastRenderedPageBreak/>
              <w:t>9.</w:t>
            </w:r>
          </w:p>
          <w:p w14:paraId="01EAFA78" w14:textId="77777777" w:rsidR="006F2A7E" w:rsidRDefault="006F2A7E" w:rsidP="005453C1">
            <w:pPr>
              <w:jc w:val="left"/>
            </w:pPr>
          </w:p>
        </w:tc>
        <w:tc>
          <w:tcPr>
            <w:tcW w:w="4082" w:type="dxa"/>
            <w:shd w:val="clear" w:color="auto" w:fill="FFFFFF" w:themeFill="background1"/>
            <w:noWrap/>
            <w:tcMar>
              <w:top w:w="75" w:type="dxa"/>
              <w:left w:w="75" w:type="dxa"/>
              <w:bottom w:w="75" w:type="dxa"/>
              <w:right w:w="75" w:type="dxa"/>
            </w:tcMar>
            <w:vAlign w:val="center"/>
          </w:tcPr>
          <w:p w14:paraId="2E97911B" w14:textId="77777777" w:rsidR="006F2A7E" w:rsidRDefault="006F2A7E" w:rsidP="005453C1">
            <w:pPr>
              <w:jc w:val="left"/>
            </w:pPr>
            <w:r>
              <w:t>SIA "INLAB"</w:t>
            </w:r>
          </w:p>
          <w:p w14:paraId="07A6858B" w14:textId="77777777" w:rsidR="006F2A7E" w:rsidRDefault="006F2A7E" w:rsidP="005453C1">
            <w:pPr>
              <w:jc w:val="left"/>
            </w:pPr>
          </w:p>
        </w:tc>
        <w:tc>
          <w:tcPr>
            <w:tcW w:w="4033" w:type="dxa"/>
            <w:shd w:val="clear" w:color="auto" w:fill="FFFFFF" w:themeFill="background1"/>
            <w:noWrap/>
            <w:tcMar>
              <w:top w:w="75" w:type="dxa"/>
              <w:left w:w="75" w:type="dxa"/>
              <w:bottom w:w="75" w:type="dxa"/>
              <w:right w:w="75" w:type="dxa"/>
            </w:tcMar>
            <w:vAlign w:val="center"/>
          </w:tcPr>
          <w:p w14:paraId="1A5DC99D" w14:textId="77777777" w:rsidR="006F2A7E" w:rsidRDefault="006F2A7E" w:rsidP="005453C1">
            <w:pPr>
              <w:jc w:val="left"/>
            </w:pPr>
            <w:r>
              <w:t>18.4.punkts</w:t>
            </w:r>
            <w:r>
              <w:br/>
              <w:t>Uzskatām, ka darba vietas monitorings būtu nodrošināms ne vien pēc izmaiņām jonizējošā starojuma avotu izvietojumā telpā vai pēc izmaiņām jonizējošā starojuma ierobežojošu aizsargbarjeru, telpu durvju, logu vai sienu konstruktīvajos risinājumos, bet arī pēc izmaiņām blakus esošo telpu vai ārpus telpu platību pielietojumā.</w:t>
            </w:r>
            <w:r>
              <w:br/>
              <w:t xml:space="preserve">Piemēram, ja iepriekš aiz loga </w:t>
            </w:r>
            <w:r>
              <w:lastRenderedPageBreak/>
              <w:t>bijusi zaļā zona, bet pēc tam tajā izbūvēts bērnu laukums.</w:t>
            </w:r>
          </w:p>
        </w:tc>
        <w:tc>
          <w:tcPr>
            <w:tcW w:w="1641" w:type="dxa"/>
            <w:gridSpan w:val="2"/>
            <w:shd w:val="clear" w:color="auto" w:fill="FFFFFF" w:themeFill="background1"/>
            <w:noWrap/>
            <w:tcMar>
              <w:top w:w="75" w:type="dxa"/>
              <w:left w:w="75" w:type="dxa"/>
              <w:bottom w:w="75" w:type="dxa"/>
              <w:right w:w="75" w:type="dxa"/>
            </w:tcMar>
          </w:tcPr>
          <w:p w14:paraId="1B0C54A5" w14:textId="77777777" w:rsidR="006F2A7E" w:rsidRDefault="006F2A7E" w:rsidP="005453C1">
            <w:pPr>
              <w:jc w:val="left"/>
            </w:pPr>
            <w:r>
              <w:lastRenderedPageBreak/>
              <w:t>Ņemts vērā</w:t>
            </w:r>
          </w:p>
        </w:tc>
        <w:tc>
          <w:tcPr>
            <w:tcW w:w="4064" w:type="dxa"/>
            <w:gridSpan w:val="2"/>
            <w:shd w:val="clear" w:color="auto" w:fill="FFFFFF" w:themeFill="background1"/>
            <w:noWrap/>
            <w:tcMar>
              <w:top w:w="75" w:type="dxa"/>
              <w:left w:w="75" w:type="dxa"/>
              <w:bottom w:w="75" w:type="dxa"/>
              <w:right w:w="75" w:type="dxa"/>
            </w:tcMar>
          </w:tcPr>
          <w:p w14:paraId="4317F1CB" w14:textId="77777777" w:rsidR="006F2A7E" w:rsidRDefault="006F2A7E" w:rsidP="005453C1">
            <w:pPr>
              <w:rPr>
                <w:highlight w:val="yellow"/>
              </w:rPr>
            </w:pPr>
            <w:r>
              <w:t>18.4. apakšpunkts izteikts šādā redakcijā “pēc izmaiņām jonizējošā starojuma avotu izvietojumā telpā vai pēc izmaiņām jonizējošā starojuma ierobežojošu aizsargbarjeru, telpu durvju, logu vai sienu konstruktīvajos risinājumos, vai pēc izmaiņām blakus telpu un teritorijas pielietojumā”.</w:t>
            </w:r>
          </w:p>
          <w:p w14:paraId="08A3C6E6" w14:textId="77777777" w:rsidR="006F2A7E" w:rsidRDefault="006F2A7E" w:rsidP="005453C1">
            <w:pPr>
              <w:rPr>
                <w:highlight w:val="yellow"/>
              </w:rPr>
            </w:pPr>
          </w:p>
          <w:p w14:paraId="0E122A58" w14:textId="77777777" w:rsidR="006F2A7E" w:rsidRPr="00454D1C" w:rsidDel="05D9EE36" w:rsidRDefault="006F2A7E" w:rsidP="005453C1">
            <w:pPr>
              <w:jc w:val="center"/>
              <w:rPr>
                <w:highlight w:val="yellow"/>
              </w:rPr>
            </w:pPr>
          </w:p>
        </w:tc>
      </w:tr>
      <w:tr w:rsidR="006F2A7E" w14:paraId="35647C1E" w14:textId="77777777" w:rsidTr="006F2A7E">
        <w:tc>
          <w:tcPr>
            <w:tcW w:w="747" w:type="dxa"/>
            <w:shd w:val="clear" w:color="auto" w:fill="FFFFFF" w:themeFill="background1"/>
            <w:noWrap/>
            <w:tcMar>
              <w:top w:w="75" w:type="dxa"/>
              <w:left w:w="75" w:type="dxa"/>
              <w:bottom w:w="75" w:type="dxa"/>
              <w:right w:w="75" w:type="dxa"/>
            </w:tcMar>
            <w:vAlign w:val="center"/>
          </w:tcPr>
          <w:p w14:paraId="1506A8E7" w14:textId="77777777" w:rsidR="006F2A7E" w:rsidRDefault="006F2A7E" w:rsidP="005453C1">
            <w:pPr>
              <w:jc w:val="center"/>
            </w:pPr>
            <w:r>
              <w:t>10.</w:t>
            </w:r>
          </w:p>
        </w:tc>
        <w:tc>
          <w:tcPr>
            <w:tcW w:w="4082" w:type="dxa"/>
            <w:shd w:val="clear" w:color="auto" w:fill="FFFFFF" w:themeFill="background1"/>
            <w:noWrap/>
            <w:tcMar>
              <w:top w:w="75" w:type="dxa"/>
              <w:left w:w="75" w:type="dxa"/>
              <w:bottom w:w="75" w:type="dxa"/>
              <w:right w:w="75" w:type="dxa"/>
            </w:tcMar>
            <w:vAlign w:val="center"/>
          </w:tcPr>
          <w:p w14:paraId="3B8A5799"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454F4C78" w14:textId="77777777" w:rsidR="006F2A7E" w:rsidRDefault="006F2A7E" w:rsidP="005453C1">
            <w:pPr>
              <w:jc w:val="left"/>
            </w:pPr>
            <w:r>
              <w:t>19.6. un 19.7. punkts</w:t>
            </w:r>
            <w:r>
              <w:br/>
              <w:t>Nav īsti pamatota nepieciešamās pieredzes samazināšana darba vadītājam no 5 uz 3 gadiem.</w:t>
            </w:r>
            <w:r>
              <w:br/>
              <w:t>Šāda pati pieredze piemērota arī attiecībā uz medicīnas fiziķi. Nav skaidrots, kāda persona uzskatāma par medicīnas fiziķi, vai persona, kas ieguvusi bakalaura grādu vai arī tāda persona, kas šādu izglītību tikai iegūst.</w:t>
            </w:r>
            <w:r>
              <w:br/>
              <w:t>Prasība par 3 gadu pieredzi kopumā nav samērīga ar radiācijas drošības ekspertam piemērojamajām pieredzes prasībām.</w:t>
            </w:r>
            <w:r>
              <w:br/>
              <w:t xml:space="preserve">Proti, lai kļūtu par radiācijas drošības ekspertu un attiecīgi drīkstētu veikt darba vietas monitoringu, atbilstoši  2021. gada 29. jūnija MK noteikumu Nr.433 prasībām, personai nepieciešama gan augstākā izglītība, gan 13 gadu pieredze, kas ir par 10 gadiem ilgāka </w:t>
            </w:r>
            <w:r>
              <w:lastRenderedPageBreak/>
              <w:t>pieredze kā izvirzīta darba vadītājam vai medicīnas fiziķim.</w:t>
            </w:r>
            <w:r>
              <w:br/>
            </w:r>
            <w:r>
              <w:br/>
              <w:t>Akreditētai institūcijai un radiācijas drošības ekspertam darba vietas monitoringa veikšanai pie dažādiem operatoriem, kas šīs personas nenodarbina, ir nepieciešama licence. Attiecībā uz darba vadītāju vai medicīnas fiziķi prasība par licenci izvirzīta nav, tāpēc aicinām normatīvajā aktā skaidri noteikt, ka 19.6. un 19.7. punktā minētās personas darba vietas monitoringu veic vienīgi pie operatora, kur tās nodarbinātas, jo šobrīd no grozījumu prasībām tas neizriet, kas attiecīgi rada vēl nevienlīdzīgāku pieeju.</w:t>
            </w:r>
            <w:r>
              <w:br/>
            </w:r>
          </w:p>
        </w:tc>
        <w:tc>
          <w:tcPr>
            <w:tcW w:w="1641" w:type="dxa"/>
            <w:gridSpan w:val="2"/>
            <w:shd w:val="clear" w:color="auto" w:fill="FFFFFF" w:themeFill="background1"/>
            <w:noWrap/>
            <w:tcMar>
              <w:top w:w="75" w:type="dxa"/>
              <w:left w:w="75" w:type="dxa"/>
              <w:bottom w:w="75" w:type="dxa"/>
              <w:right w:w="75" w:type="dxa"/>
            </w:tcMar>
          </w:tcPr>
          <w:p w14:paraId="0E3560CD"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30CF5DB5" w14:textId="77777777" w:rsidR="006F2A7E" w:rsidDel="05D9EE36" w:rsidRDefault="006F2A7E" w:rsidP="005453C1">
            <w:r>
              <w:t>Šajos noteikumos medicīnas fiziķis saprotams tāpat kā citos radiācijas drošības jomas tiesību aktos. Arī šobrīd  Ministru kabineta 2013. gada 12. novembra noteikumu Nr. 1284 "Darbinieku apstarošanas kontroles un uzskaites kārtība" 22.punktā paredzēts, ka medicīnas fiziķis var veikt darba vietas monitoringu radioaktīviem avotiem un pārvietojamiem radioaktīvo vielu nesaturošiem jonizējošā starojuma avotiem.</w:t>
            </w:r>
          </w:p>
          <w:p w14:paraId="1E4ABC4D" w14:textId="77777777" w:rsidR="006F2A7E" w:rsidDel="05D9EE36" w:rsidRDefault="006F2A7E" w:rsidP="005453C1">
            <w:pPr>
              <w:shd w:val="clear" w:color="auto" w:fill="FFFFFF" w:themeFill="background1"/>
              <w:spacing w:before="480" w:after="240"/>
              <w:rPr>
                <w:szCs w:val="28"/>
              </w:rPr>
            </w:pPr>
            <w:r>
              <w:t xml:space="preserve">Veiktais salīdzinājums ar prasībām darbu </w:t>
            </w:r>
            <w:r w:rsidRPr="00390833">
              <w:rPr>
                <w:szCs w:val="28"/>
              </w:rPr>
              <w:t xml:space="preserve">vadītājam/medicīnas fiziķim un ekspertam nav korekts. Jāņem vērā </w:t>
            </w:r>
            <w:r w:rsidRPr="00AD0BFA">
              <w:rPr>
                <w:rFonts w:eastAsia="Arial"/>
                <w:color w:val="414142"/>
                <w:szCs w:val="28"/>
              </w:rPr>
              <w:t xml:space="preserve">Ministru kabineta 2021. </w:t>
            </w:r>
            <w:r>
              <w:rPr>
                <w:rFonts w:eastAsia="Arial"/>
                <w:color w:val="414142"/>
                <w:szCs w:val="28"/>
              </w:rPr>
              <w:t>g</w:t>
            </w:r>
            <w:r w:rsidRPr="00AD0BFA">
              <w:rPr>
                <w:rFonts w:eastAsia="Arial"/>
                <w:color w:val="414142"/>
                <w:szCs w:val="28"/>
              </w:rPr>
              <w:t xml:space="preserve">ada 29. </w:t>
            </w:r>
            <w:r>
              <w:rPr>
                <w:rFonts w:eastAsia="Arial"/>
                <w:color w:val="414142"/>
                <w:szCs w:val="28"/>
              </w:rPr>
              <w:t>j</w:t>
            </w:r>
            <w:r w:rsidRPr="00AD0BFA">
              <w:rPr>
                <w:rFonts w:eastAsia="Arial"/>
                <w:color w:val="414142"/>
                <w:szCs w:val="28"/>
              </w:rPr>
              <w:t>ūnija noteikum</w:t>
            </w:r>
            <w:r w:rsidRPr="00390833">
              <w:rPr>
                <w:color w:val="414142"/>
                <w:szCs w:val="28"/>
              </w:rPr>
              <w:t>os</w:t>
            </w:r>
            <w:r w:rsidRPr="00AD0BFA">
              <w:rPr>
                <w:rFonts w:eastAsia="Arial"/>
                <w:color w:val="414142"/>
                <w:szCs w:val="28"/>
              </w:rPr>
              <w:t xml:space="preserve"> Nr. 433</w:t>
            </w:r>
            <w:r>
              <w:rPr>
                <w:rFonts w:eastAsia="Arial"/>
                <w:color w:val="414142"/>
                <w:szCs w:val="28"/>
              </w:rPr>
              <w:t xml:space="preserve"> </w:t>
            </w:r>
            <w:r w:rsidRPr="00390833">
              <w:rPr>
                <w:szCs w:val="28"/>
              </w:rPr>
              <w:t>“</w:t>
            </w:r>
            <w:r w:rsidRPr="00AD0BFA">
              <w:rPr>
                <w:rFonts w:eastAsia="Arial"/>
                <w:color w:val="414142"/>
                <w:szCs w:val="28"/>
              </w:rPr>
              <w:t>Noteikumi par radiācijas drošības ekspertiem un medicīnas fizikas ekspertiem</w:t>
            </w:r>
            <w:r w:rsidRPr="00AD0BFA">
              <w:rPr>
                <w:color w:val="414142"/>
                <w:szCs w:val="28"/>
              </w:rPr>
              <w:t>”</w:t>
            </w:r>
            <w:r>
              <w:t xml:space="preserve"> </w:t>
            </w:r>
          </w:p>
          <w:p w14:paraId="34269DC1" w14:textId="77777777" w:rsidR="006F2A7E" w:rsidDel="05D9EE36" w:rsidRDefault="006F2A7E" w:rsidP="005453C1">
            <w:r>
              <w:lastRenderedPageBreak/>
              <w:t>noteiktais, ka ekspertam (piemēram, ar maģistra grādu) nepieciešama 10 gadu pieredze ar jonizējošā starojuma avotiem, t.sk., 5 gadu pieredze tieši darba vietas monitoringa veikšanā vai vadīšanā.</w:t>
            </w:r>
          </w:p>
          <w:p w14:paraId="487ECF67" w14:textId="77777777" w:rsidR="006F2A7E" w:rsidDel="05D9EE36" w:rsidRDefault="006F2A7E" w:rsidP="005453C1">
            <w:r>
              <w:t>Ekspertam pēc sertifikāta un licences saņemšanas dotas tiesības sniegt monitoringa veikšanas pakalpojumu pie dažādiem operatoriem. Bet darbu vadītājs monitoringu tiesīgs veikt tikai pie konkrētā operatora, kurš viņu norīkojis par darbu vadītāju.</w:t>
            </w:r>
          </w:p>
          <w:p w14:paraId="43E77789" w14:textId="77777777" w:rsidR="006F2A7E" w:rsidRDefault="006F2A7E" w:rsidP="005453C1">
            <w:pPr>
              <w:spacing w:line="259" w:lineRule="auto"/>
            </w:pPr>
            <w:r>
              <w:t>Anotācijā jau iekļauts apraksts par prasībām darba vietas monitoringam, ko veic operatora darbu vadītājs vai medicīnas jomā arī operatora medicīnas fiziķis, vai radiācijas drošības eksperts vai medicīnas fizikas eksperts. Operators norīko darbu vadītāju, kā arī medicīnas fiziķis ir operatora nodarbinātais un arī eksperts var būt operatora nodarbinātais.</w:t>
            </w:r>
          </w:p>
          <w:p w14:paraId="21E1A9CC" w14:textId="77777777" w:rsidR="006F2A7E" w:rsidRDefault="006F2A7E" w:rsidP="005453C1"/>
          <w:p w14:paraId="693BC795" w14:textId="77777777" w:rsidR="006F2A7E" w:rsidRPr="00925B57" w:rsidDel="05D9EE36" w:rsidRDefault="006F2A7E" w:rsidP="005453C1">
            <w:pPr>
              <w:jc w:val="center"/>
            </w:pPr>
          </w:p>
        </w:tc>
      </w:tr>
      <w:tr w:rsidR="006F2A7E" w14:paraId="32782F28" w14:textId="77777777" w:rsidTr="006F2A7E">
        <w:tc>
          <w:tcPr>
            <w:tcW w:w="747" w:type="dxa"/>
            <w:shd w:val="clear" w:color="auto" w:fill="FFFFFF" w:themeFill="background1"/>
            <w:noWrap/>
            <w:tcMar>
              <w:top w:w="75" w:type="dxa"/>
              <w:left w:w="75" w:type="dxa"/>
              <w:bottom w:w="75" w:type="dxa"/>
              <w:right w:w="75" w:type="dxa"/>
            </w:tcMar>
            <w:vAlign w:val="center"/>
          </w:tcPr>
          <w:p w14:paraId="6AFA4E55" w14:textId="77777777" w:rsidR="006F2A7E" w:rsidRDefault="006F2A7E" w:rsidP="005453C1">
            <w:pPr>
              <w:jc w:val="center"/>
            </w:pPr>
            <w:r>
              <w:lastRenderedPageBreak/>
              <w:t>11.</w:t>
            </w:r>
          </w:p>
        </w:tc>
        <w:tc>
          <w:tcPr>
            <w:tcW w:w="4082" w:type="dxa"/>
            <w:shd w:val="clear" w:color="auto" w:fill="FFFFFF" w:themeFill="background1"/>
            <w:noWrap/>
            <w:tcMar>
              <w:top w:w="75" w:type="dxa"/>
              <w:left w:w="75" w:type="dxa"/>
              <w:bottom w:w="75" w:type="dxa"/>
              <w:right w:w="75" w:type="dxa"/>
            </w:tcMar>
            <w:vAlign w:val="center"/>
          </w:tcPr>
          <w:p w14:paraId="1F9BFF01"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3E928109" w14:textId="77777777" w:rsidR="006F2A7E" w:rsidRDefault="006F2A7E" w:rsidP="005453C1">
            <w:pPr>
              <w:jc w:val="left"/>
            </w:pPr>
            <w:r>
              <w:t>25. punkts</w:t>
            </w:r>
            <w:r>
              <w:br/>
              <w:t>No piedāvātajiem grozījumiem izriet, ka īpašo monitoringu drīkst veikt jebkura no 19.punktā minētajām personām, tādejādi faktiski normatīvais akts neietver nedz kādus ierobežojumus, nedz kādas papildus prasības šādam īpašam monitoringam.</w:t>
            </w:r>
            <w:r>
              <w:br/>
              <w:t>Šī iemesla dēļ, aicinām skaidrot, ar ko īpašais monitorings atšķiras no monitoringa, kas nav uzskatāms par īpašu un kāds mērķis tiek sasniegts ietverot šādu atsevišķu jēdzienu.</w:t>
            </w:r>
          </w:p>
        </w:tc>
        <w:tc>
          <w:tcPr>
            <w:tcW w:w="1641" w:type="dxa"/>
            <w:gridSpan w:val="2"/>
            <w:shd w:val="clear" w:color="auto" w:fill="FFFFFF" w:themeFill="background1"/>
            <w:noWrap/>
            <w:tcMar>
              <w:top w:w="75" w:type="dxa"/>
              <w:left w:w="75" w:type="dxa"/>
              <w:bottom w:w="75" w:type="dxa"/>
              <w:right w:w="75" w:type="dxa"/>
            </w:tcMar>
          </w:tcPr>
          <w:p w14:paraId="156D0E8A" w14:textId="77777777" w:rsidR="006F2A7E" w:rsidRDefault="006F2A7E" w:rsidP="005453C1">
            <w:pPr>
              <w:jc w:val="left"/>
            </w:pPr>
            <w:r w:rsidRPr="00D97311">
              <w:rPr>
                <w:color w:val="auto"/>
              </w:rPr>
              <w:t>Ņemts vērā</w:t>
            </w:r>
          </w:p>
        </w:tc>
        <w:tc>
          <w:tcPr>
            <w:tcW w:w="4064" w:type="dxa"/>
            <w:gridSpan w:val="2"/>
            <w:shd w:val="clear" w:color="auto" w:fill="FFFFFF" w:themeFill="background1"/>
            <w:noWrap/>
            <w:tcMar>
              <w:top w:w="75" w:type="dxa"/>
              <w:left w:w="75" w:type="dxa"/>
              <w:bottom w:w="75" w:type="dxa"/>
              <w:right w:w="75" w:type="dxa"/>
            </w:tcMar>
          </w:tcPr>
          <w:p w14:paraId="13D37690" w14:textId="77777777" w:rsidR="006F2A7E" w:rsidDel="05D9EE36" w:rsidRDefault="006F2A7E" w:rsidP="005453C1">
            <w:r>
              <w:t>Tiek svītrots 25. punkts. Konstatētu noviržu gadījumā veic darba vietas monitoringu atbilstoši iekārtas lietošanas specifikai.</w:t>
            </w:r>
          </w:p>
        </w:tc>
      </w:tr>
      <w:tr w:rsidR="006F2A7E" w14:paraId="6B56AC5A" w14:textId="77777777" w:rsidTr="006F2A7E">
        <w:tc>
          <w:tcPr>
            <w:tcW w:w="747" w:type="dxa"/>
            <w:shd w:val="clear" w:color="auto" w:fill="FFFFFF" w:themeFill="background1"/>
            <w:noWrap/>
            <w:tcMar>
              <w:top w:w="75" w:type="dxa"/>
              <w:left w:w="75" w:type="dxa"/>
              <w:bottom w:w="75" w:type="dxa"/>
              <w:right w:w="75" w:type="dxa"/>
            </w:tcMar>
            <w:vAlign w:val="center"/>
          </w:tcPr>
          <w:p w14:paraId="47B5D7E4" w14:textId="77777777" w:rsidR="006F2A7E" w:rsidRDefault="006F2A7E" w:rsidP="005453C1">
            <w:pPr>
              <w:jc w:val="center"/>
            </w:pPr>
            <w:r>
              <w:t>12.</w:t>
            </w:r>
          </w:p>
        </w:tc>
        <w:tc>
          <w:tcPr>
            <w:tcW w:w="4082" w:type="dxa"/>
            <w:shd w:val="clear" w:color="auto" w:fill="FFFFFF" w:themeFill="background1"/>
            <w:noWrap/>
            <w:tcMar>
              <w:top w:w="75" w:type="dxa"/>
              <w:left w:w="75" w:type="dxa"/>
              <w:bottom w:w="75" w:type="dxa"/>
              <w:right w:w="75" w:type="dxa"/>
            </w:tcMar>
            <w:vAlign w:val="center"/>
          </w:tcPr>
          <w:p w14:paraId="26280ECF"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69CCF1E4" w14:textId="77777777" w:rsidR="006F2A7E" w:rsidRDefault="006F2A7E" w:rsidP="005453C1">
            <w:pPr>
              <w:jc w:val="left"/>
            </w:pPr>
            <w:r>
              <w:t>26.1. punkts</w:t>
            </w:r>
            <w:r>
              <w:br/>
              <w:t xml:space="preserve">Aicinām precizēt redakciju, ietverot: “enerģiju </w:t>
            </w:r>
            <w:r>
              <w:rPr>
                <w:u w:val="single"/>
              </w:rPr>
              <w:t>vai</w:t>
            </w:r>
            <w:r>
              <w:t xml:space="preserve"> radioaktivitāti”.</w:t>
            </w:r>
          </w:p>
        </w:tc>
        <w:tc>
          <w:tcPr>
            <w:tcW w:w="1641" w:type="dxa"/>
            <w:gridSpan w:val="2"/>
            <w:shd w:val="clear" w:color="auto" w:fill="FFFFFF" w:themeFill="background1"/>
            <w:noWrap/>
            <w:tcMar>
              <w:top w:w="75" w:type="dxa"/>
              <w:left w:w="75" w:type="dxa"/>
              <w:bottom w:w="75" w:type="dxa"/>
              <w:right w:w="75" w:type="dxa"/>
            </w:tcMar>
          </w:tcPr>
          <w:p w14:paraId="766897BC" w14:textId="77777777" w:rsidR="006F2A7E" w:rsidRDefault="006F2A7E" w:rsidP="005453C1">
            <w:pPr>
              <w:jc w:val="left"/>
              <w:rPr>
                <w:color w:val="auto"/>
              </w:rPr>
            </w:pPr>
            <w:r w:rsidRPr="2EB52DD1">
              <w:rPr>
                <w:color w:val="auto"/>
              </w:rPr>
              <w:t>Ņemts vērā</w:t>
            </w:r>
          </w:p>
        </w:tc>
        <w:tc>
          <w:tcPr>
            <w:tcW w:w="4064" w:type="dxa"/>
            <w:gridSpan w:val="2"/>
            <w:shd w:val="clear" w:color="auto" w:fill="FFFFFF" w:themeFill="background1"/>
            <w:noWrap/>
            <w:tcMar>
              <w:top w:w="75" w:type="dxa"/>
              <w:left w:w="75" w:type="dxa"/>
              <w:bottom w:w="75" w:type="dxa"/>
              <w:right w:w="75" w:type="dxa"/>
            </w:tcMar>
          </w:tcPr>
          <w:p w14:paraId="2591F452" w14:textId="77777777" w:rsidR="006F2A7E" w:rsidDel="05D9EE36" w:rsidRDefault="006F2A7E" w:rsidP="005453C1">
            <w:r>
              <w:t>26.1. apakšpunkts izteikts jaunā redakcijā “</w:t>
            </w:r>
            <w:r w:rsidRPr="00194391">
              <w:t>informāciju par jonizējošā starojuma avotu (nosaukums, modelis un numurs) un jonizējošā starojuma veidu, enerģiju vai radioaktivitāti;</w:t>
            </w:r>
            <w:r>
              <w:t>”.</w:t>
            </w:r>
          </w:p>
        </w:tc>
      </w:tr>
      <w:tr w:rsidR="006F2A7E" w14:paraId="297787BB" w14:textId="77777777" w:rsidTr="006F2A7E">
        <w:tc>
          <w:tcPr>
            <w:tcW w:w="747" w:type="dxa"/>
            <w:shd w:val="clear" w:color="auto" w:fill="FFFFFF" w:themeFill="background1"/>
            <w:noWrap/>
            <w:tcMar>
              <w:top w:w="75" w:type="dxa"/>
              <w:left w:w="75" w:type="dxa"/>
              <w:bottom w:w="75" w:type="dxa"/>
              <w:right w:w="75" w:type="dxa"/>
            </w:tcMar>
            <w:vAlign w:val="center"/>
          </w:tcPr>
          <w:p w14:paraId="771EEC3B" w14:textId="77777777" w:rsidR="006F2A7E" w:rsidRDefault="006F2A7E" w:rsidP="005453C1">
            <w:pPr>
              <w:jc w:val="center"/>
            </w:pPr>
            <w:r>
              <w:t>13.</w:t>
            </w:r>
          </w:p>
        </w:tc>
        <w:tc>
          <w:tcPr>
            <w:tcW w:w="4082" w:type="dxa"/>
            <w:shd w:val="clear" w:color="auto" w:fill="FFFFFF" w:themeFill="background1"/>
            <w:noWrap/>
            <w:tcMar>
              <w:top w:w="75" w:type="dxa"/>
              <w:left w:w="75" w:type="dxa"/>
              <w:bottom w:w="75" w:type="dxa"/>
              <w:right w:w="75" w:type="dxa"/>
            </w:tcMar>
            <w:vAlign w:val="center"/>
          </w:tcPr>
          <w:p w14:paraId="7859973B"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200B9FC2" w14:textId="77777777" w:rsidR="006F2A7E" w:rsidRDefault="006F2A7E" w:rsidP="005453C1">
            <w:pPr>
              <w:jc w:val="left"/>
            </w:pPr>
            <w:r>
              <w:t>26.4. punkts</w:t>
            </w:r>
            <w:r>
              <w:br/>
              <w:t xml:space="preserve">Darba vietas monitoringa mērījumos svarīga ir ne vien </w:t>
            </w:r>
            <w:r>
              <w:lastRenderedPageBreak/>
              <w:t>korekta mērīšanas metode un mērījumiem izmantotās mēriekārtas piemērotība, bet arī, vai izmatotie mērīšanas līdzekļi ir atbilstoši kalibrēti, jo pretējā gadījumā mērījumu rezultātiem nav nodrošināta ticamība.</w:t>
            </w:r>
            <w:r>
              <w:br/>
              <w:t>Līdz ar iepriekš minēto, aicinām radiācijas drošības kvalitātes nodrošināšanas programmā ietvert arī informāciju par mērīšanas līdzekļu kalibrēšanu.</w:t>
            </w:r>
          </w:p>
        </w:tc>
        <w:tc>
          <w:tcPr>
            <w:tcW w:w="1641" w:type="dxa"/>
            <w:gridSpan w:val="2"/>
            <w:shd w:val="clear" w:color="auto" w:fill="FFFFFF" w:themeFill="background1"/>
            <w:noWrap/>
            <w:tcMar>
              <w:top w:w="75" w:type="dxa"/>
              <w:left w:w="75" w:type="dxa"/>
              <w:bottom w:w="75" w:type="dxa"/>
              <w:right w:w="75" w:type="dxa"/>
            </w:tcMar>
          </w:tcPr>
          <w:p w14:paraId="78FC898C"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0B35C948" w14:textId="77777777" w:rsidR="006F2A7E" w:rsidDel="05D9EE36" w:rsidRDefault="006F2A7E" w:rsidP="005453C1">
            <w:r>
              <w:t xml:space="preserve">Tiesību aktos, kas nosaka radiācijas drošības kvalitātes nodrošināšanas programmas </w:t>
            </w:r>
            <w:r>
              <w:lastRenderedPageBreak/>
              <w:t>saturu, MK noteikumos Nr.149 un medicīniskās apstarošanas noteikumu projektā jau paredzēts, ka jāiekļauj informācija par mēriekārtām un to kalibrēšanu. Tāpat uz operatoriem jau attiecas regulējums, kas nosaka mēriekārtu kalibrēšanu MK noteikumu Nr.693. Līdz ar to nav nepieciešams šajos noteikumos dublēt prasības.</w:t>
            </w:r>
          </w:p>
        </w:tc>
      </w:tr>
      <w:tr w:rsidR="006F2A7E" w14:paraId="5537D177" w14:textId="77777777" w:rsidTr="006F2A7E">
        <w:tc>
          <w:tcPr>
            <w:tcW w:w="747" w:type="dxa"/>
            <w:shd w:val="clear" w:color="auto" w:fill="FFFFFF" w:themeFill="background1"/>
            <w:noWrap/>
            <w:tcMar>
              <w:top w:w="75" w:type="dxa"/>
              <w:left w:w="75" w:type="dxa"/>
              <w:bottom w:w="75" w:type="dxa"/>
              <w:right w:w="75" w:type="dxa"/>
            </w:tcMar>
            <w:vAlign w:val="center"/>
          </w:tcPr>
          <w:p w14:paraId="699EC9BA" w14:textId="77777777" w:rsidR="006F2A7E" w:rsidRDefault="006F2A7E" w:rsidP="005453C1">
            <w:pPr>
              <w:jc w:val="center"/>
            </w:pPr>
            <w:r>
              <w:lastRenderedPageBreak/>
              <w:t>14.</w:t>
            </w:r>
          </w:p>
        </w:tc>
        <w:tc>
          <w:tcPr>
            <w:tcW w:w="4082" w:type="dxa"/>
            <w:shd w:val="clear" w:color="auto" w:fill="FFFFFF" w:themeFill="background1"/>
            <w:noWrap/>
            <w:tcMar>
              <w:top w:w="75" w:type="dxa"/>
              <w:left w:w="75" w:type="dxa"/>
              <w:bottom w:w="75" w:type="dxa"/>
              <w:right w:w="75" w:type="dxa"/>
            </w:tcMar>
            <w:vAlign w:val="center"/>
          </w:tcPr>
          <w:p w14:paraId="0BADD8A3"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275CA68E" w14:textId="77777777" w:rsidR="006F2A7E" w:rsidRDefault="006F2A7E" w:rsidP="005453C1">
            <w:pPr>
              <w:jc w:val="left"/>
            </w:pPr>
            <w:r>
              <w:t>28.3 punkts</w:t>
            </w:r>
            <w:r>
              <w:br/>
              <w:t>Darba vietas monitoringa mērījumos svarīga ir ne vien korekta mērīšanas metode un mērījumiem izmantotās mēriekārtas piemērotība, bet arī, vai izmatotie mērīšanas līdzekļi ir atbilstoši kalibrēti, jo pretējā gadījumā mērījumu rezultātiem nav nodrošināta ticamība.</w:t>
            </w:r>
            <w:r>
              <w:br/>
              <w:t>Līdz ar iepriekš minēto, aicinām radiācijas drošības kvalitātes nodrošināšanas programmā ietvert arī informāciju par mērīšanas līdzekļu kalibrēšanu.</w:t>
            </w:r>
          </w:p>
        </w:tc>
        <w:tc>
          <w:tcPr>
            <w:tcW w:w="1641" w:type="dxa"/>
            <w:gridSpan w:val="2"/>
            <w:shd w:val="clear" w:color="auto" w:fill="FFFFFF" w:themeFill="background1"/>
            <w:noWrap/>
            <w:tcMar>
              <w:top w:w="75" w:type="dxa"/>
              <w:left w:w="75" w:type="dxa"/>
              <w:bottom w:w="75" w:type="dxa"/>
              <w:right w:w="75" w:type="dxa"/>
            </w:tcMar>
          </w:tcPr>
          <w:p w14:paraId="286E580D" w14:textId="77777777" w:rsidR="006F2A7E" w:rsidRDefault="006F2A7E" w:rsidP="005453C1">
            <w:pPr>
              <w:jc w:val="left"/>
            </w:pPr>
            <w:r>
              <w:t>Nav ņemts vērā</w:t>
            </w:r>
          </w:p>
          <w:p w14:paraId="2C34A29F"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7A4F7491" w14:textId="77777777" w:rsidR="006F2A7E" w:rsidDel="05D9EE36" w:rsidRDefault="006F2A7E" w:rsidP="005453C1">
            <w:r>
              <w:t>Tiesību aktos, kas nosaka radiācijas drošības kvalitātes nodrošināšanas programmas saturu, Ministru kabineta 2002. gada 9. aprīļa noteikumos Nr.149 “Noteikumi par aizsardzību pret jonizējošo starojumu” un izstrādē esošajā noteikumu projektā 22-TA-2871  “</w:t>
            </w:r>
            <w:r w:rsidRPr="00F55DED">
              <w:t>Noteikumi par aizsardzību pret jonizējošo starojumu medicīniskajā apstarošanā</w:t>
            </w:r>
            <w:r>
              <w:t xml:space="preserve">” jau ir paredzēts, ka jāiekļauj informācija par mēriekārtām un to kalibrēšanu. Tāpat uz operatoriem jau attiecas </w:t>
            </w:r>
            <w:r>
              <w:lastRenderedPageBreak/>
              <w:t>regulējums, kas noteikts Ministru kabineta 2008. gada 25. augusta noteikumi Nr. 693 “Noteikumi par mērīšanas līdzekļu kalibrēšanu”. Līdz ar to nav nepieciešams šajos noteikumos dublēt prasības.</w:t>
            </w:r>
          </w:p>
        </w:tc>
      </w:tr>
      <w:tr w:rsidR="006F2A7E" w14:paraId="4AC68402" w14:textId="77777777" w:rsidTr="006F2A7E">
        <w:tc>
          <w:tcPr>
            <w:tcW w:w="747" w:type="dxa"/>
            <w:shd w:val="clear" w:color="auto" w:fill="FFFFFF" w:themeFill="background1"/>
            <w:noWrap/>
            <w:tcMar>
              <w:top w:w="75" w:type="dxa"/>
              <w:left w:w="75" w:type="dxa"/>
              <w:bottom w:w="75" w:type="dxa"/>
              <w:right w:w="75" w:type="dxa"/>
            </w:tcMar>
            <w:vAlign w:val="center"/>
          </w:tcPr>
          <w:p w14:paraId="596BA68F" w14:textId="77777777" w:rsidR="006F2A7E" w:rsidRDefault="006F2A7E" w:rsidP="005453C1">
            <w:pPr>
              <w:jc w:val="center"/>
            </w:pPr>
            <w:r>
              <w:lastRenderedPageBreak/>
              <w:t>15.</w:t>
            </w:r>
          </w:p>
        </w:tc>
        <w:tc>
          <w:tcPr>
            <w:tcW w:w="4082" w:type="dxa"/>
            <w:shd w:val="clear" w:color="auto" w:fill="FFFFFF" w:themeFill="background1"/>
            <w:noWrap/>
            <w:tcMar>
              <w:top w:w="75" w:type="dxa"/>
              <w:left w:w="75" w:type="dxa"/>
              <w:bottom w:w="75" w:type="dxa"/>
              <w:right w:w="75" w:type="dxa"/>
            </w:tcMar>
            <w:vAlign w:val="center"/>
          </w:tcPr>
          <w:p w14:paraId="11E19E1C"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177B49B4" w14:textId="77777777" w:rsidR="006F2A7E" w:rsidRDefault="006F2A7E" w:rsidP="005453C1">
            <w:pPr>
              <w:jc w:val="left"/>
            </w:pPr>
            <w:r>
              <w:t>29.4. punkts</w:t>
            </w:r>
            <w:r>
              <w:br/>
              <w:t>Darba vietas monitoringa mērījumos svarīga ir ne vien korekta mērīšanas metode un mērījumiem izmantotās mēriekārtas piemērotība, bet arī, vai izmatotā mēriekārta ir atbilstoši kalibrēta, jo pretējā gadījumā mērījumu rezultātiem nav nodrošināta ticamība.</w:t>
            </w:r>
            <w:r>
              <w:br/>
              <w:t>Līdz ar iepriekš minēto, aicinām glabāt  arī informāciju par mērīšanas līdzekļa kalibrēšanu.</w:t>
            </w:r>
          </w:p>
        </w:tc>
        <w:tc>
          <w:tcPr>
            <w:tcW w:w="1641" w:type="dxa"/>
            <w:gridSpan w:val="2"/>
            <w:shd w:val="clear" w:color="auto" w:fill="FFFFFF" w:themeFill="background1"/>
            <w:noWrap/>
            <w:tcMar>
              <w:top w:w="75" w:type="dxa"/>
              <w:left w:w="75" w:type="dxa"/>
              <w:bottom w:w="75" w:type="dxa"/>
              <w:right w:w="75" w:type="dxa"/>
            </w:tcMar>
          </w:tcPr>
          <w:p w14:paraId="6FC73456" w14:textId="77777777" w:rsidR="006F2A7E" w:rsidRDefault="006F2A7E" w:rsidP="005453C1">
            <w:pPr>
              <w:jc w:val="left"/>
            </w:pPr>
            <w:r>
              <w:t>Nav ņemts vērā</w:t>
            </w:r>
          </w:p>
          <w:p w14:paraId="482FBF0D"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6AC140A5" w14:textId="77777777" w:rsidR="006F2A7E" w:rsidRDefault="006F2A7E" w:rsidP="005453C1">
            <w:r>
              <w:t>Prasība 10 gadus glabāt kalibrēšanas sertifikātus būtu slogs operatoriem, ņemot vērā darba vietas monitoringa regularitāti. Darba vietas monitoringa pārskatā tiek iekļauta informācija par mēriekārtu un tās kalibrēšanu.</w:t>
            </w:r>
          </w:p>
          <w:p w14:paraId="12D9DB80" w14:textId="77777777" w:rsidR="006F2A7E" w:rsidDel="05D9EE36" w:rsidRDefault="006F2A7E" w:rsidP="005453C1">
            <w:pPr>
              <w:jc w:val="left"/>
            </w:pPr>
          </w:p>
        </w:tc>
      </w:tr>
      <w:tr w:rsidR="006F2A7E" w14:paraId="3D7AB7C3" w14:textId="77777777" w:rsidTr="006F2A7E">
        <w:tc>
          <w:tcPr>
            <w:tcW w:w="747" w:type="dxa"/>
            <w:shd w:val="clear" w:color="auto" w:fill="FFFFFF" w:themeFill="background1"/>
            <w:noWrap/>
            <w:tcMar>
              <w:top w:w="75" w:type="dxa"/>
              <w:left w:w="75" w:type="dxa"/>
              <w:bottom w:w="75" w:type="dxa"/>
              <w:right w:w="75" w:type="dxa"/>
            </w:tcMar>
            <w:vAlign w:val="center"/>
          </w:tcPr>
          <w:p w14:paraId="3CC317A5" w14:textId="77777777" w:rsidR="006F2A7E" w:rsidRDefault="006F2A7E" w:rsidP="005453C1">
            <w:pPr>
              <w:jc w:val="center"/>
            </w:pPr>
            <w:r>
              <w:t>16.</w:t>
            </w:r>
          </w:p>
        </w:tc>
        <w:tc>
          <w:tcPr>
            <w:tcW w:w="4082" w:type="dxa"/>
            <w:shd w:val="clear" w:color="auto" w:fill="FFFFFF" w:themeFill="background1"/>
            <w:noWrap/>
            <w:tcMar>
              <w:top w:w="75" w:type="dxa"/>
              <w:left w:w="75" w:type="dxa"/>
              <w:bottom w:w="75" w:type="dxa"/>
              <w:right w:w="75" w:type="dxa"/>
            </w:tcMar>
            <w:vAlign w:val="center"/>
          </w:tcPr>
          <w:p w14:paraId="236EE365"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701653FC" w14:textId="77777777" w:rsidR="006F2A7E" w:rsidRDefault="006F2A7E" w:rsidP="005453C1">
            <w:pPr>
              <w:jc w:val="left"/>
            </w:pPr>
            <w:r>
              <w:t>30. punkts</w:t>
            </w:r>
            <w:r>
              <w:br/>
              <w:t xml:space="preserve">Darbinieks var pāriet darbā pie cita operatora, nav izprotams, kā iepriekšējais darba devējs (operators) šādā gadījumā var zināt, kad paiet 30 gadi kopš persona beigusi ar apstarošanu saistītu darbu, un attiecīgi izbeigt </w:t>
            </w:r>
            <w:r>
              <w:lastRenderedPageBreak/>
              <w:t>monitoringa rezultātu glabāšanu. Aicinām precizēt.</w:t>
            </w:r>
          </w:p>
        </w:tc>
        <w:tc>
          <w:tcPr>
            <w:tcW w:w="1641" w:type="dxa"/>
            <w:gridSpan w:val="2"/>
            <w:shd w:val="clear" w:color="auto" w:fill="FFFFFF" w:themeFill="background1"/>
            <w:noWrap/>
            <w:tcMar>
              <w:top w:w="75" w:type="dxa"/>
              <w:left w:w="75" w:type="dxa"/>
              <w:bottom w:w="75" w:type="dxa"/>
              <w:right w:w="75" w:type="dxa"/>
            </w:tcMar>
          </w:tcPr>
          <w:p w14:paraId="23A0D087"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6B6C86C2" w14:textId="77777777" w:rsidR="006F2A7E" w:rsidDel="05D9EE36" w:rsidRDefault="006F2A7E" w:rsidP="005453C1">
            <w:r>
              <w:t xml:space="preserve">Prasība par darbinieka saņemtā starojuma datu glabāšanas ilgumu izriet no EK direktīvas 2013/59/Euratom 43.panta. Gadījumā, ja operatoram nav pieejama informācija par bijušā darbinieka darba gaitām, uzglabāšanas ilgumu gados var </w:t>
            </w:r>
            <w:r>
              <w:lastRenderedPageBreak/>
              <w:t xml:space="preserve">aprēķināt 30+75-(bijušā darbinieka vecums pilnos gados). </w:t>
            </w:r>
          </w:p>
        </w:tc>
      </w:tr>
      <w:tr w:rsidR="006F2A7E" w14:paraId="172E4BD5" w14:textId="77777777" w:rsidTr="006F2A7E">
        <w:tc>
          <w:tcPr>
            <w:tcW w:w="747" w:type="dxa"/>
            <w:shd w:val="clear" w:color="auto" w:fill="FFFFFF" w:themeFill="background1"/>
            <w:noWrap/>
            <w:tcMar>
              <w:top w:w="75" w:type="dxa"/>
              <w:left w:w="75" w:type="dxa"/>
              <w:bottom w:w="75" w:type="dxa"/>
              <w:right w:w="75" w:type="dxa"/>
            </w:tcMar>
            <w:vAlign w:val="center"/>
          </w:tcPr>
          <w:p w14:paraId="27E89446" w14:textId="77777777" w:rsidR="006F2A7E" w:rsidRDefault="006F2A7E" w:rsidP="005453C1">
            <w:pPr>
              <w:jc w:val="center"/>
            </w:pPr>
            <w:r>
              <w:lastRenderedPageBreak/>
              <w:t>17.</w:t>
            </w:r>
          </w:p>
        </w:tc>
        <w:tc>
          <w:tcPr>
            <w:tcW w:w="4082" w:type="dxa"/>
            <w:shd w:val="clear" w:color="auto" w:fill="FFFFFF" w:themeFill="background1"/>
            <w:noWrap/>
            <w:tcMar>
              <w:top w:w="75" w:type="dxa"/>
              <w:left w:w="75" w:type="dxa"/>
              <w:bottom w:w="75" w:type="dxa"/>
              <w:right w:w="75" w:type="dxa"/>
            </w:tcMar>
            <w:vAlign w:val="center"/>
          </w:tcPr>
          <w:p w14:paraId="208D1281"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5F0BA6DE" w14:textId="77777777" w:rsidR="006F2A7E" w:rsidRDefault="006F2A7E" w:rsidP="005453C1">
            <w:pPr>
              <w:jc w:val="left"/>
            </w:pPr>
            <w:r>
              <w:t>34. punkts</w:t>
            </w:r>
            <w:r>
              <w:br/>
              <w:t>Nav skaidrs, kā attiecībā uz 7.5. punktā minētajiem darbiniekiem piemērojama prasība izmantot individuālā monitoringa rezultātus, kas iegūti veicot monitoringu citiem apstarošanai pakļautiem darbiniekiem. Šī prasība pēc būtības ir maldinoša. Proti, ja operators uzsāk darbību jaunā jomā, tam nav pieejami individuālā monitoringa rezultāti, kas iegūti veicot monitoringu citiem apstarošanai pakļautiem darbiniekiem šajā jaunajā jomā. Citu darbinieku, kas strādā citās jomās saņemtās dozas nevar kalpot par pamatu dozu novērtējumam, jo dozas varētu būt ļoti būtiski atšķirīgas.</w:t>
            </w:r>
          </w:p>
        </w:tc>
        <w:tc>
          <w:tcPr>
            <w:tcW w:w="1641" w:type="dxa"/>
            <w:gridSpan w:val="2"/>
            <w:shd w:val="clear" w:color="auto" w:fill="FFFFFF" w:themeFill="background1"/>
            <w:noWrap/>
            <w:tcMar>
              <w:top w:w="75" w:type="dxa"/>
              <w:left w:w="75" w:type="dxa"/>
              <w:bottom w:w="75" w:type="dxa"/>
              <w:right w:w="75" w:type="dxa"/>
            </w:tcMar>
          </w:tcPr>
          <w:p w14:paraId="5D0D81D7" w14:textId="77777777" w:rsidR="006F2A7E" w:rsidRDefault="006F2A7E" w:rsidP="005453C1">
            <w:pPr>
              <w:jc w:val="left"/>
            </w:pPr>
            <w:r>
              <w:t>Nav ņemts vērā</w:t>
            </w:r>
          </w:p>
          <w:p w14:paraId="6A3B0439"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751DE6DB" w14:textId="77777777" w:rsidR="006F2A7E" w:rsidDel="05D9EE36" w:rsidRDefault="006F2A7E" w:rsidP="005453C1">
            <w:pPr>
              <w:jc w:val="left"/>
            </w:pPr>
            <w:r>
              <w:t xml:space="preserve">Šāda prasība/iespēja izmantot citu darbinieku dozu datus, ja ārkārtas iemeslu dēļ nav bijis iespējams veikt kāda darbinieka individuālo </w:t>
            </w:r>
            <w:proofErr w:type="spellStart"/>
            <w:r>
              <w:t>dozimetriju</w:t>
            </w:r>
            <w:proofErr w:type="spellEnd"/>
            <w:r>
              <w:t xml:space="preserve"> vai iegūt </w:t>
            </w:r>
            <w:proofErr w:type="spellStart"/>
            <w:r>
              <w:t>dozimetrijas</w:t>
            </w:r>
            <w:proofErr w:type="spellEnd"/>
            <w:r>
              <w:t xml:space="preserve"> datus, izriet no EK direktīvas 2013/59/Euratom 41.panta. Šī prasība attiecināma, ja ir citu darbinieku dozu dati, ko izmantot dozas novērtēšanai.</w:t>
            </w:r>
          </w:p>
        </w:tc>
      </w:tr>
      <w:tr w:rsidR="006F2A7E" w14:paraId="1494D627" w14:textId="77777777" w:rsidTr="006F2A7E">
        <w:tc>
          <w:tcPr>
            <w:tcW w:w="747" w:type="dxa"/>
            <w:shd w:val="clear" w:color="auto" w:fill="FFFFFF" w:themeFill="background1"/>
            <w:noWrap/>
            <w:tcMar>
              <w:top w:w="75" w:type="dxa"/>
              <w:left w:w="75" w:type="dxa"/>
              <w:bottom w:w="75" w:type="dxa"/>
              <w:right w:w="75" w:type="dxa"/>
            </w:tcMar>
            <w:vAlign w:val="center"/>
          </w:tcPr>
          <w:p w14:paraId="661FEFFC" w14:textId="77777777" w:rsidR="006F2A7E" w:rsidRDefault="006F2A7E" w:rsidP="005453C1">
            <w:pPr>
              <w:jc w:val="center"/>
            </w:pPr>
            <w:r>
              <w:t>18.</w:t>
            </w:r>
          </w:p>
        </w:tc>
        <w:tc>
          <w:tcPr>
            <w:tcW w:w="4082" w:type="dxa"/>
            <w:shd w:val="clear" w:color="auto" w:fill="FFFFFF" w:themeFill="background1"/>
            <w:noWrap/>
            <w:tcMar>
              <w:top w:w="75" w:type="dxa"/>
              <w:left w:w="75" w:type="dxa"/>
              <w:bottom w:w="75" w:type="dxa"/>
              <w:right w:w="75" w:type="dxa"/>
            </w:tcMar>
            <w:vAlign w:val="center"/>
          </w:tcPr>
          <w:p w14:paraId="72468CEE"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1799865E" w14:textId="77777777" w:rsidR="006F2A7E" w:rsidRDefault="006F2A7E" w:rsidP="005453C1">
            <w:pPr>
              <w:jc w:val="left"/>
            </w:pPr>
            <w:r>
              <w:t>39. punkts</w:t>
            </w:r>
            <w:r>
              <w:br/>
              <w:t xml:space="preserve">Darbinieks var pāriet darbā pie cita operatora, nav izprotams, kā iepriekšējais darba devējs (operators) šādā gadījumā var </w:t>
            </w:r>
            <w:r>
              <w:lastRenderedPageBreak/>
              <w:t>zināt, kad paiet 30 gadi kopš persona beigusi ar apstarošanu saistītu darbu, un attiecīgi izbeigt ziņu par dozām glabāšanu. Aicinām precizēt.</w:t>
            </w:r>
          </w:p>
        </w:tc>
        <w:tc>
          <w:tcPr>
            <w:tcW w:w="1641" w:type="dxa"/>
            <w:gridSpan w:val="2"/>
            <w:shd w:val="clear" w:color="auto" w:fill="FFFFFF" w:themeFill="background1"/>
            <w:noWrap/>
            <w:tcMar>
              <w:top w:w="75" w:type="dxa"/>
              <w:left w:w="75" w:type="dxa"/>
              <w:bottom w:w="75" w:type="dxa"/>
              <w:right w:w="75" w:type="dxa"/>
            </w:tcMar>
          </w:tcPr>
          <w:p w14:paraId="77C47A05"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478A02A9" w14:textId="77777777" w:rsidR="006F2A7E" w:rsidDel="05D9EE36" w:rsidRDefault="006F2A7E" w:rsidP="005453C1">
            <w:pPr>
              <w:jc w:val="left"/>
            </w:pPr>
            <w:r>
              <w:t xml:space="preserve">Prasība par darbinieka saņemtā starojuma datu glabāšanas ilgumu izriet no EK direktīvas 2013/59/Euratom 43.panta. Gadījumā, ja operatoram nav </w:t>
            </w:r>
            <w:r>
              <w:lastRenderedPageBreak/>
              <w:t>pieejama informācija par bijušā darbinieka darba gaitām, uzglabāšanas ilgumu gados var aprēķināt 30+75-(bijušā darbinieka vecums pilnos gados).</w:t>
            </w:r>
          </w:p>
        </w:tc>
      </w:tr>
      <w:tr w:rsidR="006F2A7E" w14:paraId="7DEF39E3" w14:textId="77777777" w:rsidTr="006F2A7E">
        <w:tc>
          <w:tcPr>
            <w:tcW w:w="747" w:type="dxa"/>
            <w:shd w:val="clear" w:color="auto" w:fill="FFFFFF" w:themeFill="background1"/>
            <w:noWrap/>
            <w:tcMar>
              <w:top w:w="75" w:type="dxa"/>
              <w:left w:w="75" w:type="dxa"/>
              <w:bottom w:w="75" w:type="dxa"/>
              <w:right w:w="75" w:type="dxa"/>
            </w:tcMar>
            <w:vAlign w:val="center"/>
          </w:tcPr>
          <w:p w14:paraId="2CE857F5" w14:textId="77777777" w:rsidR="006F2A7E" w:rsidRDefault="006F2A7E" w:rsidP="005453C1">
            <w:pPr>
              <w:jc w:val="center"/>
            </w:pPr>
            <w:r>
              <w:lastRenderedPageBreak/>
              <w:t>19.</w:t>
            </w:r>
          </w:p>
        </w:tc>
        <w:tc>
          <w:tcPr>
            <w:tcW w:w="4082" w:type="dxa"/>
            <w:shd w:val="clear" w:color="auto" w:fill="FFFFFF" w:themeFill="background1"/>
            <w:noWrap/>
            <w:tcMar>
              <w:top w:w="75" w:type="dxa"/>
              <w:left w:w="75" w:type="dxa"/>
              <w:bottom w:w="75" w:type="dxa"/>
              <w:right w:w="75" w:type="dxa"/>
            </w:tcMar>
            <w:vAlign w:val="center"/>
          </w:tcPr>
          <w:p w14:paraId="688317E9"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0839318C" w14:textId="77777777" w:rsidR="006F2A7E" w:rsidRDefault="006F2A7E" w:rsidP="005453C1">
            <w:pPr>
              <w:jc w:val="left"/>
            </w:pPr>
            <w:r>
              <w:t>39.</w:t>
            </w:r>
            <w:r w:rsidRPr="2EB52DD1">
              <w:rPr>
                <w:vertAlign w:val="superscript"/>
              </w:rPr>
              <w:t>1</w:t>
            </w:r>
            <w:r>
              <w:t>2.2. punkts</w:t>
            </w:r>
            <w:r>
              <w:br/>
              <w:t>Lūdzam skaidrot, kas 7.5. punktā minētajiem darbiniekiem uzskatāms par darba pabeigšanas datumu, kas operatoram jāreģistrē.</w:t>
            </w:r>
          </w:p>
        </w:tc>
        <w:tc>
          <w:tcPr>
            <w:tcW w:w="1641" w:type="dxa"/>
            <w:gridSpan w:val="2"/>
            <w:shd w:val="clear" w:color="auto" w:fill="FFFFFF" w:themeFill="background1"/>
            <w:noWrap/>
            <w:tcMar>
              <w:top w:w="75" w:type="dxa"/>
              <w:left w:w="75" w:type="dxa"/>
              <w:bottom w:w="75" w:type="dxa"/>
              <w:right w:w="75" w:type="dxa"/>
            </w:tcMar>
          </w:tcPr>
          <w:p w14:paraId="152E6A8E" w14:textId="77777777" w:rsidR="006F2A7E" w:rsidRDefault="006F2A7E" w:rsidP="005453C1">
            <w:pPr>
              <w:jc w:val="left"/>
            </w:pPr>
            <w:r>
              <w:t>Nav ņemts vērā</w:t>
            </w:r>
          </w:p>
        </w:tc>
        <w:tc>
          <w:tcPr>
            <w:tcW w:w="4064" w:type="dxa"/>
            <w:gridSpan w:val="2"/>
            <w:shd w:val="clear" w:color="auto" w:fill="FFFFFF" w:themeFill="background1"/>
            <w:noWrap/>
            <w:tcMar>
              <w:top w:w="75" w:type="dxa"/>
              <w:left w:w="75" w:type="dxa"/>
              <w:bottom w:w="75" w:type="dxa"/>
              <w:right w:w="75" w:type="dxa"/>
            </w:tcMar>
          </w:tcPr>
          <w:p w14:paraId="30BA80E2" w14:textId="77777777" w:rsidR="006F2A7E" w:rsidDel="05D9EE36" w:rsidRDefault="006F2A7E" w:rsidP="005453C1">
            <w:pPr>
              <w:jc w:val="left"/>
            </w:pPr>
            <w:r>
              <w:t xml:space="preserve">Jauniem operatoriem vai operatoriem, kas uzsāk veikt jaunas licencējamas darbības un arī B kategorijas darbiniekiem pirmo gadu nodrošina individuālo </w:t>
            </w:r>
            <w:proofErr w:type="spellStart"/>
            <w:r>
              <w:t>dozimetriju</w:t>
            </w:r>
            <w:proofErr w:type="spellEnd"/>
            <w:r>
              <w:t xml:space="preserve">, reģistrējams būtu datums, kad noslēdzas viena gada periods un </w:t>
            </w:r>
            <w:proofErr w:type="spellStart"/>
            <w:r>
              <w:t>dozimetrija</w:t>
            </w:r>
            <w:proofErr w:type="spellEnd"/>
            <w:r>
              <w:t xml:space="preserve"> vairs netiek nodrošināta. Gadījumā, ja </w:t>
            </w:r>
            <w:proofErr w:type="spellStart"/>
            <w:r>
              <w:t>dozimetrijas</w:t>
            </w:r>
            <w:proofErr w:type="spellEnd"/>
            <w:r>
              <w:t xml:space="preserve"> dati liecina, ka darbinieks jāiedala A kategorijā, attiecīgi </w:t>
            </w:r>
            <w:proofErr w:type="spellStart"/>
            <w:r>
              <w:t>dozimetrija</w:t>
            </w:r>
            <w:proofErr w:type="spellEnd"/>
            <w:r>
              <w:t xml:space="preserve"> turpināma.</w:t>
            </w:r>
          </w:p>
        </w:tc>
      </w:tr>
      <w:tr w:rsidR="006F2A7E" w14:paraId="4E838686" w14:textId="77777777" w:rsidTr="006F2A7E">
        <w:tc>
          <w:tcPr>
            <w:tcW w:w="747" w:type="dxa"/>
            <w:shd w:val="clear" w:color="auto" w:fill="FFFFFF" w:themeFill="background1"/>
            <w:noWrap/>
            <w:tcMar>
              <w:top w:w="75" w:type="dxa"/>
              <w:left w:w="75" w:type="dxa"/>
              <w:bottom w:w="75" w:type="dxa"/>
              <w:right w:w="75" w:type="dxa"/>
            </w:tcMar>
            <w:vAlign w:val="center"/>
          </w:tcPr>
          <w:p w14:paraId="5D8CA6DC" w14:textId="77777777" w:rsidR="006F2A7E" w:rsidRDefault="006F2A7E" w:rsidP="005453C1">
            <w:pPr>
              <w:jc w:val="center"/>
            </w:pPr>
            <w:r>
              <w:t>20.</w:t>
            </w:r>
          </w:p>
        </w:tc>
        <w:tc>
          <w:tcPr>
            <w:tcW w:w="4082" w:type="dxa"/>
            <w:shd w:val="clear" w:color="auto" w:fill="FFFFFF" w:themeFill="background1"/>
            <w:noWrap/>
            <w:tcMar>
              <w:top w:w="75" w:type="dxa"/>
              <w:left w:w="75" w:type="dxa"/>
              <w:bottom w:w="75" w:type="dxa"/>
              <w:right w:w="75" w:type="dxa"/>
            </w:tcMar>
            <w:vAlign w:val="center"/>
          </w:tcPr>
          <w:p w14:paraId="77EA2740"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6CF0C094" w14:textId="77777777" w:rsidR="006F2A7E" w:rsidRDefault="006F2A7E" w:rsidP="005453C1">
            <w:pPr>
              <w:jc w:val="left"/>
            </w:pPr>
            <w:r>
              <w:t>39.</w:t>
            </w:r>
            <w:r w:rsidRPr="2EB52DD1">
              <w:rPr>
                <w:vertAlign w:val="superscript"/>
              </w:rPr>
              <w:t>1</w:t>
            </w:r>
            <w:r>
              <w:t>2.3. un 39.</w:t>
            </w:r>
            <w:r w:rsidRPr="2EB52DD1">
              <w:rPr>
                <w:vertAlign w:val="superscript"/>
              </w:rPr>
              <w:t>1</w:t>
            </w:r>
            <w:r>
              <w:t>2.4. punkts</w:t>
            </w:r>
            <w:r>
              <w:br/>
              <w:t>Lūdzam normatīvajā aktā skaidrot šajos punktos izmantotos jēdzienus “ārējais apstarojums” un “iekšējais apstarojums”.</w:t>
            </w:r>
          </w:p>
        </w:tc>
        <w:tc>
          <w:tcPr>
            <w:tcW w:w="1641" w:type="dxa"/>
            <w:gridSpan w:val="2"/>
            <w:shd w:val="clear" w:color="auto" w:fill="FFFFFF" w:themeFill="background1"/>
            <w:noWrap/>
            <w:tcMar>
              <w:top w:w="75" w:type="dxa"/>
              <w:left w:w="75" w:type="dxa"/>
              <w:bottom w:w="75" w:type="dxa"/>
              <w:right w:w="75" w:type="dxa"/>
            </w:tcMar>
          </w:tcPr>
          <w:p w14:paraId="6B18D131" w14:textId="77777777" w:rsidR="006F2A7E" w:rsidRDefault="006F2A7E" w:rsidP="005453C1">
            <w:pPr>
              <w:jc w:val="left"/>
            </w:pPr>
            <w:r>
              <w:t>Nav ņemts vērā</w:t>
            </w:r>
          </w:p>
        </w:tc>
        <w:tc>
          <w:tcPr>
            <w:tcW w:w="4064" w:type="dxa"/>
            <w:gridSpan w:val="2"/>
            <w:shd w:val="clear" w:color="auto" w:fill="FFFFFF" w:themeFill="background1"/>
            <w:noWrap/>
            <w:tcMar>
              <w:top w:w="75" w:type="dxa"/>
              <w:left w:w="75" w:type="dxa"/>
              <w:bottom w:w="75" w:type="dxa"/>
              <w:right w:w="75" w:type="dxa"/>
            </w:tcMar>
          </w:tcPr>
          <w:p w14:paraId="321E4681" w14:textId="77777777" w:rsidR="006F2A7E" w:rsidDel="05D9EE36" w:rsidRDefault="006F2A7E" w:rsidP="005453C1">
            <w:pPr>
              <w:jc w:val="left"/>
            </w:pPr>
            <w:r>
              <w:t>Šie ir plaši lietoti jēdzieni radiācijas drošības jomā, ko nav paredzēts skaidrot šajos noteikumos.</w:t>
            </w:r>
          </w:p>
        </w:tc>
      </w:tr>
      <w:tr w:rsidR="006F2A7E" w14:paraId="2A44C5D4" w14:textId="77777777" w:rsidTr="006F2A7E">
        <w:tc>
          <w:tcPr>
            <w:tcW w:w="747" w:type="dxa"/>
            <w:shd w:val="clear" w:color="auto" w:fill="FFFFFF" w:themeFill="background1"/>
            <w:noWrap/>
            <w:tcMar>
              <w:top w:w="75" w:type="dxa"/>
              <w:left w:w="75" w:type="dxa"/>
              <w:bottom w:w="75" w:type="dxa"/>
              <w:right w:w="75" w:type="dxa"/>
            </w:tcMar>
            <w:vAlign w:val="center"/>
          </w:tcPr>
          <w:p w14:paraId="26CC9D58" w14:textId="77777777" w:rsidR="006F2A7E" w:rsidRDefault="006F2A7E" w:rsidP="005453C1">
            <w:pPr>
              <w:jc w:val="center"/>
            </w:pPr>
            <w:r>
              <w:t>21.</w:t>
            </w:r>
          </w:p>
        </w:tc>
        <w:tc>
          <w:tcPr>
            <w:tcW w:w="4082" w:type="dxa"/>
            <w:shd w:val="clear" w:color="auto" w:fill="FFFFFF" w:themeFill="background1"/>
            <w:noWrap/>
            <w:tcMar>
              <w:top w:w="75" w:type="dxa"/>
              <w:left w:w="75" w:type="dxa"/>
              <w:bottom w:w="75" w:type="dxa"/>
              <w:right w:w="75" w:type="dxa"/>
            </w:tcMar>
            <w:vAlign w:val="center"/>
          </w:tcPr>
          <w:p w14:paraId="12BD0A92"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794B2F18" w14:textId="77777777" w:rsidR="006F2A7E" w:rsidRDefault="006F2A7E" w:rsidP="005453C1">
            <w:pPr>
              <w:jc w:val="left"/>
            </w:pPr>
            <w:r>
              <w:t>39.</w:t>
            </w:r>
            <w:r w:rsidRPr="2EB52DD1">
              <w:rPr>
                <w:vertAlign w:val="superscript"/>
              </w:rPr>
              <w:t>7</w:t>
            </w:r>
            <w:r>
              <w:t xml:space="preserve"> punkts</w:t>
            </w:r>
            <w:r>
              <w:br/>
              <w:t xml:space="preserve">Aicinām izvērtēt šādas prasības lietderību. Proti, vai tas attiecināms arī uz B kategorijas </w:t>
            </w:r>
            <w:r>
              <w:lastRenderedPageBreak/>
              <w:t xml:space="preserve">darbiniekiem, jo no formulētās prasības izņēmumi neizriet. Vai individuālā </w:t>
            </w:r>
            <w:proofErr w:type="spellStart"/>
            <w:r>
              <w:t>dozimetrija</w:t>
            </w:r>
            <w:proofErr w:type="spellEnd"/>
            <w:r>
              <w:t xml:space="preserve"> nodrošināma arī gadījumā, ka viesstrādnieks veic darbības pie operatora ļoti īslaicīgi (piemēram, vienu dienu gadā). Aicinām neattiecināt šo prasību attiecībā pret akreditētām institūcijām. Šo institūciju darba devēji nodrošina savu darbinieku dozu novērtēšanu.</w:t>
            </w:r>
          </w:p>
        </w:tc>
        <w:tc>
          <w:tcPr>
            <w:tcW w:w="1641" w:type="dxa"/>
            <w:gridSpan w:val="2"/>
            <w:shd w:val="clear" w:color="auto" w:fill="FFFFFF" w:themeFill="background1"/>
            <w:noWrap/>
            <w:tcMar>
              <w:top w:w="75" w:type="dxa"/>
              <w:left w:w="75" w:type="dxa"/>
              <w:bottom w:w="75" w:type="dxa"/>
              <w:right w:w="75" w:type="dxa"/>
            </w:tcMar>
          </w:tcPr>
          <w:p w14:paraId="545AA46D"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3462DB6A" w14:textId="77777777" w:rsidR="006F2A7E" w:rsidRDefault="006F2A7E" w:rsidP="005453C1">
            <w:pPr>
              <w:jc w:val="left"/>
            </w:pPr>
            <w:r w:rsidRPr="002E44E4">
              <w:t xml:space="preserve">Operators ir tā juridiskā persona, kas saņēmusi licenci jonizējošā starojuma avotu lietošanai, piemēram, ārstniecības iestāde. </w:t>
            </w:r>
            <w:r w:rsidRPr="002E44E4">
              <w:lastRenderedPageBreak/>
              <w:t>Noteikumu projekts paredz, ka</w:t>
            </w:r>
          </w:p>
          <w:p w14:paraId="4F8847F9" w14:textId="77777777" w:rsidR="006F2A7E" w:rsidRPr="00C86398" w:rsidRDefault="006F2A7E" w:rsidP="005453C1">
            <w:pPr>
              <w:jc w:val="left"/>
            </w:pPr>
            <w:r w:rsidRPr="002E44E4">
              <w:t xml:space="preserve"> operatoram jāsadarbojas ar viesstrādnieku darba devēju, ja tā ir cita juridiskā persona, piemēram, studentiem augstākās izglītības mācību iestāde. Atbildības sadalījums jāatrunā šīs sadarbības ietvaros.</w:t>
            </w:r>
          </w:p>
          <w:p w14:paraId="3A3E0CD3" w14:textId="77777777" w:rsidR="006F2A7E" w:rsidRPr="00C86398" w:rsidRDefault="006F2A7E" w:rsidP="005453C1">
            <w:pPr>
              <w:jc w:val="left"/>
            </w:pPr>
            <w:r>
              <w:t>Atbilstoši projekta 7.5.apakšpunktā paredzētajam, ka jaunam licencētam operatoram/jaunām licencējamām darbībām arī B kategorijas darbiniekiem sākumā iegūst dozu datus, lai pārliecinātos, ka tiešam korekti iedalīts, un ņemot vērā, ka viesstrādniekiem jānodrošina tāda pati aizsardzība kā operatora darbiniekiem, komentārā minētā prasība ir attiecināma.</w:t>
            </w:r>
          </w:p>
          <w:p w14:paraId="797ECDAB" w14:textId="77777777" w:rsidR="006F2A7E" w:rsidRDefault="006F2A7E" w:rsidP="005453C1">
            <w:pPr>
              <w:jc w:val="left"/>
            </w:pPr>
          </w:p>
          <w:p w14:paraId="10A52338" w14:textId="77777777" w:rsidR="006F2A7E" w:rsidDel="05D9EE36" w:rsidRDefault="006F2A7E" w:rsidP="005453C1">
            <w:pPr>
              <w:jc w:val="left"/>
            </w:pPr>
            <w:r>
              <w:t xml:space="preserve">Noteikumu projekta prasību izpratnē akreditētas institūcijas darbinieki, kas veic darba vietas monitoringu, un citu pakalpojumu sniedzēji, kas saņēmuši licenci darbībām ar jonizējošā starojuma avotiem, nav viesstrādnieki, tiem </w:t>
            </w:r>
            <w:r>
              <w:lastRenderedPageBreak/>
              <w:t xml:space="preserve">ir izsniegtas licences darbību veikšanai un par darbiniekiem atbild darba devējs, kas ir arī operators. </w:t>
            </w:r>
          </w:p>
        </w:tc>
      </w:tr>
      <w:tr w:rsidR="006F2A7E" w14:paraId="7B4B2E9F" w14:textId="77777777" w:rsidTr="006F2A7E">
        <w:tc>
          <w:tcPr>
            <w:tcW w:w="747" w:type="dxa"/>
            <w:shd w:val="clear" w:color="auto" w:fill="FFFFFF" w:themeFill="background1"/>
            <w:noWrap/>
            <w:tcMar>
              <w:top w:w="75" w:type="dxa"/>
              <w:left w:w="75" w:type="dxa"/>
              <w:bottom w:w="75" w:type="dxa"/>
              <w:right w:w="75" w:type="dxa"/>
            </w:tcMar>
            <w:vAlign w:val="center"/>
          </w:tcPr>
          <w:p w14:paraId="2B662F7B" w14:textId="77777777" w:rsidR="006F2A7E" w:rsidRDefault="006F2A7E" w:rsidP="005453C1">
            <w:pPr>
              <w:jc w:val="center"/>
            </w:pPr>
            <w:r>
              <w:lastRenderedPageBreak/>
              <w:t>22.</w:t>
            </w:r>
          </w:p>
        </w:tc>
        <w:tc>
          <w:tcPr>
            <w:tcW w:w="4082" w:type="dxa"/>
            <w:shd w:val="clear" w:color="auto" w:fill="FFFFFF" w:themeFill="background1"/>
            <w:noWrap/>
            <w:tcMar>
              <w:top w:w="75" w:type="dxa"/>
              <w:left w:w="75" w:type="dxa"/>
              <w:bottom w:w="75" w:type="dxa"/>
              <w:right w:w="75" w:type="dxa"/>
            </w:tcMar>
            <w:vAlign w:val="center"/>
          </w:tcPr>
          <w:p w14:paraId="0A3856E1"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2E69BD5F" w14:textId="77777777" w:rsidR="006F2A7E" w:rsidRDefault="006F2A7E" w:rsidP="005453C1">
            <w:pPr>
              <w:jc w:val="left"/>
            </w:pPr>
            <w:r>
              <w:t>39.</w:t>
            </w:r>
            <w:r>
              <w:rPr>
                <w:vertAlign w:val="superscript"/>
              </w:rPr>
              <w:t xml:space="preserve">10 </w:t>
            </w:r>
            <w:r>
              <w:t>punkts</w:t>
            </w:r>
            <w:r>
              <w:br/>
              <w:t>39.</w:t>
            </w:r>
            <w:r>
              <w:rPr>
                <w:vertAlign w:val="superscript"/>
              </w:rPr>
              <w:t>6</w:t>
            </w:r>
            <w:r>
              <w:t xml:space="preserve"> punktā minētā informācija būtu iesniedzama ne vien centram, bet arī </w:t>
            </w:r>
            <w:proofErr w:type="spellStart"/>
            <w:r>
              <w:t>viestrādnieka</w:t>
            </w:r>
            <w:proofErr w:type="spellEnd"/>
            <w:r>
              <w:t xml:space="preserve"> darba devējām, jo citādi viesstrādnieka darba devējs nevar nodrošināt 39.</w:t>
            </w:r>
            <w:r>
              <w:rPr>
                <w:vertAlign w:val="superscript"/>
              </w:rPr>
              <w:t>8</w:t>
            </w:r>
            <w:r>
              <w:t xml:space="preserve"> un 39.</w:t>
            </w:r>
            <w:r>
              <w:rPr>
                <w:vertAlign w:val="superscript"/>
              </w:rPr>
              <w:t>9</w:t>
            </w:r>
            <w:r>
              <w:t xml:space="preserve"> punkta izpildi.</w:t>
            </w:r>
          </w:p>
        </w:tc>
        <w:tc>
          <w:tcPr>
            <w:tcW w:w="1641" w:type="dxa"/>
            <w:gridSpan w:val="2"/>
            <w:shd w:val="clear" w:color="auto" w:fill="FFFFFF" w:themeFill="background1"/>
            <w:noWrap/>
            <w:tcMar>
              <w:top w:w="75" w:type="dxa"/>
              <w:left w:w="75" w:type="dxa"/>
              <w:bottom w:w="75" w:type="dxa"/>
              <w:right w:w="75" w:type="dxa"/>
            </w:tcMar>
          </w:tcPr>
          <w:p w14:paraId="2992B1DE" w14:textId="77777777" w:rsidR="006F2A7E" w:rsidRDefault="006F2A7E" w:rsidP="005453C1">
            <w:pPr>
              <w:jc w:val="left"/>
            </w:pPr>
            <w:r>
              <w:t>Ņemts vērā</w:t>
            </w:r>
          </w:p>
          <w:p w14:paraId="7BBE48A4"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4DF5C838" w14:textId="77777777" w:rsidR="006F2A7E" w:rsidRDefault="006F2A7E" w:rsidP="005453C1">
            <w:pPr>
              <w:spacing w:line="259" w:lineRule="auto"/>
              <w:jc w:val="left"/>
            </w:pPr>
            <w:r>
              <w:t>39.</w:t>
            </w:r>
            <w:r w:rsidRPr="2EB52DD1">
              <w:rPr>
                <w:vertAlign w:val="superscript"/>
              </w:rPr>
              <w:t>7</w:t>
            </w:r>
            <w:r w:rsidRPr="2EB52DD1">
              <w:t xml:space="preserve"> punkt</w:t>
            </w:r>
            <w:r>
              <w:t>s izteikts jaunā redakcijā</w:t>
            </w:r>
            <w:r w:rsidRPr="2EB52DD1">
              <w:t xml:space="preserve"> “Operators viesstrādniekiem nodrošina individuālo </w:t>
            </w:r>
            <w:proofErr w:type="spellStart"/>
            <w:r w:rsidRPr="2EB52DD1">
              <w:t>dozimetriju</w:t>
            </w:r>
            <w:proofErr w:type="spellEnd"/>
            <w:r w:rsidRPr="2EB52DD1">
              <w:t xml:space="preserve"> un saņemtā apstarojuma uzskaiti, informāciju par viesstrādnieka saņemto apstarojumu nodod viesstrādnieka darba devējam.”</w:t>
            </w:r>
          </w:p>
          <w:p w14:paraId="690EE3EF" w14:textId="77777777" w:rsidR="006F2A7E" w:rsidRPr="00B37101" w:rsidDel="05D9EE36" w:rsidRDefault="006F2A7E" w:rsidP="005453C1">
            <w:pPr>
              <w:tabs>
                <w:tab w:val="left" w:pos="1164"/>
              </w:tabs>
            </w:pPr>
            <w:r>
              <w:tab/>
            </w:r>
          </w:p>
        </w:tc>
      </w:tr>
      <w:tr w:rsidR="006F2A7E" w14:paraId="6A7C23EF" w14:textId="77777777" w:rsidTr="006F2A7E">
        <w:tc>
          <w:tcPr>
            <w:tcW w:w="747" w:type="dxa"/>
            <w:shd w:val="clear" w:color="auto" w:fill="FFFFFF" w:themeFill="background1"/>
            <w:noWrap/>
            <w:tcMar>
              <w:top w:w="75" w:type="dxa"/>
              <w:left w:w="75" w:type="dxa"/>
              <w:bottom w:w="75" w:type="dxa"/>
              <w:right w:w="75" w:type="dxa"/>
            </w:tcMar>
            <w:vAlign w:val="center"/>
          </w:tcPr>
          <w:p w14:paraId="0E48920F" w14:textId="77777777" w:rsidR="006F2A7E" w:rsidRDefault="006F2A7E" w:rsidP="005453C1">
            <w:pPr>
              <w:jc w:val="center"/>
            </w:pPr>
            <w:r>
              <w:t>23.</w:t>
            </w:r>
          </w:p>
        </w:tc>
        <w:tc>
          <w:tcPr>
            <w:tcW w:w="4082" w:type="dxa"/>
            <w:shd w:val="clear" w:color="auto" w:fill="FFFFFF" w:themeFill="background1"/>
            <w:noWrap/>
            <w:tcMar>
              <w:top w:w="75" w:type="dxa"/>
              <w:left w:w="75" w:type="dxa"/>
              <w:bottom w:w="75" w:type="dxa"/>
              <w:right w:w="75" w:type="dxa"/>
            </w:tcMar>
            <w:vAlign w:val="center"/>
          </w:tcPr>
          <w:p w14:paraId="11180C83"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62A4C6DE" w14:textId="77777777" w:rsidR="006F2A7E" w:rsidRPr="008400D4" w:rsidRDefault="006F2A7E" w:rsidP="005453C1">
            <w:pPr>
              <w:jc w:val="left"/>
              <w:rPr>
                <w:color w:val="auto"/>
              </w:rPr>
            </w:pPr>
            <w:r w:rsidRPr="008400D4">
              <w:rPr>
                <w:color w:val="auto"/>
              </w:rPr>
              <w:t>54. punkts</w:t>
            </w:r>
            <w:r w:rsidRPr="008400D4">
              <w:rPr>
                <w:color w:val="auto"/>
              </w:rPr>
              <w:br/>
              <w:t>Lūdzam skaidrot, kāds ir centra lēmumu par operatora tiesībām veikt B kategorijas darbinieka saņemto jonizējošā starojuma dozu novērtējumu spēkā esamības pamatojums, ja kārtība par B kategorijas darbinieku saņemto dozu novērtējumu ar šiem grozījumiem tiek mainīta pēc būtības.</w:t>
            </w:r>
          </w:p>
        </w:tc>
        <w:tc>
          <w:tcPr>
            <w:tcW w:w="1641" w:type="dxa"/>
            <w:gridSpan w:val="2"/>
            <w:shd w:val="clear" w:color="auto" w:fill="FFFFFF" w:themeFill="background1"/>
            <w:noWrap/>
            <w:tcMar>
              <w:top w:w="75" w:type="dxa"/>
              <w:left w:w="75" w:type="dxa"/>
              <w:bottom w:w="75" w:type="dxa"/>
              <w:right w:w="75" w:type="dxa"/>
            </w:tcMar>
          </w:tcPr>
          <w:p w14:paraId="666E2536" w14:textId="77777777" w:rsidR="006F2A7E" w:rsidRPr="008400D4" w:rsidRDefault="006F2A7E" w:rsidP="005453C1">
            <w:pPr>
              <w:jc w:val="left"/>
              <w:rPr>
                <w:color w:val="auto"/>
              </w:rPr>
            </w:pPr>
            <w:r w:rsidRPr="008400D4">
              <w:rPr>
                <w:color w:val="auto"/>
              </w:rPr>
              <w:t>Ņemts vērā</w:t>
            </w:r>
          </w:p>
        </w:tc>
        <w:tc>
          <w:tcPr>
            <w:tcW w:w="4064" w:type="dxa"/>
            <w:gridSpan w:val="2"/>
            <w:shd w:val="clear" w:color="auto" w:fill="FFFFFF" w:themeFill="background1"/>
            <w:noWrap/>
            <w:tcMar>
              <w:top w:w="75" w:type="dxa"/>
              <w:left w:w="75" w:type="dxa"/>
              <w:bottom w:w="75" w:type="dxa"/>
              <w:right w:w="75" w:type="dxa"/>
            </w:tcMar>
          </w:tcPr>
          <w:p w14:paraId="2A967E68" w14:textId="77777777" w:rsidR="006F2A7E" w:rsidRPr="008400D4" w:rsidDel="05D9EE36" w:rsidRDefault="006F2A7E" w:rsidP="005453C1">
            <w:pPr>
              <w:jc w:val="left"/>
              <w:rPr>
                <w:color w:val="auto"/>
              </w:rPr>
            </w:pPr>
            <w:r w:rsidRPr="008400D4">
              <w:rPr>
                <w:color w:val="auto"/>
              </w:rPr>
              <w:t>54. punkts izteikts jaunā redakcijā “Ar šo grozījumu spēkā stāšanās dienu spēku zaudē centra lēmumi, kas izdoti saskaņā ar šo noteikumu 13. punktu.”</w:t>
            </w:r>
          </w:p>
        </w:tc>
      </w:tr>
      <w:tr w:rsidR="006F2A7E" w14:paraId="7EB93A98" w14:textId="77777777" w:rsidTr="006F2A7E">
        <w:tc>
          <w:tcPr>
            <w:tcW w:w="747" w:type="dxa"/>
            <w:shd w:val="clear" w:color="auto" w:fill="FFFFFF" w:themeFill="background1"/>
            <w:noWrap/>
            <w:tcMar>
              <w:top w:w="75" w:type="dxa"/>
              <w:left w:w="75" w:type="dxa"/>
              <w:bottom w:w="75" w:type="dxa"/>
              <w:right w:w="75" w:type="dxa"/>
            </w:tcMar>
            <w:vAlign w:val="center"/>
          </w:tcPr>
          <w:p w14:paraId="377B84F5" w14:textId="77777777" w:rsidR="006F2A7E" w:rsidRDefault="006F2A7E" w:rsidP="005453C1">
            <w:pPr>
              <w:jc w:val="center"/>
            </w:pPr>
            <w:r>
              <w:t>24.</w:t>
            </w:r>
          </w:p>
        </w:tc>
        <w:tc>
          <w:tcPr>
            <w:tcW w:w="4082" w:type="dxa"/>
            <w:shd w:val="clear" w:color="auto" w:fill="FFFFFF" w:themeFill="background1"/>
            <w:noWrap/>
            <w:tcMar>
              <w:top w:w="75" w:type="dxa"/>
              <w:left w:w="75" w:type="dxa"/>
              <w:bottom w:w="75" w:type="dxa"/>
              <w:right w:w="75" w:type="dxa"/>
            </w:tcMar>
            <w:vAlign w:val="center"/>
          </w:tcPr>
          <w:p w14:paraId="18A86B85"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10318FDB" w14:textId="77777777" w:rsidR="006F2A7E" w:rsidRPr="008400D4" w:rsidRDefault="006F2A7E" w:rsidP="005453C1">
            <w:pPr>
              <w:jc w:val="left"/>
              <w:rPr>
                <w:color w:val="auto"/>
              </w:rPr>
            </w:pPr>
            <w:r w:rsidRPr="008400D4">
              <w:rPr>
                <w:color w:val="auto"/>
              </w:rPr>
              <w:t>54.</w:t>
            </w:r>
            <w:r w:rsidRPr="008400D4">
              <w:rPr>
                <w:color w:val="auto"/>
                <w:vertAlign w:val="superscript"/>
              </w:rPr>
              <w:t>3</w:t>
            </w:r>
            <w:r w:rsidRPr="008400D4">
              <w:rPr>
                <w:color w:val="auto"/>
              </w:rPr>
              <w:t xml:space="preserve"> punkts</w:t>
            </w:r>
            <w:r w:rsidRPr="008400D4">
              <w:rPr>
                <w:color w:val="auto"/>
              </w:rPr>
              <w:br/>
              <w:t xml:space="preserve">Aicinām papildināt normatīvo aktu ar prasību par līdz šo </w:t>
            </w:r>
            <w:r w:rsidRPr="008400D4">
              <w:rPr>
                <w:color w:val="auto"/>
              </w:rPr>
              <w:lastRenderedPageBreak/>
              <w:t>noteikumu grozījumu spēkā stāšanās dienai jau veiktiem darba vietas monitoringiem. Proti, uz doto brīdi apritē ir līdz normatīvā akta grozījumu spēkā stāšanās brīdim izsniegtie darba vietas monitoringa dokumenti, kuros norādīti arī pašreizējām normatīvo aktu prasībām atbilstoši nākamā monitoringa termiņi.</w:t>
            </w:r>
            <w:r w:rsidRPr="008400D4">
              <w:rPr>
                <w:color w:val="auto"/>
              </w:rPr>
              <w:br/>
              <w:t>Lai izvairītos no pārpratumiem un atšķirīgas normatīvā akta prasību interpretācijas, lūdzam paredzēt rīcību gadījumos, kad darba vietas monitorings veikts līdz šo noteikumu grozījumu spēkā stāšanās dienai, piemēram, ka nākamā monitoringa termiņš šādā gadījumā nosakāms atbilstoši normatīvā akta prasībām, kas bijušas spēkā uz darba vietas monitoringa veikšanas brīdi.</w:t>
            </w:r>
          </w:p>
        </w:tc>
        <w:tc>
          <w:tcPr>
            <w:tcW w:w="1641" w:type="dxa"/>
            <w:gridSpan w:val="2"/>
            <w:shd w:val="clear" w:color="auto" w:fill="FFFFFF" w:themeFill="background1"/>
            <w:noWrap/>
            <w:tcMar>
              <w:top w:w="75" w:type="dxa"/>
              <w:left w:w="75" w:type="dxa"/>
              <w:bottom w:w="75" w:type="dxa"/>
              <w:right w:w="75" w:type="dxa"/>
            </w:tcMar>
          </w:tcPr>
          <w:p w14:paraId="5868836C" w14:textId="77777777" w:rsidR="006F2A7E" w:rsidRPr="008400D4" w:rsidRDefault="006F2A7E" w:rsidP="005453C1">
            <w:pPr>
              <w:jc w:val="left"/>
              <w:rPr>
                <w:color w:val="auto"/>
              </w:rPr>
            </w:pPr>
            <w:r w:rsidRPr="008400D4">
              <w:rPr>
                <w:color w:val="auto"/>
              </w:rPr>
              <w:lastRenderedPageBreak/>
              <w:t>Ņemts vērā</w:t>
            </w:r>
          </w:p>
        </w:tc>
        <w:tc>
          <w:tcPr>
            <w:tcW w:w="4064" w:type="dxa"/>
            <w:gridSpan w:val="2"/>
            <w:shd w:val="clear" w:color="auto" w:fill="FFFFFF" w:themeFill="background1"/>
            <w:noWrap/>
            <w:tcMar>
              <w:top w:w="75" w:type="dxa"/>
              <w:left w:w="75" w:type="dxa"/>
              <w:bottom w:w="75" w:type="dxa"/>
              <w:right w:w="75" w:type="dxa"/>
            </w:tcMar>
          </w:tcPr>
          <w:p w14:paraId="3C86AF49" w14:textId="77777777" w:rsidR="006F2A7E" w:rsidRPr="008400D4" w:rsidRDefault="006F2A7E" w:rsidP="005453C1">
            <w:pPr>
              <w:jc w:val="left"/>
              <w:rPr>
                <w:color w:val="auto"/>
              </w:rPr>
            </w:pPr>
            <w:r w:rsidRPr="39E4416F">
              <w:rPr>
                <w:color w:val="auto"/>
              </w:rPr>
              <w:t>Projekts papildināts ar 54.</w:t>
            </w:r>
            <w:r w:rsidRPr="39E4416F">
              <w:rPr>
                <w:color w:val="auto"/>
                <w:vertAlign w:val="superscript"/>
              </w:rPr>
              <w:t xml:space="preserve">3 </w:t>
            </w:r>
            <w:r w:rsidRPr="39E4416F">
              <w:rPr>
                <w:color w:val="auto"/>
              </w:rPr>
              <w:t xml:space="preserve">punktu šādā redakcijā “Darba vietas monitorings, kas veikts līdz šo </w:t>
            </w:r>
            <w:r w:rsidRPr="39E4416F">
              <w:rPr>
                <w:color w:val="auto"/>
              </w:rPr>
              <w:lastRenderedPageBreak/>
              <w:t>noteikumu grozījumu spēkā stāšanās dienai, ir derīgs un ir atbilstošs spēkā esošajai kārtībai,  savukārt turpmākais darba vietas monitori</w:t>
            </w:r>
            <w:r>
              <w:rPr>
                <w:color w:val="auto"/>
              </w:rPr>
              <w:t>n</w:t>
            </w:r>
            <w:r w:rsidRPr="39E4416F">
              <w:rPr>
                <w:color w:val="auto"/>
              </w:rPr>
              <w:t>gs tiek veikts atbilstoši šajos noteikumos noteiktajai kārtībai.”</w:t>
            </w:r>
          </w:p>
          <w:p w14:paraId="15FF5053" w14:textId="77777777" w:rsidR="006F2A7E" w:rsidRPr="008400D4" w:rsidDel="05D9EE36" w:rsidRDefault="006F2A7E" w:rsidP="005453C1">
            <w:pPr>
              <w:jc w:val="left"/>
              <w:rPr>
                <w:color w:val="auto"/>
              </w:rPr>
            </w:pPr>
          </w:p>
        </w:tc>
      </w:tr>
      <w:tr w:rsidR="006F2A7E" w14:paraId="61AB88B3" w14:textId="77777777" w:rsidTr="006F2A7E">
        <w:tc>
          <w:tcPr>
            <w:tcW w:w="747" w:type="dxa"/>
            <w:shd w:val="clear" w:color="auto" w:fill="FFFFFF" w:themeFill="background1"/>
            <w:noWrap/>
            <w:tcMar>
              <w:top w:w="75" w:type="dxa"/>
              <w:left w:w="75" w:type="dxa"/>
              <w:bottom w:w="75" w:type="dxa"/>
              <w:right w:w="75" w:type="dxa"/>
            </w:tcMar>
            <w:vAlign w:val="center"/>
          </w:tcPr>
          <w:p w14:paraId="2309CD23" w14:textId="77777777" w:rsidR="006F2A7E" w:rsidRDefault="006F2A7E" w:rsidP="005453C1">
            <w:pPr>
              <w:jc w:val="center"/>
            </w:pPr>
            <w:r>
              <w:lastRenderedPageBreak/>
              <w:t>25.</w:t>
            </w:r>
          </w:p>
        </w:tc>
        <w:tc>
          <w:tcPr>
            <w:tcW w:w="4082" w:type="dxa"/>
            <w:shd w:val="clear" w:color="auto" w:fill="FFFFFF" w:themeFill="background1"/>
            <w:noWrap/>
            <w:tcMar>
              <w:top w:w="75" w:type="dxa"/>
              <w:left w:w="75" w:type="dxa"/>
              <w:bottom w:w="75" w:type="dxa"/>
              <w:right w:w="75" w:type="dxa"/>
            </w:tcMar>
            <w:vAlign w:val="center"/>
          </w:tcPr>
          <w:p w14:paraId="4A0F6B31"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4C900879" w14:textId="77777777" w:rsidR="006F2A7E" w:rsidRPr="008400D4" w:rsidRDefault="006F2A7E" w:rsidP="005453C1">
            <w:pPr>
              <w:jc w:val="left"/>
              <w:rPr>
                <w:color w:val="auto"/>
              </w:rPr>
            </w:pPr>
            <w:r w:rsidRPr="008400D4">
              <w:rPr>
                <w:color w:val="auto"/>
              </w:rPr>
              <w:t>1.pielikuma 2.1. un 3.1. punkts</w:t>
            </w:r>
            <w:r w:rsidRPr="008400D4">
              <w:rPr>
                <w:color w:val="auto"/>
              </w:rPr>
              <w:br/>
              <w:t xml:space="preserve">Aicinām precizēt, kāda kopējā nenoteiktība tiek noteikta ar šo prasību, piemēram, TLD jūtības faktora pārbaudē iegūstamā TLD </w:t>
            </w:r>
            <w:r w:rsidRPr="008400D4">
              <w:rPr>
                <w:color w:val="auto"/>
              </w:rPr>
              <w:lastRenderedPageBreak/>
              <w:t>nenoteiktība un EPD kalibrēšanas procesā iegūstamā EPD nenoteiktība (</w:t>
            </w:r>
            <w:proofErr w:type="spellStart"/>
            <w:r w:rsidRPr="008400D4">
              <w:rPr>
                <w:color w:val="auto"/>
              </w:rPr>
              <w:t>mērlīdzekļa</w:t>
            </w:r>
            <w:proofErr w:type="spellEnd"/>
            <w:r w:rsidRPr="008400D4">
              <w:rPr>
                <w:color w:val="auto"/>
              </w:rPr>
              <w:t xml:space="preserve"> kalibrēšanas koeficienta nenoteiktība).</w:t>
            </w:r>
          </w:p>
        </w:tc>
        <w:tc>
          <w:tcPr>
            <w:tcW w:w="1641" w:type="dxa"/>
            <w:gridSpan w:val="2"/>
            <w:shd w:val="clear" w:color="auto" w:fill="FFFFFF" w:themeFill="background1"/>
            <w:noWrap/>
            <w:tcMar>
              <w:top w:w="75" w:type="dxa"/>
              <w:left w:w="75" w:type="dxa"/>
              <w:bottom w:w="75" w:type="dxa"/>
              <w:right w:w="75" w:type="dxa"/>
            </w:tcMar>
          </w:tcPr>
          <w:p w14:paraId="4CA1E359" w14:textId="77777777" w:rsidR="006F2A7E" w:rsidRPr="008400D4" w:rsidRDefault="006F2A7E" w:rsidP="005453C1">
            <w:pPr>
              <w:jc w:val="left"/>
              <w:rPr>
                <w:color w:val="auto"/>
              </w:rPr>
            </w:pPr>
            <w:r w:rsidRPr="008400D4">
              <w:rPr>
                <w:color w:val="auto"/>
              </w:rP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799B9B8E" w14:textId="77777777" w:rsidR="006F2A7E" w:rsidRPr="008400D4" w:rsidDel="05D9EE36" w:rsidRDefault="006F2A7E" w:rsidP="005453C1">
            <w:pPr>
              <w:jc w:val="left"/>
              <w:rPr>
                <w:color w:val="auto"/>
              </w:rPr>
            </w:pPr>
            <w:r w:rsidRPr="008400D4">
              <w:rPr>
                <w:color w:val="auto"/>
              </w:rPr>
              <w:t xml:space="preserve"> Minētie punkti nav grozījumu projekta objekts. Stingrākas vai ierobežojošas prasības netiek plānotas. Tiek saglabāta spēkā esošā redakcija.</w:t>
            </w:r>
          </w:p>
        </w:tc>
      </w:tr>
      <w:tr w:rsidR="006F2A7E" w14:paraId="543407D7" w14:textId="77777777" w:rsidTr="006F2A7E">
        <w:tc>
          <w:tcPr>
            <w:tcW w:w="747" w:type="dxa"/>
            <w:shd w:val="clear" w:color="auto" w:fill="FFFFFF" w:themeFill="background1"/>
            <w:noWrap/>
            <w:tcMar>
              <w:top w:w="75" w:type="dxa"/>
              <w:left w:w="75" w:type="dxa"/>
              <w:bottom w:w="75" w:type="dxa"/>
              <w:right w:w="75" w:type="dxa"/>
            </w:tcMar>
            <w:vAlign w:val="center"/>
          </w:tcPr>
          <w:p w14:paraId="0CA82D72" w14:textId="77777777" w:rsidR="006F2A7E" w:rsidRDefault="006F2A7E" w:rsidP="005453C1">
            <w:pPr>
              <w:jc w:val="center"/>
            </w:pPr>
            <w:r>
              <w:t>26.</w:t>
            </w:r>
          </w:p>
        </w:tc>
        <w:tc>
          <w:tcPr>
            <w:tcW w:w="4082" w:type="dxa"/>
            <w:shd w:val="clear" w:color="auto" w:fill="FFFFFF" w:themeFill="background1"/>
            <w:noWrap/>
            <w:tcMar>
              <w:top w:w="75" w:type="dxa"/>
              <w:left w:w="75" w:type="dxa"/>
              <w:bottom w:w="75" w:type="dxa"/>
              <w:right w:w="75" w:type="dxa"/>
            </w:tcMar>
            <w:vAlign w:val="center"/>
          </w:tcPr>
          <w:p w14:paraId="2AE42FE7"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0F0E8152" w14:textId="77777777" w:rsidR="006F2A7E" w:rsidRPr="008400D4" w:rsidRDefault="006F2A7E" w:rsidP="005453C1">
            <w:pPr>
              <w:jc w:val="left"/>
              <w:rPr>
                <w:color w:val="auto"/>
              </w:rPr>
            </w:pPr>
            <w:r w:rsidRPr="008400D4">
              <w:rPr>
                <w:color w:val="auto"/>
              </w:rPr>
              <w:t>1.pielikums 3.2.</w:t>
            </w:r>
            <w:r w:rsidRPr="008400D4">
              <w:rPr>
                <w:color w:val="auto"/>
                <w:vertAlign w:val="superscript"/>
              </w:rPr>
              <w:t>1</w:t>
            </w:r>
            <w:r w:rsidRPr="008400D4">
              <w:rPr>
                <w:color w:val="auto"/>
              </w:rPr>
              <w:t xml:space="preserve"> punkts</w:t>
            </w:r>
            <w:r w:rsidRPr="008400D4">
              <w:rPr>
                <w:color w:val="auto"/>
              </w:rPr>
              <w:br/>
              <w:t xml:space="preserve">Aicinām ietvert prasību, ka EPD jākalibrē tādā enerģijas diapazonā, kādā EPD tiek izmantots. Aicinām ietvert prasību, ka EPD jākalibrē pie tiem </w:t>
            </w:r>
            <w:proofErr w:type="spellStart"/>
            <w:r w:rsidRPr="008400D4">
              <w:rPr>
                <w:color w:val="auto"/>
              </w:rPr>
              <w:t>Hp</w:t>
            </w:r>
            <w:proofErr w:type="spellEnd"/>
            <w:r w:rsidRPr="008400D4">
              <w:rPr>
                <w:color w:val="auto"/>
              </w:rPr>
              <w:t xml:space="preserve"> (0.07), </w:t>
            </w:r>
            <w:proofErr w:type="spellStart"/>
            <w:r w:rsidRPr="008400D4">
              <w:rPr>
                <w:color w:val="auto"/>
              </w:rPr>
              <w:t>Hp</w:t>
            </w:r>
            <w:proofErr w:type="spellEnd"/>
            <w:r w:rsidRPr="008400D4">
              <w:rPr>
                <w:color w:val="auto"/>
              </w:rPr>
              <w:t xml:space="preserve">(3) vai </w:t>
            </w:r>
            <w:proofErr w:type="spellStart"/>
            <w:r w:rsidRPr="008400D4">
              <w:rPr>
                <w:color w:val="auto"/>
              </w:rPr>
              <w:t>Hp</w:t>
            </w:r>
            <w:proofErr w:type="spellEnd"/>
            <w:r w:rsidRPr="008400D4">
              <w:rPr>
                <w:color w:val="auto"/>
              </w:rPr>
              <w:t xml:space="preserve"> (10), pie kuriem EPD tiek izmantots. Tas ir būtiski, lai dozas tiktu novērtētas ticami.</w:t>
            </w:r>
          </w:p>
        </w:tc>
        <w:tc>
          <w:tcPr>
            <w:tcW w:w="1641" w:type="dxa"/>
            <w:gridSpan w:val="2"/>
            <w:shd w:val="clear" w:color="auto" w:fill="FFFFFF" w:themeFill="background1"/>
            <w:noWrap/>
            <w:tcMar>
              <w:top w:w="75" w:type="dxa"/>
              <w:left w:w="75" w:type="dxa"/>
              <w:bottom w:w="75" w:type="dxa"/>
              <w:right w:w="75" w:type="dxa"/>
            </w:tcMar>
          </w:tcPr>
          <w:p w14:paraId="3A83D672" w14:textId="77777777" w:rsidR="006F2A7E" w:rsidRPr="008400D4" w:rsidRDefault="006F2A7E" w:rsidP="005453C1">
            <w:pPr>
              <w:jc w:val="left"/>
              <w:rPr>
                <w:color w:val="auto"/>
              </w:rPr>
            </w:pPr>
            <w:r w:rsidRPr="008400D4">
              <w:rPr>
                <w:color w:val="auto"/>
              </w:rPr>
              <w:t>Nav ņemts vērā</w:t>
            </w:r>
          </w:p>
        </w:tc>
        <w:tc>
          <w:tcPr>
            <w:tcW w:w="4064" w:type="dxa"/>
            <w:gridSpan w:val="2"/>
            <w:shd w:val="clear" w:color="auto" w:fill="FFFFFF" w:themeFill="background1"/>
            <w:noWrap/>
            <w:tcMar>
              <w:top w:w="75" w:type="dxa"/>
              <w:left w:w="75" w:type="dxa"/>
              <w:bottom w:w="75" w:type="dxa"/>
              <w:right w:w="75" w:type="dxa"/>
            </w:tcMar>
          </w:tcPr>
          <w:p w14:paraId="6EC69AF8" w14:textId="77777777" w:rsidR="006F2A7E" w:rsidRPr="008400D4" w:rsidDel="05D9EE36" w:rsidRDefault="006F2A7E" w:rsidP="005453C1">
            <w:pPr>
              <w:jc w:val="left"/>
              <w:rPr>
                <w:color w:val="auto"/>
              </w:rPr>
            </w:pPr>
            <w:r w:rsidRPr="008400D4">
              <w:rPr>
                <w:color w:val="auto"/>
              </w:rPr>
              <w:t>Minētie punkti nav grozījumu projekta objekts. Stingrākas vai ierobežojošas prasības netiek plānotas. Tiek saglabāta spēkā esošā redakcija.</w:t>
            </w:r>
          </w:p>
        </w:tc>
      </w:tr>
      <w:tr w:rsidR="006F2A7E" w14:paraId="43F1117B" w14:textId="77777777" w:rsidTr="006F2A7E">
        <w:tc>
          <w:tcPr>
            <w:tcW w:w="747" w:type="dxa"/>
            <w:shd w:val="clear" w:color="auto" w:fill="FFFFFF" w:themeFill="background1"/>
            <w:noWrap/>
            <w:tcMar>
              <w:top w:w="75" w:type="dxa"/>
              <w:left w:w="75" w:type="dxa"/>
              <w:bottom w:w="75" w:type="dxa"/>
              <w:right w:w="75" w:type="dxa"/>
            </w:tcMar>
            <w:vAlign w:val="center"/>
          </w:tcPr>
          <w:p w14:paraId="6B1DA4BC" w14:textId="77777777" w:rsidR="006F2A7E" w:rsidRDefault="006F2A7E" w:rsidP="005453C1">
            <w:pPr>
              <w:jc w:val="center"/>
            </w:pPr>
            <w:r>
              <w:t>27.</w:t>
            </w:r>
          </w:p>
        </w:tc>
        <w:tc>
          <w:tcPr>
            <w:tcW w:w="4082" w:type="dxa"/>
            <w:shd w:val="clear" w:color="auto" w:fill="FFFFFF" w:themeFill="background1"/>
            <w:noWrap/>
            <w:tcMar>
              <w:top w:w="75" w:type="dxa"/>
              <w:left w:w="75" w:type="dxa"/>
              <w:bottom w:w="75" w:type="dxa"/>
              <w:right w:w="75" w:type="dxa"/>
            </w:tcMar>
            <w:vAlign w:val="center"/>
          </w:tcPr>
          <w:p w14:paraId="6B45B422"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6C1C75A8" w14:textId="77777777" w:rsidR="006F2A7E" w:rsidRPr="008400D4" w:rsidRDefault="006F2A7E" w:rsidP="005453C1">
            <w:pPr>
              <w:jc w:val="left"/>
              <w:rPr>
                <w:color w:val="auto"/>
              </w:rPr>
            </w:pPr>
            <w:r w:rsidRPr="008400D4">
              <w:rPr>
                <w:color w:val="auto"/>
              </w:rPr>
              <w:t>1.pielikuma 4.1. punkts</w:t>
            </w:r>
            <w:r w:rsidRPr="008400D4">
              <w:rPr>
                <w:color w:val="auto"/>
              </w:rPr>
              <w:br/>
              <w:t>Norādām, ka prasība par kopējo nenoteiktību ± 30 % ir būtiska un saglabājama, tomēr ir jāprecizē, jo šāda nenoteiktība pie dozu vērtībām, kas ir tuvas nullei, tehniski nav sasniedzama.</w:t>
            </w:r>
            <w:r w:rsidRPr="008400D4">
              <w:rPr>
                <w:color w:val="auto"/>
              </w:rPr>
              <w:br/>
              <w:t>Aicinām prasību pārformulēt, pieturoties pie vienotas terminoloģijas, vai skaidrojot jēdzienus “viendabīgs lauks”, “nehomogēns lauks”, “</w:t>
            </w:r>
            <w:proofErr w:type="spellStart"/>
            <w:r w:rsidRPr="008400D4">
              <w:rPr>
                <w:color w:val="auto"/>
              </w:rPr>
              <w:t>standartapstākļi</w:t>
            </w:r>
            <w:proofErr w:type="spellEnd"/>
            <w:r w:rsidRPr="008400D4">
              <w:rPr>
                <w:color w:val="auto"/>
              </w:rPr>
              <w:t>”.</w:t>
            </w:r>
          </w:p>
        </w:tc>
        <w:tc>
          <w:tcPr>
            <w:tcW w:w="1641" w:type="dxa"/>
            <w:gridSpan w:val="2"/>
            <w:shd w:val="clear" w:color="auto" w:fill="FFFFFF" w:themeFill="background1"/>
            <w:noWrap/>
            <w:tcMar>
              <w:top w:w="75" w:type="dxa"/>
              <w:left w:w="75" w:type="dxa"/>
              <w:bottom w:w="75" w:type="dxa"/>
              <w:right w:w="75" w:type="dxa"/>
            </w:tcMar>
          </w:tcPr>
          <w:p w14:paraId="1ADAB13C" w14:textId="77777777" w:rsidR="006F2A7E" w:rsidRPr="008400D4" w:rsidRDefault="006F2A7E" w:rsidP="005453C1">
            <w:pPr>
              <w:jc w:val="left"/>
              <w:rPr>
                <w:color w:val="auto"/>
              </w:rPr>
            </w:pPr>
            <w:r w:rsidRPr="008400D4">
              <w:rPr>
                <w:color w:val="auto"/>
              </w:rPr>
              <w:t>Nav ņemts vērā</w:t>
            </w:r>
          </w:p>
        </w:tc>
        <w:tc>
          <w:tcPr>
            <w:tcW w:w="4064" w:type="dxa"/>
            <w:gridSpan w:val="2"/>
            <w:shd w:val="clear" w:color="auto" w:fill="FFFFFF" w:themeFill="background1"/>
            <w:noWrap/>
            <w:tcMar>
              <w:top w:w="75" w:type="dxa"/>
              <w:left w:w="75" w:type="dxa"/>
              <w:bottom w:w="75" w:type="dxa"/>
              <w:right w:w="75" w:type="dxa"/>
            </w:tcMar>
          </w:tcPr>
          <w:p w14:paraId="52CE005F" w14:textId="77777777" w:rsidR="006F2A7E" w:rsidRPr="008400D4" w:rsidDel="05D9EE36" w:rsidRDefault="006F2A7E" w:rsidP="005453C1">
            <w:pPr>
              <w:jc w:val="left"/>
              <w:rPr>
                <w:color w:val="auto"/>
              </w:rPr>
            </w:pPr>
            <w:r w:rsidRPr="008400D4">
              <w:rPr>
                <w:color w:val="auto"/>
              </w:rPr>
              <w:t>Minētie punkti nav grozījumu projekta objekts. Stingrākas vai ierobežojošas prasības netiek plānotas. Tiek saglabāta spēkā esošā redakcija.</w:t>
            </w:r>
          </w:p>
        </w:tc>
      </w:tr>
      <w:tr w:rsidR="006F2A7E" w14:paraId="45048CFF" w14:textId="77777777" w:rsidTr="006F2A7E">
        <w:tc>
          <w:tcPr>
            <w:tcW w:w="747" w:type="dxa"/>
            <w:shd w:val="clear" w:color="auto" w:fill="FFFFFF" w:themeFill="background1"/>
            <w:noWrap/>
            <w:tcMar>
              <w:top w:w="75" w:type="dxa"/>
              <w:left w:w="75" w:type="dxa"/>
              <w:bottom w:w="75" w:type="dxa"/>
              <w:right w:w="75" w:type="dxa"/>
            </w:tcMar>
            <w:vAlign w:val="center"/>
          </w:tcPr>
          <w:p w14:paraId="123874C7" w14:textId="77777777" w:rsidR="006F2A7E" w:rsidRDefault="006F2A7E" w:rsidP="005453C1">
            <w:pPr>
              <w:jc w:val="center"/>
            </w:pPr>
            <w:r>
              <w:lastRenderedPageBreak/>
              <w:t>28.</w:t>
            </w:r>
          </w:p>
        </w:tc>
        <w:tc>
          <w:tcPr>
            <w:tcW w:w="4082" w:type="dxa"/>
            <w:shd w:val="clear" w:color="auto" w:fill="FFFFFF" w:themeFill="background1"/>
            <w:noWrap/>
            <w:tcMar>
              <w:top w:w="75" w:type="dxa"/>
              <w:left w:w="75" w:type="dxa"/>
              <w:bottom w:w="75" w:type="dxa"/>
              <w:right w:w="75" w:type="dxa"/>
            </w:tcMar>
            <w:vAlign w:val="center"/>
          </w:tcPr>
          <w:p w14:paraId="1AE4A8A6"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51269E2D" w14:textId="77777777" w:rsidR="006F2A7E" w:rsidRPr="008400D4" w:rsidRDefault="006F2A7E" w:rsidP="005453C1">
            <w:pPr>
              <w:jc w:val="left"/>
              <w:rPr>
                <w:color w:val="auto"/>
              </w:rPr>
            </w:pPr>
            <w:r w:rsidRPr="008400D4">
              <w:rPr>
                <w:color w:val="auto"/>
              </w:rPr>
              <w:t>1.pielikuma 4.2. punkts</w:t>
            </w:r>
            <w:r w:rsidRPr="008400D4">
              <w:rPr>
                <w:color w:val="auto"/>
              </w:rPr>
              <w:br/>
              <w:t xml:space="preserve">Iebilstam pret prasības “detektora mērījumu starpība no starojuma enerģijas </w:t>
            </w:r>
            <w:proofErr w:type="spellStart"/>
            <w:r w:rsidRPr="008400D4">
              <w:rPr>
                <w:color w:val="auto"/>
              </w:rPr>
              <w:t>radiodiagnostikā</w:t>
            </w:r>
            <w:proofErr w:type="spellEnd"/>
            <w:r w:rsidRPr="008400D4">
              <w:rPr>
                <w:color w:val="auto"/>
              </w:rPr>
              <w:t xml:space="preserve"> ir mazāka par ± 20 % enerģiju diapazonā no 20 </w:t>
            </w:r>
            <w:proofErr w:type="spellStart"/>
            <w:r w:rsidRPr="008400D4">
              <w:rPr>
                <w:color w:val="auto"/>
              </w:rPr>
              <w:t>keV</w:t>
            </w:r>
            <w:proofErr w:type="spellEnd"/>
            <w:r w:rsidRPr="008400D4">
              <w:rPr>
                <w:color w:val="auto"/>
              </w:rPr>
              <w:t xml:space="preserve"> līdz 150 </w:t>
            </w:r>
            <w:proofErr w:type="spellStart"/>
            <w:r w:rsidRPr="008400D4">
              <w:rPr>
                <w:color w:val="auto"/>
              </w:rPr>
              <w:t>keV</w:t>
            </w:r>
            <w:proofErr w:type="spellEnd"/>
            <w:r w:rsidRPr="008400D4">
              <w:rPr>
                <w:color w:val="auto"/>
              </w:rPr>
              <w:t xml:space="preserve">, bet citos gadījumos – no 30 </w:t>
            </w:r>
            <w:proofErr w:type="spellStart"/>
            <w:r w:rsidRPr="008400D4">
              <w:rPr>
                <w:color w:val="auto"/>
              </w:rPr>
              <w:t>keV</w:t>
            </w:r>
            <w:proofErr w:type="spellEnd"/>
            <w:r w:rsidRPr="008400D4">
              <w:rPr>
                <w:color w:val="auto"/>
              </w:rPr>
              <w:t xml:space="preserve"> līdz 1,5 </w:t>
            </w:r>
            <w:proofErr w:type="spellStart"/>
            <w:r w:rsidRPr="008400D4">
              <w:rPr>
                <w:color w:val="auto"/>
              </w:rPr>
              <w:t>MeV</w:t>
            </w:r>
            <w:proofErr w:type="spellEnd"/>
            <w:r w:rsidRPr="008400D4">
              <w:rPr>
                <w:color w:val="auto"/>
              </w:rPr>
              <w:t>;” svītrošanu.</w:t>
            </w:r>
            <w:r w:rsidRPr="008400D4">
              <w:rPr>
                <w:color w:val="auto"/>
              </w:rPr>
              <w:br/>
              <w:t>Prasība, iespējams, var tikt pārskatīta un precizēta, tomēr tās izslēgšana samazinās monitoringa kvalitāti, tā neatbilst starptautiskajai praksei.</w:t>
            </w:r>
            <w:r w:rsidRPr="008400D4">
              <w:rPr>
                <w:color w:val="auto"/>
              </w:rPr>
              <w:br/>
              <w:t>Prasība ir būtiska, lai nodrošinātu korektus mērījumus neatkarīgi no starojuma enerģijas. Bez šī punkta noteikumi nekādi neparedz enerģētiskās atkarības kontroli. Ja detektora reakcija uz starojuma enerģiju netiek ierobežota, rodas risks, ka praktiskajā monitoringa programmā mērījumi dažādos enerģiju diapazonos var atšķirties vairāk nekā par 20 %. Tas tieši ietekmē darbinieku saņemtās dozas novērtējuma ticamību.</w:t>
            </w:r>
            <w:r w:rsidRPr="008400D4">
              <w:rPr>
                <w:color w:val="auto"/>
              </w:rPr>
              <w:br/>
              <w:t xml:space="preserve">Līdzīgas prasības ir ietvertas ISO 4037 un IEC standartos par </w:t>
            </w:r>
            <w:r w:rsidRPr="008400D4">
              <w:rPr>
                <w:color w:val="auto"/>
              </w:rPr>
              <w:lastRenderedPageBreak/>
              <w:t>dozimetrisko sistēmu enerģētisko atbildi.</w:t>
            </w:r>
            <w:r w:rsidRPr="008400D4">
              <w:rPr>
                <w:color w:val="auto"/>
              </w:rPr>
              <w:br/>
              <w:t>Prasības svītrošana radītu risku, ka Latvijas tirgū nonāk nekvalitatīvi, zemas kvalitātes dozimetri (piemēram, lēti importa risinājumi no Ķīnas), kuru enerģētiskā atbilde būtiski neatbilst drošības standartiem un kas var radīt neuzticamus devas mērījumus.</w:t>
            </w:r>
            <w:r w:rsidRPr="008400D4">
              <w:rPr>
                <w:color w:val="auto"/>
              </w:rPr>
              <w:br/>
              <w:t>Aicinām sniegt pamatojumu, kādēļ darba vietas monitoringā būtu izmantojami tādi dozimetri, kuru enerģētiskā atbilde pārsniedz ± 20 %.</w:t>
            </w:r>
          </w:p>
        </w:tc>
        <w:tc>
          <w:tcPr>
            <w:tcW w:w="1641" w:type="dxa"/>
            <w:gridSpan w:val="2"/>
            <w:shd w:val="clear" w:color="auto" w:fill="FFFFFF" w:themeFill="background1"/>
            <w:noWrap/>
            <w:tcMar>
              <w:top w:w="75" w:type="dxa"/>
              <w:left w:w="75" w:type="dxa"/>
              <w:bottom w:w="75" w:type="dxa"/>
              <w:right w:w="75" w:type="dxa"/>
            </w:tcMar>
          </w:tcPr>
          <w:p w14:paraId="518F1530" w14:textId="77777777" w:rsidR="006F2A7E" w:rsidRPr="008400D4" w:rsidRDefault="006F2A7E" w:rsidP="005453C1">
            <w:pPr>
              <w:jc w:val="left"/>
              <w:rPr>
                <w:color w:val="auto"/>
              </w:rPr>
            </w:pPr>
            <w:r w:rsidRPr="008400D4">
              <w:rPr>
                <w:color w:val="auto"/>
              </w:rPr>
              <w:lastRenderedPageBreak/>
              <w:t>Ņemts vērā</w:t>
            </w:r>
          </w:p>
        </w:tc>
        <w:tc>
          <w:tcPr>
            <w:tcW w:w="4064" w:type="dxa"/>
            <w:gridSpan w:val="2"/>
            <w:shd w:val="clear" w:color="auto" w:fill="FFFFFF" w:themeFill="background1"/>
            <w:noWrap/>
            <w:tcMar>
              <w:top w:w="75" w:type="dxa"/>
              <w:left w:w="75" w:type="dxa"/>
              <w:bottom w:w="75" w:type="dxa"/>
              <w:right w:w="75" w:type="dxa"/>
            </w:tcMar>
          </w:tcPr>
          <w:p w14:paraId="792CC167" w14:textId="77777777" w:rsidR="006F2A7E" w:rsidRPr="008400D4" w:rsidDel="05D9EE36" w:rsidRDefault="006F2A7E" w:rsidP="005453C1">
            <w:pPr>
              <w:jc w:val="left"/>
              <w:rPr>
                <w:color w:val="auto"/>
              </w:rPr>
            </w:pPr>
            <w:r w:rsidRPr="008400D4">
              <w:rPr>
                <w:color w:val="auto"/>
              </w:rPr>
              <w:t>Tiek saglabāta spēkā esošā redakcija.</w:t>
            </w:r>
          </w:p>
        </w:tc>
      </w:tr>
      <w:tr w:rsidR="006F2A7E" w14:paraId="4588B48C" w14:textId="77777777" w:rsidTr="006F2A7E">
        <w:tc>
          <w:tcPr>
            <w:tcW w:w="747" w:type="dxa"/>
            <w:shd w:val="clear" w:color="auto" w:fill="FFFFFF" w:themeFill="background1"/>
            <w:noWrap/>
            <w:tcMar>
              <w:top w:w="75" w:type="dxa"/>
              <w:left w:w="75" w:type="dxa"/>
              <w:bottom w:w="75" w:type="dxa"/>
              <w:right w:w="75" w:type="dxa"/>
            </w:tcMar>
            <w:vAlign w:val="center"/>
          </w:tcPr>
          <w:p w14:paraId="5AA1E0C9" w14:textId="77777777" w:rsidR="006F2A7E" w:rsidRDefault="006F2A7E" w:rsidP="005453C1">
            <w:pPr>
              <w:jc w:val="center"/>
            </w:pPr>
            <w:r>
              <w:t>29.</w:t>
            </w:r>
          </w:p>
        </w:tc>
        <w:tc>
          <w:tcPr>
            <w:tcW w:w="4082" w:type="dxa"/>
            <w:shd w:val="clear" w:color="auto" w:fill="FFFFFF" w:themeFill="background1"/>
            <w:noWrap/>
            <w:tcMar>
              <w:top w:w="75" w:type="dxa"/>
              <w:left w:w="75" w:type="dxa"/>
              <w:bottom w:w="75" w:type="dxa"/>
              <w:right w:w="75" w:type="dxa"/>
            </w:tcMar>
            <w:vAlign w:val="center"/>
          </w:tcPr>
          <w:p w14:paraId="0F396A2C" w14:textId="77777777" w:rsidR="006F2A7E" w:rsidRDefault="006F2A7E" w:rsidP="005453C1">
            <w:pPr>
              <w:jc w:val="left"/>
            </w:pPr>
            <w:r>
              <w:t>SIA "INLAB"</w:t>
            </w:r>
          </w:p>
        </w:tc>
        <w:tc>
          <w:tcPr>
            <w:tcW w:w="4033" w:type="dxa"/>
            <w:shd w:val="clear" w:color="auto" w:fill="FFFFFF" w:themeFill="background1"/>
            <w:noWrap/>
            <w:tcMar>
              <w:top w:w="75" w:type="dxa"/>
              <w:left w:w="75" w:type="dxa"/>
              <w:bottom w:w="75" w:type="dxa"/>
              <w:right w:w="75" w:type="dxa"/>
            </w:tcMar>
            <w:vAlign w:val="center"/>
          </w:tcPr>
          <w:p w14:paraId="28AAC3B9" w14:textId="77777777" w:rsidR="006F2A7E" w:rsidRDefault="006F2A7E" w:rsidP="005453C1">
            <w:pPr>
              <w:jc w:val="left"/>
            </w:pPr>
            <w:r>
              <w:t>1.pielikuma 5.3.2. punkts</w:t>
            </w:r>
            <w:r>
              <w:br/>
              <w:t>Informējam, ka prasībā saglabāta jau šobrīd esošā problēma. Aicinām precizēt prasību, lai tā atbilstu starptautiskai praksei.</w:t>
            </w:r>
            <w:r>
              <w:br/>
              <w:t>“iedzīvotāju aizsardzības no jonizējošā starojuma optimizāciju, ņemot vērā dozu ierobežojumu 300 µSv/gadā no viena jonizējošā starojuma avota.”</w:t>
            </w:r>
            <w:r>
              <w:br/>
            </w:r>
          </w:p>
        </w:tc>
        <w:tc>
          <w:tcPr>
            <w:tcW w:w="1641" w:type="dxa"/>
            <w:gridSpan w:val="2"/>
            <w:shd w:val="clear" w:color="auto" w:fill="FFFFFF" w:themeFill="background1"/>
            <w:noWrap/>
            <w:tcMar>
              <w:top w:w="75" w:type="dxa"/>
              <w:left w:w="75" w:type="dxa"/>
              <w:bottom w:w="75" w:type="dxa"/>
              <w:right w:w="75" w:type="dxa"/>
            </w:tcMar>
          </w:tcPr>
          <w:p w14:paraId="3A234A5A" w14:textId="77777777" w:rsidR="006F2A7E" w:rsidRDefault="006F2A7E" w:rsidP="005453C1">
            <w:pPr>
              <w:jc w:val="left"/>
            </w:pPr>
            <w:r>
              <w:t>Ņemts vērā</w:t>
            </w:r>
          </w:p>
        </w:tc>
        <w:tc>
          <w:tcPr>
            <w:tcW w:w="4064" w:type="dxa"/>
            <w:gridSpan w:val="2"/>
            <w:shd w:val="clear" w:color="auto" w:fill="FFFFFF" w:themeFill="background1"/>
            <w:noWrap/>
            <w:tcMar>
              <w:top w:w="75" w:type="dxa"/>
              <w:left w:w="75" w:type="dxa"/>
              <w:bottom w:w="75" w:type="dxa"/>
              <w:right w:w="75" w:type="dxa"/>
            </w:tcMar>
          </w:tcPr>
          <w:p w14:paraId="76E836BC" w14:textId="77777777" w:rsidR="006F2A7E" w:rsidDel="05D9EE36" w:rsidRDefault="006F2A7E" w:rsidP="005453C1">
            <w:pPr>
              <w:jc w:val="left"/>
            </w:pPr>
            <w:r>
              <w:t xml:space="preserve"> 1. pielikuma 5.3.2. punkts izteikts šādā redakcijā; “</w:t>
            </w:r>
            <w:r w:rsidRPr="00074D5B">
              <w:t xml:space="preserve">iedzīvotāju aizsardzības no jonizējošā starojuma optimizāciju, ņemot vērā dozu ierobežojumu 300 µSv/gadā no </w:t>
            </w:r>
            <w:r>
              <w:t>katra</w:t>
            </w:r>
            <w:r w:rsidRPr="00074D5B">
              <w:t xml:space="preserve"> jonizējošā starojuma avota</w:t>
            </w:r>
            <w:r>
              <w:t>”</w:t>
            </w:r>
            <w:r w:rsidRPr="00074D5B">
              <w:t xml:space="preserve">      </w:t>
            </w:r>
          </w:p>
        </w:tc>
      </w:tr>
      <w:tr w:rsidR="006F2A7E" w14:paraId="11E1BF9F" w14:textId="77777777" w:rsidTr="006F2A7E">
        <w:tc>
          <w:tcPr>
            <w:tcW w:w="747" w:type="dxa"/>
            <w:shd w:val="clear" w:color="auto" w:fill="FFFFFF" w:themeFill="background1"/>
            <w:noWrap/>
            <w:tcMar>
              <w:top w:w="75" w:type="dxa"/>
              <w:left w:w="75" w:type="dxa"/>
              <w:bottom w:w="75" w:type="dxa"/>
              <w:right w:w="75" w:type="dxa"/>
            </w:tcMar>
            <w:vAlign w:val="center"/>
          </w:tcPr>
          <w:p w14:paraId="28832837" w14:textId="77777777" w:rsidR="006F2A7E" w:rsidRDefault="006F2A7E" w:rsidP="005453C1">
            <w:pPr>
              <w:jc w:val="center"/>
            </w:pPr>
            <w:r>
              <w:lastRenderedPageBreak/>
              <w:t>30.</w:t>
            </w:r>
          </w:p>
        </w:tc>
        <w:tc>
          <w:tcPr>
            <w:tcW w:w="4082" w:type="dxa"/>
            <w:shd w:val="clear" w:color="auto" w:fill="FFFFFF" w:themeFill="background1"/>
            <w:noWrap/>
            <w:tcMar>
              <w:top w:w="75" w:type="dxa"/>
              <w:left w:w="75" w:type="dxa"/>
              <w:bottom w:w="75" w:type="dxa"/>
              <w:right w:w="75" w:type="dxa"/>
            </w:tcMar>
            <w:vAlign w:val="center"/>
          </w:tcPr>
          <w:p w14:paraId="4AAA9927"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0DC23879" w14:textId="77777777" w:rsidR="006F2A7E" w:rsidRDefault="006F2A7E" w:rsidP="005453C1">
            <w:pPr>
              <w:jc w:val="left"/>
            </w:pPr>
            <w:r>
              <w:t>SIA Rīgas Austrumu klīniskās universitātes slimnīca  par  Grozījumiem Ministru kabineta 2013. gada 12. novembra noteikumos Nr. 1284 "Darbinieku apstarošanas kontroles un uzskaites kārtība" (turpmāk - Projekts) izsaka šādus iebildumus:</w:t>
            </w:r>
            <w:r>
              <w:br/>
            </w:r>
            <w:r>
              <w:br/>
              <w:t>Pārskatot MK noteikumu plānotās izmaiņas, lūdzu papildināt:</w:t>
            </w:r>
            <w:r>
              <w:br/>
              <w:t xml:space="preserve">1. MK noteikumu prasībās jāietver, ka operatoram, veicot darbinieku </w:t>
            </w:r>
            <w:proofErr w:type="spellStart"/>
            <w:r>
              <w:t>izvērtējumu</w:t>
            </w:r>
            <w:proofErr w:type="spellEnd"/>
            <w:r>
              <w:t xml:space="preserve"> iedalījumam kategorijās, jānorāda, vai B kategorijas darbiniekiem nepieciešams piešķirt individuālo dozimetru. Dozimetru nomaiņai jānosaka regularitāte. Piedāvājam punktu Nr. 7.3 šādā redakcijā: “ja atbilstoši radiācijas drošības kvalitātes nodrošināšanas programmai nepieciešams nodrošināt operatīvo informāciju par atsevišķu darbinieku saņemtajām jonizējošā starojuma dozām, nodrošināt nomaiņas </w:t>
            </w:r>
            <w:r>
              <w:lastRenderedPageBreak/>
              <w:t>regularitāti atbilstoši kvalitātes nodrošināšanas programmai”</w:t>
            </w:r>
            <w:r>
              <w:br/>
              <w:t>Pamatojums: Pie mainīgiem darba apstākļiem, kur problemātiski ir novērtēt darbinieku saņemtās dozas, piemēram, darbā ar vaļējiem jonizējošā starojuma avotiem, TLD dozimetri sniedz svarīgu informāciju par personāla saņemtajām dozām arī B kategorijas darbiniekiem. Būtu jāļauj operatoram atrunāt papildus, kādos apstākļos B kategorijas darbiniekiem tiek izsniegti TLD dozimetri.</w:t>
            </w:r>
            <w:r>
              <w:br/>
            </w:r>
          </w:p>
        </w:tc>
        <w:tc>
          <w:tcPr>
            <w:tcW w:w="1641" w:type="dxa"/>
            <w:gridSpan w:val="2"/>
            <w:shd w:val="clear" w:color="auto" w:fill="FFFFFF" w:themeFill="background1"/>
            <w:noWrap/>
            <w:tcMar>
              <w:top w:w="75" w:type="dxa"/>
              <w:left w:w="75" w:type="dxa"/>
              <w:bottom w:w="75" w:type="dxa"/>
              <w:right w:w="75" w:type="dxa"/>
            </w:tcMar>
          </w:tcPr>
          <w:p w14:paraId="6EFD427C" w14:textId="77777777" w:rsidR="006F2A7E" w:rsidRDefault="006F2A7E" w:rsidP="005453C1">
            <w:pPr>
              <w:jc w:val="left"/>
            </w:pPr>
            <w:r>
              <w:lastRenderedPageBreak/>
              <w:t xml:space="preserve">Daļēji ņemts vērā </w:t>
            </w:r>
          </w:p>
        </w:tc>
        <w:tc>
          <w:tcPr>
            <w:tcW w:w="4064" w:type="dxa"/>
            <w:gridSpan w:val="2"/>
            <w:shd w:val="clear" w:color="auto" w:fill="FFFFFF" w:themeFill="background1"/>
            <w:noWrap/>
            <w:tcMar>
              <w:top w:w="75" w:type="dxa"/>
              <w:left w:w="75" w:type="dxa"/>
              <w:bottom w:w="75" w:type="dxa"/>
              <w:right w:w="75" w:type="dxa"/>
            </w:tcMar>
          </w:tcPr>
          <w:p w14:paraId="04EC88A9" w14:textId="77777777" w:rsidR="006F2A7E" w:rsidDel="05D9EE36" w:rsidRDefault="006F2A7E" w:rsidP="005453C1">
            <w:pPr>
              <w:jc w:val="left"/>
            </w:pPr>
            <w:r>
              <w:t>Komentārs ņemts vērā daļēji, 7.3.apakšpunktu izsakot “atbilstoši radiācijas drošības kvalitātes nodrošināšanas programmā noteiktajai regularitātei, ja nepieciešams nodrošināt operatīvo informāciju par atsevišķu darbinieku saņemtajām jonizējošā starojuma dozām”.</w:t>
            </w:r>
          </w:p>
          <w:p w14:paraId="01436762" w14:textId="77777777" w:rsidR="006F2A7E" w:rsidDel="05D9EE36" w:rsidRDefault="006F2A7E" w:rsidP="005453C1">
            <w:pPr>
              <w:jc w:val="left"/>
            </w:pPr>
            <w:r>
              <w:t>Jāņem vērā, vai darbinieks atbilstoši iedalīts B kategorijā un vai pamatojums ir pietiekams, it īpaši, pie mainīgiem darba apstākļiem, kur problemātiski ir novērtēt darbinieku saņemtās dozas, piemēram, darbā ar vaļējiem jonizējošā starojuma avotiem. Iespējams, darbiniekam jābūt A kategorijā</w:t>
            </w:r>
          </w:p>
        </w:tc>
      </w:tr>
      <w:tr w:rsidR="006F2A7E" w14:paraId="596ACC14" w14:textId="77777777" w:rsidTr="006F2A7E">
        <w:tc>
          <w:tcPr>
            <w:tcW w:w="747" w:type="dxa"/>
            <w:shd w:val="clear" w:color="auto" w:fill="FFFFFF" w:themeFill="background1"/>
            <w:noWrap/>
            <w:tcMar>
              <w:top w:w="75" w:type="dxa"/>
              <w:left w:w="75" w:type="dxa"/>
              <w:bottom w:w="75" w:type="dxa"/>
              <w:right w:w="75" w:type="dxa"/>
            </w:tcMar>
            <w:vAlign w:val="center"/>
          </w:tcPr>
          <w:p w14:paraId="1C80DFE7" w14:textId="77777777" w:rsidR="006F2A7E" w:rsidRDefault="006F2A7E" w:rsidP="005453C1">
            <w:pPr>
              <w:jc w:val="center"/>
            </w:pPr>
            <w:r>
              <w:t>31.</w:t>
            </w:r>
          </w:p>
        </w:tc>
        <w:tc>
          <w:tcPr>
            <w:tcW w:w="4082" w:type="dxa"/>
            <w:shd w:val="clear" w:color="auto" w:fill="FFFFFF" w:themeFill="background1"/>
            <w:noWrap/>
            <w:tcMar>
              <w:top w:w="75" w:type="dxa"/>
              <w:left w:w="75" w:type="dxa"/>
              <w:bottom w:w="75" w:type="dxa"/>
              <w:right w:w="75" w:type="dxa"/>
            </w:tcMar>
            <w:vAlign w:val="center"/>
          </w:tcPr>
          <w:p w14:paraId="171A552F"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6842A701" w14:textId="77777777" w:rsidR="006F2A7E" w:rsidDel="00B45CA1" w:rsidRDefault="006F2A7E" w:rsidP="005453C1">
            <w:pPr>
              <w:jc w:val="left"/>
            </w:pPr>
            <w:r>
              <w:t>2. Lai Operators varētu piešķirt dozimetru B kategorijas darbiniekiem, piemēram grūtniecēm, vai nodrošināt fona dozimetru kabinetam, vai Operāciju zālēs darbiniekiem, kuriem ir dažādas starojuma slodzes operāciju laikā, kas būtu arī papildus kontroles mehānisma dozu izvērtēšanai, lūdzu iekļaut punktu:</w:t>
            </w:r>
            <w:r>
              <w:br/>
            </w:r>
            <w:r>
              <w:lastRenderedPageBreak/>
              <w:br/>
              <w:t>7.3.1. Operators piešķirt individuālo dozimetru B kategorijas darbiniekam, lai nodrošinātu jonizējošā starojuma kontroli, ja tas tiek noteikts  Operatora radiācijas drošības kvalitātes nodrošināšanas programmā.</w:t>
            </w:r>
          </w:p>
        </w:tc>
        <w:tc>
          <w:tcPr>
            <w:tcW w:w="1641" w:type="dxa"/>
            <w:gridSpan w:val="2"/>
            <w:shd w:val="clear" w:color="auto" w:fill="FFFFFF" w:themeFill="background1"/>
            <w:noWrap/>
            <w:tcMar>
              <w:top w:w="75" w:type="dxa"/>
              <w:left w:w="75" w:type="dxa"/>
              <w:bottom w:w="75" w:type="dxa"/>
              <w:right w:w="75" w:type="dxa"/>
            </w:tcMar>
          </w:tcPr>
          <w:p w14:paraId="600DB906"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098013AB" w14:textId="77777777" w:rsidR="006F2A7E" w:rsidRDefault="006F2A7E" w:rsidP="005453C1">
            <w:pPr>
              <w:jc w:val="left"/>
              <w:rPr>
                <w:szCs w:val="28"/>
              </w:rPr>
            </w:pPr>
            <w:r>
              <w:t>Nav nepieciešams papildināt, ievērojot, ka operatoram neatkarīgi no tiesību aktos noteiktā ir tiesības plašāk pielietot individuālos dozimetrus B kategorijas darbiniekiem. Tā ir operatora izvēle.</w:t>
            </w:r>
          </w:p>
          <w:p w14:paraId="117F3D99" w14:textId="77777777" w:rsidR="006F2A7E" w:rsidRDefault="006F2A7E" w:rsidP="005453C1">
            <w:pPr>
              <w:jc w:val="left"/>
            </w:pPr>
            <w:r>
              <w:t xml:space="preserve">Jāņem vērā, vai darbinieks atbilstoši iedalīts B kategorijā un vai pamatojums ir pietiekams. Iespējams, darbiniekam jābūt A </w:t>
            </w:r>
            <w:r>
              <w:lastRenderedPageBreak/>
              <w:t>kategorijā.</w:t>
            </w:r>
          </w:p>
        </w:tc>
      </w:tr>
      <w:tr w:rsidR="006F2A7E" w14:paraId="146837F5" w14:textId="77777777" w:rsidTr="006F2A7E">
        <w:tc>
          <w:tcPr>
            <w:tcW w:w="747" w:type="dxa"/>
            <w:shd w:val="clear" w:color="auto" w:fill="FFFFFF" w:themeFill="background1"/>
            <w:noWrap/>
            <w:tcMar>
              <w:top w:w="75" w:type="dxa"/>
              <w:left w:w="75" w:type="dxa"/>
              <w:bottom w:w="75" w:type="dxa"/>
              <w:right w:w="75" w:type="dxa"/>
            </w:tcMar>
            <w:vAlign w:val="center"/>
          </w:tcPr>
          <w:p w14:paraId="71240FA0" w14:textId="77777777" w:rsidR="006F2A7E" w:rsidRDefault="006F2A7E" w:rsidP="005453C1">
            <w:pPr>
              <w:jc w:val="center"/>
            </w:pPr>
            <w:r>
              <w:lastRenderedPageBreak/>
              <w:t>32.</w:t>
            </w:r>
          </w:p>
        </w:tc>
        <w:tc>
          <w:tcPr>
            <w:tcW w:w="4082" w:type="dxa"/>
            <w:shd w:val="clear" w:color="auto" w:fill="FFFFFF" w:themeFill="background1"/>
            <w:noWrap/>
            <w:tcMar>
              <w:top w:w="75" w:type="dxa"/>
              <w:left w:w="75" w:type="dxa"/>
              <w:bottom w:w="75" w:type="dxa"/>
              <w:right w:w="75" w:type="dxa"/>
            </w:tcMar>
            <w:vAlign w:val="center"/>
          </w:tcPr>
          <w:p w14:paraId="0F7870B4"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1A885B5F" w14:textId="77777777" w:rsidR="006F2A7E" w:rsidDel="00B45CA1" w:rsidRDefault="006F2A7E" w:rsidP="005453C1">
            <w:pPr>
              <w:jc w:val="left"/>
            </w:pPr>
            <w:r>
              <w:t>3. Punktā Nr. 9 vajadzētu noteikt, ka “Operators nodrošina, lai operatora kontrolētajā zonā neviens šo noteikumu 7. punktā noteiktais darbinieks neatrastos bez individuālā dozimetra.”</w:t>
            </w:r>
            <w:r>
              <w:br/>
              <w:t>Pamatojums: Ja operators ir norādījis, ka darbinieks atbilst kādam no 7. punkta kritērijiem, tad operatoram arī jānodrošina attiecīgi dozimetrs.</w:t>
            </w:r>
          </w:p>
        </w:tc>
        <w:tc>
          <w:tcPr>
            <w:tcW w:w="1641" w:type="dxa"/>
            <w:gridSpan w:val="2"/>
            <w:shd w:val="clear" w:color="auto" w:fill="FFFFFF" w:themeFill="background1"/>
            <w:noWrap/>
            <w:tcMar>
              <w:top w:w="75" w:type="dxa"/>
              <w:left w:w="75" w:type="dxa"/>
              <w:bottom w:w="75" w:type="dxa"/>
              <w:right w:w="75" w:type="dxa"/>
            </w:tcMar>
          </w:tcPr>
          <w:p w14:paraId="7C2604E7" w14:textId="77777777" w:rsidR="006F2A7E" w:rsidRDefault="006F2A7E" w:rsidP="005453C1">
            <w:pPr>
              <w:jc w:val="left"/>
            </w:pPr>
            <w:r>
              <w:t>Ņemts vērā</w:t>
            </w:r>
          </w:p>
        </w:tc>
        <w:tc>
          <w:tcPr>
            <w:tcW w:w="4064" w:type="dxa"/>
            <w:gridSpan w:val="2"/>
            <w:shd w:val="clear" w:color="auto" w:fill="FFFFFF" w:themeFill="background1"/>
            <w:noWrap/>
            <w:tcMar>
              <w:top w:w="75" w:type="dxa"/>
              <w:left w:w="75" w:type="dxa"/>
              <w:bottom w:w="75" w:type="dxa"/>
              <w:right w:w="75" w:type="dxa"/>
            </w:tcMar>
          </w:tcPr>
          <w:p w14:paraId="5997175D" w14:textId="77777777" w:rsidR="006F2A7E" w:rsidRDefault="006F2A7E" w:rsidP="005453C1">
            <w:pPr>
              <w:jc w:val="left"/>
            </w:pPr>
            <w:r>
              <w:t>9. punkts izteikts šādā redakcijā: “Operators nodrošina, lai operatora kontrolētajā zonā neviens šo noteikumu 7. punktā noteiktais darbinieks neatrastos bez individuālā dozimetra.”.</w:t>
            </w:r>
          </w:p>
        </w:tc>
      </w:tr>
      <w:tr w:rsidR="006F2A7E" w14:paraId="5D1693EC" w14:textId="77777777" w:rsidTr="006F2A7E">
        <w:tc>
          <w:tcPr>
            <w:tcW w:w="747" w:type="dxa"/>
            <w:shd w:val="clear" w:color="auto" w:fill="FFFFFF" w:themeFill="background1"/>
            <w:noWrap/>
            <w:tcMar>
              <w:top w:w="75" w:type="dxa"/>
              <w:left w:w="75" w:type="dxa"/>
              <w:bottom w:w="75" w:type="dxa"/>
              <w:right w:w="75" w:type="dxa"/>
            </w:tcMar>
            <w:vAlign w:val="center"/>
          </w:tcPr>
          <w:p w14:paraId="7D377E6D" w14:textId="77777777" w:rsidR="006F2A7E" w:rsidRDefault="006F2A7E" w:rsidP="005453C1">
            <w:pPr>
              <w:jc w:val="center"/>
            </w:pPr>
            <w:r>
              <w:t>33.</w:t>
            </w:r>
          </w:p>
        </w:tc>
        <w:tc>
          <w:tcPr>
            <w:tcW w:w="4082" w:type="dxa"/>
            <w:shd w:val="clear" w:color="auto" w:fill="FFFFFF" w:themeFill="background1"/>
            <w:noWrap/>
            <w:tcMar>
              <w:top w:w="75" w:type="dxa"/>
              <w:left w:w="75" w:type="dxa"/>
              <w:bottom w:w="75" w:type="dxa"/>
              <w:right w:w="75" w:type="dxa"/>
            </w:tcMar>
            <w:vAlign w:val="center"/>
          </w:tcPr>
          <w:p w14:paraId="54FA264A"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1B9BC71E" w14:textId="77777777" w:rsidR="006F2A7E" w:rsidDel="00B45CA1" w:rsidRDefault="006F2A7E" w:rsidP="005453C1">
            <w:pPr>
              <w:jc w:val="left"/>
            </w:pPr>
            <w:r>
              <w:t xml:space="preserve">4. Punktā Nr. 16.2. rekomendējam mainīt kritērijus, kurus pārsniedzot, ir jāziņo. Piedāvātā redakcija: “nekavējoties, ja konstatēts kāda no 25.1-25.4. apakšpunkta robežvērtību pārsniegums gadā vai  ¼ daļas </w:t>
            </w:r>
            <w:r>
              <w:lastRenderedPageBreak/>
              <w:t>gada pārsniegums ceturksnī.”</w:t>
            </w:r>
            <w:r>
              <w:br/>
              <w:t xml:space="preserve">Pamatojums: Patlaban sanāk, ja darbinieka plaukstu/pirkstu vai kādu citu ekstremitāšu dozimetra rādījumi pārsniedz 5 </w:t>
            </w:r>
            <w:proofErr w:type="spellStart"/>
            <w:r>
              <w:t>mSv</w:t>
            </w:r>
            <w:proofErr w:type="spellEnd"/>
            <w:r>
              <w:t xml:space="preserve"> ceturksnī, tad nekavējoties ir jāziņo, lai arī ekstremitātēm ir būtiski augstāka robežvērtība.</w:t>
            </w:r>
          </w:p>
        </w:tc>
        <w:tc>
          <w:tcPr>
            <w:tcW w:w="1641" w:type="dxa"/>
            <w:gridSpan w:val="2"/>
            <w:shd w:val="clear" w:color="auto" w:fill="FFFFFF" w:themeFill="background1"/>
            <w:noWrap/>
            <w:tcMar>
              <w:top w:w="75" w:type="dxa"/>
              <w:left w:w="75" w:type="dxa"/>
              <w:bottom w:w="75" w:type="dxa"/>
              <w:right w:w="75" w:type="dxa"/>
            </w:tcMar>
          </w:tcPr>
          <w:p w14:paraId="42328265" w14:textId="77777777" w:rsidR="006F2A7E" w:rsidRDefault="006F2A7E" w:rsidP="005453C1">
            <w:pPr>
              <w:jc w:val="left"/>
            </w:pPr>
            <w:r>
              <w:lastRenderedPageBreak/>
              <w:t>Ņemts vērā</w:t>
            </w:r>
          </w:p>
        </w:tc>
        <w:tc>
          <w:tcPr>
            <w:tcW w:w="4064" w:type="dxa"/>
            <w:gridSpan w:val="2"/>
            <w:shd w:val="clear" w:color="auto" w:fill="FFFFFF" w:themeFill="background1"/>
            <w:noWrap/>
            <w:tcMar>
              <w:top w:w="75" w:type="dxa"/>
              <w:left w:w="75" w:type="dxa"/>
              <w:bottom w:w="75" w:type="dxa"/>
              <w:right w:w="75" w:type="dxa"/>
            </w:tcMar>
          </w:tcPr>
          <w:p w14:paraId="26C134E2" w14:textId="77777777" w:rsidR="006F2A7E" w:rsidRDefault="006F2A7E" w:rsidP="005453C1">
            <w:pPr>
              <w:jc w:val="left"/>
            </w:pPr>
            <w:r>
              <w:t xml:space="preserve">16.2. apakšpunkts izteikts šādā redakcijā: “nekavējoties, ja konstatēts efektīvās dozas </w:t>
            </w:r>
            <w:proofErr w:type="spellStart"/>
            <w:r>
              <w:t>pamatlimita</w:t>
            </w:r>
            <w:proofErr w:type="spellEnd"/>
            <w:r>
              <w:t xml:space="preserve"> vai ekvivalentās dozas pakārtoto limitu robežvērtību pārsniegums gadā vai  ¼ daļas gada pārsniegums </w:t>
            </w:r>
            <w:r>
              <w:lastRenderedPageBreak/>
              <w:t>ceturksnī.”.</w:t>
            </w:r>
          </w:p>
        </w:tc>
      </w:tr>
      <w:tr w:rsidR="006F2A7E" w14:paraId="216D16EB" w14:textId="77777777" w:rsidTr="006F2A7E">
        <w:tc>
          <w:tcPr>
            <w:tcW w:w="747" w:type="dxa"/>
            <w:shd w:val="clear" w:color="auto" w:fill="FFFFFF" w:themeFill="background1"/>
            <w:noWrap/>
            <w:tcMar>
              <w:top w:w="75" w:type="dxa"/>
              <w:left w:w="75" w:type="dxa"/>
              <w:bottom w:w="75" w:type="dxa"/>
              <w:right w:w="75" w:type="dxa"/>
            </w:tcMar>
            <w:vAlign w:val="center"/>
          </w:tcPr>
          <w:p w14:paraId="4635AC0F" w14:textId="77777777" w:rsidR="006F2A7E" w:rsidRDefault="006F2A7E" w:rsidP="005453C1">
            <w:pPr>
              <w:jc w:val="center"/>
            </w:pPr>
            <w:r>
              <w:lastRenderedPageBreak/>
              <w:t>34.</w:t>
            </w:r>
          </w:p>
        </w:tc>
        <w:tc>
          <w:tcPr>
            <w:tcW w:w="4082" w:type="dxa"/>
            <w:shd w:val="clear" w:color="auto" w:fill="FFFFFF" w:themeFill="background1"/>
            <w:noWrap/>
            <w:tcMar>
              <w:top w:w="75" w:type="dxa"/>
              <w:left w:w="75" w:type="dxa"/>
              <w:bottom w:w="75" w:type="dxa"/>
              <w:right w:w="75" w:type="dxa"/>
            </w:tcMar>
            <w:vAlign w:val="center"/>
          </w:tcPr>
          <w:p w14:paraId="1416A7CC"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4430099C" w14:textId="77777777" w:rsidR="006F2A7E" w:rsidDel="00B45CA1" w:rsidRDefault="006F2A7E" w:rsidP="005453C1">
            <w:pPr>
              <w:jc w:val="left"/>
            </w:pPr>
            <w:r>
              <w:t>5. Lūdzu pārskatīt punktos Nr. 30 un 39 norādītos dokumenta glabāšanas ilgumus, lai nepalielinātu dokumentu slogu operatoram.</w:t>
            </w:r>
            <w:r>
              <w:br/>
              <w:t>Lūdzu labot 30. punktu uz:</w:t>
            </w:r>
            <w:r>
              <w:br/>
              <w:t>“Ja darba vietas monitoringa rezultāti ir izmantoti darbinieka saņemtā apstarojuma novērtējumam, šos rezultātus operators glabā visu darbinieka darbības laiku un līdz laikam, kad persona, kura veikusi darbības ar jonizējošā starojuma avotiem, sasniedz vai būtu sasniegusi 65 gadu vecumu, bet ne mazāk kā 5 gadu pēc attiecīgo darbu veikšanas.”</w:t>
            </w:r>
            <w:r>
              <w:br/>
              <w:t>Lūdzu labot. 39. punktu uz:</w:t>
            </w:r>
            <w:r>
              <w:br/>
            </w:r>
            <w:r>
              <w:lastRenderedPageBreak/>
              <w:t>“39. Ziņas par darbinieka saņemtajām jonizējošā starojuma dozām centrs glabā līdz laikam, kad persona, kura veikusi darbības ar jonizējošā starojuma avotiem, sasniedz vai būtu sasniegusi 75 gadu vecumu, bet ne mazāk kā 30 gadus pēc tam, kad personas beigušas darbu, kas saistīts ar apstarošanu.</w:t>
            </w:r>
            <w:r>
              <w:br/>
              <w:t>  39.1. Ziņas par darbinieka saņemtajām jonizējošā starojuma dozām Operators glabā, kamēr darbinieks veic darbus ar jonizējošiem starojuma avotiem un 3 gadus pēc darba beigšanas, kas saistīts ar apstarošanu.”</w:t>
            </w:r>
            <w:r>
              <w:br/>
              <w:t>Pamatojums: Operatora rīcībā bieži trūkst resursu, lai nodrošinātu dokumentu glabāšanu tik ilgstoši, īpaši, ja dokumenti tiek glabāti elektroniski.</w:t>
            </w:r>
            <w:r>
              <w:br/>
            </w:r>
          </w:p>
        </w:tc>
        <w:tc>
          <w:tcPr>
            <w:tcW w:w="1641" w:type="dxa"/>
            <w:gridSpan w:val="2"/>
            <w:shd w:val="clear" w:color="auto" w:fill="FFFFFF" w:themeFill="background1"/>
            <w:noWrap/>
            <w:tcMar>
              <w:top w:w="75" w:type="dxa"/>
              <w:left w:w="75" w:type="dxa"/>
              <w:bottom w:w="75" w:type="dxa"/>
              <w:right w:w="75" w:type="dxa"/>
            </w:tcMar>
          </w:tcPr>
          <w:p w14:paraId="01ED90F9" w14:textId="77777777" w:rsidR="006F2A7E" w:rsidRDefault="006F2A7E" w:rsidP="005453C1">
            <w:pPr>
              <w:jc w:val="left"/>
            </w:pPr>
            <w:r>
              <w:lastRenderedPageBreak/>
              <w:t>Nav ņemts vērā</w:t>
            </w:r>
          </w:p>
          <w:p w14:paraId="11DF5822"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4044C242" w14:textId="77777777" w:rsidR="006F2A7E" w:rsidRDefault="006F2A7E" w:rsidP="005453C1">
            <w:pPr>
              <w:jc w:val="left"/>
            </w:pPr>
            <w:r>
              <w:t>Prasība par datu glabāšanas ilgumu izriet no EK direktīvas 2013/59/Euratom 43.panta.</w:t>
            </w:r>
          </w:p>
          <w:p w14:paraId="28DD2768" w14:textId="77777777" w:rsidR="006F2A7E" w:rsidRDefault="006F2A7E" w:rsidP="005453C1">
            <w:pPr>
              <w:jc w:val="left"/>
            </w:pPr>
            <w:r>
              <w:t>Noteikumu projekta 30.punkts attiecas tikai tad, ja darbinieka saņemtā apstarojuma novērtējumam izmantoti darba vietas monitoringa rezultāti. A kategorija darbiniekiem tas varētu būt tikai ārkārtas situācijā, izņēmuma gadījumā, kā minēts 34.punktā.</w:t>
            </w:r>
          </w:p>
          <w:p w14:paraId="473D9AEB" w14:textId="77777777" w:rsidR="006F2A7E" w:rsidRDefault="006F2A7E" w:rsidP="005453C1">
            <w:pPr>
              <w:jc w:val="left"/>
            </w:pPr>
          </w:p>
        </w:tc>
      </w:tr>
      <w:tr w:rsidR="006F2A7E" w14:paraId="2773A125" w14:textId="77777777" w:rsidTr="006F2A7E">
        <w:tc>
          <w:tcPr>
            <w:tcW w:w="747" w:type="dxa"/>
            <w:shd w:val="clear" w:color="auto" w:fill="FFFFFF" w:themeFill="background1"/>
            <w:noWrap/>
            <w:tcMar>
              <w:top w:w="75" w:type="dxa"/>
              <w:left w:w="75" w:type="dxa"/>
              <w:bottom w:w="75" w:type="dxa"/>
              <w:right w:w="75" w:type="dxa"/>
            </w:tcMar>
            <w:vAlign w:val="center"/>
          </w:tcPr>
          <w:p w14:paraId="7114FE46" w14:textId="77777777" w:rsidR="006F2A7E" w:rsidRDefault="006F2A7E" w:rsidP="005453C1">
            <w:pPr>
              <w:jc w:val="center"/>
            </w:pPr>
            <w:r>
              <w:t>35.</w:t>
            </w:r>
          </w:p>
        </w:tc>
        <w:tc>
          <w:tcPr>
            <w:tcW w:w="4082" w:type="dxa"/>
            <w:shd w:val="clear" w:color="auto" w:fill="FFFFFF" w:themeFill="background1"/>
            <w:noWrap/>
            <w:tcMar>
              <w:top w:w="75" w:type="dxa"/>
              <w:left w:w="75" w:type="dxa"/>
              <w:bottom w:w="75" w:type="dxa"/>
              <w:right w:w="75" w:type="dxa"/>
            </w:tcMar>
            <w:vAlign w:val="center"/>
          </w:tcPr>
          <w:p w14:paraId="4D6BB984"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38B8E0FC" w14:textId="77777777" w:rsidR="006F2A7E" w:rsidDel="00B45CA1" w:rsidRDefault="006F2A7E" w:rsidP="005453C1">
            <w:pPr>
              <w:jc w:val="left"/>
            </w:pPr>
            <w:r>
              <w:t>6. Lūdzu iekļaut punktu Nr. 35. no esošiem MK noteikumiem šādā redakcijā:</w:t>
            </w:r>
            <w:r>
              <w:br/>
              <w:t xml:space="preserve">“35. Darbu vadītājs A kategorijas </w:t>
            </w:r>
            <w:r>
              <w:lastRenderedPageBreak/>
              <w:t>darbiniekam un darbiniekam, kuram ir izsniegts dozimetrs,</w:t>
            </w:r>
            <w:r>
              <w:br/>
              <w:t>nodrošina informāciju par viņa saņemto jonizējošā starojuma dozu mērījumiem un novērtējumu. Pārējiem B kategorijas darbiniekiem bez izsniegta TLD dozimetra,  Darbu vadītājs nodrošina informāciju, ka nav pārsniegts gada dozas limits. ”</w:t>
            </w:r>
            <w:r>
              <w:br/>
              <w:t xml:space="preserve">Pamatojums: B kategorijas darbiniekiem, kam netiks piešķirts individuālais dozimetrs, nebūs iespēja veikt precīzu darbinieka saņemtās jonizējošā starojuma dozas </w:t>
            </w:r>
            <w:proofErr w:type="spellStart"/>
            <w:r>
              <w:t>izvērtējumu</w:t>
            </w:r>
            <w:proofErr w:type="spellEnd"/>
            <w:r>
              <w:t>.</w:t>
            </w:r>
          </w:p>
        </w:tc>
        <w:tc>
          <w:tcPr>
            <w:tcW w:w="1641" w:type="dxa"/>
            <w:gridSpan w:val="2"/>
            <w:shd w:val="clear" w:color="auto" w:fill="FFFFFF" w:themeFill="background1"/>
            <w:noWrap/>
            <w:tcMar>
              <w:top w:w="75" w:type="dxa"/>
              <w:left w:w="75" w:type="dxa"/>
              <w:bottom w:w="75" w:type="dxa"/>
              <w:right w:w="75" w:type="dxa"/>
            </w:tcMar>
          </w:tcPr>
          <w:p w14:paraId="279BE9D5" w14:textId="77777777" w:rsidR="006F2A7E" w:rsidRDefault="006F2A7E" w:rsidP="005453C1">
            <w:pPr>
              <w:jc w:val="left"/>
            </w:pPr>
            <w:r>
              <w:lastRenderedPageBreak/>
              <w:t>Nav ņemts vērā</w:t>
            </w:r>
          </w:p>
        </w:tc>
        <w:tc>
          <w:tcPr>
            <w:tcW w:w="4064" w:type="dxa"/>
            <w:gridSpan w:val="2"/>
            <w:shd w:val="clear" w:color="auto" w:fill="FFFFFF" w:themeFill="background1"/>
            <w:noWrap/>
            <w:tcMar>
              <w:top w:w="75" w:type="dxa"/>
              <w:left w:w="75" w:type="dxa"/>
              <w:bottom w:w="75" w:type="dxa"/>
              <w:right w:w="75" w:type="dxa"/>
            </w:tcMar>
          </w:tcPr>
          <w:p w14:paraId="23665265" w14:textId="77777777" w:rsidR="006F2A7E" w:rsidRDefault="006F2A7E" w:rsidP="005453C1">
            <w:pPr>
              <w:jc w:val="left"/>
            </w:pPr>
            <w:r w:rsidRPr="007D7E59">
              <w:t xml:space="preserve"> Atbilstoši noteikumu grozījumu projektā paredzētajam B kategorijas  darbiniekiem, ievērojot darbību ar jonizējošā </w:t>
            </w:r>
            <w:r w:rsidRPr="007D7E59">
              <w:lastRenderedPageBreak/>
              <w:t xml:space="preserve">starojuma avotiem risku un iespējamo apstarojumu, nebūs obligāti jānodrošina individuālā </w:t>
            </w:r>
            <w:proofErr w:type="spellStart"/>
            <w:r w:rsidRPr="007D7E59">
              <w:t>dozimetrija</w:t>
            </w:r>
            <w:proofErr w:type="spellEnd"/>
            <w:r w:rsidRPr="007D7E59">
              <w:t xml:space="preserve"> un dozu uzskaite.</w:t>
            </w:r>
          </w:p>
        </w:tc>
      </w:tr>
      <w:tr w:rsidR="006F2A7E" w14:paraId="7FEF73D9" w14:textId="77777777" w:rsidTr="006F2A7E">
        <w:tc>
          <w:tcPr>
            <w:tcW w:w="747" w:type="dxa"/>
            <w:shd w:val="clear" w:color="auto" w:fill="FFFFFF" w:themeFill="background1"/>
            <w:noWrap/>
            <w:tcMar>
              <w:top w:w="75" w:type="dxa"/>
              <w:left w:w="75" w:type="dxa"/>
              <w:bottom w:w="75" w:type="dxa"/>
              <w:right w:w="75" w:type="dxa"/>
            </w:tcMar>
            <w:vAlign w:val="center"/>
          </w:tcPr>
          <w:p w14:paraId="19F9C19D" w14:textId="77777777" w:rsidR="006F2A7E" w:rsidRDefault="006F2A7E" w:rsidP="005453C1">
            <w:pPr>
              <w:jc w:val="center"/>
            </w:pPr>
            <w:r>
              <w:lastRenderedPageBreak/>
              <w:t>36</w:t>
            </w:r>
            <w:r w:rsidDel="00804A62">
              <w:t>.</w:t>
            </w:r>
          </w:p>
        </w:tc>
        <w:tc>
          <w:tcPr>
            <w:tcW w:w="4082" w:type="dxa"/>
            <w:shd w:val="clear" w:color="auto" w:fill="FFFFFF" w:themeFill="background1"/>
            <w:noWrap/>
            <w:tcMar>
              <w:top w:w="75" w:type="dxa"/>
              <w:left w:w="75" w:type="dxa"/>
              <w:bottom w:w="75" w:type="dxa"/>
              <w:right w:w="75" w:type="dxa"/>
            </w:tcMar>
            <w:vAlign w:val="center"/>
          </w:tcPr>
          <w:p w14:paraId="1D856E37" w14:textId="77777777" w:rsidR="006F2A7E" w:rsidRDefault="006F2A7E" w:rsidP="005453C1">
            <w:pPr>
              <w:jc w:val="left"/>
            </w:pPr>
            <w:r>
              <w:t>RAKUS Medicīnas fiziķi</w:t>
            </w:r>
          </w:p>
        </w:tc>
        <w:tc>
          <w:tcPr>
            <w:tcW w:w="4033" w:type="dxa"/>
            <w:shd w:val="clear" w:color="auto" w:fill="FFFFFF" w:themeFill="background1"/>
            <w:noWrap/>
            <w:tcMar>
              <w:top w:w="75" w:type="dxa"/>
              <w:left w:w="75" w:type="dxa"/>
              <w:bottom w:w="75" w:type="dxa"/>
              <w:right w:w="75" w:type="dxa"/>
            </w:tcMar>
            <w:vAlign w:val="center"/>
          </w:tcPr>
          <w:p w14:paraId="22E20714" w14:textId="77777777" w:rsidR="006F2A7E" w:rsidRDefault="006F2A7E" w:rsidP="005453C1">
            <w:pPr>
              <w:jc w:val="left"/>
            </w:pPr>
            <w:r>
              <w:t xml:space="preserve">7. Nav skaidrības, kā izpildīt punktu Nr. 33 spēkā esošajos MK noteikumos darbiniekiem, kam netiks piešķirts individuālais dozimetrs. Lūdzu papildināt punktu šādā redakcijā:  “Darbu vadītājs, pamatojoties uz darbinieku individuālā monitoringa rezultātiem, A kategorijas darbiniekiem un </w:t>
            </w:r>
            <w:r>
              <w:lastRenderedPageBreak/>
              <w:t>darbiniekiem, kam ir izsniegts individuālais dozimetrs, reizi gadā vai pēc noteiktu ar jonizējošā starojuma avotiem saistītu darbu izpildes, radiācijas negadījuma vai radiācijas avārijas, kā arī pēc tam, kad darbinieks ir beidzis darbību operatora kontrolētajā zonā, novērtē darbinieka saņemtās jonizējošā starojuma dozas”.  </w:t>
            </w:r>
            <w:r>
              <w:br/>
              <w:t xml:space="preserve">Pamatojums: B kategorijas darbiniekiem, kam netiks piešķirts individuālais dozimetrs, nebūs iespēja veikt precīzu darbinieka saņemtās jonizējošā starojuma dozas </w:t>
            </w:r>
            <w:proofErr w:type="spellStart"/>
            <w:r>
              <w:t>izvērtējumu</w:t>
            </w:r>
            <w:proofErr w:type="spellEnd"/>
            <w:r>
              <w:t>.</w:t>
            </w:r>
            <w:r>
              <w:br/>
            </w:r>
          </w:p>
        </w:tc>
        <w:tc>
          <w:tcPr>
            <w:tcW w:w="1641" w:type="dxa"/>
            <w:gridSpan w:val="2"/>
            <w:shd w:val="clear" w:color="auto" w:fill="FFFFFF" w:themeFill="background1"/>
            <w:noWrap/>
            <w:tcMar>
              <w:top w:w="75" w:type="dxa"/>
              <w:left w:w="75" w:type="dxa"/>
              <w:bottom w:w="75" w:type="dxa"/>
              <w:right w:w="75" w:type="dxa"/>
            </w:tcMar>
          </w:tcPr>
          <w:p w14:paraId="54364E99" w14:textId="77777777" w:rsidR="006F2A7E" w:rsidRDefault="006F2A7E" w:rsidP="005453C1">
            <w:pPr>
              <w:jc w:val="left"/>
            </w:pPr>
            <w:r>
              <w:lastRenderedPageBreak/>
              <w:t>Nav ņemts vērā</w:t>
            </w:r>
          </w:p>
          <w:p w14:paraId="42723699" w14:textId="77777777" w:rsidR="006F2A7E" w:rsidRDefault="006F2A7E" w:rsidP="005453C1">
            <w:pPr>
              <w:jc w:val="left"/>
            </w:pPr>
          </w:p>
        </w:tc>
        <w:tc>
          <w:tcPr>
            <w:tcW w:w="4064" w:type="dxa"/>
            <w:gridSpan w:val="2"/>
            <w:shd w:val="clear" w:color="auto" w:fill="FFFFFF" w:themeFill="background1"/>
            <w:noWrap/>
            <w:tcMar>
              <w:top w:w="75" w:type="dxa"/>
              <w:left w:w="75" w:type="dxa"/>
              <w:bottom w:w="75" w:type="dxa"/>
              <w:right w:w="75" w:type="dxa"/>
            </w:tcMar>
          </w:tcPr>
          <w:p w14:paraId="32A55E74" w14:textId="77777777" w:rsidR="006F2A7E" w:rsidRDefault="006F2A7E" w:rsidP="005453C1">
            <w:pPr>
              <w:jc w:val="left"/>
            </w:pPr>
            <w:r>
              <w:t>Noteikumu 33.punkts jau nosaka, ka darbinieku saņemtās jonizējošās starojuma dozas novērtējumu veic, pamatojoties uz individuālā monitoringa rezultātiem – respektīvi, novērtējumu veic tiem darbiniekiem, kuriem ir izsniegti individuālie dozimetri.</w:t>
            </w:r>
          </w:p>
          <w:p w14:paraId="0D255DF0" w14:textId="77777777" w:rsidR="006F2A7E" w:rsidRDefault="006F2A7E" w:rsidP="005453C1">
            <w:pPr>
              <w:jc w:val="left"/>
            </w:pPr>
            <w:r>
              <w:t xml:space="preserve">Vēršam uzmanību, ka ar izmaiņām </w:t>
            </w:r>
            <w:r>
              <w:lastRenderedPageBreak/>
              <w:t xml:space="preserve">noteikumos nav plānots regulēt individuālas </w:t>
            </w:r>
            <w:proofErr w:type="spellStart"/>
            <w:r>
              <w:t>dozimetrijas</w:t>
            </w:r>
            <w:proofErr w:type="spellEnd"/>
            <w:r>
              <w:t xml:space="preserve"> nosacījumus B kategorijas darbiniekiem. Ja operators izvēlas organizēt individuālo </w:t>
            </w:r>
            <w:proofErr w:type="spellStart"/>
            <w:r>
              <w:t>dozimetriju</w:t>
            </w:r>
            <w:proofErr w:type="spellEnd"/>
            <w:r>
              <w:t xml:space="preserve"> B kategorijas darbiniekiem, tad tā ir operatora izvēle kā tas tiek darīts.</w:t>
            </w:r>
          </w:p>
          <w:p w14:paraId="6D9172D6" w14:textId="77777777" w:rsidR="006F2A7E" w:rsidRDefault="006F2A7E" w:rsidP="005453C1">
            <w:pPr>
              <w:spacing w:line="259" w:lineRule="auto"/>
              <w:jc w:val="left"/>
            </w:pPr>
            <w:r>
              <w:t>B kategorijas darbiniekiem izvērtētajiem riskiem jau jābūt attiecīgi zemiem. B kategorijas darbiniekam dozu iespējamos negadījumos, neparedzētās situācijās, vērtē jau arī sākotnēji pie darba vietas monitoringa veikšanas un eksperta atzinuma saņemšanas jonizējošā starojuma avota lietošanai.</w:t>
            </w:r>
          </w:p>
        </w:tc>
      </w:tr>
      <w:tr w:rsidR="006F2A7E" w14:paraId="3AAEBB83" w14:textId="77777777" w:rsidTr="006F2A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1" w:type="dxa"/>
        </w:trPr>
        <w:tc>
          <w:tcPr>
            <w:tcW w:w="4829" w:type="dxa"/>
            <w:gridSpan w:val="2"/>
            <w:shd w:val="clear" w:color="auto" w:fill="FFFFFF"/>
            <w:noWrap/>
            <w:tcMar>
              <w:top w:w="75" w:type="dxa"/>
              <w:left w:w="75" w:type="dxa"/>
              <w:bottom w:w="75" w:type="dxa"/>
              <w:right w:w="75" w:type="dxa"/>
            </w:tcMar>
            <w:vAlign w:val="center"/>
          </w:tcPr>
          <w:p w14:paraId="203C52A1" w14:textId="77777777" w:rsidR="006F2A7E" w:rsidRDefault="006F2A7E" w:rsidP="005453C1">
            <w:pPr>
              <w:jc w:val="left"/>
            </w:pPr>
            <w:r>
              <w:lastRenderedPageBreak/>
              <w:t>Datums**</w:t>
            </w:r>
          </w:p>
        </w:tc>
        <w:tc>
          <w:tcPr>
            <w:tcW w:w="4829" w:type="dxa"/>
            <w:gridSpan w:val="2"/>
            <w:shd w:val="clear" w:color="auto" w:fill="FFFFFF"/>
            <w:noWrap/>
            <w:tcMar>
              <w:top w:w="75" w:type="dxa"/>
              <w:left w:w="75" w:type="dxa"/>
              <w:bottom w:w="75" w:type="dxa"/>
              <w:right w:w="75" w:type="dxa"/>
            </w:tcMar>
            <w:vAlign w:val="center"/>
          </w:tcPr>
          <w:p w14:paraId="453ABBA3" w14:textId="77777777" w:rsidR="006F2A7E" w:rsidRDefault="006F2A7E" w:rsidP="005453C1">
            <w:pPr>
              <w:pBdr>
                <w:bottom w:val="single" w:sz="10" w:space="1" w:color="000000"/>
              </w:pBdr>
            </w:pPr>
          </w:p>
        </w:tc>
        <w:tc>
          <w:tcPr>
            <w:tcW w:w="4828" w:type="dxa"/>
            <w:gridSpan w:val="2"/>
            <w:shd w:val="clear" w:color="auto" w:fill="FFFFFF"/>
            <w:noWrap/>
            <w:tcMar>
              <w:top w:w="75" w:type="dxa"/>
              <w:left w:w="75" w:type="dxa"/>
              <w:bottom w:w="75" w:type="dxa"/>
              <w:right w:w="75" w:type="dxa"/>
            </w:tcMar>
            <w:vAlign w:val="center"/>
          </w:tcPr>
          <w:p w14:paraId="793D2B30" w14:textId="77777777" w:rsidR="006F2A7E" w:rsidRDefault="006F2A7E" w:rsidP="005453C1"/>
        </w:tc>
      </w:tr>
      <w:tr w:rsidR="006F2A7E" w14:paraId="5B9DB2BC" w14:textId="77777777" w:rsidTr="006F2A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1" w:type="dxa"/>
        </w:trPr>
        <w:tc>
          <w:tcPr>
            <w:tcW w:w="4829" w:type="dxa"/>
            <w:gridSpan w:val="2"/>
            <w:shd w:val="clear" w:color="auto" w:fill="FFFFFF"/>
            <w:noWrap/>
            <w:tcMar>
              <w:top w:w="75" w:type="dxa"/>
              <w:left w:w="75" w:type="dxa"/>
              <w:bottom w:w="75" w:type="dxa"/>
              <w:right w:w="75" w:type="dxa"/>
            </w:tcMar>
            <w:vAlign w:val="center"/>
          </w:tcPr>
          <w:p w14:paraId="5C5C59CB" w14:textId="77777777" w:rsidR="006F2A7E" w:rsidRDefault="006F2A7E" w:rsidP="005453C1"/>
        </w:tc>
        <w:tc>
          <w:tcPr>
            <w:tcW w:w="4829" w:type="dxa"/>
            <w:gridSpan w:val="2"/>
            <w:shd w:val="clear" w:color="auto" w:fill="FFFFFF"/>
            <w:noWrap/>
            <w:tcMar>
              <w:top w:w="75" w:type="dxa"/>
              <w:left w:w="75" w:type="dxa"/>
              <w:bottom w:w="75" w:type="dxa"/>
              <w:right w:w="75" w:type="dxa"/>
            </w:tcMar>
            <w:vAlign w:val="center"/>
          </w:tcPr>
          <w:p w14:paraId="5DEDAC57" w14:textId="77777777" w:rsidR="006F2A7E" w:rsidRDefault="006F2A7E" w:rsidP="005453C1">
            <w:pPr>
              <w:jc w:val="center"/>
            </w:pPr>
            <w:r>
              <w:t>(</w:t>
            </w:r>
            <w:proofErr w:type="spellStart"/>
            <w:r>
              <w:t>dd.mm.gggg</w:t>
            </w:r>
            <w:proofErr w:type="spellEnd"/>
            <w:r>
              <w:t>)</w:t>
            </w:r>
          </w:p>
        </w:tc>
        <w:tc>
          <w:tcPr>
            <w:tcW w:w="4828" w:type="dxa"/>
            <w:gridSpan w:val="2"/>
            <w:shd w:val="clear" w:color="auto" w:fill="FFFFFF"/>
            <w:noWrap/>
            <w:tcMar>
              <w:top w:w="75" w:type="dxa"/>
              <w:left w:w="75" w:type="dxa"/>
              <w:bottom w:w="75" w:type="dxa"/>
              <w:right w:w="75" w:type="dxa"/>
            </w:tcMar>
            <w:vAlign w:val="center"/>
          </w:tcPr>
          <w:p w14:paraId="01F97F85" w14:textId="77777777" w:rsidR="006F2A7E" w:rsidRDefault="006F2A7E" w:rsidP="005453C1"/>
        </w:tc>
      </w:tr>
      <w:tr w:rsidR="006F2A7E" w14:paraId="6E35E1EE" w14:textId="77777777" w:rsidTr="006F2A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1" w:type="dxa"/>
        </w:trPr>
        <w:tc>
          <w:tcPr>
            <w:tcW w:w="4829" w:type="dxa"/>
            <w:gridSpan w:val="2"/>
            <w:shd w:val="clear" w:color="auto" w:fill="FFFFFF"/>
            <w:noWrap/>
            <w:tcMar>
              <w:top w:w="75" w:type="dxa"/>
              <w:left w:w="75" w:type="dxa"/>
              <w:bottom w:w="75" w:type="dxa"/>
              <w:right w:w="75" w:type="dxa"/>
            </w:tcMar>
            <w:vAlign w:val="center"/>
          </w:tcPr>
          <w:p w14:paraId="4BDEB096" w14:textId="77777777" w:rsidR="006F2A7E" w:rsidRDefault="006F2A7E" w:rsidP="005453C1">
            <w:pPr>
              <w:jc w:val="left"/>
            </w:pPr>
            <w:r>
              <w:t>Atbildīgā persona</w:t>
            </w:r>
          </w:p>
        </w:tc>
        <w:tc>
          <w:tcPr>
            <w:tcW w:w="4829" w:type="dxa"/>
            <w:gridSpan w:val="2"/>
            <w:shd w:val="clear" w:color="auto" w:fill="FFFFFF"/>
            <w:noWrap/>
            <w:tcMar>
              <w:top w:w="75" w:type="dxa"/>
              <w:left w:w="75" w:type="dxa"/>
              <w:bottom w:w="75" w:type="dxa"/>
              <w:right w:w="75" w:type="dxa"/>
            </w:tcMar>
            <w:vAlign w:val="center"/>
          </w:tcPr>
          <w:p w14:paraId="3929569D" w14:textId="77777777" w:rsidR="006F2A7E" w:rsidRDefault="006F2A7E" w:rsidP="005453C1">
            <w:pPr>
              <w:pBdr>
                <w:bottom w:val="single" w:sz="10" w:space="1" w:color="000000"/>
              </w:pBdr>
            </w:pPr>
          </w:p>
        </w:tc>
        <w:tc>
          <w:tcPr>
            <w:tcW w:w="4828" w:type="dxa"/>
            <w:gridSpan w:val="2"/>
            <w:shd w:val="clear" w:color="auto" w:fill="FFFFFF"/>
            <w:noWrap/>
            <w:tcMar>
              <w:top w:w="75" w:type="dxa"/>
              <w:left w:w="75" w:type="dxa"/>
              <w:bottom w:w="75" w:type="dxa"/>
              <w:right w:w="75" w:type="dxa"/>
            </w:tcMar>
            <w:vAlign w:val="center"/>
          </w:tcPr>
          <w:p w14:paraId="01ECA300" w14:textId="77777777" w:rsidR="006F2A7E" w:rsidRDefault="006F2A7E" w:rsidP="005453C1"/>
        </w:tc>
      </w:tr>
      <w:tr w:rsidR="006F2A7E" w14:paraId="01075090" w14:textId="77777777" w:rsidTr="006F2A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1" w:type="dxa"/>
        </w:trPr>
        <w:tc>
          <w:tcPr>
            <w:tcW w:w="4829" w:type="dxa"/>
            <w:gridSpan w:val="2"/>
            <w:shd w:val="clear" w:color="auto" w:fill="FFFFFF"/>
            <w:noWrap/>
            <w:tcMar>
              <w:top w:w="75" w:type="dxa"/>
              <w:left w:w="75" w:type="dxa"/>
              <w:bottom w:w="75" w:type="dxa"/>
              <w:right w:w="75" w:type="dxa"/>
            </w:tcMar>
            <w:vAlign w:val="center"/>
          </w:tcPr>
          <w:p w14:paraId="24296ABD" w14:textId="77777777" w:rsidR="006F2A7E" w:rsidRDefault="006F2A7E" w:rsidP="005453C1"/>
        </w:tc>
        <w:tc>
          <w:tcPr>
            <w:tcW w:w="4829" w:type="dxa"/>
            <w:gridSpan w:val="2"/>
            <w:shd w:val="clear" w:color="auto" w:fill="FFFFFF"/>
            <w:noWrap/>
            <w:tcMar>
              <w:top w:w="75" w:type="dxa"/>
              <w:left w:w="75" w:type="dxa"/>
              <w:bottom w:w="75" w:type="dxa"/>
              <w:right w:w="75" w:type="dxa"/>
            </w:tcMar>
            <w:vAlign w:val="center"/>
          </w:tcPr>
          <w:p w14:paraId="63F0A834" w14:textId="77777777" w:rsidR="006F2A7E" w:rsidRDefault="006F2A7E" w:rsidP="005453C1">
            <w:pPr>
              <w:jc w:val="center"/>
            </w:pPr>
            <w:r>
              <w:t>(vārds, uzvārds, paraksts**)</w:t>
            </w:r>
          </w:p>
        </w:tc>
        <w:tc>
          <w:tcPr>
            <w:tcW w:w="4828" w:type="dxa"/>
            <w:gridSpan w:val="2"/>
            <w:shd w:val="clear" w:color="auto" w:fill="FFFFFF"/>
            <w:noWrap/>
            <w:tcMar>
              <w:top w:w="75" w:type="dxa"/>
              <w:left w:w="75" w:type="dxa"/>
              <w:bottom w:w="75" w:type="dxa"/>
              <w:right w:w="75" w:type="dxa"/>
            </w:tcMar>
            <w:vAlign w:val="center"/>
          </w:tcPr>
          <w:p w14:paraId="2271C10A" w14:textId="77777777" w:rsidR="006F2A7E" w:rsidRDefault="006F2A7E" w:rsidP="005453C1"/>
        </w:tc>
      </w:tr>
    </w:tbl>
    <w:tbl>
      <w:tblPr>
        <w:tblStyle w:val="a"/>
        <w:tblW w:w="14567" w:type="dxa"/>
        <w:tblLayout w:type="fixed"/>
        <w:tblLook w:val="0600" w:firstRow="0" w:lastRow="0" w:firstColumn="0" w:lastColumn="0" w:noHBand="1" w:noVBand="1"/>
      </w:tblPr>
      <w:tblGrid>
        <w:gridCol w:w="4855"/>
        <w:gridCol w:w="4856"/>
        <w:gridCol w:w="4856"/>
      </w:tblGrid>
      <w:tr w:rsidR="005122AF" w14:paraId="65908EA8" w14:textId="77777777">
        <w:tc>
          <w:tcPr>
            <w:tcW w:w="4855" w:type="dxa"/>
            <w:shd w:val="clear" w:color="auto" w:fill="FFFFFF"/>
            <w:noWrap/>
            <w:tcMar>
              <w:top w:w="75" w:type="dxa"/>
              <w:left w:w="75" w:type="dxa"/>
              <w:bottom w:w="75" w:type="dxa"/>
              <w:right w:w="75" w:type="dxa"/>
            </w:tcMar>
            <w:vAlign w:val="center"/>
          </w:tcPr>
          <w:p w14:paraId="3A8BFE9D" w14:textId="77777777" w:rsidR="005122AF" w:rsidRDefault="006F2A7E">
            <w:pPr>
              <w:jc w:val="left"/>
            </w:pPr>
            <w:r>
              <w:t>Datums**</w:t>
            </w:r>
          </w:p>
        </w:tc>
        <w:tc>
          <w:tcPr>
            <w:tcW w:w="4856" w:type="dxa"/>
            <w:shd w:val="clear" w:color="auto" w:fill="FFFFFF"/>
            <w:noWrap/>
            <w:tcMar>
              <w:top w:w="75" w:type="dxa"/>
              <w:left w:w="75" w:type="dxa"/>
              <w:bottom w:w="75" w:type="dxa"/>
              <w:right w:w="75" w:type="dxa"/>
            </w:tcMar>
            <w:vAlign w:val="center"/>
          </w:tcPr>
          <w:p w14:paraId="27B3AC6C" w14:textId="77777777" w:rsidR="005122AF" w:rsidRDefault="005122A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2EA677A" w14:textId="77777777" w:rsidR="005122AF" w:rsidRDefault="005122AF"/>
        </w:tc>
      </w:tr>
      <w:tr w:rsidR="005122AF" w14:paraId="4A56BF6C" w14:textId="77777777">
        <w:tc>
          <w:tcPr>
            <w:tcW w:w="4855" w:type="dxa"/>
            <w:shd w:val="clear" w:color="auto" w:fill="FFFFFF"/>
            <w:noWrap/>
            <w:tcMar>
              <w:top w:w="75" w:type="dxa"/>
              <w:left w:w="75" w:type="dxa"/>
              <w:bottom w:w="75" w:type="dxa"/>
              <w:right w:w="75" w:type="dxa"/>
            </w:tcMar>
            <w:vAlign w:val="center"/>
          </w:tcPr>
          <w:p w14:paraId="75BDACFA" w14:textId="77777777" w:rsidR="005122AF" w:rsidRDefault="005122AF"/>
        </w:tc>
        <w:tc>
          <w:tcPr>
            <w:tcW w:w="4856" w:type="dxa"/>
            <w:shd w:val="clear" w:color="auto" w:fill="FFFFFF"/>
            <w:noWrap/>
            <w:tcMar>
              <w:top w:w="75" w:type="dxa"/>
              <w:left w:w="75" w:type="dxa"/>
              <w:bottom w:w="75" w:type="dxa"/>
              <w:right w:w="75" w:type="dxa"/>
            </w:tcMar>
            <w:vAlign w:val="center"/>
          </w:tcPr>
          <w:p w14:paraId="08A1ECE2" w14:textId="77777777" w:rsidR="005122AF" w:rsidRDefault="006F2A7E">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7094988" w14:textId="77777777" w:rsidR="005122AF" w:rsidRDefault="005122AF"/>
        </w:tc>
      </w:tr>
      <w:tr w:rsidR="005122AF" w14:paraId="7EFD19CF" w14:textId="77777777">
        <w:tc>
          <w:tcPr>
            <w:tcW w:w="4855" w:type="dxa"/>
            <w:shd w:val="clear" w:color="auto" w:fill="FFFFFF"/>
            <w:noWrap/>
            <w:tcMar>
              <w:top w:w="75" w:type="dxa"/>
              <w:left w:w="75" w:type="dxa"/>
              <w:bottom w:w="75" w:type="dxa"/>
              <w:right w:w="75" w:type="dxa"/>
            </w:tcMar>
            <w:vAlign w:val="center"/>
          </w:tcPr>
          <w:p w14:paraId="7CFA63FA" w14:textId="77777777" w:rsidR="005122AF" w:rsidRDefault="006F2A7E">
            <w:pPr>
              <w:jc w:val="left"/>
            </w:pPr>
            <w:r>
              <w:lastRenderedPageBreak/>
              <w:t>Atbildīgā persona</w:t>
            </w:r>
          </w:p>
        </w:tc>
        <w:tc>
          <w:tcPr>
            <w:tcW w:w="4856" w:type="dxa"/>
            <w:shd w:val="clear" w:color="auto" w:fill="FFFFFF"/>
            <w:noWrap/>
            <w:tcMar>
              <w:top w:w="75" w:type="dxa"/>
              <w:left w:w="75" w:type="dxa"/>
              <w:bottom w:w="75" w:type="dxa"/>
              <w:right w:w="75" w:type="dxa"/>
            </w:tcMar>
            <w:vAlign w:val="center"/>
          </w:tcPr>
          <w:p w14:paraId="2CDA748B" w14:textId="77777777" w:rsidR="005122AF" w:rsidRDefault="005122A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3B5C2C0" w14:textId="77777777" w:rsidR="005122AF" w:rsidRDefault="005122AF"/>
        </w:tc>
      </w:tr>
      <w:tr w:rsidR="005122AF" w14:paraId="4ACAE3F9" w14:textId="77777777">
        <w:tc>
          <w:tcPr>
            <w:tcW w:w="4855" w:type="dxa"/>
            <w:shd w:val="clear" w:color="auto" w:fill="FFFFFF"/>
            <w:noWrap/>
            <w:tcMar>
              <w:top w:w="75" w:type="dxa"/>
              <w:left w:w="75" w:type="dxa"/>
              <w:bottom w:w="75" w:type="dxa"/>
              <w:right w:w="75" w:type="dxa"/>
            </w:tcMar>
            <w:vAlign w:val="center"/>
          </w:tcPr>
          <w:p w14:paraId="4ED42724" w14:textId="77777777" w:rsidR="005122AF" w:rsidRDefault="005122AF"/>
        </w:tc>
        <w:tc>
          <w:tcPr>
            <w:tcW w:w="4856" w:type="dxa"/>
            <w:shd w:val="clear" w:color="auto" w:fill="FFFFFF"/>
            <w:noWrap/>
            <w:tcMar>
              <w:top w:w="75" w:type="dxa"/>
              <w:left w:w="75" w:type="dxa"/>
              <w:bottom w:w="75" w:type="dxa"/>
              <w:right w:w="75" w:type="dxa"/>
            </w:tcMar>
            <w:vAlign w:val="center"/>
          </w:tcPr>
          <w:p w14:paraId="3BEE5D2E" w14:textId="77777777" w:rsidR="005122AF" w:rsidRDefault="006F2A7E">
            <w:pPr>
              <w:jc w:val="center"/>
            </w:pPr>
            <w:r>
              <w:t>(vārds, uzvārds, paraksts**)</w:t>
            </w:r>
          </w:p>
        </w:tc>
        <w:tc>
          <w:tcPr>
            <w:tcW w:w="4856" w:type="dxa"/>
            <w:shd w:val="clear" w:color="auto" w:fill="FFFFFF"/>
            <w:noWrap/>
            <w:tcMar>
              <w:top w:w="75" w:type="dxa"/>
              <w:left w:w="75" w:type="dxa"/>
              <w:bottom w:w="75" w:type="dxa"/>
              <w:right w:w="75" w:type="dxa"/>
            </w:tcMar>
            <w:vAlign w:val="center"/>
          </w:tcPr>
          <w:p w14:paraId="42798407" w14:textId="77777777" w:rsidR="005122AF" w:rsidRDefault="005122AF"/>
        </w:tc>
      </w:tr>
    </w:tbl>
    <w:p w14:paraId="6498A2B8" w14:textId="77777777" w:rsidR="005122AF" w:rsidRDefault="005122AF"/>
    <w:p w14:paraId="4EA74FD3" w14:textId="77777777" w:rsidR="005122AF" w:rsidRDefault="006F2A7E">
      <w:r>
        <w:t>Piezīmes.</w:t>
      </w:r>
    </w:p>
    <w:p w14:paraId="03AE2979" w14:textId="77777777" w:rsidR="005122AF" w:rsidRDefault="006F2A7E">
      <w:r>
        <w:t>* Iesniedzējs (fiziskai personai – vārds, uzvārds, juridiskai personai – nosaukums) var tikt publiskots, ja viņš tam ir piekritis. Ja attiecināms, iesniedzējs norāda interešu pārstāvja reģistrācijas numuru.</w:t>
      </w:r>
    </w:p>
    <w:p w14:paraId="4B79B5F0" w14:textId="77777777" w:rsidR="005122AF" w:rsidRDefault="006F2A7E">
      <w:r>
        <w:t>** Dokumenta rekvizītus "datums" un "paraksts" neaizpilda, ja elektroniskais dokuments ir sagatavots atbilstoši normatīvajiem aktiem par elektronisko dokumentu noformēšanu.</w:t>
      </w:r>
    </w:p>
    <w:sectPr w:rsidR="005122AF">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E6F51" w14:textId="77777777" w:rsidR="006F2A7E" w:rsidRDefault="006F2A7E">
      <w:r>
        <w:separator/>
      </w:r>
    </w:p>
  </w:endnote>
  <w:endnote w:type="continuationSeparator" w:id="0">
    <w:p w14:paraId="45F04E8B" w14:textId="77777777" w:rsidR="006F2A7E" w:rsidRDefault="006F2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87461" w14:textId="77777777" w:rsidR="005122AF" w:rsidRDefault="006F2A7E">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8EB3" w14:textId="77777777" w:rsidR="006F2A7E" w:rsidRDefault="006F2A7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C0F96" w14:textId="77777777" w:rsidR="006F2A7E" w:rsidRDefault="006F2A7E">
      <w:r>
        <w:separator/>
      </w:r>
    </w:p>
  </w:footnote>
  <w:footnote w:type="continuationSeparator" w:id="0">
    <w:p w14:paraId="1865B22F" w14:textId="77777777" w:rsidR="006F2A7E" w:rsidRDefault="006F2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3130" w14:textId="77777777" w:rsidR="005122AF" w:rsidRDefault="006F2A7E">
    <w:pPr>
      <w:pStyle w:val="Header"/>
      <w:contextualSpacing w:val="0"/>
    </w:pPr>
    <w:r>
      <w:t>Viedokļu pārskats 22-TA-3635</w:t>
    </w:r>
    <w:r>
      <w:br/>
    </w:r>
    <w:r>
      <w:t>Izdrukāts 05.02.2026. 15.13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2D07F" w14:textId="77777777" w:rsidR="005122AF" w:rsidRDefault="006F2A7E">
    <w:pPr>
      <w:pStyle w:val="Header"/>
      <w:contextualSpacing w:val="0"/>
    </w:pPr>
    <w:r>
      <w:t>Viedokļu pārskats 22-TA-3635</w:t>
    </w:r>
    <w:r>
      <w:br/>
    </w:r>
    <w:r>
      <w:t>Izdrukāts 05.02.2026. 15.13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122AF"/>
    <w:rsid w:val="00500296"/>
    <w:rsid w:val="005122AF"/>
    <w:rsid w:val="006F2A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1B21B"/>
  <w15:docId w15:val="{571DB4CB-6084-47C1-A3A2-B3E78F85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5041</Words>
  <Characters>34184</Characters>
  <DocSecurity>0</DocSecurity>
  <Lines>1486</Lines>
  <Paragraphs>43</Paragraphs>
  <ScaleCrop>false</ScaleCrop>
  <Company/>
  <LinksUpToDate>false</LinksUpToDate>
  <CharactersWithSpaces>39182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2026-02-05T13:32:00Z</dcterms:created>
  <dcterms:modified xsi:type="dcterms:W3CDTF">2026-02-05T13:32:00Z</dcterms:modified>
</cp:coreProperties>
</file>