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22-TA-3277: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savstarpēji koordinēta un saskaņota Finanšu ministrijas (FM) viedokļa sniegšanu ar visām iesaistītajām struktūrvienībām, saturiski un pilnvērtīgi veiktu analīzi un sniegtu komentārus, kā arī ņemot vērā, ka tiesību akts pēc būtības ir jauns noteikumu projekts, kas iesūtīts pirmreizējai saskaņošanai, informējam, ka FM atzinumu par tiesību akta lietu Nr. 22-TA-459 sniegs līdz š.g. 11.novembrim.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projektam pievienotajā pielikumā noteikto maksimāli pieejamo finansējumu projektiem, nodrošinot, ka netiek pārsniegts MK noteikumu projekta 9.punktā noteiktais finansējums. Vēršam uzmanību, ka MK noteikumu projekta pielikumā plānotais finansējums ir par vienu eirocentu lielāks nekā MK noteikumu projekta 9.punktā noteiktais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struktūrfondu un Kohēzijas fonda 2014.–2020. gada plānošanas perioda vadības likuma 20.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neizriet tiesiskais regulējums par vienkāršoto izmaksu piemērošanas nosacījumiem un kārtību, lūdzam izvērtēt un atbilstoši precizēt norādi par noteikumu projekta izdošanas tiesisko pamatu vai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struktūrfondu un Kohēzijas fonda 2014.–2020. gada plānošanas perioda vadības likuma 20. panta 6. un 13.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nosaka maksimālo attiecināmo Eiropas Reģionālās attīstības fonda (turpmāk - ERAF) finansējuma apmēru. Vienlaikus lūdzam anotācijā skaidrot ERAF līdzfinansējuma likmes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saglabāts esošais skaidrojums par līdzfinansējuma likmes apmēru 13.1.4.SAM 1.kārtas ietvaros. Papildus norādām, ka ERAF līdzfinansējuma apmērs veido ciparus aiz komata, tāpēc sākotnēji skaidrojums tika atstāts tikai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nav iekļauti vienkāršoto izmaksu piemērošanas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Nr.1303/2013 67. panta 2.a punktu projektos, kuri saņem atbalstu no ERAF un ESF un kam publiskais atbalsts nepārsniedz 100 tūkst. EUR, obligāti jāpiemēro vienkāršotās izmaksas. Vienkāršoto izmaksu risinājumiem jāaptver visas projekta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š.g. 2.decembra sanāksmes ar Finanšu ministriju un Centrālo finanšu un līgumu aģentūru Noteikumu projekts papildināts ar 25.punktu un 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vai līguma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vienošanās par projekta īstenošanu (turpmāk – vienošanās) vienpusēja uzteikuma nosacījumu kārtība neietilpst Vadības likuma 19.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noteikti vienošanās vienpusēja uzteikuma nosacījumi, ir ārpus Vadības likuma 19. panta 6. un 13. punktu noteiktā pilnvarojuma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noteikti vienošanās vienpusēja uzteikuma nosacījumi, ir jāpapildina noteikumu projekta pilnvarojošais likums vai no noteikumu projekta jāsvītro iekļautā vienošanās par projekta īstenošanu vienpusēja uzteikuma nosacījumu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13.1.4.SAM 1.kārta tiek īstenota Eiropas Savienības struktūrfondu un Kohēzijas fonda 2014.—2020.gada plānošanas perioda ietvaros, līdz ar to piemērojams ir 2014.—2020.gada plānošanas perioda vadības likums, kur 20.panta 13.punkts nosaka līguma vai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vai līguma par projekta īstenošanu vienpusēja uzteikuma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kultūras pakalpojumu šo noteikumu ietvaros uzskatāma projekta iesniedzēja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pamatnostādnes 2022.-2027.gadam “Kultūrvalsts” atrodama šāda “kultūras pakalpojums”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un radošo nozaru pakalpojumi sabiedrībai, tostarp kultūras norises, ar kuriem kultūras vērtības vai kultūras mantojums tiek padarīts pieejams vai komunicēts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likumā pakalpojums definēts kā “personas saimnieciskās darbības ietvaros par atlīdzību vai bez tās izpildīts pakalpojuma saņēmēja pasūtījums.”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norādītais jēdziena “kultūras pakalpojums” pirmšķietami pēc būtības neatbilst pakalpojuma jēdzienam. Lūdzam MKN anotācijā skaidrot, kā projekta iesniedzēja darbības nodrošināšana būtu uzskatāma par kultūras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būtu izmērāms MKN projekta 8.2. apakšpunktā noteiktais rādītājs - rezultāta rādītājs: attīstīti ne mazāk kā 32</w:t>
            </w:r>
            <w:r w:rsidR="00000000" w:rsidRPr="00000000" w:rsidDel="00000000">
              <w:rPr>
                <w:b w:val="1"/>
                <w:rtl w:val="0"/>
              </w:rPr>
              <w:t xml:space="preserve"> jauni </w:t>
            </w:r>
            <w:r w:rsidR="00000000" w:rsidRPr="00000000" w:rsidDel="00000000">
              <w:rPr>
                <w:rtl w:val="0"/>
              </w:rPr>
              <w:t xml:space="preserve">pakalpojumi -, ja tiek atbalstītas jau esošas kultūras nozares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darbības programmā ir noteikts 13.1.4.SAM rezultāta rādītājs – attīstīti jauni pakalpojumi. Noteikumu projekta anotācijā norādīts, ka 13.1.4.SAM rezultāta rādītājā kontekstā ar pakalpojumu tiek saprasts jauns vai kvalitatīvi pilnveidots kultūras piedāvājums, kas tiek nodrošināts atbalstītā projekta ietvaros. Atbilstoši kultūrpolitikas pamatnostādnēs 2022.-2027. gadam “Kultūrvalsts” iekļautajām definīcijām, “kultūras piedāvājums” ir sabiedrībai pieejamā kultūras mantojuma, kultūras vērtību un tajos balstīto pakalpojumu kopums, savukārt “kultūras pakalpojums” ir kultūras un radošo nozaru pakalpojumi sabiedrībai, tostarp kultūras norises, ar kurām kultūras vērtības vai kultūras mantojums tiek padarīts pieejams vai komunicēts sabiedrībai. Secināms, ka kultūras organizācijas darbības rezultāts ir aprakstāms ar terminu “kultūras piedāvājums”, ar to saprotot šīs organizācijas sniegto kultūras pakalpojumu kopumu, neatkarīgi šo pakalpojumu veida un skaita. Līdz ar to noteiktais rezultatīvais rādītājs - attīstīti ne mazāk kā 33 pakalpojumi – interpretējams kā atbalstīto organizāciju sniegto pakalpojumu attīstība kopumā, nevis konkrētu jaunu kultūras norišu izveide. Kultūras ministrijas ieskatā kultūrpolitikas pamatnostādnēs iekļautā “kultūras pakalpojuma” definīcija atbilst Brīvas pakalpojumu sniegšanas likumā iekļautajai pakalpojuma definīcijai, ņemot vērā to, ka kultūras pakalpojumi, līdzīgi kā daudzi citi pakalpojumi, piemēram, tirdzniecības pakalpojumi, tiek piedāvāti iepriekš nenoteiktiem pakalpojuma saņēmējiem un sniegti atbilstoši pakalpojuma saņēmēja vajadzībām, šajā gadījumā apmierinot personas kultūras vajadzības, kā arī to, ka nevalstiskajām organizācijām, atbilstoši Biedrību un nodibinājumu likuma 7.pantam, ir tiesības veikt saimniecisko darbību, lai sasniegtu biedrības un nodibinājuma mērķus. Skaidrojam, ka viens no priekšnosacījumiem tam, lai nevalstiskā organizācija varētu veidot un sniegt sabiedrībai kultūras pakalpojumus, ir kultūras pakalpojuma veidošanai nepieciešamo materiālo un cilvēkresursu pieejamība, tostarp kultūras pakalpojuma sniegšanai piemērotu telpu nodrošinājums. Līdz ar to, sniedzot atbalstu kultūras pakalpojuma sniedzēja pamatdarbības nodrošināšanai, tiešā veidā tiek atbalstīta jaunu kultūras pakalpojumu attīstīšana, ņemot vērā to, ka atbalstu saņēmušais kultūras pakalpojumu sniedzējs var ieguldīt lielāku līdzekļu daļu tieši kultūras pakalpojumu attīstīšanā.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kultūras pakalpojumu šo noteikumu ietvaros uzskatāma projekta iesniedzēja un sadarbības partnera darbības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atbalstīto kultūras nozares organizāciju skaits – ne mazāk kā 32 kultūras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8.1. un 8.2.apakšpunktu, nodrošinot, ka atbilstoši darbības programmā “Izaugsme un nodarbinātība” (turpmāk – DP) noteiktajam, īstenojot 13.1.4.specifiskā atbalsta mērķa “Atveseļošanas pasākumi kultūras jomā” (turpmāk – 13.1.4.SAM) pirmās, otrās un trešās atlases kārtu, tiek nodrošināta  DP noteiktā sasniedzamā rezultāta rādītāja “Attīstīti jauni pakalpojumi” (46 pakalpojumi) un iznākuma rādītāja “Atbalstīto kultūras nozares organizāciju skaits” (46 kultūras nozares organizācijas) sasniegšana. Vēršam uzmanību, ka šobrīd, sasummējot minētos rādītājus pa visām plānotajām kārtām, tiks attīstīti tikai 45 pakalpojumi un atbalstītas tikai 45 kultūras nozares organizācijas, kas neatbilst DP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un 8.2.apakšpunkts atbilstoši precizēts, nosakot, ka arī sadarbības partneri ir uzskatāmi par atbalstītajām organizācijām, līdz ar to iznākuma un rezultātu rādītāji Noteikumu projektā norādīti “ne mazāk kā 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atbalstīto kultūras nozares organizāciju skaits – ne mazāk kā 33 kultūras organizācijas;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projektu var īstenot sadarbībā ar sadarbības partneri, kas noteikti šo noteikumu pielikumā, ja sadarbības partneris ir daļa no projekta iesniedzēja darbības un nodrošina kultūrizglītības un kultūras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 apstiprinātie 13.1.4. pirmās projektu iesniegumu atlases kārtas vērtēšanas kritēriji neparedz sadarbības partneru iesaisti un vērtēšanu - aicinām precizēt UK apstiprināto kritēriju komplektu vai svītrot sadarbības partneru iesaisti no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kritēriju komplekts tiks precizēts un iesniegts apstiprināšanai UK, pievienojot vērtēšanai arī sadarbības partnerus. Plānots izskatīt 22.decembra UK rakstiskās procedūras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projektu īsteno sadarbībā ar sadarbības partneri, ar kuru sadarbībā tiek veidots kultūras piedāvājums, ja projekta īstenošana sadarbībā ar sadarbības partneri ir noteikta šo noteikumu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projektu var īstenot sadarbībā ar sadarbības partneri, kas noteikti šo noteikumu pielikumā, ja sadarbības partneris ir daļa no projekta iesniedzēja darbības un nodrošina kultūrizglītības un kultūras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nodrošināšanai aicinām izteikt šo teikumu citādā redakcijā vai papildināt, lai izvairītos no interpretācijas, ka jebkura no MK notiekumu projekta 1. pielikumā norādītajām personām var būt gan projekta iesniedzējs, gan kāda cita iesniedzēja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projektu īsteno sadarbībā ar sadarbības partneri, ar kuru sadarbībā tiek veidots kultūras piedāvājums, ja projekta īstenošana sadarbībā ar sadarbības partneri ir noteikta šo noteikumu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iesniedzēji, pēc sadarbības iestādes lēmuma par projekta apstiprināšanu, kļūst par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terminoloģiju atbilstoši Eiropas Savienības struktūrfondu un Kohēzijas fonda 2014.–2020. gada plānošanas perioda vadības likumā lietotajai terminoloģijai attiecībā uz terminiem "projektu iesniegumu atlase", "projekts", "projekta iesniegums"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iesniedzēji, pēc sadarbības iestādes lēmuma par projekta iesnieguma apstiprināšanu, kļūst par finansējuma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Projektā iekļauj atbalstāmās darbības, kas sekmē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ieskatā grāmatvedis ir klasificējams kā projekta vadības personāls, ņemot vērā minēto, lūdzam izvērtēt MK noteikumu projekta 19.3.apakšpunktā norādīto atbalstāmo darbību un tās nosaukumu, kā arī ar to saistītās 22.1.apakšpunktā norādītās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FM 2.1. vadlīnijās minētajam darbinieka daļlaika izmaksas ir iekļaujamas projekta tiešajās attiecināmajās izmaksās, ja darbinieks noteiktā laika periodā (minimāli viens mēnesis) vismaz 30% no normālā darba laika pilda ar ES fondu jautājumiem saistītus amata pienākumus. Ja darbinieka amata pienākumu darba laiks darbam, kas saistīts ar ES fondiem, ir mazāks par 30%, tad darbinieka atlīdzības izmaksas var iekļaut projekta netiešajās attiecināmajās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22.1.apakšpunkts svītrots un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Projektā iekļauj atbalstāmās darbības, kas sekmē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uzraudzības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ietvaros preču un pakalpojumu iepirkumos ir atbalstāmas vides prasības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šo prasību izpilde attiecībā uz izmaksām, kuru attiecināmības periods sācies pirms projekta īstenošanas uzsākšanas, kā arī pirms šo MK notiekumu spēkā stāšanās, ņemot vērā, ka iesniedzēji ir nevalstiskās organizācijas, kuru preču un pakalpojumu iegādi, kamēr tā netiek finansēta no publiskiem līdzekļiem, neregulē normatīvie akti iepirkumu jomā. Proti, lūdzam skaidrot, vai projektu iesniedzēji līdz šim ir ievērojuši MK 28.02.2017. noteikumu Nr. 104 nosacījumus, lai tādējādi tiktu nodrošināts, ka arī iepriekš radušās izmaksas ir tiem atbilstošas.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Noteikumu projektā paredzētas tādas attiecināmās izmaksas, piemēram, komunālo maksājumu izmaksas, kuras netiek iegādātas iepirkumā, savukārt starptautiskās sadarbības īstenošanas izmaksas nav paredzētās tādā apjomā, kā noteikts normatīvajos aktos par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šis nosacījums Noteikumu projektā noteikts, uzsverot, ka tiek atbalstīts Zaļais publiskais iepirkums, lai atsevišķos gadījumos, ja rodas nepieciešamība tomēr veikt iepirkumu, motivētu projekta īstenotāju ievērot horizontālo principu “Ilgtspējīga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preču un pakalpojumu iepirkumos ir atbalstāmas vides prasības –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ietvaros preču un pakalpojumu iepirkumos ir atbalstāmas vides prasības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 punktā pieturzīmi iekavas aizstāt ar pieturzīmi domuzīmi,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preču un pakalpojumu iepirkumos ir atbalstāmas vides prasības –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70 procentu apmērā no regulārajām finansējuma saņēmēja ikmēneša maksājumu izmaksām, kas nepieciešamas kultūras organizācijas darbības nodrošināšanai, tai skaitā izmaksas par telpu un zemes nomu, komunālajiem pakalpojumiem, sakaru pakalpojumiem, IT sistēmu uzturēšanas pakalpojumiem, apsardzes pakalpojumiem, uzņēmuma civiltiesisko apdrošināšanu, nekustamā īpašuma apdrošināšanu,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vadošās iestādes vadlīnijām Nr. 2.1. "Vadlīnijas attiecināmo un neattiecināmo izmaksu noteikšanai 2014.-2020.gada plānošanas periodā" izmaksas, kas minētas MK noteikumu projekta 22.4. un 22.5.apakšpunktos atbilst netiešajām izmaksām, lūdzam papildināt anotāciju ar skaidrojumu, kāpēc MK noteikumu projektā tās plānotas kā tiešās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Papildus norādām, ka Noteikumu projekta ietvaros nav paredzētas netiešās attiecināmās izmaksas un ja tās tiktu piemērotas, to maksimāli pieejamais apjoms būtu nepietiekams, lai nodrošinātu kultūras nozares organizāciju darbību viena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finansējuma saņēmēja ikmēneša regulāro maksājumu izmaksas, kas nepieciešamas kultūras organizācijas darbības nodrošināšanai, tai skaitā izmaksas par telpu un zemes nomu, komunālajiem pakalpojumiem, sakaru pakalpojumiem,  apsardzes pakalpojumiem,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Specifiskā atbalsta pirmās atlases kārtas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virknei biedrību, kas iekļautas projektu iesniegumu iesniedzēju sarakstā noteikumu projekta pielikumā, t.sk. ar kultūras jomu saistītu biedru asociācijām un savienībām. Saskaņā ar ES Tiesu praksi un Eiropas Komisijas skaidrojumu (sk. Komisijas paziņojuma par Līguma par Eiropas Savienības darbību 107. panta 1. punktā minēto valsts atbalsta jēdzienu 33.-37.punktu)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Savukārt asociācijas, savienības, padomes utml. ir organizācijas vai personu apvienības, kam ir kopīgi saimnieciski, politiski, zinātniski vai kādi citi uzdevumi, proti, konkrētajā gadījumā šīs organizācijas apvieno biedrus, kas darbojas kultūras jomā, lai pārstāvētu to intereses, nevis pašu organizāciju darbība kā tāda ir kvalificējama kā darbība ar kultūras mērķi. Līdz ar to, attiecībā uz šādām organizācijām nav attiecināmi tādi komercdarbības atbalsta izslēdzošie nosacījumi, kas attiecināmi uz organizācijām ar kultūras darbības mērķi (MK noteikumu projekta 29.punkts). Attiecīgi, ja atbalsta programmas ietvaros netiek plānots sniegt atbalstu saimnieciskās darbības veikšanai, uz biedrībām - asociācijām, savienībām, padomēm utml. ir attiecināmi tie paši nosacījumi, kā uz jebkuru citu subjektu. Papildus lūdzam skatīt materiālu “NVO saimnieciskā darbība valsts atbalsta izpratnē (29.07.2021)” Finanšu ministrijas mājas lapā https://www.fm.gov.lv/lv/skaidrojosie-materiali.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finansējumu var saņemt nevalstiskās kultūras organizācijas, kas atbilst vienam no noteiktajiem kritērijiem: organizācija atbilst Radošo personu statusa un profesionālo radošo organizāciju likuma 3.panta vai 9.panta nosacījumiem un ir iekļauta Kultūras ministrijas profesionālo radošo organizāciju reģistrā, vai tai ir deleģēta ar valsts kultūrpolitiku saistītu valsts pārvaldes uzdevumu izpilde. Saskaņā ar Biedrību un nodibinājumu likumu biedrība ir brīvprātīga personu apvienība, kas nodibināta, lai sasniegtu statūtos noteikto mērķi, kam nav peļņas gūšanas rakstura, no kā secināms, ka biedrības darbības mērķi tiek noteikti tās statūtos. Līdz ar to Kultūras ministrijas ieskatā tas, vai biedrības darbība ir piekritīga kultūras un kultūrvēsturiskā mantojuma saglabāšanas jomai, ir nosakāms izvērtējot tās statūtus, nevis nosaukumu. Vienlaikus norādām, ka atbilstoši Radošo personu statusa un profesionālo radošo organizāciju likuma 3.panta pirmās daļas 2.punktā noteiktajam, profesionālās radošās organizācijas mērķis ir “veicināt noteiktas radošās jomas un Latvijas garīgās un materiālās kultūras attīstību, kā arī sekmēt sabiedrības kultūras vajadzību apmierināšanu un attiecīgajā radošajā jomā strādājošo personu radošo darbību un mākslas darbu izplatīšanu”, tātad, ietver arī kultūras darbību, ne tikai biedrības biedru interešu pārstāvniecību. Praksē, piemēram, Latvijas Mākslinieku savienība organizē izstādes un nodrošina LMS muzeja darbību, Latvijas Rakstnieku savienība rīkos Dzejas dienas un citus kultūras pasākumus u.t.t. Līdz ar to uz visām priekšatlasē atlasītajām biedrībām ir attiecināmi komercdarbības atbalsta izslēdzošie nosacījumi, kas attiecināmi uz organizācijām ar kultūras darbības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Specifiskā atbalsta pirmās atlases kārtas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maksimālo avansa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27.punkts paredz maksimālo avansa procentuālo apmēru, kas kopā ar starpposma maksājumu nevar pārsniegt 90% un katra finansējuma saņēmēja ziņā ir izvērtēt individuālo nepieciešamību, nosakot apjomu pieprasāmajam avansam. Norādām, ka finansējuma saņēmēja avansa apmēri var atšķirties, tāpēc anotācijā ir norādīts, ka to var izmaksāt vairākos maksājumos. Papildus norādām, ka anotācijā ir skaidrots, ka, nosakot projekta avansa apmēru, ir jāņem vērā finansējuma saņēmēja spēja sešu mēnešu laikā pēc avansa maksājuma saņemšanas iesniegt sadarbības iestādē maksājuma pieprasījumu piešķirtā avansa maksājuma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ietvaros finansējuma saņēmējiem un sadarbības partneriem sniedz atbalstu darbībām, kam nav saimnieciska rakstura. Ar kultūru vai mākslu saistītām darbībām, no kurām tiek gūti ieņēmumi, nav saimnieciska rakstura, ja finansējuma saņēmēja un sadarbības partnera paša ieņēmumi ir mazāki par 50 procentiem no kopējā ar kultūru vai mākslu saistītā finansējuma saņēmēja un sadarbības partnera gada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attiecībā uz to, ka uz organizāciju darbībām, kas nav kvalificējamas kā darbības ar kultūras mērķi, nav attiecināmi tādi komercdarbības atbalsta izslēdzošie nosacījumi, kas attiecināmi uz organizāciju darbībām ar kultūras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biedrību - asociāciju, savienību, padomju utml. - darbībām, kas atbilst profesionālo organizāciju darbībām, ir attiecināmi tie paši nosacījumi, kā uz jebkuru citu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noteikumu projekts paredz atbalstu virknei biedrību, kas veic gan darbības, kas nav kvalificējamas kā darbības ar kultūras mērķi, gan var veikt darbības, kas ir kvalificējamas kā darbības ar kultūras mērķi (atbilstoši skaidrotajam pie izziņas 13.punkta),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noteikumus papildināt ar nosacījumu, ka finansējuma saņēmējs un sadarbības partneris skaidri nodala ar kultūru vai mākslu saistītās darbības no darbībām, kas nav kvalificējamas kā darbības ar kultūras mērķi, lai viennozīmīgi skaidrs, ka tādām darbībām, kas nav kvalificējamas kā darbības ar kultūras mērķi, atbalsts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iekļaut skaidrojumu, kādām ar kultūras mērķi saistītām darbībām atbalsts tiek sniegts (sk. piemēram, Komisijas regulas (ES) Nr. 651/2014, ar ko noteiktas atbalsta kategorijas atzīst par saderīgām ar iekšējo tirgu, piemērojot Līguma 107. un 108. pantu, 53.panta 5.punktā iekļautos skaidrojumus), papildus skaidrojot, kā atbalsta sniedzējs vērtē, vai atbalsts darbībām ar kultūras mērķi ir piešķirts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28.punktu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ietvaros finansējuma saņēmējiem un sadarbības partneriem sniedz atbalstu ar kultūru vai mākslu saistītām darbībām, kam nav saimnieciska rakstura. Saimniecisks raksturs nav tādām ar kultūru vai mākslu saistītām darbībām, ja finansējuma saņēmēja un sadarbības partnera paša ieņēmumi no šādām darbībām ir mazāki par 50 procentiem no kopējā finansējuma saņēmēja un sadarbības partnera gada budžeta veicot ar kultūru vai mākslu saistītās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projekts papildināts ar 31.punktu  šādā redakcijā: “Finansējuma saņēmējam un sadarbības partnerim ir pienākums nodalīt ar kultūru vai mākslu saistītas darbības no darbībām, kas nav kvalificējamas kā darbības ar kultūras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 ar skaidrojumu, tai skaitā,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kultūras jomas pakalpojuma sniedzēju uzskatāms tāds pakalpojuma sniedzējs, kas darbojas kultūras un kultūrvēsturiskā mantojuma saglabāšanas jomā. Atbilstoši „Komisijas paziņojuma par Līguma par Eiropas Savienības darbību 107.panta 1.punktā minēto valsts atbalsta jēdzienu” 33. un 34.punktā iekļautajiem Eiropas Komisijas skaidrojumiem, pamatojoties uz Eiropas Savienības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tiks sniegts organizācijas kapacitātei nodrošināt ar kultūru saistītu darbību: mākslas darbu uzglabāšanu, izstāžu organizēšanu, izglītojušu un kultūras, tai skaitā teātra un rakstniecības, pasākumu īstenošanu, kultūras vērtību radīšanu, saglabāšanu, pētniecību un komunicēšanu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 sniegs atzinumu arī par finansējuma saņēmēja statūtos norādītās darbības atbilstību kultūras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telpām, kas nav paredzētas darbībām ar kultūras mērķi, nodrošināšanai, tiks pievienota projekta iesniegumam  un izvērtēta projektu iesniegumu vērtēšanas posmā, lai atbalsta sniedzējs varētu gūt pārliecību,  vai atbalsts paredzēts darbībām ar kultūras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Noteikumu projekta 30.punkta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ietvaros finansējuma saņēmējiem un sadarbības partneriem sniedz atbalstu ar kultūru vai mākslu saistītām darbībām, kam nav saimnieciska rakstura. Saimniecisks raksturs nav tādām ar kultūru vai mākslu saistītām darbībām, ja finansējuma saņēmēja un sadarbības partnera paša ieņēmumi no šādām darbībām ir mazāki par 50 procentiem no kopējā finansējuma saņēmēja un sadarbības partnera gada budžeta, veicot ar kultūru vai mākslu saistītās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noslēgtās vienošanās vai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 par noteikumu projekta 1.7. apakšpunktu un nepieciešamības gadījumā precizēt noteikumu projekta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13.1.4.SAM 1.kārta tiek īstenota Eiropas Savienības struktūrfondu un Kohēzijas fonda 2014.—2020.gada plānošanas perioda ietvaros, līdz ar to piemērojams ir 2014.—2020.gada plānošanas perioda vadības likums, kur 20.panta 13.punkts nosaka līguma vai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Sadarbības iestādei ir tiesības vienpusēji atkāpties no noslēgtās vienošanās vai līguma par projekta īstenošanu jebkurā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projektu iesniegumu iesniedzēju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pielikuma nosaukumā norādīts “projektu iesniegumu iesniedzēju saraksts”, tomēr saskaņā ar MKN projekta 10. punktu, kā arī secinot no pielikuma 23. rindā norādītās informācijas, pielikumā norādīti arī sadarbības partneri. Attiecīgi aicinām pielikuma nosaukumu precizēt, attiecīgo nosaukuma daļu izsakot šādā redakcijā “projektu iesniegumu iesniedzēju un sadarbības partneru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nosaukums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sadaļā "Risinājuma apraksts" par sadarbības partneriem sniegto informāciju, skaidrojot, kādēļ partneri plānoti tikai biedrības “Latvijas Teātra darbinieku savienība” projektā. Vienlaikus lūdzam skaidrot, kā tieši minētie partneri nodrošina tieši šī projekta iesniedzēja, bet nevis kāda cita iesniedzēja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projekta sadarbības partneri noteikti kultūras nozares NVO, kas kopā ar projekta iesniedzēju īsteno kultūras funkciju, izmantojot projekta iesniedzēja telpas par atlīdzību, vienota un kopīga kultūras piedāvājuma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ar atbilstošu informāciju papildināt anotāciju, kā un pēc kādiem nosacījumiem ir noteikts plānotais projektu iesniedzēju loks, ņemot vērā plānoto pieeju atlasi organizēt ierobežotas atlases ietvaros un paredzot atbalsta sniegšanu ierobežotam biedrību un nodibinājumu lokam. Vēršam uzmanību, ka no anotācijā sniegtās informācijas nav uzskatāmi un skaidri izsekojams, kā notikusi projektu iesniedzēju priekšatlase un vai ir nodrošināta vienlīdzīga pieeja atlasītajam projektu iesniedzēju lokam.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vienlīdzīgu pieeju, nosakot projektu iesniedzēju loku, Kultūras ministrija veica priekšatlasi, izvērtējot nevalstisko organizāciju atbilstību diviem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organizācija atbilst Radošo personu statusa un profesionālo radošo organizāciju likuma 3.panta vai 9.panta nosacījumiem un ir iekļauta Kultūras ministrijas profesionālo radošo organizāciju reģistrā (https://www.km.gov.lv/lv/media/1162/download?attachment).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radošo organizāciju īpašo lomu kultūras ekosistēmā nosaka Radošo personu statusa un profesionālo radošo organizāciju likums. Līdz ar to no kultūrpolitikas viedokļa ir svarīga abiem izvirzītajiem kritērijiem atbilstošo NVO darbības ilgtspēja, kas tiek panākta, īstenojot projektā aprakstīto atbalsta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organizācijai ir deleģēta ar valsts kultūrpolitiku saistītu valsts pārvaldes uzdevumu izpilde (https://www.km.gov.lv/lv/lidzdarbibas-ligumi-1), papildus vērtējot, vai to veiktais valsts pārvaldes uzdevums atbilst Nacionālajā attīstības plānā 2021.-2027.gadam, Kultūrpolitikas pamatnostādnēs 2022.-2027.gadam „Kultūrvalsts” un Kultūrpolitikas pamatnostādnēs 2014.-2020.gadam „Radošā Latvija” noteiktajiem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deleģējuma līgumi var tikt slēgti pamatojoties uz ārējo normatīvo aktu vai atklāta konkursa ietvaros. Kultūras ministrija rīko konkursu par līdzdarbības līguma slēgšanu atbilstoši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vērtējot kultūras organizāciju iepriekšējo pieredzi līdzvērtīgu funkciju nodrošināšanā. Saskaņā ar 2018. gadā veikto pētījumu “Pētījums par kultūras jomas nevalstisko organizāciju sociāli ekonomisko ietekmi” viena no sistēmiski nozīmīgo NVO pazīmēm ir tām deleģēta valsts pārvaldes uzdevumu izpilde. Līdz ar to secināms, ka valsts pārvaldes uzdevumu deleģēšanas esamība var tikt izmantota kā priekšatlases kritērijs, lai sniegtu atbalstu Latvijas kultūras ekosistēmai visnozīmīgākajām NVO.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pirmās atlases kārtas īstenošanu nodrošina Kultūras ministrija kā atbildīgā iestāde (turpmāk – atbildīgā iestāde) un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iesaisti projekta īstenošanā nosaka Eiropas Savienības struktūrfondu un Kohēzijas fonda 2014.—2020.gada plānošanas perioda vadības likums, ierosinām šajā punktā svītrot vārdus "un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pirmās atlases kārtas īstenošanu nodrošina Kultūras ministrija kā atbildīgā iestāde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22.punkta apakšpunktos projektu attiecināmās izmaksas sadalīt un definēt atbilstoši plānotajām izmaksu pozīcijām, kurām tiks piemērotas vienkāršotās izmaksas atbilstoši atbildīgās iestādes izstrādātajai metodikai.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Tiešajām attiecināmajām izmaksām nepieciešams piemērot vienkāršotās izmaksas, pamatojoties uz Regulas Nr. 1303/2013 67. panta 2.a punktu, kas nosaka, ka projektos, kuri saņem atbalstu no ERAF un ESF un kam publiskais atbalsts nepārsniedz 100 000 EUR, obligāti jāpiemēro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finansējuma saņēmēja starptautiskās sadarbības īstenošanas izmaksas, tai skaitā dalības un ārvalstu komandējumu izmaksas, lai nodrošinātu dalību pasākumos, kas nepieciešami organizācijas profesionālās kapacitātes un izaugsmes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Finanšu ministrijas kā ES fondu vadošās iestādes vadlīniju Nr. 2.1. “Vadlīnijas attiecināmo un neattiecināmo izmaksu noteikšanai 2014.-2020.gada plānošanas periodā” 64.punkta 44.zemsvītras atsaucē norādīto: “Ārvalstu komandējumu izmaksas attiecināmas tikai projekta īstenošanas personālam un projekta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gan projekta ietvaros nav paredzētas projekta īstenošana un vadības personāla izmaksas, 13.1.4.SAM I atlases kārtas ietvaros par projekta īstenošanas personālu uzskatāmi kultūras organizācijas biedri un darbinieki, kas nodrošina  biedrības darbības, kas saistīta ar kultūras mērķi, īstenošanu un attiecīgi projekta rādītāju – atbalstītās organizācijas un pakalpojumi,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starptautiskās sadarbības pasākumu īstenošana atbilst 13.1.4.SAM mērķim, paredzot stiprināt kultūras nozares nevalstisko organizāciju darbības kapacitāti, kur būtiska loma ir starptautiskās sadarbības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2.decembra sanāksmē izrunātajam, starptautiskās sadarbības pasākumu izmaksas tiks saskaņotas ar vadošo iestādi, izstrādājot vienkāršoto izmaksu metodiku, kur vienlaikus tiks ņemts vērā, lai plānotās izmaksas ir samērīgas un atbilstošas tirgus cenām.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23.1. un 23.2.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finansējuma saņēmēja starptautiskās sadarbības īstenošanas izmaksas, lai nodrošinātu dalību pasākumos, kas nepieciešami organizācijas profesionālās kapacitātes un izaugsmes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22.5.punktu atbilstoši piedāvātajai redakcijai (precizētā daļa iezīmēta).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w:t>
            </w:r>
            <w:r w:rsidR="00000000" w:rsidRPr="00000000" w:rsidDel="00000000">
              <w:rPr>
                <w:b w:val="1"/>
                <w:shd w:fill="#3498db" w:val="clear"/>
                <w:rtl w:val="0"/>
              </w:rPr>
              <w:t xml:space="preserve">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22.5.apakšpunkts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 noteikto izmaksu apmērs kopā nepārsniedz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noteikts MK noteikumu projekta 23.punktā minētais izmaksu ierobežojums. Ar attiecīgi skaidrojošu informāciju aicinām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izmaksu apmērs kopā nepārsniedz 10 000 </w:t>
            </w:r>
            <w:r w:rsidR="00000000" w:rsidRPr="00000000" w:rsidDel="00000000">
              <w:rPr>
                <w:i w:val="1"/>
                <w:rtl w:val="0"/>
              </w:rPr>
              <w:t xml:space="preserve">euro</w:t>
            </w:r>
            <w:r w:rsidR="00000000" w:rsidRPr="00000000" w:rsidDel="00000000">
              <w:rPr>
                <w:rtl w:val="0"/>
              </w:rPr>
              <w:t xml:space="preserve">, izņemot šo noteikumu pielikuma 11.punktā noteiktajam projekta iesniedzējam, kam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 noteikto izmaksu apmērs kopā nepārsniedz 20 000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maksimālo avansa procentuālo apmēru, lai visiem finansējuma saņēmējiem būtu skaidra avansu izmaksāšanas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priekšlikumu un, ņemot vērā īso projekta īstenošanas termiņu, aicinām saglabāt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precīzāki skaidrojumi par avansu ir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projektu iesniegumu iesniedzēju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un norādīt "projekta iesniedzēji", nevis "projektu iesniegumu iesniedzēji", ņemot vērā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 svītrojot vārdu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14.rindkopas tekstā "Projekts nosaka, ka izdevumi ir attiecināmi no 2023.gada 1.janvāra, izņemot Projekta </w:t>
            </w:r>
            <w:r w:rsidR="00000000" w:rsidRPr="00000000" w:rsidDel="00000000">
              <w:rPr>
                <w:b w:val="1"/>
                <w:u w:val="single"/>
                <w:rtl w:val="0"/>
              </w:rPr>
              <w:t xml:space="preserve">21.4. un 24.5.</w:t>
            </w:r>
            <w:r w:rsidR="00000000" w:rsidRPr="00000000" w:rsidDel="00000000">
              <w:rPr>
                <w:rtl w:val="0"/>
              </w:rPr>
              <w:t xml:space="preserve">apakšpunktā noteiktās izmaksas, kas ir attiecināmas no 2022.gada 1.oktobra." lūdzam precizēt atsauces uz apakšpunktiem precizējot attiecīgi uz 22.4. un 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izdevumi ir attiecināmi no 2023.gada 1.janvāra, izņemot Projekta </w:t>
            </w:r>
            <w:r w:rsidR="00000000" w:rsidRPr="00000000" w:rsidDel="00000000">
              <w:rPr>
                <w:u w:val="single"/>
                <w:rtl w:val="0"/>
              </w:rPr>
              <w:t xml:space="preserve">22.4. un 22.5.</w:t>
            </w:r>
            <w:r w:rsidR="00000000" w:rsidRPr="00000000" w:rsidDel="00000000">
              <w:rPr>
                <w:rtl w:val="0"/>
              </w:rPr>
              <w:t xml:space="preserve"> apakšpunktā noteiktās izmaksas, kas ir attiecināmas no 2022.gada 1.oktobra.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anotācijā iekļauto norādi par ārvalstu komandējumu izmaksu attiecināmību ar skaidrojumu, ka ārvalstu komandējuma izmaksām (dienas nauda un viesnīca/naktsmītnes izmaksas) ir jāatbilst likmēm, kuras noteiktas MK not.Nr.969 “Kārtība, kādā atlīdzināmi ar komandējumiem saistītie izdevumi” un to 1. pielikumam “Izdevumu diennakts normas komandējumiem (darba braucieniem)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22-TA-3277</w:t>
    </w:r>
    <w:r>
      <w:br/>
    </w:r>
    <w:r w:rsidR="00000000" w:rsidRPr="00000000" w:rsidDel="00000000">
      <w:rPr>
        <w:rtl w:val="0"/>
      </w:rPr>
      <w:t xml:space="preserve">09.12.2022. 14.38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22-TA-3277</w:t>
    </w:r>
    <w:r>
      <w:br/>
    </w:r>
    <w:r w:rsidR="00000000" w:rsidRPr="00000000" w:rsidDel="00000000">
      <w:rPr>
        <w:rtl w:val="0"/>
      </w:rPr>
      <w:t xml:space="preserve">09.12.2022. 14.38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Izziņa_22-TA-3277.docx</dc:title>
</cp:coreProperties>
</file>

<file path=docProps/custom.xml><?xml version="1.0" encoding="utf-8"?>
<Properties xmlns="http://schemas.openxmlformats.org/officeDocument/2006/custom-properties" xmlns:vt="http://schemas.openxmlformats.org/officeDocument/2006/docPropsVTypes"/>
</file>