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25-TA-1352: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Patērētāju tiesību aizsardzības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31.03.2026. 18:52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juridiskām personām ir norādīts, ka administratīvo izmaksu aprēķinu nav iespējams veikt, jo nav zināms subjektu skaits. Tomēr saskaņā ar Vadlīnijām tiesību akta sākotnējās ietekmes novērtēšanai un novērtējuma ziņojuma sagatavošanai vienotajā TAP portālā šādā gadījumā, ja objektīvu iemeslu dēļ nav iespējams noteikt subjektu skaitu, aprēķins ir veicams vismaz vienam subjektam, nevis pilnībā atsakoties no aprēķina.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aprēķina veikšanai var izmantot arī pieņēmumus un analoģijas no līdzīgiem regulējumiem vai līdzīgiem pienākumiem, nodrošinot, ka tie ir pamatoti un izskaidroti.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administratīvo izmaksu aprēķinu vismaz vienam subjektam, vai, ja aprēķinu objektīvi nav iespējams veikt, sniegt detalizētu ietekmes aprakstu un tā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bez ietekmes aprakstā norādītām administratīvajām izmaksām, lūdzam izvērtēt likumprojekta 3. pantā noteikto informēšanas pienākumu (21.</w:t>
            </w:r>
            <w:r w:rsidR="00000000" w:rsidRPr="00000000" w:rsidDel="00000000">
              <w:rPr>
                <w:vertAlign w:val="superscript"/>
                <w:rtl w:val="0"/>
              </w:rPr>
              <w:t xml:space="preserve">9 </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papildinājumi anotācijas 2.3.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anotācijas 3.sadaļu, lūdzam arī 7.4.sadaļā svītrot informāciju, ka nepieciešamības gadījumā, amata vietu skaita izmaiņas var tikt pārskatītas.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19.02.2026. 11:36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Par šā likuma un citu patērētāju tiesību aizsardzību regulējošo normatīvo aktu pārkāpumiem sods var tikt piemērots atbilstoši Negodīgas komercprakses aizlieguma likuma 15.</w:t>
            </w:r>
            <w:r w:rsidR="00000000" w:rsidRPr="00000000" w:rsidDel="00000000">
              <w:rPr>
                <w:vertAlign w:val="superscript"/>
                <w:rtl w:val="0"/>
              </w:rPr>
              <w:t xml:space="preserve">2</w:t>
            </w:r>
            <w:r w:rsidR="00000000" w:rsidRPr="00000000" w:rsidDel="00000000">
              <w:rPr>
                <w:rtl w:val="0"/>
              </w:rPr>
              <w:t xml:space="preserve">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rūpīgi izvērtēt panta nepieciešamību. Informatīvas un nekonkrētas norādes likumā neietver. Saistībā ar projektā paredzētajiem pienākumiem šāda veida informāciju pieļaujams ietvert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Negodīgas komercprakses aizlieguma likuma 15.</w:t>
            </w:r>
            <w:r w:rsidR="00000000" w:rsidRPr="00000000" w:rsidDel="00000000">
              <w:rPr>
                <w:vertAlign w:val="superscript"/>
                <w:rtl w:val="0"/>
              </w:rPr>
              <w:t xml:space="preserve">2</w:t>
            </w:r>
            <w:r w:rsidR="00000000" w:rsidRPr="00000000" w:rsidDel="00000000">
              <w:rPr>
                <w:rtl w:val="0"/>
              </w:rPr>
              <w:t xml:space="preserve"> pantā ietvertie sodi par negodīgu komercpraksi tiks piemēroti neatkarīgi no atsauces uz minēto pantu ietveršanas Patērētāju tiesību aizsardzības likumā. Pantā ietvertais regulējums ir neskaidrs. Nav precīzi norādīts par kādu "citu patērētāju tiesību aizsardzību regulējošo normatīvo aktu pārkāpumiem" var tikt piemērots sods atbilstoši Negodīgas komercprakses aizlieguma likuma 15.</w:t>
            </w:r>
            <w:r w:rsidR="00000000" w:rsidRPr="00000000" w:rsidDel="00000000">
              <w:rPr>
                <w:vertAlign w:val="superscript"/>
                <w:rtl w:val="0"/>
              </w:rPr>
              <w:t xml:space="preserve">2</w:t>
            </w:r>
            <w:r w:rsidR="00000000" w:rsidRPr="00000000" w:rsidDel="00000000">
              <w:rPr>
                <w:rtl w:val="0"/>
              </w:rPr>
              <w:t xml:space="preserve"> pantam. Anotācijā arī nav ietverts argumentēts un pilnvērtīgs normas izstrādes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grozāmajā likumā jau ir ietverta administratīvā atbildība patērētāju tiesību aizsardzības jomā. Līdz ar to ne vienmēr "šā likuma un citu patērētāju tiesību aizsardzību regulējošo normatīvo aktu pārkāpumi" būs vērtējami kā negodīgas komercprakses izpausme (vai arī šobrīd pastāv tiesību normu kolīzija atbildības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dzēsts iepriekš piedāvātais pants attiecībā uz soda noteikšanu par Direktīvas 2024/1799 4., 5. un 6. panta pārkāpumiem. Tostarp sniegts skaidrojums Likumprojekta anotācijā, norādot, ka arī par šo minēto pantu pārkāpumiem ir piemērojamas NKAL tiesību normas (soda noteikšana par patērētāju tiesību pārkāpumiem), ņemot vērā, ka NKAL ir ""jumta" regulējums patērētāju tiesību aizsardzībā.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2024. gada 13. jūnija Direktīvas (ES) 2024/1799 par kopīgiem noteikumiem preču remontēšanas veicināšanai un ar ko groza Regulu (ES) 2017/2394 un Direktīvas (ES) 2019/771 un (ES) 2020/1828, 2. panta 7. punktā ietverts termina "importētājs" skaidrojums, savukārt Patērētāju tiesību aizsardzības likuma 1. panta 5. punktā ietvertais termina skaidrojums, kas tostarp attiecas uz importētāju, ir plašāks, nekā regulā minētais, tādēļ lūdzam izvērtēt, vai minētajā likumā nav jāsniedz termina "importētājs" skaidrojums, atsaucoties uz attiecīgo direktīvā minēto regulas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pirmšķietami ir apšaubāma minētās direktīvas 13. panta 1. punkta pārņemšana ar norādītajām likuma vienībām, ja konkrēto likuma vienību regulējums ir saistīts ar Eiropas Savienības tiesību aktu pārņemšanu, tādēļ atkārtoti lūdzam izvērtēt un skaidrot, kā paredzēts izpildīt minēto prasību, vai skaidrot pamatojumu minēto likuma vienību izvēlei kā dalībvalsts veiktam pasākumam remonta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pārņemt minētās direktīvas 14. panta 1. punktā ietverto prasību vai skaidrot, kā minētā prasība ir pārņemta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anotācijas 5.4. apakšsadaļas 1. tabulas neizriet skaidrojums par minētās direktīvas 16. panta 4. punkta otrās un trešās daļas pārņemšanu nacionālajā tiesību sistēmā, tādēļ atkārtoti lūdzam papildināt minēto tabulu, nepieciešamības gadījumā nodrošinot attiecīgo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pilnveidot skaidrojumu par minētās direktīvas 16. panta 2. punkta pārņemšanu, skaidrojot apsvērumus, kādēļ: "Latvija nav izvēlējusies minēto laika posmu paredzēt ilgāku", kā arī skaidrot, kādēļ nav izmantota rīcības brīvība, kas paredz, ka: "Dalībvalstis, kuras saskaņā ar 3. vai 5. punktu neparedz noteiktus pārdevēja atbildības termiņus vai paredz tikai tiesiskās aizsardzības līdzekļu noilguma termiņu, var atkāpties no 2.a punkta, ar noteikumu, ka tās nodrošina, ka pārdevēja atbildība vai tiesiskās aizsardzības līdzekļu noilguma termiņš labošanas gadījumā ir vismaz trīs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Likumprojektā un tā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 pantā iekļauts termins "importētājs";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papildināts ar Likuma 21.</w:t>
            </w:r>
            <w:r w:rsidR="00000000" w:rsidRPr="00000000" w:rsidDel="00000000">
              <w:rPr>
                <w:vertAlign w:val="superscript"/>
                <w:rtl w:val="0"/>
              </w:rPr>
              <w:t xml:space="preserve">9</w:t>
            </w:r>
            <w:r w:rsidR="00000000" w:rsidRPr="00000000" w:rsidDel="00000000">
              <w:rPr>
                <w:rtl w:val="0"/>
              </w:rPr>
              <w:t xml:space="preserve"> panta otro daļu, nosakot, ka PTAC veic vismaz vienu informēšanas pasākumu, papildus anotācijā skaidrojot, ka minētie pasākumi var būt dažādi, atkarībā no pieejamiem resursiem un finansējuma (kā informēšanas kampaņa, infografiku izveide un izplatīšana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3. pants papildināts ar 21.</w:t>
            </w:r>
            <w:r w:rsidR="00000000" w:rsidRPr="00000000" w:rsidDel="00000000">
              <w:rPr>
                <w:vertAlign w:val="superscript"/>
                <w:rtl w:val="0"/>
              </w:rPr>
              <w:t xml:space="preserve">8</w:t>
            </w:r>
            <w:r w:rsidR="00000000" w:rsidRPr="00000000" w:rsidDel="00000000">
              <w:rPr>
                <w:rtl w:val="0"/>
              </w:rPr>
              <w:t xml:space="preserve"> panta desmito daļu, nosakot, ka</w:t>
            </w:r>
            <w:r w:rsidR="00000000" w:rsidRPr="00000000" w:rsidDel="00000000">
              <w:rPr>
                <w:i w:val="1"/>
                <w:rtl w:val="0"/>
              </w:rPr>
              <w:t xml:space="preserve"> patērētājam nav saistošs neviens līgums, kurā, kaitējot patērētājam, netiek ievērotas šajā likumā noteiktās prasības, kurš atkāpjas no minētajām prasībām vai maina noslēgtā līguma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Veikti redakcionāli precizējumi 21.</w:t>
            </w:r>
            <w:r w:rsidR="00000000" w:rsidRPr="00000000" w:rsidDel="00000000">
              <w:rPr>
                <w:vertAlign w:val="superscript"/>
                <w:rtl w:val="0"/>
              </w:rPr>
              <w:t xml:space="preserve">8</w:t>
            </w:r>
            <w:r w:rsidR="00000000" w:rsidRPr="00000000" w:rsidDel="00000000">
              <w:rPr>
                <w:rtl w:val="0"/>
              </w:rPr>
              <w:t xml:space="preserve"> panta otrās daļas 3. punktā, kurā tiek norādīts, ka "</w:t>
            </w:r>
            <w:r w:rsidR="00000000" w:rsidRPr="00000000" w:rsidDel="00000000">
              <w:rPr>
                <w:i w:val="1"/>
                <w:rtl w:val="0"/>
              </w:rPr>
              <w:t xml:space="preserve">3) ražotājs var bez maksas vai par saprātīgu cenu piedāvāt un patapināt patērētājam līdzvērtīgu preci vai preci ar digitāliem elementiem (tai skaitā atjaunotu preci) uz remonta laiku;</w:t>
            </w:r>
            <w:r w:rsidR="00000000" w:rsidRPr="00000000" w:rsidDel="00000000">
              <w:rPr>
                <w:rtl w:val="0"/>
              </w:rPr>
              <w:t xml:space="preserve">", tādējādi pēc būtības nodrošinot Direktīvas 2024/1799 16. panta 4.punkta otrās un trešās daļas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Sniegts papildus skaidrojums anotācijas 5. sadaļā attiecībā uz izmantoto izvēles brīvību.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punkta “Cita informācija” otrajā rindkopā ir norādīts, ka likumprojektā paredzēto normu izpilde tiks nodrošināta Ekonomikas ministrijas budžeta apakšprogrammā 26.01.00 "Iekšējais tirgus un patērētāju tiesību aizsardzība" esošo amata vietu ietvaros, attiecīgi lūdzam punkta pirmajā rindkopā svītrot informāciju par amata vietu skaita pārskatīšanu (atbilstoši versijai, kas e-pastā saskaņota 25.02.2026.).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07.10.2025. 18:34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likumā vai tā anotācijā precīzi norādīt, kas tieši neizriet no konteksta likumprojektā ietvertā Patērētāju tiesību aizsardzības likumā (turpmāk - likums) 21.</w:t>
            </w:r>
            <w:r w:rsidR="00000000" w:rsidRPr="00000000" w:rsidDel="00000000">
              <w:rPr>
                <w:vertAlign w:val="superscript"/>
                <w:rtl w:val="0"/>
              </w:rPr>
              <w:t xml:space="preserve">6</w:t>
            </w:r>
            <w:r w:rsidR="00000000" w:rsidRPr="00000000" w:rsidDel="00000000">
              <w:rPr>
                <w:rtl w:val="0"/>
              </w:rPr>
              <w:t xml:space="preserve"> panta piektās daļas 1. punktā. Ierosinām tiesiskās noteiktības nolūkā šajā punktā un arī pārējos 21.</w:t>
            </w:r>
            <w:r w:rsidR="00000000" w:rsidRPr="00000000" w:rsidDel="00000000">
              <w:rPr>
                <w:vertAlign w:val="superscript"/>
                <w:rtl w:val="0"/>
              </w:rPr>
              <w:t xml:space="preserve">6</w:t>
            </w:r>
            <w:r w:rsidR="00000000" w:rsidRPr="00000000" w:rsidDel="00000000">
              <w:rPr>
                <w:rtl w:val="0"/>
              </w:rPr>
              <w:t xml:space="preserve"> panta piektās daļas punktos norādīt konkrētas likuma vienības, kas paredz informēšanas prasības, kuras remontētājs, izsniedzot patērētājam atbilstoši normatīvajiem aktiem aizpildītu remonta veidlapu, izpilda.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likuma 21.</w:t>
            </w:r>
            <w:r w:rsidR="00000000" w:rsidRPr="00000000" w:rsidDel="00000000">
              <w:rPr>
                <w:vertAlign w:val="superscript"/>
                <w:rtl w:val="0"/>
              </w:rPr>
              <w:t xml:space="preserve">6</w:t>
            </w:r>
            <w:r w:rsidR="00000000" w:rsidRPr="00000000" w:rsidDel="00000000">
              <w:rPr>
                <w:rtl w:val="0"/>
              </w:rPr>
              <w:t xml:space="preserve"> panta piektajā daļā, attiecībā uz remonta pakalpojumu norādot atsauci uz likuma 17. panta pirmās daļas 1., 2., 3. un 5.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pēc pieprasījuma,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 remonta pakalpojumu saskaņā ar šā likuma 17. panta pirmās daļas 1., 2.,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21.</w:t>
            </w:r>
            <w:r w:rsidR="00000000" w:rsidRPr="00000000" w:rsidDel="00000000">
              <w:rPr>
                <w:vertAlign w:val="superscript"/>
                <w:rtl w:val="0"/>
              </w:rPr>
              <w:t xml:space="preserve">6</w:t>
            </w:r>
            <w:r w:rsidR="00000000" w:rsidRPr="00000000" w:rsidDel="00000000">
              <w:rPr>
                <w:rtl w:val="0"/>
              </w:rPr>
              <w:t xml:space="preserve"> panta pirmo daļu lūgums precizēt likumprojektā vai skaidrot likumprojekta anotācijā, cik ilgs ir "saprātīgs laika posms";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šobrīd anotācijas 1.3. sadaļā tiek skaidrots, kas tiek saprasts ar vārdiem "saprātīgs laika posms" - "</w:t>
            </w:r>
            <w:r w:rsidR="00000000" w:rsidRPr="00000000" w:rsidDel="00000000">
              <w:rPr>
                <w:i w:val="1"/>
                <w:rtl w:val="0"/>
              </w:rPr>
              <w:t xml:space="preserve">Jānorāda, ka šajā pantā, kā arī citās PTAL normās, ar vārdu "saprātīgs" ir saprotams tāds laika posms vai tāda maksa, kas patērētājus tīši neatturētu no iespējas gūt labumu no ražotāja pienākuma veikt remontu. Minētais jēdziens nav konkrēti laikā vai apjomā izmērams, bet tas tiek izmantots arī vairākos citus Latvijas nacionālajos tiesību aktos kā Komerclikumā, Konkurences likumā un citos, līdz ar to tā lietošana ir uzskatāma par ierastu praksi.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pēc pieprasījuma,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 remonta pakalpojumu saskaņā ar šā likuma 17. panta pirmās daļas 1., 2.,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21.</w:t>
            </w:r>
            <w:r w:rsidR="00000000" w:rsidRPr="00000000" w:rsidDel="00000000">
              <w:rPr>
                <w:vertAlign w:val="superscript"/>
                <w:rtl w:val="0"/>
              </w:rPr>
              <w:t xml:space="preserve">6</w:t>
            </w:r>
            <w:r w:rsidR="00000000" w:rsidRPr="00000000" w:rsidDel="00000000">
              <w:rPr>
                <w:rtl w:val="0"/>
              </w:rPr>
              <w:t xml:space="preserve"> panta ceturto daļu lūdzu precizēt likumprojektā vai skaidrot anotācijā, cik ilgs ir remonta veidlapas derīguma termiņš - vai tās ir 30 kalendārās dienas vai kāds cits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sniegts papildus precizējums, ka Ministru kabineta noteikumos, kuri tiks izdoti uz PTAL pamata un kas precizēs dažādus preču remontēšanas aspektus, tiks noteikts, ka remonta veidlapas derīguma termiņš nav mazāks par 30 kalnendārajām dienām. Ņemot vērā, ka šis nosacījums tiks iekļauts jaunajos Ministru kabineta noteikumos par preču remontēšanu, šādu normu dublēt PTAL nav nepieciešams.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pēc pieprasījuma,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 remonta pakalpojumu saskaņā ar šā likuma 17. panta pirmās daļas 1., 2.,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10</w:t>
            </w:r>
            <w:r w:rsidR="00000000" w:rsidRPr="00000000" w:rsidDel="00000000">
              <w:rPr>
                <w:rtl w:val="0"/>
              </w:rPr>
              <w:t xml:space="preserve"> Preces un preces ar digitāliem elementiem, uz kurām attiecas remontējamības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patērētāja pieprasījuma ražotājs nodrošina preču vai preču ar digitāliem elementiem remontu, attiecībā uz kurām Eiropas Savienības tiesību aktos ir paredzētas remontējamības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veļas mazgāšanas mašīnām un sadzīves veļas mazgāšanas un žāvēšanas mašīnām, saskaņā ar Eiropas Komisijas (ES) 2019. gada 1. oktobra regulu 2019/2023, ar ko saskaņā ar Eiropas Parlamenta un Padomes Direktīvu 2009/125/EK nosaka ekodizaina prasības sadzīves veļas mazgāšanas mašīnām un sadzīves veļas mazgāšanas un žāvēšanas mašīnām, ar ko groza Komisijas Regulu (EK) Nr. 1275/2008 un ar ko atceļ Komisijas Regulu (ES) Nr. 1015/2010;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Sadzīves trauku mazgāšanas mašīnām, saskaņā ar Eiropas Komisijas (ES) 2019. gada 1. oktobra regulu 2019/2022, ar ko saskaņā ar Eiropas Parlamenta un Padomes Direktīvu 2009/125/EK nosaka ekodizaina prasības sadzīves trauku mazgāšanas mašīnām, groza Komisijas Regulu (EK) Nr. 1275/2008 un atceļ Komisijas Regulu (ES) Nr. 1016/2010;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Aukstumiekārtām, saskaņā ar Eiropas Komisijas (ES) 2019. gada 1. oktobra regulu 2019/2019, ar ko saskaņā ar Eiropas Parlamenta un Padomes Direktīvu 2009/125/EK nosaka ekodizaina prasības aukstumiekārtām un atceļ Komisijas Regulu (EK) Nr. 643/2009;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Elektroniskajiem displejiem, saskaņā ar Eiropas Komisijas (ES) 2019. gada 1. oktobra regulu 2019/2021, ar ko nosaka ekodizaina prasības elektroniskajiem displejiem saskaņā ar Eiropas Parlamenta un Padomes Direktīvu 2009/125/EK, groza Komisijas Regulu (EK) Nr. 1275/2008 un atceļ Komisijas Regulu (EK) Nr. 642/2009;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Metināšanas aparātiem, saskaņā ar Eiropas Komisijas (ES) 2019. gada 1. oktobra regulu 2019/1784, ar ko nosaka ekodizaina prasības metināšanas aparātiem saskaņā ar Eiropas Parlamenta un Padomes Direktīvu 2009/125/EK;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Putekļsūcējiem, saskaņā ar Eiropas Komisijas (ES) 2013. gada 8. jūlija regulu Nr. 666/2013, ar ko Eiropas Parlamenta un Padomes Direktīvu 2009/125/EK īsteno attiecībā uz ekodizaina prasībām putekļsūcējiem;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Serveriem un datu glabāšanas ražojumiem, saskaņā ar Eiropas Komisijas (ES) 2019. gada 15. marta regulu 2019/424, ar ko nosaka ekodizaina prasības serveriem un datu glabāšanas ražojumiem atbilstīgi Eiropas Parlamenta un Padomes Direktīvai 2009/125/EK un groza Komisijas Regulu (ES) Nr. 617/2013;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Mobilajiem tālruņiem, bezvadu tālruņiem un ievadvirsmas planšetdatoriem, saskaņā ar Eiropas Komisijas (ES) 2023. gada 16. jūnija regulu 2023/1670, ar ko saskaņā ar Eiropas Parlamenta un Padomes Direktīvu 2009/125/EK nosaka ekodizaina prasības viedtālruņiem, mobilajiem tālruņiem, kas nav viedtālruņi, bezvadu tālruņiem un ievadvirsmas planšetdatoriem un groza Komisijas Regulu (ES) 2023/826;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Sadzīves veļas žāvētājiem, saskaņā ar Eiropas Komisijas (ES) 2023. gada 17. novembra regulu 2023/2533, ar ko Eiropas Parlamenta un Padomes Direktīvu 2009/125/EK īsteno attiecībā uz ekodizaina prasībām sadzīves veļas žāvētājiem, groza Komisijas Regulu (ES) 2023/826 un atceļ Komisijas Regulu (ES) Nr. 932/2012;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Precēm, kuru sastāvā ir vieglo pārvietošanās līdzekļu baterijas, saskaņā ar Eiropas Parlamenta un Padomes (ES) 2023. gada 12. jūlija regulu 2023/1542 par baterijām un bateriju atkritumiem, ar ko groza Direktīvu 2008/98/EK un Regulu (ES) 2019/1020 un atceļ Direktīvu 2006/66/EK.";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nodrošinot, ka nedublējas likumprojektā ietvertais likuma 21.</w:t>
            </w:r>
            <w:r w:rsidR="00000000" w:rsidRPr="00000000" w:rsidDel="00000000">
              <w:rPr>
                <w:vertAlign w:val="superscript"/>
                <w:rtl w:val="0"/>
              </w:rPr>
              <w:t xml:space="preserve">8</w:t>
            </w:r>
            <w:r w:rsidR="00000000" w:rsidRPr="00000000" w:rsidDel="00000000">
              <w:rPr>
                <w:rtl w:val="0"/>
              </w:rPr>
              <w:t xml:space="preserve"> panta pirmajā daļā un 21.</w:t>
            </w:r>
            <w:r w:rsidR="00000000" w:rsidRPr="00000000" w:rsidDel="00000000">
              <w:rPr>
                <w:vertAlign w:val="superscript"/>
                <w:rtl w:val="0"/>
              </w:rPr>
              <w:t xml:space="preserve">10</w:t>
            </w:r>
            <w:r w:rsidR="00000000" w:rsidRPr="00000000" w:rsidDel="00000000">
              <w:rPr>
                <w:rtl w:val="0"/>
              </w:rPr>
              <w:t xml:space="preserve"> panta ievaddaļā paredzētais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likuma 21.</w:t>
            </w:r>
            <w:r w:rsidR="00000000" w:rsidRPr="00000000" w:rsidDel="00000000">
              <w:rPr>
                <w:vertAlign w:val="superscript"/>
                <w:rtl w:val="0"/>
              </w:rPr>
              <w:t xml:space="preserve">10</w:t>
            </w:r>
            <w:r w:rsidR="00000000" w:rsidRPr="00000000" w:rsidDel="00000000">
              <w:rPr>
                <w:rtl w:val="0"/>
              </w:rPr>
              <w:t xml:space="preserve"> panta ievaddaļā.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10</w:t>
            </w:r>
            <w:r w:rsidR="00000000" w:rsidRPr="00000000" w:rsidDel="00000000">
              <w:rPr>
                <w:rtl w:val="0"/>
              </w:rPr>
              <w:t xml:space="preserve"> Preces un preces ar digitāliem elementiem, uz kurām attiecas remontējamības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aktu saraksts, kurā noteiktas preces un preces ar digitāliem elementiem, kurām ir paredzētas remontējamības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veļas mazgāšanas mašīnas un sadzīves veļas mazgāšanas un žāvēšanas mašīnas, saskaņā ar Eiropas Komisijas (ES) 2019. gada 1. oktobra regulu 2019/2023, ar ko saskaņā ar Eiropas Parlamenta un Padomes Direktīvu 2009/125/EK nosaka ekodizaina prasības sadzīves veļas mazgāšanas mašīnām un sadzīves veļas mazgāšanas un žāvēšanas mašīnām, ar ko groza Komisijas Regulu (EK) Nr. 1275/2008 un ar ko atceļ Komisijas Regulu (ES) Nr. 1015/2010;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Sadzīves trauku mazgāšanas mašīnas, saskaņā ar Eiropas Komisijas (ES) 2019. gada 1. oktobra regulu 2019/2022, ar ko saskaņā ar Eiropas Parlamenta un Padomes Direktīvu 2009/125/EK nosaka ekodizaina prasības sadzīves trauku mazgāšanas mašīnām, groza Komisijas Regulu (EK) Nr. 1275/2008 un atceļ Komisijas Regulu (ES) Nr. 1016/2010;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Aukstumiekārtas, saskaņā ar Eiropas Komisijas (ES) 2019. gada 1. oktobra regulu 2019/2019, ar ko saskaņā ar Eiropas Parlamenta un Padomes Direktīvu 2009/125/EK nosaka ekodizaina prasības aukstumiekārtām un atceļ Komisijas Regulu (EK) Nr. 643/2009;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Elektroniskajie displeji, saskaņā ar Eiropas Komisijas (ES) 2019. gada 1. oktobra regulu 2019/2021, ar ko nosaka ekodizaina prasības elektroniskajiem displejiem saskaņā ar Eiropas Parlamenta un Padomes Direktīvu 2009/125/EK, groza Komisijas Regulu (EK) Nr. 1275/2008 un atceļ Komisijas Regulu (EK) Nr. 642/2009;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Metināšanas aparāti, saskaņā ar Eiropas Komisijas (ES) 2019. gada 1. oktobra regulu 2019/1784, ar ko nosaka ekodizaina prasības metināšanas aparātiem saskaņā ar Eiropas Parlamenta un Padomes Direktīvu 2009/125/EK;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Putekļsūcēji, saskaņā ar Eiropas Komisijas (ES) 2013. gada 8. jūlija regulu Nr. 666/2013, ar ko Eiropas Parlamenta un Padomes Direktīvu 2009/125/EK īsteno attiecībā uz ekodizaina prasībām putekļsūcējiem;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Serveri un datu glabāšanas ražojumi, saskaņā ar Eiropas Komisijas (ES) 2019. gada 15. marta regulu 2019/424, ar ko nosaka ekodizaina prasības serveriem un datu glabāšanas ražojumiem atbilstīgi Eiropas Parlamenta un Padomes Direktīvai 2009/125/EK un groza Komisijas Regulu (ES) Nr. 617/2013;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Mobilie tālruņi, bezvadu tālruņi un ievadvirsmas planšetdatori, saskaņā ar Eiropas Komisijas (ES) 2023. gada 16. jūnija regulu 2023/1670, ar ko saskaņā ar Eiropas Parlamenta un Padomes Direktīvu 2009/125/EK nosaka ekodizaina prasības viedtālruņiem, mobilajiem tālruņiem, kas nav viedtālruņi, bezvadu tālruņiem un ievadvirsmas planšetdatoriem un groza Komisijas Regulu (ES) 2023/826;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Sadzīves veļas žāvētāji, saskaņā ar Eiropas Komisijas (ES) 2023. gada 17. novembra regulu 2023/2533, ar ko Eiropas Parlamenta un Padomes Direktīvu 2009/125/EK īsteno attiecībā uz ekodizaina prasībām sadzīves veļas žāvētājiem, groza Komisijas Regulu (ES) 2023/826 un atceļ Komisijas Regulu (ES) Nr. 932/2012;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Preces, kuru sastāvā ir vieglo pārvietošanās līdzekļu baterijas, saskaņā ar Eiropas Parlamenta un Padomes (ES) 2023. gada 12. jūlija regulu 2023/1542 par baterijām un bateriju atkritumiem, ar ko groza Direktīvu 2008/98/EK un Regulu (ES) 2019/1020 un atceļ Direktīvu 2006/66/EK.";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Šā likuma VII2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Latvijas izraudzītais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valsts sadaļai, lai remontētāji, un, ja attiecināms, atjaunotu preču pārdevēji, defektīvu atjaunojamu preču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"Latvijas izraudzītais",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ir izdzēsti vārdi "Latvijas izraudzītais".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IV</w:t>
            </w:r>
            <w:r w:rsidR="00000000" w:rsidRPr="00000000" w:rsidDel="00000000">
              <w:rPr>
                <w:vertAlign w:val="superscript"/>
                <w:rtl w:val="0"/>
              </w:rPr>
              <w:t xml:space="preserve">2</w:t>
            </w:r>
            <w:r w:rsidR="00000000" w:rsidRPr="00000000" w:rsidDel="00000000">
              <w:rPr>
                <w:rtl w:val="0"/>
              </w:rPr>
              <w:t xml:space="preserve">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remonta platformas valsts sadaļai, lai remontētāji, un, ja attiecināms, atjaunotu preču un preču ar digitāliem elementiem pārdevēji, defektīvu atjaunojamu preču un preču ar digitāliem elementiem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Šā likuma VII2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Latvijas izraudzītais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valsts sadaļai, lai remontētāji, un, ja attiecināms, atjaunotu preču pārdevēji, defektīvu atjaunojamu preču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likuma VII2 nodaļu, kas likumā nav atrodama arī likumprojekta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likumprojekta atsaucē, norādot, ka šā likuma </w:t>
            </w:r>
            <w:r w:rsidR="00000000" w:rsidRPr="00000000" w:rsidDel="00000000">
              <w:rPr>
                <w:u w:val="single"/>
                <w:rtl w:val="0"/>
              </w:rPr>
              <w:t xml:space="preserve">IV</w:t>
            </w:r>
            <w:r w:rsidR="00000000" w:rsidRPr="00000000" w:rsidDel="00000000">
              <w:rPr>
                <w:u w:val="single"/>
                <w:vertAlign w:val="superscript"/>
                <w:rtl w:val="0"/>
              </w:rPr>
              <w:t xml:space="preserve">2</w:t>
            </w:r>
            <w:r w:rsidR="00000000" w:rsidRPr="00000000" w:rsidDel="00000000">
              <w:rPr>
                <w:u w:val="single"/>
                <w:rtl w:val="0"/>
              </w:rPr>
              <w:t xml:space="preserve"> nodaļā</w:t>
            </w:r>
            <w:r w:rsidR="00000000" w:rsidRPr="00000000" w:rsidDel="00000000">
              <w:rPr>
                <w:rtl w:val="0"/>
              </w:rPr>
              <w:t xml:space="preserve"> minēto prasību ievērošanas uzraudzību un kontroli īsteno Patērētāju tiesību aizsardzības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IV</w:t>
            </w:r>
            <w:r w:rsidR="00000000" w:rsidRPr="00000000" w:rsidDel="00000000">
              <w:rPr>
                <w:vertAlign w:val="superscript"/>
                <w:rtl w:val="0"/>
              </w:rPr>
              <w:t xml:space="preserve">2</w:t>
            </w:r>
            <w:r w:rsidR="00000000" w:rsidRPr="00000000" w:rsidDel="00000000">
              <w:rPr>
                <w:rtl w:val="0"/>
              </w:rPr>
              <w:t xml:space="preserve">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remonta platformas valsts sadaļai, lai remontētāji, un, ja attiecināms, atjaunotu preču un preču ar digitāliem elementiem pārdevēji, defektīvu atjaunojamu preču un preču ar digitāliem elementiem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“(2)</w:t>
            </w:r>
            <w:r w:rsidR="00000000" w:rsidRPr="00000000" w:rsidDel="00000000">
              <w:rPr>
                <w:vertAlign w:val="superscript"/>
                <w:rtl w:val="0"/>
              </w:rPr>
              <w:t xml:space="preserve">1</w:t>
            </w:r>
            <w:r w:rsidR="00000000" w:rsidRPr="00000000" w:rsidDel="00000000">
              <w:rPr>
                <w:rtl w:val="0"/>
              </w:rPr>
              <w:t xml:space="preserve"> Ja saskaņā ar šā panta pirmo un otro daļu tiek veikts remonts, lai nodrošinātu preces atbilstību līguma noteikumiem, tad atbilstības laikposmu vienu reizi pagarina par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likumprojektā norādīts uz pagarināšanu par vienu kalendāro gadu, savukārt korespondējošajās direktīvas vienībās norādīts uz divpadsmit mēnešu termiņu, tādēļ lūdzam izvērtēt un nodrošināt konsekventu laikposmu preces atbilstības līguma noteikumiem nodrošināšanai, likumprojekta anotācijā sniedzot pamatojumu par atbilstību direktīvā paredzētajam laikposmam.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norādīts uz pagarināšanu par vienu gadu nevis 12 mēnešiem, lai nodrošinātu konsekvenci ar citiem PTAL pantiem, kuros jau šobrīd tiek minēts šāds laika posms, kā, piemēram, PTAL 13. panta otrajā daļā, kur tiek noteikts, ka "</w:t>
            </w:r>
            <w:r w:rsidR="00000000" w:rsidRPr="00000000" w:rsidDel="00000000">
              <w:rPr>
                <w:i w:val="1"/>
                <w:rtl w:val="0"/>
              </w:rPr>
              <w:t xml:space="preserve">Pārdevējs vai pakalpojuma sniedzējs ir atbildīgs par jebkuru preces piegādes dienā esošu neatbilstību, kas atklājas </w:t>
            </w:r>
            <w:r w:rsidR="00000000" w:rsidRPr="00000000" w:rsidDel="00000000">
              <w:rPr>
                <w:i w:val="1"/>
                <w:u w:val="single"/>
                <w:rtl w:val="0"/>
              </w:rPr>
              <w:t xml:space="preserve">divu gadu laikā </w:t>
            </w:r>
            <w:r w:rsidR="00000000" w:rsidRPr="00000000" w:rsidDel="00000000">
              <w:rPr>
                <w:i w:val="1"/>
                <w:rtl w:val="0"/>
              </w:rPr>
              <w:t xml:space="preserve">no preces piegādes dienas.</w:t>
            </w:r>
            <w:r w:rsidR="00000000" w:rsidRPr="00000000" w:rsidDel="00000000">
              <w:rPr>
                <w:rtl w:val="0"/>
              </w:rPr>
              <w:t xml:space="preserve">". Šāds papildus skaidrojums ievietots arī likumprojekta anotācijas 1.3.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pārņemot Direktīvas 2024/1799 prasības un norādot nevis 12 mēnešu periodu, bet gan vienu gadu, tiek noteikts pēc būtības tāds pats laika posms, ņemot vērā, ka viens gads sastāv no 12 mēnešiem (kā ir norādīts arī skaidrojošajā un sinonīmu vārdnīcā TĒZAURS - https://tezaurs.lv/gads:1).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Ja saskaņā ar šā panta pirmo un otro daļu tiek veikts remonts, lai nodrošinātu preces vai preces ar digitāliem elementiem atbilstību līguma noteikumiem, tad atbilstības laikposmu vienu reizi pagarina par vienu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"Par remonta veidlapai noteikto prasību neievērošanu, remontēšanas pienākuma neievērošanu vai noteikto prasību pārkāpšanu un šā likuma 21.8 panta devītās daļas neievērošanu piemēro naudas sodu fiziskajai personai līdz septiņdesmit naudas soda vienībām, bet juridiskajai personai — no sešām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21.</w:t>
            </w:r>
            <w:r w:rsidR="00000000" w:rsidRPr="00000000" w:rsidDel="00000000">
              <w:rPr>
                <w:vertAlign w:val="superscript"/>
                <w:rtl w:val="0"/>
              </w:rPr>
              <w:t xml:space="preserve">8</w:t>
            </w:r>
            <w:r w:rsidR="00000000" w:rsidRPr="00000000" w:rsidDel="00000000">
              <w:rPr>
                <w:rtl w:val="0"/>
              </w:rPr>
              <w:t xml:space="preserve"> panta devītā daļa paredz tiesības piedāvāt tādus līguma noteikumus, kas nodrošina augstāku patērētāja tiesību aizsardzību remonta pakalpojumu sniegšanai un saņemšanai, nekā noteikts šajā likumā, tādēļ ir apšaubāms, ka par minētās daļas neievērošanu, proti, savu tiesību neīstenošanu, ir pamatoti piemērot sodus, tādēļ lūdzam izvērtēt un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ir izdzēsta atsauce uz likuma 21.</w:t>
            </w:r>
            <w:r w:rsidR="00000000" w:rsidRPr="00000000" w:rsidDel="00000000">
              <w:rPr>
                <w:vertAlign w:val="superscript"/>
                <w:rtl w:val="0"/>
              </w:rPr>
              <w:t xml:space="preserve">8</w:t>
            </w:r>
            <w:r w:rsidR="00000000" w:rsidRPr="00000000" w:rsidDel="00000000">
              <w:rPr>
                <w:rtl w:val="0"/>
              </w:rPr>
              <w:t xml:space="preserve"> panta devīto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"Par remonta veidlapai noteikto prasību neievērošanu, remontēšanas pienākuma neievērošanu vai noteikto prasību pārkāpšanu un šā likuma 21.8 panta devītās daļas neievērošanu piemēro naudas sodu fiziskajai personai līdz septiņdesmit naudas soda vienībām, bet juridiskajai personai — no sešām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pārskatīt normas saturu pēc būtības: administratīvās atbildības nepieciešamību un pieļaujamību, regulējuma atbilstību pārkāpumu definēšanas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ir nepieciešams rūpīgi apsvērt jaunu administratīvu pārkāpumu ietveršanu likumprojektā, izvērtējot administratīvās atbildības pieļaujamības un nepieciešamības kritērijus (sk. Tieslietu ministrijas iebildumu par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administratīvo pārkāpumu noteikt, neizmantojot iekšējās atsauces (piemēram, "šā likuma 21.</w:t>
            </w:r>
            <w:r w:rsidR="00000000" w:rsidRPr="00000000" w:rsidDel="00000000">
              <w:rPr>
                <w:vertAlign w:val="superscript"/>
                <w:rtl w:val="0"/>
              </w:rPr>
              <w:t xml:space="preserve">8</w:t>
            </w:r>
            <w:r w:rsidR="00000000" w:rsidRPr="00000000" w:rsidDel="00000000">
              <w:rPr>
                <w:rtl w:val="0"/>
              </w:rPr>
              <w:t xml:space="preserve"> panta devītās daļas neievērošanu"). Pārkāpuma pazīmēm jābūt skaidrām bez atsaucēm uz citām tiesību normām. Vispārīgi ir pieļaujamas informatīvas atsauces uz ES regulām, bet arī tad pārkāpuma pazīmēm jābūt skaidrām un pilnīgi noteiktām, ja šo atsauci izņemtu.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pieļaujams un atbalstāms administratīvais pārkāpums, kas satur, piemēram, tādu pārkāpuma pazīmi  kā "noteikto prasību neievērošanu" vai "noteikto prasību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normas ir blanketas normas, jo tās ietver norādi uz citos normatīvos aktos iekļautajām tiesību normām (priekšrakstiem) (</w:t>
            </w:r>
            <w:r w:rsidR="00000000" w:rsidRPr="00000000" w:rsidDel="00000000">
              <w:rPr>
                <w:i w:val="1"/>
                <w:rtl w:val="0"/>
              </w:rPr>
              <w:t xml:space="preserve">sk. Normatīvo aktu projektu izstrādes rokasgrāmata. Pieejama: https://tai.mk.gov.lv/book/1/chapter/81</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Ievērojot minēto, likumprojektā ietvertajam pārkāpuma aprakstam, lai arī ļoti vispārīgi, bet ir jāsatur pārkāpuma pazīmes. Prasība pēc tiesību normas skaidrības ir nostiprināta gan Latvijas Republikas Satversmē, gan Eiropas Padomes Cilvēka tiesību un pamatbrīvību aizsardzības konvencijā, gan Eiropas Cilvēktiesību tiesas un Latvijas Republikas Satversmes tiesas spriedumos. Eiropas Padomes Cilvēka tiesību un pamatbrīvību aizsardzības konvencijas 7. pants vispārējā formā satur principu, ka krimināltiesībās atbildībai par tiesībpārkāpumu un sodam jābūt noteiktiem saskaņā ar likumu (</w:t>
            </w:r>
            <w:r w:rsidR="00000000" w:rsidRPr="00000000" w:rsidDel="00000000">
              <w:rPr>
                <w:i w:val="1"/>
                <w:rtl w:val="0"/>
              </w:rPr>
              <w:t xml:space="preserve">lat. val. – nullum crimen, nulla poena sine lege</w:t>
            </w:r>
            <w:r w:rsidR="00000000" w:rsidRPr="00000000" w:rsidDel="00000000">
              <w:rPr>
                <w:rtl w:val="0"/>
              </w:rPr>
              <w:t xml:space="preserve">). Nostiprinātā prasība tiek atzīta par izpildītu, ja apsūdzētajam ir iespēja no tiesību normas teksta zināt (nepieciešamības gadījumā arī izmantojot interpretāciju, kas ietverta tiesu nolēmumos), par kādu tieši darbību vai bezdarbību noteikta kriminālatbildība. Arī gadījumos, kad personai likumā tiek paredzēta sodoša rakstura administratīvā sankcija, darbojas iepriekš minētais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administratīvo pārkāpumu un par to piemērojamo sodu var noteikt tikai likumdevējs (Saeima). Nav pieļaujama situācija, ka pārkāpuma saturu būtībā noteiktu izpildvara. Tam jāpievērš īpaša uzmanība, ja ir paredzēta administratīvā atbildība par Ministru kabineta noteikumos ietvertu pienākumu neievērošanu. Pilnvarojumam tādā gadījumā jābūt ārkārtīgi precīzam, nosakot skaidras Ministru kabineta rīcības brīvības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iespējamo argumentu, ka līdzīgi veidotas administratīvās atbildības normas ir atrodamas gan grozāmajā likumā, gan, iespējams, citos likumos. Tomēr šāda veida argumenta juridiskā nozīme nav būtiska. Krimināltiesiska (sodoša) rakstura administratīvo sankciju, tostarp administratīvo pārkāpumu un sodu, definēšanas prasības joprojām tiek attīstītas gan Latvijas, gan citu Eiropas valstu tiesību sistēmās. Līdz ar to saprātīgā laika posmā būtu pārskatāma arī citu grozāmajā likumā ietverto administratīvo pārkāpumu atbilstība mūsdienu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veiktas izmaiņas iepriekš piedāvātajos soda pantos, ņemot vērā veiktās konsultācijas ar Patērētāju tiesību aizsardzības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tiek papildināts ar 3. panta otro daļu, nosakot, ka par šā likuma, kā arī citu patērētāju tiesību aizsardzību regulējošo normatīvo aktu pārkāpumiem sods var tikt piemērots atbilstoši Negodīgas komercprakses aizlieguma likuma 15.</w:t>
            </w:r>
            <w:r w:rsidR="00000000" w:rsidRPr="00000000" w:rsidDel="00000000">
              <w:rPr>
                <w:vertAlign w:val="superscript"/>
                <w:rtl w:val="0"/>
              </w:rPr>
              <w:t xml:space="preserve">2</w:t>
            </w:r>
            <w:r w:rsidR="00000000" w:rsidRPr="00000000" w:rsidDel="00000000">
              <w:rPr>
                <w:rtl w:val="0"/>
              </w:rPr>
              <w:t xml:space="preserve"> 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Latvijas tiesību sistēmā visi patērētāju tiesību pārkāpumi, tostarp, šā likuma noteikto prasību neievērošana, tiek vērtēti kā daļa no komersanta īstenotās komercprakses (kur Negodīgas komercprakses aizlieguma likums pēc būtības ir “jumta” regulējums). Līdz ar to, konstatējot elementu, ka īstenotā prakse ir negatīvi ietekmējusi patērētāju tiesiskās intereses un ekonomisko rīcību, tiek vērtēta komersanta īstenotās komercprakses atbilstība normatīvo aktu prasībām, pārkāpuma gadījumos piemērojot Negodīgas komercprakses aizlieguma likuma 15.</w:t>
            </w:r>
            <w:r w:rsidR="00000000" w:rsidRPr="00000000" w:rsidDel="00000000">
              <w:rPr>
                <w:vertAlign w:val="superscript"/>
                <w:rtl w:val="0"/>
              </w:rPr>
              <w:t xml:space="preserve">2</w:t>
            </w:r>
            <w:r w:rsidR="00000000" w:rsidRPr="00000000" w:rsidDel="00000000">
              <w:rPr>
                <w:rtl w:val="0"/>
              </w:rPr>
              <w:t xml:space="preserve"> pantā  noteikto sodu. Gadījumā, kad pārkāpums ir formāls un negatīvas sekas patērētājam nav radītas, atbilstoši samērīguma principam, sods komersantam par šādu formālu pārkāpumu nebūtu jāpiemēro.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ar šajā likumprojektā ieviešamajām jaunajām prasībām, to veiktā darbība vērtējama kā daļa no īstenotās komercprakses. Kā arī, lai izvairītos no soda normu dublēšanās, šāda atsauce varētu būt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jaunā 3. panta otrā daļa ir vienkārša informatīva atsauce, kas nekādu jaunu pārkāpumu nedefinē un nenoteic, bet gan precizē, kādos gadījumos var tikt piemērots sods. Attiecīgi ar šo normu netiek definēts vai noteiks jauns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anotācijā par katru likumprojekta 6. pantā minēto pārkāpumu nav iekļauts pilnvērtīgs administratīvās atbildības nepieciešamības un pieļaujamības kritēriju izvērtējums, pārkāpuma satura skaidrojums,  kā arī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vēršam uzmanību, ka Eiropas Parlamenta un Padomes 2024. gada 13. jūnija direktīva (ES) 2024/1799 par kopīgiem noteikumiem preču remontēšanas veicināšanai un ar ko groza Regulu (ES) 2017/2394 un Direktīvas (ES) 2019/771 un (ES) 2020/1828 (turpmāk – Direktīva 2024/1799) neparedz obligāti tieši administratīvā soda noteikšanu (sk. Direktīvas 2024/1799 15.pantu). Ņemot vērā minēto, ir jāizvērtē citu sankciju ietveršana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rūpīgas izvērtēšanas tiks secināts, ka ir nepieciešams paredzēt tieši administratīvu atbildību par likumprojekta 6. pantā minētajiem pārkāpumiem, tad lūdzam likumprojekta anotāciju papildināt ar administratīvās atbildības nepieciešamības un pieļaujamības kritēriju izvērtējumu par katru pantā minēto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 Tomēr arī, piem., patērētāju tiesību jomā ikviens jauns izņēmums ir rūpīgi izvērtējams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likumprojekta anotācijā iekļaut soda veida un apmēra izvēles pamatojumu.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saglabāta administratīvā atbildība kā vienota sistēma, iespējami jānodrošina sabalansēta sodu bardzība par līdzīga smaguma pārkāpumiem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 Salīdzinoši liela nozīme piešķirama tieši pārkāpumu, kas saistīti ar līdzvērtīgu tiesisko interešu aizsardzību, salīdzinājumam.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pamatojams soda minimālais un maksimālais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8.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("Zero Waste Latvija"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Latvijā nav vienotas sistēmas un nosacījumu attiecībā uz remonta veikšanu, nepastāv arī vienota tiešsaistes platforma, kurā apkopota informācija par patērētājiem pieejamiem remonta pakalpojumu sniedzējiem – katrs pakalpojumu sniedzējs informāciju par saviem pakalpojumiem sniedz patērētājiem sev ērtākā un pieņemamākajā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Latvijā darbojas tiešsaistes digitāla aprites ekonomikas pakalpojumu un patērētāju apritīgu patēriņa paradumu veicināšanas platforma Lietovelreiz.lv, turpmāk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ir izveidota ar mērķi veicināt aprites ekonomiku Latvijā, tostarp lietu remonta pasākumus, informatīvi atbalstot pašnodarbināto, mazo, vidējo un mikrouzņēmumu darbību aprites ekonomikas jomās un vienlaikus nodrošinot patērētājiem vienkopus pieejamu informāciju par apritīgiem pakalpojumiem, skatīt platformas sadaļu "Karte" (https://www.lietovelreiz.lv/lv/karte).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biedrība Zero Waste Latvija izveidoja un uztur LIFE integrētā projekta “Atkritumi kā resursi Latvijā – Reģionālās ilgtspējas un aprites veicināšana, ieviešot atkritumu kā resursu izmantošanas koncepciju" ietvaros ar Eiropas Savienības LIFE programmas un Viedās administrācijas un reģionālās attīstības ministrijas finansiālu atbalstu (https://wastetoresources.kem.gov.lv/). Integrētā projekta vadošais partneris - Klimata un enerģētikas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darbību šobrīd un līdz 2028. gada beigām paredzēts nodrošināt LIFE projekta ietvaros un 5 gadus pēc tā biedrībai Zero Waste Latvija jāturpina platformas tālāka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vienotas sistēmas un nosacījumu attiecībā uz remonta veikšanu. Katrs pakalpojumu sniedzējs informāciju par saviem pakalpojumiem sniedz patērētājiem sev ērtākā un pieņemamākajā veidā. Kopš 2023. gada izveidota digitāla tiešsaistes platforma, kurā apkopota informācija par patērētājiem pieejamiem aprites ekonomikas pakalpojumiem, tostarp remonta pakalpojumu sniedzējiem – https://www.lietovelreiz.lv/lv/karte, kurā pakalpojumu veicējiem ir brīvprātīga iespēja sniegt informāciju par saviem pakalpojumiem, būtiskiem remonta nosacījumiem un saziņas veidiem. Šī platforma sevī ietver tādu funkcionalitāti pakalpojuma atrašanu pēc lokācijas, bet šobrīd neietver Remonta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veikts papildinājums, norādot par platformas Lietovelreiz.lv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tiek precizēts, ka minēto platformu nav plānots sasaistīt ar valsts sadaļu remonta platformā, ņemot vērā, ka minētajai platformai ir nepieciešams veikt atsevišķus pielāgojumus un izmaiņas, lai tā atbilstu visām Direktīvā 2024/1799 noteiktajām prasībām, savukārt šādu darbību veikšanai nav paredzēts pieprasīt papildus finanšu līdzekļus. Līdz ar to Ekonomikas mimnistrija nevar nodrošināt minētās platformas Lietovelreiz.lv atbilstību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veicot grozījumus Patērētāju tiesību aizsardzības likumā un paplašinot Patērētāju tiesību aizsardzības centra (turpmāk - PTAC) uzraudzības funkcijas, kā arī nosakot to par kontaktpunktu remonta platformas darbībā un komunikācijā ar Eiropas Komisiju, ir jābūt pilnīgi skaidram kāda finansējuma ietvaros PTAC to nodrošinās. Ievērojot minēto, lūdzam anotācijas 3.sadaļas punktā “Cita informācija” svītrot informāciju, ka pašreizējā stadijā precīzu ietekmi uz budžetu nav iespējams noteikt un nepieciešamības gadījumā jautājums būs skatāms Ministru kabinetā gadskārtējā valsts budžeta un vidēja termiņa budžeta ietvara likumprojekta sagatavošanas un izskatīšanas procesā. Vienlaikus minētajā punktā lūdzam norādīt, ka likumprojektā paredzēto normu izpilde, tajā skaitā PTAC uzlikto papildu uzraudzības pienākumu un kontaktpunkta funkcijas īstenošana, tiks nodrošināta Ekonomikas ministrijas budžeta apakšprogrammā 26.01.00 “Iekšējais tirgus un patērētāju tiesību aizsardzība” piešķirto valsts budžeta līdzekļu un esošo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Likumprojekta anotācijas 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5.4. apakšsadaļas 1. tabulā ietverto informāciju par Direktīvas 2024/1799 2. panta 6.-8., 10. punkta, 6. panta pārņemšanu, 7. panta 5. punkta, 14. panta 1. un 2. punkta, kas "B" ailē atspoguļota acīmredzami nekorekti. Papildus lūdzam skaidrot arī minētās direktīvas 9. panta 2. un 3. punkta, kā arī 4. punkta "b" apakšpunkta, 11.-13. panta, 16. panta 4. punkta otrās un trešās daļas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Direktīvas 2024/1799 7. panta 3.,4. punktā (attiecas vienīgi uz dalībvalstīm, kurām ir vismaz viena publiska vai privāta valsts tiešsaistes platforma, kas aptver visu to teritoriju un atbilst konkrētā panta 6. punktā izklāstītajiem noteikumiem) un 16. panta 2. punktā paredzēta rīcības brīvība, lūdzam papildināt likumprojekta anotācijas 5.4. sadaļu, papildinot aili (sniedzot pamatojumu) par dalībvalsts rīcības brīvības izmantošanu, norādot konkrētās direktīvas normas, kas paredz rīcības brīvību, kādā veidā minētā rīcības brīvība ir izmantota likumprojektā, un to, kādēļ ir vai nav izmantota direktīvā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1.tabulā veikti precizējumi attiecībā uz Direktīvas pantiem. Taču norādām, ka Direktīvas 2024/1799 2. panta 7. punkts pēc būtības jau šobrīd ir PTAL normās – PTAL 1. panta 5. punkts “</w:t>
            </w:r>
            <w:r w:rsidR="00000000" w:rsidRPr="00000000" w:rsidDel="00000000">
              <w:rPr>
                <w:i w:val="1"/>
                <w:rtl w:val="0"/>
              </w:rPr>
              <w:t xml:space="preserve">pārdevējs — fiziskā vai juridiskā persona (arī importētājs), kas savas saimnieciskās vai profesionālās darbības ietvaros piedāvā vai pārdod preci patērētājam, arī izmantojot citu personu starpniecību, kuras rīkojas pārdevēja vārdā vai uzdevumā</w:t>
            </w:r>
            <w:r w:rsidR="00000000" w:rsidRPr="00000000" w:rsidDel="00000000">
              <w:rPr>
                <w:rtl w:val="0"/>
              </w:rPr>
              <w:t xml:space="preserve">”. Ja Tieslietu ministrija tomēr uzskata, ka terminu “</w:t>
            </w:r>
            <w:r w:rsidR="00000000" w:rsidRPr="00000000" w:rsidDel="00000000">
              <w:rPr>
                <w:i w:val="1"/>
                <w:rtl w:val="0"/>
              </w:rPr>
              <w:t xml:space="preserve">importētājs</w:t>
            </w:r>
            <w:r w:rsidR="00000000" w:rsidRPr="00000000" w:rsidDel="00000000">
              <w:rPr>
                <w:rtl w:val="0"/>
              </w:rPr>
              <w:t xml:space="preserve">” nepieciešams atsevišķi pārņemt ar šo Likumprojektu (līdzīgi kā tas ir ar Likumprojektu pārņemtajiem terminiem “</w:t>
            </w:r>
            <w:r w:rsidR="00000000" w:rsidRPr="00000000" w:rsidDel="00000000">
              <w:rPr>
                <w:i w:val="1"/>
                <w:rtl w:val="0"/>
              </w:rPr>
              <w:t xml:space="preserve">pilnvarotais pārstāvis</w:t>
            </w:r>
            <w:r w:rsidR="00000000" w:rsidRPr="00000000" w:rsidDel="00000000">
              <w:rPr>
                <w:rtl w:val="0"/>
              </w:rPr>
              <w:t xml:space="preserve">”, “</w:t>
            </w:r>
            <w:r w:rsidR="00000000" w:rsidRPr="00000000" w:rsidDel="00000000">
              <w:rPr>
                <w:i w:val="1"/>
                <w:rtl w:val="0"/>
              </w:rPr>
              <w:t xml:space="preserve">izplatītājs</w:t>
            </w:r>
            <w:r w:rsidR="00000000" w:rsidRPr="00000000" w:rsidDel="00000000">
              <w:rPr>
                <w:rtl w:val="0"/>
              </w:rPr>
              <w:t xml:space="preserve">” un “</w:t>
            </w:r>
            <w:r w:rsidR="00000000" w:rsidRPr="00000000" w:rsidDel="00000000">
              <w:rPr>
                <w:i w:val="1"/>
                <w:rtl w:val="0"/>
              </w:rPr>
              <w:t xml:space="preserve">atjaunošana</w:t>
            </w:r>
            <w:r w:rsidR="00000000" w:rsidRPr="00000000" w:rsidDel="00000000">
              <w:rPr>
                <w:rtl w:val="0"/>
              </w:rPr>
              <w:t xml:space="preserve">”),</w:t>
            </w:r>
            <w:r w:rsidR="00000000" w:rsidRPr="00000000" w:rsidDel="00000000">
              <w:rPr>
                <w:u w:val="single"/>
                <w:rtl w:val="0"/>
              </w:rPr>
              <w:t xml:space="preserve"> Ekonomikas ministrija ir gatava šādas izmaiņas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2024/1799 9. panta 2. un 3. punkts, kā arī 4. punkta “b” apakšpunkts ir saistīts ar piekļuves nosacījumu noteikšanu valsts sadaļai. Attiecīgi nosakot, ka dalībvalstis var pieņemt nosacījumus (rīcības brīvība) par to, kā piekļūt valsts sadaļām un, lai varētu tajā reģistrēties. Norādām, ka Latvija šobrīd ir izvēlējusies neieviest papildus nosacījumus reģistrācijas procesam, tā atvieglojot remontētāju reģistrāciju. Tātad, kā ir norādīts arī  Likumprojekta anotācijas 1.3. sadaļā, Latvija šobrīd nenoteiks nekādus papildus nosacījumus, ņemot vērā, ka remonta platforma ir jauna iespēja remonta pakalpojumu sniegšanas jomā un sākotnēji ir nepieciešams saprast, kāda būs gan remontētāju, gan patērētāju aktivitāte tajā kopumā. Ja laika gaitā būs nepieciešams attiecīgus nosacījumus ieviest, to būs iespējams izdarīt, veicot grozījumus PTAL.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11., 12. un 13. pants pēc būtības runā par izpildes nodrošināšanu, informācijas nodrošināšanu patērētājiem un dalībvalstu veicamiem pasākumiem remonta veicināšanai. Pārņemt minētos Direktīvas pantus nacionālajā likumdošanā nav nepieciešams, ņemot vērā, ka attiecīgi nosacījumi jau ir ietverti PTAL un citās normās, kad tika pārņemta Direktīva 2019/771 (</w:t>
            </w:r>
            <w:r w:rsidR="00000000" w:rsidRPr="00000000" w:rsidDel="00000000">
              <w:rPr>
                <w:i w:val="1"/>
                <w:rtl w:val="0"/>
              </w:rPr>
              <w:t xml:space="preserve">Sales of Goods Directive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11. pants pēc būtības ir meklējams PTAL 23., 24. pantā un 25. panta sestajā daļā, nosakot, ka netiek liegtas tiesības vērsties tiesā, un, ka PTAC ir iestāde, kas šādus jautājumus palīdz risināt. Šie ieviestie nosacījumi arī šis Direktīvas 2024/1799 ir uzskatāmi par pietiekamiem.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2024/1799 12. un 13. pants, līdzīgi kā 11. pants, jau ir atrodami nacionālajā likumdošanā, līdz ar to papildus veikt attiecīgus grozījumus PTAL veikt nav nepieciešams. Informēšanas pasākumu veikšana par patērētāju tiesībām ir noteikta ar Ministru kabineta 2006.gada 1. augusta noteikumu Nr. 632 “</w:t>
            </w:r>
            <w:r w:rsidR="00000000" w:rsidRPr="00000000" w:rsidDel="00000000">
              <w:rPr>
                <w:i w:val="1"/>
                <w:rtl w:val="0"/>
              </w:rPr>
              <w:t xml:space="preserve">Patērētāju tiesību aizsardzības centra nolikums</w:t>
            </w:r>
            <w:r w:rsidR="00000000" w:rsidRPr="00000000" w:rsidDel="00000000">
              <w:rPr>
                <w:rtl w:val="0"/>
              </w:rPr>
              <w:t xml:space="preserve">” 13. punktu, savukārt pasākumi remonta veicināšanai pēc būtības ir noteikti PTAL 28. panta pirmajā, otrajā un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arī attiecīgi papildinājumi anotācijas 5.4. sadaļas pirmajā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Direktīvā 2024/1799 nav atrodamas 16. panta 4. punkta 2) un 3) daļas, līdz ar to nevaram komentēt šo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sniegts skaidrojums par Latvijas izvēles brīvības izmantošanu (neizmantošanu) attiecībā uz 7. panta trešo un ceturto punktu, kā arī par 16. panta otro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ar 26., 27., 28., 29., 30. un 31. punktu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likumprojekta 1. panta punktu numerāciju, ņemot vērā, ka spēkā esošā likuma 1. pantā ir ietverti astoņpadsmit punkti.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tehniski precizēts, sākot jauno jēdzienu numerāciju ar 19.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19., 20., 21., 22., 23., 24. un 25. punktu šādā redakcijā: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"26) remontētājs - jebkura fiziskā vai juridiskā persona, pārdevēji vai ražotāji, kas savas saimnieciskās vai profesionālās darbības ietvaros sniedz pakalpojumu patērētājam, arī izmantojot citu personu starpniecību, kuras rīkojas tā vārdā vai uzdevumā, sniedz remonta pakalpojumus, kā arī no ražotāja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remonts - Eiropas Parlamenta un Padomes (ES) 2024. gada 13. jūnija regulas 2024/1781, ar ko izveido satvaru ekodizaina prasību noteikšanai ilgtspējīgiem produktiem, groza Direktīvu (ES) 2020/1828 un Regulu (ES) 2023/1542 un atceļ Direktīvu 2009/125/EK (turpmāk - Regula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remonta platforma – Eiropas tiešsaistes platforma remontam, kurā patērētāji var atrast remontētājus, kā arī atjaunotu preču pārdevējus, defektīvu preču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atjaunošana - Regulas 2024/1781 2. panta 18) punktā minētā pārjaunošana.";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termina "remontētājs" skaidrojumu, izslēdzot vārdus "sniedz pakalpojumu patērētājam" vai konkretizējot, kādi pakalpojumi šeit ir domāti. Papildus lūdzam norādīt arī uz no pārdevējiem neatkarīgiem remonta pakalpojuma sniedzējiem atbilstoši korespondējošajā direktīvas normā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termins "remontētājs", norādot, ka tās ir personas, kas sniedz </w:t>
            </w:r>
            <w:r w:rsidR="00000000" w:rsidRPr="00000000" w:rsidDel="00000000">
              <w:rPr>
                <w:u w:val="single"/>
                <w:rtl w:val="0"/>
              </w:rPr>
              <w:t xml:space="preserve">remonta</w:t>
            </w:r>
            <w:r w:rsidR="00000000" w:rsidRPr="00000000" w:rsidDel="00000000">
              <w:rPr>
                <w:rtl w:val="0"/>
              </w:rPr>
              <w:t xml:space="preserve"> pakalpojumus, kā arī veikti precizējoši labojumi attiecībā uz no pārdevējiem neatkarīgiem remonta pakalpojuma 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remontētājs - jebkura fiziskā vai juridiskā persona, pārdevēji vai ražotāji, kas savas saimnieciskās vai profesionālās darbības ietvaros, arī izmantojot citu personu starpniecību, kuras rīkojas tā vārdā vai uzdevumā, sniedz remonta pakalpojumus, kā arī no ražotāja  vai pārdevēja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importētājs - Eiropas Parlamenta un Padomes (ES) 2024. gada 13. jūnija regulas 2024/1781, ar ko izveido satvaru ekodizaina prasību noteikšanai ilgtspējīgiem produktiem, groza Direktīvu (ES) 2020/1828 un Regulu (ES) 2023/1542 un atceļ Direktīvu 2009/125/EK (turpmāk - Regula 2024/1781) 2. panta 44. punktā minētais importētājs;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remonts - Regulas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remonta platforma – Eiropas tiešsaistes platforma remontam, kurā patērētāji var atrast remontētājus, kā arī atjaunotu preču un preču ar digitāliem elementiem pārdevējus, defektīvu preču un preču ar digitāliem elementiem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atjaunošana - Regulas 2024/1781 2. panta 18. punktā minētā pārjaunošana.";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"26) remontētājs - jebkura fiziskā vai juridiskā persona, pārdevēji vai ražotāji, kas savas saimnieciskās vai profesionālās darbības ietvaros sniedz pakalpojumu patērētājam, arī izmantojot citu personu starpniecību, kuras rīkojas tā vārdā vai uzdevumā, sniedz remonta pakalpojumus, kā arī no ražotāja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remonts - Eiropas Parlamenta un Padomes (ES) 2024. gada 13. jūnija regulas 2024/1781, ar ko izveido satvaru ekodizaina prasību noteikšanai ilgtspējīgiem produktiem, groza Direktīvu (ES) 2020/1828 un Regulu (ES) 2023/1542 un atceļ Direktīvu 2009/125/EK (turpmāk - Regula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remonta platforma – Eiropas tiešsaistes platforma remontam, kurā patērētāji var atrast remontētājus, kā arī atjaunotu preču pārdevējus, defektīvu preču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atjaunošana - Regulas 2024/1781 2. panta 18) punktā minētā pārjaunošana.";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atsauces uz regulas vienībām. Līdzigi aicinām precizēt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remontētājs - jebkura fiziskā vai juridiskā persona, pārdevēji vai ražotāji, kas savas saimnieciskās vai profesionālās darbības ietvaros sniedz pakalpojumu patērētājam, arī izmantojot citu personu starpniecību, kuras rīkojas tā vārdā vai uzdevumā, sniedz remonta pakalpojumus, kā arī no ražotāja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remonts - Eiropas Parlamenta un Padomes (ES) 2024. gada 13. jūnija regulas 2024/1781, ar ko izveido satvaru ekodizaina prasību noteikšanai ilgtspējīgiem produktiem, groza Direktīvu (ES) 2020/1828 un Regulu (ES) 2023/1542 un atceļ Direktīvu 2009/125/EK (turpmāk - Regula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remonta platforma – Eiropas tiešsaistes platforma remontam, kurā patērētāji var atrast remontētājus, kā arī atjaunotu preču pārdevējus, defektīvu preču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atjaunošana - Regulas 2024/1781 2. panta 18. punktā minētā pārjaunošana.";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precizētas atsauces uz regulas vienībām likumprojekta 1. pantā.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remontētājs - jebkura fiziskā vai juridiskā persona, pārdevēji vai ražotāji, kas savas saimnieciskās vai profesionālās darbības ietvaros, arī izmantojot citu personu starpniecību, kuras rīkojas tā vārdā vai uzdevumā, sniedz remonta pakalpojumus, kā arī no ražotāja  vai pārdevēja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importētājs - Eiropas Parlamenta un Padomes (ES) 2024. gada 13. jūnija regulas 2024/1781, ar ko izveido satvaru ekodizaina prasību noteikšanai ilgtspējīgiem produktiem, groza Direktīvu (ES) 2020/1828 un Regulu (ES) 2023/1542 un atceļ Direktīvu 2009/125/EK (turpmāk - Regula 2024/1781) 2. panta 44. punktā minētais importētājs;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remonts - Regulas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remonta platforma – Eiropas tiešsaistes platforma remontam, kurā patērētāji var atrast remontētājus, kā arī atjaunotu preču un preču ar digitāliem elementiem pārdevējus, defektīvu preču un preču ar digitāliem elementiem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atjaunošana - Regulas 2024/1781 2. panta 18. punktā minētā pārjaunošana.";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"8) ir norādītajā daudzumā un tai piemīt īpašības un izpildījums, tai skaitā attiecībā uz ilgizturību, remontējamību, funkcionalitāti, saderību un drošību, kāds parasti piemīt tāda paša veida precēm un kādu patērētājs var pamatoti gaidīt, ņemot vērā preces raksturu un pārdevēja, pakalpojuma sniedzēja vai citu piegādes ķēdē iesaistīto saimnieciskās darbības veicēju publiskos, īpaši reklāmā vai preces marķējumā sniegtos,  paziņojumus.";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korespondējošajai direktīvas normai norādīt uz pārdevēja, pakalpojuma sniedzēja vai citu piegādes ķēdē iesaistīto saimnieciskās darbības veicēju vārdā sniegtiem publiskiem paziņojumiem, kā arī aicinām tiesiskās noteiktības nolūkā norādīt kā piemēru arī ražotāju. Alternatīvi lūdzam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14. panta pirmās daļas 8. punktā, minot arī ražotāju.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ir norādītajā daudzumā un tai piemīt īpašības un izpildījums, tai skaitā attiecībā uz ilgizturību, remontējamību, funkcionalitāti, saderību un drošību, kāds parasti piemīt tāda paša veida precēm un kādu patērētājs var pamatoti gaidīt, ņemot vērā preces un preces ar digitāliem elementiem raksturu un jebkurus, īpaši reklāmā vai preces vai preces ar digitāliem elementiem marķējumā sniegtus, pārdevēja, pakalpojuma sniedzēja vai citu piegādes ķēdē iesaistīto saimnieciskās darbības veicēju, tostarp ražotāja, publiskos paziņojumus.";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vārdiem "saprātīgā laika posmā" ar vārdiem "pēc pieprasījuma" atbilstoši korespondējošajai direktīvas normai, tādējādi nodrošinot nepārprotamu attiecīgās likumprojekta normas izteiksmi. Līdzīgi lūdzam precizēt likumprojekta 5. pantu, norādot atskaites punktu termiņam remonta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21.</w:t>
            </w:r>
            <w:r w:rsidR="00000000" w:rsidRPr="00000000" w:rsidDel="00000000">
              <w:rPr>
                <w:vertAlign w:val="superscript"/>
                <w:rtl w:val="0"/>
              </w:rPr>
              <w:t xml:space="preserve">6</w:t>
            </w:r>
            <w:r w:rsidR="00000000" w:rsidRPr="00000000" w:rsidDel="00000000">
              <w:rPr>
                <w:rtl w:val="0"/>
              </w:rPr>
              <w:t xml:space="preserve"> panta pirmajā daļā, kā arī 28. panta (4</w:t>
            </w:r>
            <w:r w:rsidR="00000000" w:rsidRPr="00000000" w:rsidDel="00000000">
              <w:rPr>
                <w:vertAlign w:val="superscript"/>
                <w:rtl w:val="0"/>
              </w:rPr>
              <w:t xml:space="preserve">1</w:t>
            </w:r>
            <w:r w:rsidR="00000000" w:rsidRPr="00000000" w:rsidDel="00000000">
              <w:rPr>
                <w:rtl w:val="0"/>
              </w:rPr>
              <w:t xml:space="preserve">) 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pēc pieprasījuma,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 remonta pakalpojumu saskaņā ar šā likuma 17. panta pirmās daļas 1., 2.,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Patērētāju tiesību aizsardzības likuma 21.</w:t>
            </w:r>
            <w:r w:rsidR="00000000" w:rsidRPr="00000000" w:rsidDel="00000000">
              <w:rPr>
                <w:vertAlign w:val="superscript"/>
                <w:rtl w:val="0"/>
              </w:rPr>
              <w:t xml:space="preserve">6</w:t>
            </w:r>
            <w:r w:rsidR="00000000" w:rsidRPr="00000000" w:rsidDel="00000000">
              <w:rPr>
                <w:rtl w:val="0"/>
              </w:rPr>
              <w:t xml:space="preserve">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21.</w:t>
            </w:r>
            <w:r w:rsidR="00000000" w:rsidRPr="00000000" w:rsidDel="00000000">
              <w:rPr>
                <w:vertAlign w:val="superscript"/>
                <w:rtl w:val="0"/>
              </w:rPr>
              <w:t xml:space="preserve">6</w:t>
            </w:r>
            <w:r w:rsidR="00000000" w:rsidRPr="00000000" w:rsidDel="00000000">
              <w:rPr>
                <w:rtl w:val="0"/>
              </w:rPr>
              <w:t xml:space="preserve"> panta trešājā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pēc pieprasījuma,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 remonta pakalpojumu saskaņā ar šā likuma 17. panta pirmās daļas 1., 2.,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7</w:t>
            </w:r>
            <w:r w:rsidR="00000000" w:rsidRPr="00000000" w:rsidDel="00000000">
              <w:rPr>
                <w:rtl w:val="0"/>
              </w:rPr>
              <w:t xml:space="preserve"> pants. Eiropas tiešsaistes platforma remontam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valsts sadaļai remonta platformā tiek izmantota remonta platformas tiešsaistes saskarne.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Remontētājiem, un, ja attiecināms, atjaunotu preču pārdevējiem, defektīvu preču pircējiem vai sabiedrības virzītām remontēšanas iniciatīvām, reģistrācija remonta platformā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valsts sadaļā iekļaujamo informāciju un nodrošināmās funkcionalitātes prasības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("Zero Waste Latvija"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Latvijas valsts sadaļai remonta platformā tiek izmantota remonta platformas tiešsaistes saskarne."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izskatīt iespēju remonta platformas Latvijas valsts sadaļu neveidot no jauna, bet Eiropas remont platformas Latvijas valsts sadaļā ievietot atsauci uz Lietovelreiz.lv (https://lietovelreiz.lv/lv/karte), līdz 2027. gada 31. jūlijam pielāgot Lietovelreiz.lv Direktīvā noteiktajām prasībām un Zero Waste Latvija, Klimata un enerģētikas ministrijai un PTAC veikt vienotu, saskaņotu komunikāciju ar remontētājiem un patērētājiem LIFE projekta ietvaros un Direktīvas 2024/1799 un Patērētāju tiesību aizsardzības likuma IV nodaļas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Saskaņoti (Klimata un enerģētikas ministrija, Ekonomikas ministrija, Patērētāju tiesību aizsardzības centrs un biedrība Zero Waste Latvija) izvērtēt un pielāgot LIFE projektā remonta veicināšanai paredzētos pasākumus un projekta ieviešanai plānotos līdzekļus, kopīgu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efektīvi izlietot līdzīgiem mērķiem piešķirtos publiskos resursus, samazināt administratīvo slogu ilgtermiņā uzturēt divas līdzīga satura platformas un novērst patērētāju un remontētāju mulsināšanu par katras platformas lietošanas atšķirībām un informācijas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priekšlikumus likumprojekta anotācijai.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pateicas par Jūsu ieinteresētību un iniciatīvu valsts sadaļu neveidot no jauna, bet remonta platformas valsts sadaļā ievietot atsauci uz Lietovelreiz.lv (https://lietovelreiz.lv/lv/karte).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kā jau ir minēts izziņas 10. punktā, Jūsu minēto platformu nav plānots sasaistīt ar valsts sadaļu remonta platformā, ņemot vērā, ka minētajai platformai ir nepieciešams veikt atsevišķus pielāgojumus un izmaiņas, lai tā atbilstu visām Direktīvā 2024/1799 noteiktajām prasībām, savukārt šādu darbību veikšanai nav paredzēts pieprasīt papildus budžeta (finanšu) līdzekļus. Līdz ar to Ekonomikas ministrija no savas puses nevar nodrošināt minētās platformas Lietovelreiz.lv atbilstību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atbilstoši Direktīvas 2024/1799 7. panta otrajam punktam, Komisija nodrošina kopīgās tiešsaistes saskarnes tehnisko uzturēšanu. Līdz ar to, ja Latvija izvēlās izmantot sagatavoto valsts sadaļu, tai nebūs nepieciešami papildus pielāgojumi vai kādas tehniskas darbības, lai to varētu izmantot remonta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Direktīvas 2024/1799 26. apsvēruma punktā norādīts, ka, </w:t>
            </w:r>
            <w:r w:rsidR="00000000" w:rsidRPr="00000000" w:rsidDel="00000000">
              <w:rPr>
                <w:i w:val="1"/>
                <w:rtl w:val="0"/>
              </w:rPr>
              <w:t xml:space="preserve">lai izveidotu savas valsts sadaļas Eiropas tiešsaistes platformā, dalībvalstīm būtu vai nu jāizmanto kopīgā tiešsaistes saskarne, vai arī jāizveido vai attiecīgā gadījumā jāuztur valsts tiešsaistes platformas, kas atbilst šajā direktīvā izklāstītajiem kritērijiem</w:t>
            </w:r>
            <w:r w:rsidR="00000000" w:rsidRPr="00000000" w:rsidDel="00000000">
              <w:rPr>
                <w:rtl w:val="0"/>
              </w:rPr>
              <w:t xml:space="preserve">. Šobrīd ir nolemts, ka Latvija izmantos kopīgo tiešsaistes saskarni, neveidojot jaunu vai neuzturot kādu citu platformu, kas atbilst Direktīvā 2024/1799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7</w:t>
            </w:r>
            <w:r w:rsidR="00000000" w:rsidRPr="00000000" w:rsidDel="00000000">
              <w:rPr>
                <w:rtl w:val="0"/>
              </w:rPr>
              <w:t xml:space="preserve"> pants. Eiropas tiešsaistes platforma remontam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valsts sadaļai remonta platformā tiek izmantota remonta platformas tiešsaistes saskarne.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Remontētājiem, un, ja attiecināms, atjaunotu preču un preču ar digitāliem elementiem pārdevējiem, defektīvu preču un preču ar digitāliem elementiem pircējiem vai sabiedrības virzītām remontēšanas iniciatīvām, reģistrācija remonta platformā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valsts sadaļā iekļaujamo informāciju un nodrošināmās funkcionalitātes prasības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ražotāja, kam, ievērojot šā panta pirmo daļu, ir pienākums nodrošināt remonta pakalpojumu,  saimnieciskā darbība ir reģistrēta ārpus Eiropas Savienības, minētos pienākumus pilda tā pilnvarotais pārstāvis Eiropas Savienībā. Ja ražotājam nav pilnvarotā pārstāvja Eiropas Savienībā, tā pienākumus pilda attiecīgās preces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ja tāda ir, var iegūt informāciju par paredzamo remonta cenu noteikto preču vai preču ar digitāliem elementiem remontiem, kas visbiežāk tiek veikti attiecībā uz konkrēto preci. Minēto informāciju par remonta pakalpojumiem dara pieejamu bez maksas skaidrā, saprotamā un viegli piekļūstamā veidā vismaz uz to laiku, kamēr ir noteikts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norādi, ka saimnieciskā darbība ir reģistrēta ārpus Eiropas Savienības, aizstāt ar norādi, ka ražotājs ir reģistrēts valstī, kas nav Eiropas Savienības dalībvalsts atbilstoši korespondējošajā direktīvas vienībā noteiktajam. Papildus aicinām izvērtēt norādes "ja tāda ir" (t.i., brīvpiekļuves tīmekļvietne) pamatotību, jo korespondējošā direktīvas norma pirmšķietami neparedz izņēmumus no attiecīgās tīmekļvietnes izmantošanas.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21.</w:t>
            </w:r>
            <w:r w:rsidR="00000000" w:rsidRPr="00000000" w:rsidDel="00000000">
              <w:rPr>
                <w:vertAlign w:val="superscript"/>
                <w:rtl w:val="0"/>
              </w:rPr>
              <w:t xml:space="preserve">8</w:t>
            </w:r>
            <w:r w:rsidR="00000000" w:rsidRPr="00000000" w:rsidDel="00000000">
              <w:rPr>
                <w:rtl w:val="0"/>
              </w:rPr>
              <w:t xml:space="preserve"> panta trešajā daļā, kā arī no šā panta piektās daļas ir dzēsts vārdu savienojums "</w:t>
            </w:r>
            <w:r w:rsidR="00000000" w:rsidRPr="00000000" w:rsidDel="00000000">
              <w:rPr>
                <w:i w:val="1"/>
                <w:rtl w:val="0"/>
              </w:rPr>
              <w:t xml:space="preserve">ja tāda ir</w:t>
            </w:r>
            <w:r w:rsidR="00000000" w:rsidRPr="00000000" w:rsidDel="00000000">
              <w:rPr>
                <w:rtl w:val="0"/>
              </w:rPr>
              <w:t xml:space="preserve">", atbilstoši direktīvā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vai preces ar digitāliem elementiem,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vai preci ar digitāliem elementiem (tai skaitā atjaunotu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 vai preci ar digitāliem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ražotājs, kam, ievērojot šā panta pirmo daļu, ir remontēšanas pienākums, ir reģistrēts valstī, kas nav Eiropas Savienības dalībvalsts, minētos pienākumus pilda tā pilnvarotais pārstāvis Eiropas Savienībā. Ja ražotājam nav pilnvarotā pārstāvja Eiropas Savienībā, tā pienākumus pilda attiecīgās preces vai preces ar digitāliem elementiem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var iegūt informāciju par paredzamo remonta cenu noteikto preču vai preču ar digitāliem elementiem remontiem, kas visbiežāk tiek veikti attiecībā uz konkrēto preci vai preci ar digitāliem elementiem. Minēto informāciju par remonta pakalpojumiem dara pieejamu bez maksas skaidrā, saprotamā un viegli piekļūstamā veidā vismaz uz to laiku, kamēr tiem ir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Patērētājam nav saistošs neviens līgums, kurā, kaitējot patērētājam, netiek ievērotas šajā likumā noteiktās prasības, kurš atkāpjas no minētajām prasībām vai maina noslēgtā līguma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ražotāja, kam, ievērojot šā panta pirmo daļu, ir pienākums nodrošināt remonta pakalpojumu,  saimnieciskā darbība ir reģistrēta ārpus Eiropas Savienības, minētos pienākumus pilda tā pilnvarotais pārstāvis Eiropas Savienībā. Ja ražotājam nav pilnvarotā pārstāvja Eiropas Savienībā, tā pienākumus pilda attiecīgās preces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ja tāda ir, var iegūt informāciju par paredzamo remonta cenu noteikto preču vai preču ar digitāliem elementiem remontiem, kas visbiežāk tiek veikti attiecībā uz konkrēto preci. Minēto informāciju par remonta pakalpojumiem dara pieejamu bez maksas skaidrā, saprotamā un viegli piekļūstamā veidā vismaz uz to laiku, kamēr ir noteikts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norādi "kamēr ir noteikts remontēšanas pienākums" aizstāt ar norādi  "kamēr tiem ir remontēšanas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redakcionāli precizējumi 21.</w:t>
            </w:r>
            <w:r w:rsidR="00000000" w:rsidRPr="00000000" w:rsidDel="00000000">
              <w:rPr>
                <w:vertAlign w:val="superscript"/>
                <w:rtl w:val="0"/>
              </w:rPr>
              <w:t xml:space="preserve">8</w:t>
            </w:r>
            <w:r w:rsidR="00000000" w:rsidRPr="00000000" w:rsidDel="00000000">
              <w:rPr>
                <w:rtl w:val="0"/>
              </w:rPr>
              <w:t xml:space="preserve"> panta piektajā 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vai preces ar digitāliem elementiem,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vai preci ar digitāliem elementiem (tai skaitā atjaunotu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 vai preci ar digitāliem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ražotājs, kam, ievērojot šā panta pirmo daļu, ir remontēšanas pienākums, ir reģistrēts valstī, kas nav Eiropas Savienības dalībvalsts, minētos pienākumus pilda tā pilnvarotais pārstāvis Eiropas Savienībā. Ja ražotājam nav pilnvarotā pārstāvja Eiropas Savienībā, tā pienākumus pilda attiecīgās preces vai preces ar digitāliem elementiem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var iegūt informāciju par paredzamo remonta cenu noteikto preču vai preču ar digitāliem elementiem remontiem, kas visbiežāk tiek veikti attiecībā uz konkrēto preci vai preci ar digitāliem elementiem. Minēto informāciju par remonta pakalpojumiem dara pieejamu bez maksas skaidrā, saprotamā un viegli piekļūstamā veidā vismaz uz to laiku, kamēr tiem ir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Patērētājam nav saistošs neviens līgums, kurā, kaitējot patērētājam, netiek ievērotas šajā likumā noteiktās prasības, kurš atkāpjas no minētajām prasībām vai maina noslēgtā līguma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ražotāja, kam, ievērojot šā panta pirmo daļu, ir pienākums nodrošināt remonta pakalpojumu,  saimnieciskā darbība ir reģistrēta ārpus Eiropas Savienības, minētos pienākumus pilda tā pilnvarotais pārstāvis Eiropas Savienībā. Ja ražotājam nav pilnvarotā pārstāvja Eiropas Savienībā, tā pienākumus pilda attiecīgās preces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ja tāda ir, var iegūt informāciju par paredzamo remonta cenu noteikto preču vai preču ar digitāliem elementiem remontiem, kas visbiežāk tiek veikti attiecībā uz konkrēto preci. Minēto informāciju par remonta pakalpojumiem dara pieejamu bez maksas skaidrā, saprotamā un viegli piekļūstamā veidā vismaz uz to laiku, kamēr ir noteikts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21.</w:t>
            </w:r>
            <w:r w:rsidR="00000000" w:rsidRPr="00000000" w:rsidDel="00000000">
              <w:rPr>
                <w:vertAlign w:val="superscript"/>
                <w:rtl w:val="0"/>
              </w:rPr>
              <w:t xml:space="preserve">8</w:t>
            </w:r>
            <w:r w:rsidR="00000000" w:rsidRPr="00000000" w:rsidDel="00000000">
              <w:rPr>
                <w:rtl w:val="0"/>
              </w:rPr>
              <w:t xml:space="preserve"> panta pirmo daļu ar atsauci uz 21.</w:t>
            </w:r>
            <w:r w:rsidR="00000000" w:rsidRPr="00000000" w:rsidDel="00000000">
              <w:rPr>
                <w:vertAlign w:val="superscript"/>
                <w:rtl w:val="0"/>
              </w:rPr>
              <w:t xml:space="preserve">9</w:t>
            </w:r>
            <w:r w:rsidR="00000000" w:rsidRPr="00000000" w:rsidDel="00000000">
              <w:rPr>
                <w:rtl w:val="0"/>
              </w:rPr>
              <w:t xml:space="preserve"> pantu, kurā ir norādītas preces, kurām ir noteiktas remontējamības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likuma pantā nav iekļauta, bet anotācijas 1.3. sadaļā ir sniegts paskaidrojums, ka Eiropas Savienības tiesību aktu saraksts ar precēm un precēm ar digitāliem elementiem, uz kurām attiecināmas remontējamības prasības šā panta kontekstā, ir uzskaitīts PTAL 21.</w:t>
            </w:r>
            <w:r w:rsidR="00000000" w:rsidRPr="00000000" w:rsidDel="00000000">
              <w:rPr>
                <w:vertAlign w:val="superscript"/>
                <w:rtl w:val="0"/>
              </w:rPr>
              <w:t xml:space="preserve">10</w:t>
            </w:r>
            <w:r w:rsidR="00000000" w:rsidRPr="00000000" w:rsidDel="00000000">
              <w:rPr>
                <w:rtl w:val="0"/>
              </w:rPr>
              <w:t xml:space="preserve"> pantā.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vai preces ar digitāliem elementiem,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vai preci ar digitāliem elementiem (tai skaitā atjaunotu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 vai preci ar digitāliem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ražotājs, kam, ievērojot šā panta pirmo daļu, ir remontēšanas pienākums, ir reģistrēts valstī, kas nav Eiropas Savienības dalībvalsts, minētos pienākumus pilda tā pilnvarotais pārstāvis Eiropas Savienībā. Ja ražotājam nav pilnvarotā pārstāvja Eiropas Savienībā, tā pienākumus pilda attiecīgās preces vai preces ar digitāliem elementiem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var iegūt informāciju par paredzamo remonta cenu noteikto preču vai preču ar digitāliem elementiem remontiem, kas visbiežāk tiek veikti attiecībā uz konkrēto preci vai preci ar digitāliem elementiem. Minēto informāciju par remonta pakalpojumiem dara pieejamu bez maksas skaidrā, saprotamā un viegli piekļūstamā veidā vismaz uz to laiku, kamēr tiem ir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Patērētājam nav saistošs neviens līgums, kurā, kaitējot patērētājam, netiek ievērotas šajā likumā noteiktās prasības, kurš atkāpjas no minētajām prasībām vai maina noslēgtā līguma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ražotāja, kam, ievērojot šā panta pirmo daļu, ir pienākums nodrošināt remonta pakalpojumu,  saimnieciskā darbība ir reģistrēta ārpus Eiropas Savienības, minētos pienākumus pilda tā pilnvarotais pārstāvis Eiropas Savienībā. Ja ražotājam nav pilnvarotā pārstāvja Eiropas Savienībā, tā pienākumus pilda attiecīgās preces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ja tāda ir, var iegūt informāciju par paredzamo remonta cenu noteikto preču vai preču ar digitāliem elementiem remontiem, kas visbiežāk tiek veikti attiecībā uz konkrēto preci. Minēto informāciju par remonta pakalpojumiem dara pieejamu bez maksas skaidrā, saprotamā un viegli piekļūstamā veidā vismaz uz to laiku, kamēr ir noteikts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21.8 panta trešajā daļā un citās daļās ierosinām lietot vienveidīgu terminoloģiju. Likumprojekta trešās daļas pirmajā teikumā ir norādīts, ka ražotājam </w:t>
            </w:r>
            <w:r w:rsidR="00000000" w:rsidRPr="00000000" w:rsidDel="00000000">
              <w:rPr>
                <w:i w:val="1"/>
                <w:rtl w:val="0"/>
              </w:rPr>
              <w:t xml:space="preserve"> ir pienākums nodrošināt remonta pakalpojumu</w:t>
            </w:r>
            <w:r w:rsidR="00000000" w:rsidRPr="00000000" w:rsidDel="00000000">
              <w:rPr>
                <w:rtl w:val="0"/>
              </w:rPr>
              <w:t xml:space="preserve">. Savukārt minētās daļas trešajā teikumā ir norādīts "</w:t>
            </w:r>
            <w:r w:rsidR="00000000" w:rsidRPr="00000000" w:rsidDel="00000000">
              <w:rPr>
                <w:i w:val="1"/>
                <w:rtl w:val="0"/>
              </w:rPr>
              <w:t xml:space="preserve">remontēšanas pienākums</w:t>
            </w:r>
            <w:r w:rsidR="00000000" w:rsidRPr="00000000" w:rsidDel="00000000">
              <w:rPr>
                <w:rtl w:val="0"/>
              </w:rPr>
              <w:t xml:space="preserve">". Lūdzam skaidrot anotācijā vai precizēt likumprojektu, norādot, kas tiek saprasts ar remontēšanas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citviet tekstā ir lietots vārdu savienojums "</w:t>
            </w:r>
            <w:r w:rsidR="00000000" w:rsidRPr="00000000" w:rsidDel="00000000">
              <w:rPr>
                <w:i w:val="1"/>
                <w:rtl w:val="0"/>
              </w:rPr>
              <w:t xml:space="preserve">remontēšanas pienākums</w:t>
            </w:r>
            <w:r w:rsidR="00000000" w:rsidRPr="00000000" w:rsidDel="00000000">
              <w:rPr>
                <w:rtl w:val="0"/>
              </w:rPr>
              <w:t xml:space="preserve">", likuma 21.</w:t>
            </w:r>
            <w:r w:rsidR="00000000" w:rsidRPr="00000000" w:rsidDel="00000000">
              <w:rPr>
                <w:vertAlign w:val="superscript"/>
                <w:rtl w:val="0"/>
              </w:rPr>
              <w:t xml:space="preserve">8</w:t>
            </w:r>
            <w:r w:rsidR="00000000" w:rsidRPr="00000000" w:rsidDel="00000000">
              <w:rPr>
                <w:rtl w:val="0"/>
              </w:rPr>
              <w:t xml:space="preserve"> panta trešajā daļā vārdi "</w:t>
            </w:r>
            <w:r w:rsidR="00000000" w:rsidRPr="00000000" w:rsidDel="00000000">
              <w:rPr>
                <w:i w:val="1"/>
                <w:rtl w:val="0"/>
              </w:rPr>
              <w:t xml:space="preserve">pienākums nodrošināt remonta pakalpojumu</w:t>
            </w:r>
            <w:r w:rsidR="00000000" w:rsidRPr="00000000" w:rsidDel="00000000">
              <w:rPr>
                <w:rtl w:val="0"/>
              </w:rPr>
              <w:t xml:space="preserve">" ir aizstāti ar vārdiem "</w:t>
            </w:r>
            <w:r w:rsidR="00000000" w:rsidRPr="00000000" w:rsidDel="00000000">
              <w:rPr>
                <w:i w:val="1"/>
                <w:rtl w:val="0"/>
              </w:rPr>
              <w:t xml:space="preserve">remontēšanas pienākums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arī pašā Direktīvā 1799/2024 arī tiek lietots tieši šāds vārdu savienojums.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vai preces ar digitāliem elementiem,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vai preci ar digitāliem elementiem (tai skaitā atjaunotu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 vai preci ar digitāliem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ražotājs, kam, ievērojot šā panta pirmo daļu, ir remontēšanas pienākums, ir reģistrēts valstī, kas nav Eiropas Savienības dalībvalsts, minētos pienākumus pilda tā pilnvarotais pārstāvis Eiropas Savienībā. Ja ražotājam nav pilnvarotā pārstāvja Eiropas Savienībā, tā pienākumus pilda attiecīgās preces vai preces ar digitāliem elementiem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var iegūt informāciju par paredzamo remonta cenu noteikto preču vai preču ar digitāliem elementiem remontiem, kas visbiežāk tiek veikti attiecībā uz konkrēto preci vai preci ar digitāliem elementiem. Minēto informāciju par remonta pakalpojumiem dara pieejamu bez maksas skaidrā, saprotamā un viegli piekļūstamā veidā vismaz uz to laiku, kamēr tiem ir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Patērētājam nav saistošs neviens līgums, kurā, kaitējot patērētājam, netiek ievērotas šajā likumā noteiktās prasības, kurš atkāpjas no minētajām prasībām vai maina noslēgtā līguma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"21.</w:t>
            </w:r>
            <w:r w:rsidR="00000000" w:rsidRPr="00000000" w:rsidDel="00000000">
              <w:rPr>
                <w:vertAlign w:val="superscript"/>
                <w:rtl w:val="0"/>
              </w:rPr>
              <w:t xml:space="preserve">9</w:t>
            </w:r>
            <w:r w:rsidR="00000000" w:rsidRPr="00000000" w:rsidDel="00000000">
              <w:rPr>
                <w:rtl w:val="0"/>
              </w:rPr>
              <w:t xml:space="preserve"> Informēšanas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patērētājam tiek nodrošināts tiesiskās aizsardzības līdzeklis saskaņā ar šā likuma 28. pantu pret līguma noteikumiem neatbilstošu preci vai preci ar digitāliem elementiem, patērētājs tiek informēts par tā tiesībām izvēlēties preces vai preces ar digitāliem elementiem remontu vai nomaiņu, kā arī par 28. panta (2)1 daļā minēto atbilstības laikposma iespējamo pagarināšanu par vienu kalendāro gadu, ja tiek izvēlēts preces vai preces ar digitāliem elementiem remonts.";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vārdu "iespējamo", ņemot vērā, ka gadījumā, ja tiek izvēlēts preces vai preces ar digitāliem elementiem remonts, attiecīgā pagarināšana nav izvēle, bet gan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 dzēšot vārdu "iespējamo".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9</w:t>
            </w:r>
            <w:r w:rsidR="00000000" w:rsidRPr="00000000" w:rsidDel="00000000">
              <w:rPr>
                <w:rtl w:val="0"/>
              </w:rPr>
              <w:t xml:space="preserve"> Informēšanas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patērētājam tiek nodrošināts tiesiskās aizsardzības līdzeklis saskaņā ar šā likuma 28. pantu pret līguma noteikumiem neatbilstošu preci vai preci ar digitāliem elementiem, patērētājs tiek informēts par tā tiesībām izvēlēties preces vai preces ar digitāliem elementiem remontu vai nomaiņu, kā arī par 28. panta (2)</w:t>
            </w:r>
            <w:r w:rsidR="00000000" w:rsidRPr="00000000" w:rsidDel="00000000">
              <w:rPr>
                <w:vertAlign w:val="superscript"/>
                <w:rtl w:val="0"/>
              </w:rPr>
              <w:t xml:space="preserve">1</w:t>
            </w:r>
            <w:r w:rsidR="00000000" w:rsidRPr="00000000" w:rsidDel="00000000">
              <w:rPr>
                <w:rtl w:val="0"/>
              </w:rPr>
              <w:t xml:space="preserve"> daļā minēto atbilstības laikposma pagarināšanu par vienu kalendāro gadu, ja tiek izvēlēts preces vai preces ar digitāliem elementiem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veic vismaz vienu sabiedrības informēšanas pasākumu remonta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Šā likuma VII2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Latvijas izraudzītais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valsts sadaļai, lai remontētāji, un, ja attiecināms, atjaunotu preču pārdevēji, defektīvu atjaunojamu preču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trešās daļas a) apakšpunktu aiz vārda "piekļuvi" ar vārdiem "remonta platformas"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VII2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Latvijas izraudzītais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remonta platformas valsts sadaļai, lai remontētāji, un, ja attiecināms, atjaunotu preču pārdevēji, defektīvu atjaunojamu preču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 pievienojot aiz vārda "</w:t>
            </w:r>
            <w:r w:rsidR="00000000" w:rsidRPr="00000000" w:rsidDel="00000000">
              <w:rPr>
                <w:i w:val="1"/>
                <w:rtl w:val="0"/>
              </w:rPr>
              <w:t xml:space="preserve">piekļuvi</w:t>
            </w:r>
            <w:r w:rsidR="00000000" w:rsidRPr="00000000" w:rsidDel="00000000">
              <w:rPr>
                <w:rtl w:val="0"/>
              </w:rPr>
              <w:t xml:space="preserve">" vārdus "</w:t>
            </w:r>
            <w:r w:rsidR="00000000" w:rsidRPr="00000000" w:rsidDel="00000000">
              <w:rPr>
                <w:i w:val="1"/>
                <w:rtl w:val="0"/>
              </w:rPr>
              <w:t xml:space="preserve">remonta platformas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IV</w:t>
            </w:r>
            <w:r w:rsidR="00000000" w:rsidRPr="00000000" w:rsidDel="00000000">
              <w:rPr>
                <w:vertAlign w:val="superscript"/>
                <w:rtl w:val="0"/>
              </w:rPr>
              <w:t xml:space="preserve">2</w:t>
            </w:r>
            <w:r w:rsidR="00000000" w:rsidRPr="00000000" w:rsidDel="00000000">
              <w:rPr>
                <w:rtl w:val="0"/>
              </w:rPr>
              <w:t xml:space="preserve">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remonta platformas valsts sadaļai, lai remontētāji, un, ja attiecināms, atjaunotu preču un preču ar digitāliem elementiem pārdevēji, defektīvu atjaunojamu preču un preču ar digitāliem elementiem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“(2)</w:t>
            </w:r>
            <w:r w:rsidR="00000000" w:rsidRPr="00000000" w:rsidDel="00000000">
              <w:rPr>
                <w:vertAlign w:val="superscript"/>
                <w:rtl w:val="0"/>
              </w:rPr>
              <w:t xml:space="preserve">1</w:t>
            </w:r>
            <w:r w:rsidR="00000000" w:rsidRPr="00000000" w:rsidDel="00000000">
              <w:rPr>
                <w:rtl w:val="0"/>
              </w:rPr>
              <w:t xml:space="preserve"> Ja saskaņā ar šā panta pirmo un otro daļu tiek veikts remonts, lai nodrošinātu preces atbilstību līguma noteikumiem, tad atbilstības laikposmu vienu reizi pagarina par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(nepieciešamības gadījumā arī cituviet) norādīt arī uz precēm ar digitālajiem elementiem, nodrošinot konsekventu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likumprojektā, norādot ne tikai "</w:t>
            </w:r>
            <w:r w:rsidR="00000000" w:rsidRPr="00000000" w:rsidDel="00000000">
              <w:rPr>
                <w:i w:val="1"/>
                <w:rtl w:val="0"/>
              </w:rPr>
              <w:t xml:space="preserve">preces</w:t>
            </w:r>
            <w:r w:rsidR="00000000" w:rsidRPr="00000000" w:rsidDel="00000000">
              <w:rPr>
                <w:rtl w:val="0"/>
              </w:rPr>
              <w:t xml:space="preserve">", bet arī "</w:t>
            </w:r>
            <w:r w:rsidR="00000000" w:rsidRPr="00000000" w:rsidDel="00000000">
              <w:rPr>
                <w:i w:val="1"/>
                <w:rtl w:val="0"/>
              </w:rPr>
              <w:t xml:space="preserve">preces ar digitāliem elementiem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Ja saskaņā ar šā panta pirmo un otro daļu tiek veikts remonts, lai nodrošinātu preces vai preces ar digitāliem elementiem atbilstību līguma noteikumiem, tad atbilstības laikposmu vienu reizi pagarina par vienu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“(4)</w:t>
            </w:r>
            <w:r w:rsidR="00000000" w:rsidRPr="00000000" w:rsidDel="00000000">
              <w:rPr>
                <w:vertAlign w:val="superscript"/>
                <w:rtl w:val="0"/>
              </w:rPr>
              <w:t xml:space="preserve">1</w:t>
            </w:r>
            <w:r w:rsidR="00000000" w:rsidRPr="00000000" w:rsidDel="00000000">
              <w:rPr>
                <w:rtl w:val="0"/>
              </w:rPr>
              <w:t xml:space="preserve"> Remontu veic bez maksas, saprātīgā laikposmā un neradot būtiskas neērtības 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tiesiskās noteiktības nolūkā papildināt ar vārdiem "ņemot vērā preču veidu un nolūku, kādam patērētājs preces ir pieprasījis", ievērojot korespondējošajā direktīvas normā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pievienojot vārdus "</w:t>
            </w:r>
            <w:r w:rsidR="00000000" w:rsidRPr="00000000" w:rsidDel="00000000">
              <w:rPr>
                <w:i w:val="1"/>
                <w:rtl w:val="0"/>
              </w:rPr>
              <w:t xml:space="preserve">ņemot vērā preču veidus un nolūku, kādam patērētājs preces ir pieprasījis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Remontu veic bez maksas, saprātīgā laikposmā no brīža, kad patērētājam kļūst saistošs līgums par remonta pakalpojumu sniegšanu un neradot būtiskas neērtības patērētājam, ņemot vērā preces vai preces ar digitāliem elementiem veidu un nolūku, kādam patērētājs to ir pieprasījis.”.;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"Par remonta veidlapai noteikto prasību neievērošanu, remontēšanas pienākuma neievērošanu vai noteikto prasību pārkāpšanu un šā likuma 21.8 panta devītās daļas neievērošanu piemēro naudas sodu fiziskajai personai līdz septiņdesmit naudas soda vienībām, bet juridiskajai personai — no sešām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likumprojektu “Grozījumi Patērētāju tiesību aizsardzības likumā” (25-TA-1352)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direktīvas (ES) 2024/1799 4. pants paredz Eiropas remonta informācijas veidlapas izmantošanu brīvprātīgi, ja patērētājs to pieprasa. Līdz ar to sodu par “remonta veidlapai noteikto prasību neievērošanu” var piemērot tikai tad, ja remontētājs izvēlējies šo veidlapu izmantot, bet nav ievērojis tajā noteikto saturu vai prasības. Ja veidlapa netiek izmantota, sankcija nebūtu piemērojama, jo pienākuma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37. panta redakciju vai anotāciju, skaidri norādot, ka atbildība iestājas tikai tad, ja remontētājs ir izvēlējies piemērot Eiropas remonta informācijas veidlapu, bet nav ievērojis tajā noteikto saturu vai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informāciju, ka atbildība iestājas tikai tad, ja remontētājs ir izvēlējies piemērot remonta veidlapu, bet nav ievērojis tajā noteikto saturu, nosacījumus vai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Latvijā jau šobrīd pastāv vienota tiešsaistes platforma, kurā apkopota informācija par patērētājiem pieejamiem remonta pakalpojumu sniedzējiem. Tā ir platforma </w:t>
            </w:r>
            <w:r w:rsidR="00000000" w:rsidRPr="00000000" w:rsidDel="00000000">
              <w:rPr>
                <w:u w:val="single"/>
                <w:rtl w:val="0"/>
              </w:rPr>
              <w:t xml:space="preserve">lietovelreiz.lv</w:t>
            </w:r>
            <w:r w:rsidR="00000000" w:rsidRPr="00000000" w:rsidDel="00000000">
              <w:rPr>
                <w:rtl w:val="0"/>
              </w:rPr>
              <w:t xml:space="preserve">, kas izveidota Klimata un enerģētikas ministrijas īstenotā LIFE IP projekta "Atkritumi kā resursi Latvijā"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Remonta platformu kopumā veido visu Eiropas Savienības valstu sadaļas, ko izveidojusi Eiropas Komisija, un kurās ir pievienotas hipersaites uz šīm valstu sadaļām, aicinām izvērtēt iespēju hipersaites veidā Eiropas Savienības kopējai platformai pievienot Latvijā jau darbojošos platformu </w:t>
            </w:r>
            <w:r w:rsidR="00000000" w:rsidRPr="00000000" w:rsidDel="00000000">
              <w:rPr>
                <w:u w:val="single"/>
                <w:rtl w:val="0"/>
              </w:rPr>
              <w:t xml:space="preserve">lietovelreiz.lv</w:t>
            </w:r>
            <w:r w:rsidR="00000000" w:rsidRPr="00000000" w:rsidDel="00000000">
              <w:rPr>
                <w:rtl w:val="0"/>
              </w:rPr>
              <w:t xml:space="preserve">, lai nedublētu jau esošo informāciju un atvieglotu informācijas pieeju gan remonta pakalpojumu meklētājiem, kam esošā platforma </w:t>
            </w:r>
            <w:r w:rsidR="00000000" w:rsidRPr="00000000" w:rsidDel="00000000">
              <w:rPr>
                <w:u w:val="single"/>
                <w:rtl w:val="0"/>
              </w:rPr>
              <w:t xml:space="preserve">lietovelreiz.lv</w:t>
            </w:r>
            <w:r w:rsidR="00000000" w:rsidRPr="00000000" w:rsidDel="00000000">
              <w:rPr>
                <w:rtl w:val="0"/>
              </w:rPr>
              <w:t xml:space="preserve"> jau ir zināma, gan pašiem remonta pakalpojumu veicējiem, kam nebūtu vēlreiz jāreģistrējas jaunā platformā, tādā veidā samazinot administratīvo slogu un informācijas nepārklāšanos.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vērtē, ka anotācijā ir skaidri norādīts — Eiropas remonta informācijas veidlapas izmantošana ir brīvprātīga, un remontētājam nav vispārēja pienākuma to sagatavot vai izsniegt, ja viņš šo instrumentu savā darbībā neizmanto, kas atbilst Direktīvas (ES) 2024/1799 principam, ka remonta veidlapas izmantošana ir brīvprātīga un kalpo kā informatīvs līdzeklis patērētājam, nevis saistošs pienākums uzņēmējam.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gan anotācijā norādīts, ka Ministru kabineta apstiprinātajā Eiropas remonta informācijas veidlapā nevarēs tikt veikti grozījumi ar </w:t>
            </w:r>
            <w:r w:rsidR="00000000" w:rsidRPr="00000000" w:rsidDel="00000000">
              <w:rPr>
                <w:b w:val="1"/>
                <w:rtl w:val="0"/>
              </w:rPr>
              <w:t xml:space="preserve">atšķirīgu</w:t>
            </w:r>
            <w:r w:rsidR="00000000" w:rsidRPr="00000000" w:rsidDel="00000000">
              <w:rPr>
                <w:rtl w:val="0"/>
              </w:rPr>
              <w:t xml:space="preserve"> </w:t>
            </w:r>
            <w:r w:rsidR="00000000" w:rsidRPr="00000000" w:rsidDel="00000000">
              <w:rPr>
                <w:b w:val="1"/>
                <w:rtl w:val="0"/>
              </w:rPr>
              <w:t xml:space="preserve">pieeju</w:t>
            </w:r>
            <w:r w:rsidR="00000000" w:rsidRPr="00000000" w:rsidDel="00000000">
              <w:rPr>
                <w:rtl w:val="0"/>
              </w:rPr>
              <w:t xml:space="preserve"> no ES līmenī noteiktā, LDDK norāda, ka anotācijā nav tieši paredzēts ierobežojums, kas noteiktu, ka Ministru kabineta noteikumi, izstrādājot veidlapas formu un saturu, </w:t>
            </w:r>
            <w:r w:rsidR="00000000" w:rsidRPr="00000000" w:rsidDel="00000000">
              <w:rPr>
                <w:b w:val="1"/>
                <w:rtl w:val="0"/>
              </w:rPr>
              <w:t xml:space="preserve">nepārsniegs</w:t>
            </w:r>
            <w:r w:rsidR="00000000" w:rsidRPr="00000000" w:rsidDel="00000000">
              <w:rPr>
                <w:rtl w:val="0"/>
              </w:rPr>
              <w:t xml:space="preserve"> direktīvā noteikto paraugu. Šāda precizējuma neesamība rada risku, ka nacionālajā līmenī tiks iekļauti papildu informācijas lauki vai prasības, kas pārsniegtu ES tiesību aktu minimālo līmeni un palielinātu administratīvo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anotācijā iekļaut skaidru norādi, ka Ministru kabineta noteikumos par Eiropas remonta informācijas veidlapas formu un saturu netiks paredzētas papildu prasības, kas pārsniedz Direktīvas (ES) 2024/1799 Annex I noteikto. Tas nodrošinās konsekventu direktīvas ieviešanu, tiesisko noteiktību un izvairīsies no liekām birokrātiskām procedūrām uzņēmējdarbības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sadaļā, norādot, ka Ministru kabineta noteikumos par remonta veidlapas formu un saturu netiks paredzētas papildu prasības, kas pārsniedz Direktīvas 2024/1799 1. pielikumā noteiktās prasības un informācijas saturu.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("Zero Waste Latvija"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tiešsaistes platforma remontam.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remonta pakalpojumu sniedzēji savus pakalpojumus var reklamēt paši savās tīmekļa vietnēs, pastāvīgajās to atrašanās vietās (remontu servisa telpās) vai izmantojot citus tiem pieejamos informācijas kanālus. Taču, izvērtējot pašreizējo tirgus praksi ir skaidrs, ka patērētājam, ja tam ir nepieciešams veikt remontu, informācija ir jāmeklē pašam, apstaigājot vai apzvanot remontētājus, vai apmeklējot to tīmekļa vietnes u.tml., kas ir laikietilpīgs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remonta pakalpojumu sniedzēji savus pakalpojumus var reklamēt paši savās tīmekļa vietnēs, aprites ekonomikas pakalpojumu digitālajā tiešsaistes platformā Lietovelreiz.lv (https://lietovelreiz.lv/lv/karte), pastāvīgajās to atrašanās vietās (remontu servisa telpās) vai izmantojot citus tiem pieejamos informācijas kanālus.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labojumi Likumprojekta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("Zero Waste Latvija"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tiešsaistes platforma remontam.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izstrādājot šo risinājumu - izvērtēt iespējas Remonta platformas Latvijas valsts sadaļu neveidot no jauna, bet ievietot atsauci uz Lietovelreiz.lv (https://lietovelreiz.lv/lv/karte). Skatīt Direktīvas 2024/1799 27.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https://eur-lex.europa.eu/legal-content/LV/TXT/?uri=CELEX:32024L1799#rct_27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izvairītos no pārmērīga administratīvā sloga radīšanas un nodrošinātu pienācīgu elastību, dalībvalstīm vajadzētu arī spēt izvēlēties saglabāt esošu valsts tiešsaistes platformu, kas atbilst šīs direktīvas prasībām. Ja dalībvalsts saglabā vai izveido valsts tiešsaistes platformu, tai nevajadzētu būt pienākumam izveidot valsts sadaļu</w:t>
            </w:r>
            <w:r w:rsidR="00000000" w:rsidRPr="00000000" w:rsidDel="00000000">
              <w:rPr>
                <w:i w:val="1"/>
                <w:rtl w:val="0"/>
              </w:rPr>
              <w:t xml:space="preserve">Eiropas tiešsaistes platformā vai izraudzīties valsts kontaktpunktus. (...) Tās varētu būt privātas, publiskas vai privāti publiskas partnerības tiešsaistes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 rosinām izmantot jau LIFE integrētā projekta “No atkritumiem uz resursiem" (skatīt atsauces iepriekšminētajos priekšlikumos) ietvaros izstrādāto Platformu, kas dotu iespēju gan efektīvi izlietot līdzīgiem mērķiem piešķirtos publiskos resursus, gan samazinās administratīvo slogu uzturot divas līdzīga satura platformas. Turklāt novēršot patērētāju un remontētāju mulsināšanu par katras platformas lietošanu un informācijas dublēšanu to iespējamas parelēlas darbības laikā vairāku gadu garumā.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20.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("Zero Waste Latvija"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sadaļā arī tiek nodrošināta arī iespēja patērētājiem pieprasīt remonta veidlapu no remontētājiem, kuri to piedāvā, un, kas attiecīgi tiek nodrošināta digitālā formātā. </w:t>
            </w:r>
            <w:r w:rsidR="00000000" w:rsidRPr="00000000" w:rsidDel="00000000">
              <w:rPr>
                <w:i w:val="1"/>
                <w:rtl w:val="0"/>
              </w:rPr>
              <w:t xml:space="preserve">Lai nodrošinātu valsts sadaļas korektu funkcionēšanu un izvairītos no patērētāju iespējamas maldināšanas, tajā tiek sniegta iespēja remontētājiem regulāri atjaunināt savu kontaktinformāciju un sniegto pakalpojumu aprakstus, kā arī citu attiecināmo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remonta platformas Latvijas valsts sadaļā ievietojot atsauci uz Lietovelreiz.lv (https://lietovelreiz.lv/lv/karte), līdz 2027. gada 31. jūlijam pielāgot Lietovelreiz.lv Direktīvā noteiktajām prasībām un Zero Waste Latvija, Klimata un enerģētikas ministrijai un PTAC veikt vienotu, saskaņotu komunikāciju ar remontētājiem un patērētājiem LIFE projekta ietvaros un Direktīvas 2024/1799 un Patērētāju tiesību aizsardzības likuma IV nodaļas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Saskaņoti (Klimata un enerģētikas ministrija, Ekonomikas ministrija, Patērētāju tiesību aizsardzības centrs un biedrība Zero Waste Latvija) izvērtēt un pielāgot LIFE projektā remonta veicināšanai paredzētos pasākumus un projekta ieviešanai plānotos līdzekļus, kopīgu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Kā ir minēts izziņas 10. un 20. punktā</w:t>
            </w:r>
            <w:r w:rsidR="00000000" w:rsidRPr="00000000" w:rsidDel="00000000">
              <w:rPr>
                <w:rtl w:val="0"/>
              </w:rPr>
              <w:t xml:space="preserve">, Jūsu minēto platformu nav plānots sasaistīt ar valsts sadaļu remonta platformā, ņemot vērā, ka minētajai platformai ir nepieciešams veikt atsevišķus pielāgojumus un izmaiņas, lai tā atbilstu visām Direktīvā 2024/1799 noteiktajām prasībām, savukārt šādu darbību veikšanai nav paredzēts pieprasīt papildus budžeta (finanšu) līdzekļus. Līdz ar to Ekonomikas ministrija no savas puses nevar nodrošināt minētās platformas Lietovelreiz.lv atbilstību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ārējo komunikāciju, iespējams ir nepieciešamas papildus diskusijas par to, kādā veidā veiksmīgāk komunicēt ar patērētājiem un remontētājiem, par to iespējām izmantot gan remonta platformu, gan Jūsu minēto mājaslapu paralēli.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("Zero Waste Latvija"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Remonta veicināšanas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Direktīvā 2024/1799 tiek noteikti pienākumi dalībvalstīm noteikt atbilstošus pasākumus, lai tiktu nodrošināts, ka patērētājiem ir pieejama visa nepieciešamā informācija par Direktīvā 2024/1799 paredzētajām jaunajām normām, to tiesībām, kā arī dalībvalstij ir jānodrošina vismaz viens pasākums remonta veicināšanai, kur attiecīgā pasākuma izvēle ir dalībvalsts kompetencē - tās var būt gan informēšanas kampaņas, gan dažādi izglītojošie materiāli vai jebkas cits, kādā veidā dalībvalsts var nodrošināt to, ka patērētāji ir informēti par jaunajām, pieejamajām iespējām preču remontēšanas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Risinājuma aprakstā un Likuma IV nodaļā "Preču remontēšanas veicināšanas pasākumi" trūkst konkrēti pasākumi, atbilstoši Direktīvas 2024/1799 36. pantā noteiktajiem finansiāla vai nefinansiāla rakstura pasākumu piemēriem.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anotāciju un likumprojektu nav skaidrs, kādus veicināšanas pasākumus uzņemas veikt Latvija.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izskatīt iespēju finansiāla rakstura veicināšanas pasākumiem rast regulāru finansējumu, piemēram, no Ražotāju atbildības sistēmas elektriskām un elektroniskām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https://eur-lex.europa.eu/legal-content/LV/TXT/?uri=CELEX:32024L1799#rct_36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"(36) Dalībvalstīm būtu jāveic vismaz viens pasākums remonta veicināšanai. Šādiem pasākumiem varētu būt finansiāls vai nefinansiāls raksturs. Nefinansiāla rakstura pasākumi varētu ietvert informācijas kampaņas, atbalstu sabiedrības virzītām remontēšanas iniciatīvām, izmantojot tādus tiešus līdzekļus kā telpu nodrošināšana remonta laboratorijām vai sanāksmju vietām, piemēram, kopienas vai kultūras centros. Finansiāla rakstura pasākumi varētu būt, piemēram, remonta kuponi, remonta fondi, vietējo vai reģionālo tiešsaistes platformu remontam atbalstīšana vai izveide, īpašu remontēšanas prasmju iegūšanai paredzētu mācību programmu organizēšana vai finansēšana, nodokļu pasākumi. Nodokļu pasākumu kontekstā attiecīgā gadījumā saskaņā ar Direktīvas 2006/112/EK (20) III pielikumu dalībvalstis, ja nepieciešams, var izvēlēties noteikt samazinātu pievienotās vērtības nodokļa likmi attiecībā uz sadzīves tehnikas, apavu un ādas izstrādājumu, apģērba un mājsaimniecības veļas remonta pakalpojumu sniegšanu, tostarp lāpīšanu un pārveidošanu. Šajā kontekstā Komisija varētu apsvērt iespēju vajadzības gadījumā iesniegt priekšlikumu par minētās direktīvas III pielikuma grozīšanu. Minētos pasākumus varētu veikt valsts, reģionālā vai vietējā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sniegts papildus skaidrojums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Norādām, ka šobrīd noris konsultācijas ar Patērētāju tiesību aizsardzības centru par to, kāda veida pasākumi varētu tikt veikti, lai veicinātu remontu. Ņemot vērā, ka dalībvalstīm ir izvēles iespēja veikt dažādus pasākumus, to izstrāde katru gadu (vai jebkādā citā periodā) var atšķirties, piemēram, vienā gadā veicot informēršanas kampaņu, savukārt citā gadā izstrādājot un publicējot kādus izglītojošus materiālus. Līdz ar to, PTAL normās norādot konkrētas veicamās darbības, varētu tikt ierobežota iespēja turpmākajos periodos izstrādāt un ieviest kādus jaunus veicināšanas pasākumus, jo uzskaitīt visus iespējamos šobrīd nav nedz objektīvi, nedz paredzami (par cik situācija gan pēc būtības ar remonta pakalpojumu popularitāti, gan ES tiesiskā regulējuma kontekstā var izmainīties).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anotācijā ir pretrunīga informācija par finansējuma nodrošinājumu. Vienā vietā (7.4. punktā) norādīts, ka likumprojekta īstenošana tiks nodrošināta Ekonomikas ministrijas budžeta apakšprogrammas 26.01.00 “Iekšējais tirgus un patērētāju tiesību aizsardzība” ietvaros, savukārt citviet (3. punktā) teikts, ka nepieciešamības gadījumā jautājums par papildu finansējumu tiks skatīts Ministru kabinetā budžeta sagatavošanas procesā. Šāda redakcija rada neskaidrību par faktisko finansējuma nodrošinājumu. LDDK lūdz precizēt, ka likumprojekta īstenošana un PTAC papildu funkcijas tiks pilnībā nodrošinātas esošā finansējuma un amata vietu ietvaros neradot papildu slogu valsts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likumprojekta anotācijas 3. un 7.4. sadaļā, norādot, ka PTAC uzraudzības funkcijas tiks paplašinātas, ņemot vērā jaunos pienākumus un funkcijas, taču papildus (jaunas) vakantas darba vietas ar šīs Direktīvas 2024/1799 pārņemšanu netiek plānotas (nepieciešamības gadījumā, amata vietu skaita izmaiņas var tikt pārskatītas.).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paredzēto normu izpildi, tajā skaitā PTAC noteikto papildu uzraudzības pienākumu un kontaktpunkta funkcijas īstenošana tiks nodrošināta Ekonomikas ministrijas budžeta apakšprogrammā 26.01.00 "Iekšējais tirgus un patērētāju tiedību aizsardzība" piešķirto valts budžeta līdzekļu un esošo amata vietu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4.sadaļu ar informāciju par likumprojekta 21.6 panta sestajā daļā un 21.7 panta trešajā daļā minētajiem Ministru kabineta noteikumu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4. sadaļā, iekļaujot informāciju par Ministru kabineta noteikumiem, kuri tiks izdoti uz PTAL pamata (izdoti saskaņā ar PTAL 21.</w:t>
            </w:r>
            <w:r w:rsidR="00000000" w:rsidRPr="00000000" w:rsidDel="00000000">
              <w:rPr>
                <w:vertAlign w:val="superscript"/>
                <w:rtl w:val="0"/>
              </w:rPr>
              <w:t xml:space="preserve">6</w:t>
            </w:r>
            <w:r w:rsidR="00000000" w:rsidRPr="00000000" w:rsidDel="00000000">
              <w:rPr>
                <w:rtl w:val="0"/>
              </w:rPr>
              <w:t xml:space="preserve"> panta sesto daļu un 21.</w:t>
            </w:r>
            <w:r w:rsidR="00000000" w:rsidRPr="00000000" w:rsidDel="00000000">
              <w:rPr>
                <w:vertAlign w:val="superscript"/>
                <w:rtl w:val="0"/>
              </w:rPr>
              <w:t xml:space="preserve">7</w:t>
            </w:r>
            <w:r w:rsidR="00000000" w:rsidRPr="00000000" w:rsidDel="00000000">
              <w:rPr>
                <w:rtl w:val="0"/>
              </w:rPr>
              <w:t xml:space="preserve">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nedublēt informāciju par attiecīgās Direktīvas 2024/1799 15. panta pārņemšanu likumprojekta 6. pantā, kā arī lūdzam precizēt informāciju par minētās direktīvas prasību pārņemšanu likuma 37. panta xx daļā, jo likumā nav šādas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Dublējošā informācija ir dzēsta no anotācijas 5.4.1.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25-TA-1352</w:t>
    </w:r>
    <w:r>
      <w:br/>
    </w:r>
    <w:r w:rsidR="00000000" w:rsidRPr="00000000" w:rsidDel="00000000">
      <w:rPr>
        <w:rtl w:val="0"/>
      </w:rPr>
      <w:t xml:space="preserve">01.06.2026. 08.29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25-TA-1352</w:t>
    </w:r>
    <w:r>
      <w:br/>
    </w:r>
    <w:r w:rsidR="00000000" w:rsidRPr="00000000" w:rsidDel="00000000">
      <w:rPr>
        <w:rtl w:val="0"/>
      </w:rPr>
      <w:t xml:space="preserve">01.06.2026. 08.29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Izziņa_25-TA-1352.docx</dc:title>
</cp:coreProperties>
</file>

<file path=docProps/custom.xml><?xml version="1.0" encoding="utf-8"?>
<Properties xmlns="http://schemas.openxmlformats.org/officeDocument/2006/custom-properties" xmlns:vt="http://schemas.openxmlformats.org/officeDocument/2006/docPropsVTypes"/>
</file>