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3803906" w14:textId="77777777" w:rsidR="00002919" w:rsidRDefault="00AD0535">
      <w:pPr>
        <w:spacing w:after="240"/>
        <w:jc w:val="center"/>
        <w:rPr>
          <w:b/>
        </w:rPr>
      </w:pPr>
      <w:r>
        <w:rPr>
          <w:b/>
        </w:rPr>
        <w:t>Sabiedrības iebildumi un priekšlikumi</w:t>
      </w:r>
    </w:p>
    <w:tbl>
      <w:tblPr>
        <w:tblStyle w:val="a"/>
        <w:tblW w:w="14567"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750"/>
        <w:gridCol w:w="4155"/>
        <w:gridCol w:w="4156"/>
        <w:gridCol w:w="1350"/>
        <w:gridCol w:w="4156"/>
      </w:tblGrid>
      <w:tr w:rsidR="00002919" w14:paraId="573B0265" w14:textId="77777777">
        <w:tc>
          <w:tcPr>
            <w:tcW w:w="750" w:type="dxa"/>
            <w:shd w:val="clear" w:color="auto" w:fill="FFFFFF"/>
            <w:noWrap/>
            <w:tcMar>
              <w:top w:w="75" w:type="dxa"/>
              <w:left w:w="75" w:type="dxa"/>
              <w:bottom w:w="75" w:type="dxa"/>
              <w:right w:w="75" w:type="dxa"/>
            </w:tcMar>
            <w:vAlign w:val="center"/>
          </w:tcPr>
          <w:p w14:paraId="39186103" w14:textId="77777777" w:rsidR="00002919" w:rsidRDefault="00AD0535">
            <w:pPr>
              <w:jc w:val="center"/>
            </w:pPr>
            <w:proofErr w:type="spellStart"/>
            <w:r>
              <w:rPr>
                <w:b/>
              </w:rPr>
              <w:t>Nr.p.k</w:t>
            </w:r>
            <w:proofErr w:type="spellEnd"/>
            <w:r>
              <w:rPr>
                <w:b/>
              </w:rPr>
              <w:t>.</w:t>
            </w:r>
          </w:p>
        </w:tc>
        <w:tc>
          <w:tcPr>
            <w:tcW w:w="4155" w:type="dxa"/>
            <w:shd w:val="clear" w:color="auto" w:fill="FFFFFF"/>
            <w:noWrap/>
            <w:tcMar>
              <w:top w:w="75" w:type="dxa"/>
              <w:left w:w="75" w:type="dxa"/>
              <w:bottom w:w="75" w:type="dxa"/>
              <w:right w:w="75" w:type="dxa"/>
            </w:tcMar>
            <w:vAlign w:val="center"/>
          </w:tcPr>
          <w:p w14:paraId="774E9504" w14:textId="77777777" w:rsidR="00002919" w:rsidRDefault="00AD0535">
            <w:pPr>
              <w:jc w:val="center"/>
            </w:pPr>
            <w:r>
              <w:rPr>
                <w:b/>
              </w:rPr>
              <w:t>Iebilduma / priekšlikuma iesniedzējs</w:t>
            </w:r>
          </w:p>
        </w:tc>
        <w:tc>
          <w:tcPr>
            <w:tcW w:w="4156" w:type="dxa"/>
            <w:shd w:val="clear" w:color="auto" w:fill="FFFFFF"/>
            <w:noWrap/>
            <w:tcMar>
              <w:top w:w="75" w:type="dxa"/>
              <w:left w:w="75" w:type="dxa"/>
              <w:bottom w:w="75" w:type="dxa"/>
              <w:right w:w="75" w:type="dxa"/>
            </w:tcMar>
            <w:vAlign w:val="center"/>
          </w:tcPr>
          <w:p w14:paraId="1CB7ADFF" w14:textId="77777777" w:rsidR="00002919" w:rsidRDefault="00AD0535">
            <w:pPr>
              <w:jc w:val="center"/>
            </w:pPr>
            <w:r>
              <w:rPr>
                <w:b/>
              </w:rPr>
              <w:t>Iesniegtā iebilduma / priekšlikuma būtība</w:t>
            </w:r>
          </w:p>
        </w:tc>
        <w:tc>
          <w:tcPr>
            <w:tcW w:w="1350" w:type="dxa"/>
            <w:shd w:val="clear" w:color="auto" w:fill="FFFFFF"/>
            <w:noWrap/>
            <w:tcMar>
              <w:top w:w="75" w:type="dxa"/>
              <w:left w:w="75" w:type="dxa"/>
              <w:bottom w:w="75" w:type="dxa"/>
              <w:right w:w="75" w:type="dxa"/>
            </w:tcMar>
            <w:vAlign w:val="center"/>
          </w:tcPr>
          <w:p w14:paraId="4D9AC6B5" w14:textId="77777777" w:rsidR="00002919" w:rsidRDefault="00AD0535">
            <w:pPr>
              <w:jc w:val="center"/>
            </w:pPr>
            <w:r>
              <w:rPr>
                <w:b/>
              </w:rPr>
              <w:t>Ņemts vērā / nav ņemts vērā</w:t>
            </w:r>
          </w:p>
        </w:tc>
        <w:tc>
          <w:tcPr>
            <w:tcW w:w="4156" w:type="dxa"/>
            <w:shd w:val="clear" w:color="auto" w:fill="FFFFFF"/>
            <w:noWrap/>
            <w:tcMar>
              <w:top w:w="75" w:type="dxa"/>
              <w:left w:w="75" w:type="dxa"/>
              <w:bottom w:w="75" w:type="dxa"/>
              <w:right w:w="75" w:type="dxa"/>
            </w:tcMar>
            <w:vAlign w:val="center"/>
          </w:tcPr>
          <w:p w14:paraId="45C5FB00" w14:textId="77777777" w:rsidR="00002919" w:rsidRDefault="00AD0535">
            <w:pPr>
              <w:jc w:val="center"/>
            </w:pPr>
            <w:r>
              <w:rPr>
                <w:b/>
              </w:rPr>
              <w:t>Pamatojums, ja iebildums / priekšlikums nav ņemts vērā</w:t>
            </w:r>
          </w:p>
        </w:tc>
      </w:tr>
      <w:tr w:rsidR="00241101" w14:paraId="3A82E7D4" w14:textId="77777777">
        <w:tc>
          <w:tcPr>
            <w:tcW w:w="750" w:type="dxa"/>
            <w:shd w:val="clear" w:color="auto" w:fill="FFFFFF"/>
            <w:noWrap/>
            <w:tcMar>
              <w:top w:w="75" w:type="dxa"/>
              <w:left w:w="75" w:type="dxa"/>
              <w:bottom w:w="75" w:type="dxa"/>
              <w:right w:w="75" w:type="dxa"/>
            </w:tcMar>
            <w:vAlign w:val="center"/>
          </w:tcPr>
          <w:p w14:paraId="0DD7BCE7" w14:textId="77777777" w:rsidR="00241101" w:rsidRDefault="00241101">
            <w:pPr>
              <w:jc w:val="center"/>
            </w:pPr>
            <w:r>
              <w:t>1.</w:t>
            </w:r>
          </w:p>
        </w:tc>
        <w:tc>
          <w:tcPr>
            <w:tcW w:w="4155" w:type="dxa"/>
            <w:vMerge w:val="restart"/>
            <w:shd w:val="clear" w:color="auto" w:fill="FFFFFF"/>
            <w:noWrap/>
            <w:tcMar>
              <w:top w:w="75" w:type="dxa"/>
              <w:left w:w="75" w:type="dxa"/>
              <w:bottom w:w="75" w:type="dxa"/>
              <w:right w:w="75" w:type="dxa"/>
            </w:tcMar>
            <w:vAlign w:val="center"/>
          </w:tcPr>
          <w:p w14:paraId="2876A616" w14:textId="77777777" w:rsidR="00241101" w:rsidRDefault="00241101">
            <w:pPr>
              <w:jc w:val="left"/>
            </w:pPr>
            <w:r>
              <w:t>Latvijas Pilsoniskā alianse</w:t>
            </w:r>
          </w:p>
        </w:tc>
        <w:tc>
          <w:tcPr>
            <w:tcW w:w="4156" w:type="dxa"/>
            <w:shd w:val="clear" w:color="auto" w:fill="FFFFFF"/>
            <w:noWrap/>
            <w:tcMar>
              <w:top w:w="75" w:type="dxa"/>
              <w:left w:w="75" w:type="dxa"/>
              <w:bottom w:w="75" w:type="dxa"/>
              <w:right w:w="75" w:type="dxa"/>
            </w:tcMar>
            <w:vAlign w:val="center"/>
          </w:tcPr>
          <w:p w14:paraId="6ACE6E5C" w14:textId="56B05BA7" w:rsidR="00241101" w:rsidRDefault="00241101">
            <w:pPr>
              <w:jc w:val="left"/>
            </w:pPr>
            <w:r>
              <w:t>Latvijas Pilsoniskā alianse aicina neierobežot īstenošanas personāla atlīdzības izmaksas ar 19.1. punktā noteikto vienoto likmi. Un izteikt punktu šādā redakcijā:</w:t>
            </w:r>
            <w:r>
              <w:br/>
              <w:t>19.1. punktā  tiešās attiecināmās personāla izmaksas – finansējuma saņēmēja projekta vadības un īstenošanas personāla, kā arī sadarbības partnera projekta īstenošanas personāla atlīdzības izmaksas (izņemot virsstundas) šo noteikumu 17.8. apakšpunktā minēto atbalstāmo darbību īstenošanai.</w:t>
            </w:r>
          </w:p>
        </w:tc>
        <w:tc>
          <w:tcPr>
            <w:tcW w:w="1350" w:type="dxa"/>
            <w:shd w:val="clear" w:color="auto" w:fill="FFFFFF"/>
            <w:noWrap/>
            <w:tcMar>
              <w:top w:w="75" w:type="dxa"/>
              <w:left w:w="75" w:type="dxa"/>
              <w:bottom w:w="75" w:type="dxa"/>
              <w:right w:w="75" w:type="dxa"/>
            </w:tcMar>
            <w:vAlign w:val="center"/>
          </w:tcPr>
          <w:p w14:paraId="0C6CAD7F" w14:textId="60FCA596" w:rsidR="00241101" w:rsidRDefault="00241101">
            <w:pPr>
              <w:jc w:val="left"/>
            </w:pPr>
            <w:r>
              <w:t>Nav ņemts vērā</w:t>
            </w:r>
          </w:p>
        </w:tc>
        <w:tc>
          <w:tcPr>
            <w:tcW w:w="4156" w:type="dxa"/>
            <w:shd w:val="clear" w:color="auto" w:fill="FFFFFF"/>
            <w:noWrap/>
            <w:tcMar>
              <w:top w:w="75" w:type="dxa"/>
              <w:left w:w="75" w:type="dxa"/>
              <w:bottom w:w="75" w:type="dxa"/>
              <w:right w:w="75" w:type="dxa"/>
            </w:tcMar>
            <w:vAlign w:val="center"/>
          </w:tcPr>
          <w:p w14:paraId="24F2343C" w14:textId="4EFA1AC9" w:rsidR="00264F75" w:rsidRDefault="00264F75" w:rsidP="00264F75">
            <w:pPr>
              <w:jc w:val="left"/>
            </w:pPr>
            <w:r>
              <w:t>Atbilstoši Vadošās iestādes izstrādātajām “Vadlīnijām attiecināmo izmaksu noteikšanai</w:t>
            </w:r>
          </w:p>
          <w:p w14:paraId="40488E2B" w14:textId="4D4E56AB" w:rsidR="00241101" w:rsidRDefault="00264F75" w:rsidP="00264F75">
            <w:pPr>
              <w:jc w:val="left"/>
            </w:pPr>
            <w:r>
              <w:t>Eiropas Savienības kohēzijas politikas programmas 2021.-2027. gada plānošanas periodā” p</w:t>
            </w:r>
            <w:r w:rsidRPr="00264F75">
              <w:t xml:space="preserve">rojekta vadības personāla un projekta īstenošanas personāla izmaksām tiek piemērota personāla atlīdzības vienotā likme līdz 20% vai </w:t>
            </w:r>
            <w:r>
              <w:t xml:space="preserve">tiek </w:t>
            </w:r>
            <w:r w:rsidRPr="00264F75">
              <w:t>izstrādāt</w:t>
            </w:r>
            <w:r>
              <w:t>a</w:t>
            </w:r>
            <w:r w:rsidRPr="00264F75">
              <w:t xml:space="preserve"> vienas vienības izmaksu likm</w:t>
            </w:r>
            <w:r>
              <w:t>e</w:t>
            </w:r>
            <w:r w:rsidRPr="00264F75">
              <w:t xml:space="preserve"> personāla atalgojuma izmaksām saskaņā ar Vadlīnijām par vienkāršoto izmaksu izmantošanas iespējām un to piemērošanu ES kohēzijas politikas programmas 2021.-2027. gada plānošanas perioda ietvaros</w:t>
            </w:r>
            <w:r>
              <w:t>.</w:t>
            </w:r>
            <w:r w:rsidR="00F64446">
              <w:t xml:space="preserve"> Vienotās likmes apjoms “līdz 20% apmēram no tiešajām izmaksām” ir noteikts atbilstoši Regulas </w:t>
            </w:r>
            <w:r w:rsidR="00F64446" w:rsidRPr="00F64446">
              <w:t xml:space="preserve">Nr. </w:t>
            </w:r>
            <w:r w:rsidR="00F64446" w:rsidRPr="00F64446">
              <w:lastRenderedPageBreak/>
              <w:t>2021/1060</w:t>
            </w:r>
            <w:r w:rsidR="00D2393F">
              <w:rPr>
                <w:rStyle w:val="FootnoteReference"/>
              </w:rPr>
              <w:footnoteReference w:id="1"/>
            </w:r>
            <w:r w:rsidR="00F64446">
              <w:t xml:space="preserve"> 55. panta 1. punktam.</w:t>
            </w:r>
          </w:p>
        </w:tc>
      </w:tr>
      <w:tr w:rsidR="00241101" w14:paraId="3AAAF7B2" w14:textId="77777777">
        <w:tc>
          <w:tcPr>
            <w:tcW w:w="750" w:type="dxa"/>
            <w:shd w:val="clear" w:color="auto" w:fill="FFFFFF"/>
            <w:noWrap/>
            <w:tcMar>
              <w:top w:w="75" w:type="dxa"/>
              <w:left w:w="75" w:type="dxa"/>
              <w:bottom w:w="75" w:type="dxa"/>
              <w:right w:w="75" w:type="dxa"/>
            </w:tcMar>
            <w:vAlign w:val="center"/>
          </w:tcPr>
          <w:p w14:paraId="37B742C7" w14:textId="7AF84EAD" w:rsidR="00241101" w:rsidRDefault="00241101">
            <w:pPr>
              <w:jc w:val="center"/>
            </w:pPr>
            <w:r>
              <w:lastRenderedPageBreak/>
              <w:t>2.</w:t>
            </w:r>
          </w:p>
        </w:tc>
        <w:tc>
          <w:tcPr>
            <w:tcW w:w="4155" w:type="dxa"/>
            <w:vMerge/>
            <w:shd w:val="clear" w:color="auto" w:fill="FFFFFF"/>
            <w:noWrap/>
            <w:tcMar>
              <w:top w:w="75" w:type="dxa"/>
              <w:left w:w="75" w:type="dxa"/>
              <w:bottom w:w="75" w:type="dxa"/>
              <w:right w:w="75" w:type="dxa"/>
            </w:tcMar>
            <w:vAlign w:val="center"/>
          </w:tcPr>
          <w:p w14:paraId="0C89A323" w14:textId="77777777" w:rsidR="00241101" w:rsidRDefault="00241101">
            <w:pPr>
              <w:jc w:val="left"/>
            </w:pPr>
          </w:p>
        </w:tc>
        <w:tc>
          <w:tcPr>
            <w:tcW w:w="4156" w:type="dxa"/>
            <w:shd w:val="clear" w:color="auto" w:fill="FFFFFF"/>
            <w:noWrap/>
            <w:tcMar>
              <w:top w:w="75" w:type="dxa"/>
              <w:left w:w="75" w:type="dxa"/>
              <w:bottom w:w="75" w:type="dxa"/>
              <w:right w:w="75" w:type="dxa"/>
            </w:tcMar>
            <w:vAlign w:val="center"/>
          </w:tcPr>
          <w:p w14:paraId="17443D33" w14:textId="46B90370" w:rsidR="00241101" w:rsidRDefault="00241101">
            <w:pPr>
              <w:jc w:val="left"/>
            </w:pPr>
            <w:r>
              <w:t>Latvijas Pilsoniskā alianse aicina neierobežot līguma veidus, kādi slēdzami 19.2.1. un 26.1. punktos noteiktajos gadījumos, svītrojot vārdus iekavās “uzņēmuma līgums”.</w:t>
            </w:r>
          </w:p>
        </w:tc>
        <w:tc>
          <w:tcPr>
            <w:tcW w:w="1350" w:type="dxa"/>
            <w:shd w:val="clear" w:color="auto" w:fill="FFFFFF"/>
            <w:noWrap/>
            <w:tcMar>
              <w:top w:w="75" w:type="dxa"/>
              <w:left w:w="75" w:type="dxa"/>
              <w:bottom w:w="75" w:type="dxa"/>
              <w:right w:w="75" w:type="dxa"/>
            </w:tcMar>
            <w:vAlign w:val="center"/>
          </w:tcPr>
          <w:p w14:paraId="2FEC8BF2" w14:textId="3B6EAEAA" w:rsidR="00241101" w:rsidRDefault="00264F75">
            <w:pPr>
              <w:jc w:val="left"/>
            </w:pPr>
            <w:r>
              <w:t>Daļēji ņemts vērā</w:t>
            </w:r>
          </w:p>
        </w:tc>
        <w:tc>
          <w:tcPr>
            <w:tcW w:w="4156" w:type="dxa"/>
            <w:shd w:val="clear" w:color="auto" w:fill="FFFFFF"/>
            <w:noWrap/>
            <w:tcMar>
              <w:top w:w="75" w:type="dxa"/>
              <w:left w:w="75" w:type="dxa"/>
              <w:bottom w:w="75" w:type="dxa"/>
              <w:right w:w="75" w:type="dxa"/>
            </w:tcMar>
            <w:vAlign w:val="center"/>
          </w:tcPr>
          <w:p w14:paraId="5368A296" w14:textId="5B01AE0D" w:rsidR="00241101" w:rsidRDefault="00264F75">
            <w:pPr>
              <w:jc w:val="left"/>
            </w:pPr>
            <w:r>
              <w:t>Precizēta 19.2.1. un 26.1. apakšpunkta redakcija, tekstu iekavās papildinot ar vārdiem “tai skaitā”</w:t>
            </w:r>
            <w:r w:rsidR="00AD0535">
              <w:t>:</w:t>
            </w:r>
          </w:p>
          <w:p w14:paraId="3EA066D4" w14:textId="052D7EE4" w:rsidR="00AD0535" w:rsidRDefault="00AD0535">
            <w:pPr>
              <w:jc w:val="left"/>
            </w:pPr>
            <w:r>
              <w:t>“19.2.1. pakalpojumu (tai skaitā, uzņēmuma līgumu) izmaksas šo noteikumu 17.1., 17.2., 17.3., 17.4., 17.5. un 17.6. apakšpunktā minēto atbalstāmo darbību īstenošanai;”</w:t>
            </w:r>
          </w:p>
          <w:p w14:paraId="53F99894" w14:textId="77777777" w:rsidR="00AD0535" w:rsidRDefault="00AD0535">
            <w:pPr>
              <w:jc w:val="left"/>
            </w:pPr>
          </w:p>
          <w:p w14:paraId="20C18228" w14:textId="6B1387F3" w:rsidR="00AD0535" w:rsidRDefault="00AD0535">
            <w:pPr>
              <w:jc w:val="left"/>
            </w:pPr>
            <w:r>
              <w:t>“26.1. pakalpojumu (tai skaitā, uzņēmuma) līgumos, kurus slēdz šo noteikumu 17.1., 17.2., 17.3., 17.4., 17.5. un 17.6. apakšpunktā minēto atbalstāmo darbību īstenošanai, atkarībā no līguma veida un satura var paredzēt avansa maksājumus ne vairāk kā 20 procentu apmērā no attiecīgā līguma summas (ieskaitot pievienotās vērtības nodokli);”</w:t>
            </w:r>
          </w:p>
        </w:tc>
      </w:tr>
      <w:tr w:rsidR="00241101" w14:paraId="65A1ED06" w14:textId="77777777">
        <w:tc>
          <w:tcPr>
            <w:tcW w:w="750" w:type="dxa"/>
            <w:shd w:val="clear" w:color="auto" w:fill="FFFFFF"/>
            <w:noWrap/>
            <w:tcMar>
              <w:top w:w="75" w:type="dxa"/>
              <w:left w:w="75" w:type="dxa"/>
              <w:bottom w:w="75" w:type="dxa"/>
              <w:right w:w="75" w:type="dxa"/>
            </w:tcMar>
            <w:vAlign w:val="center"/>
          </w:tcPr>
          <w:p w14:paraId="7BF4CC88" w14:textId="4CE11E71" w:rsidR="00241101" w:rsidRDefault="00241101">
            <w:pPr>
              <w:jc w:val="center"/>
            </w:pPr>
            <w:r>
              <w:t>3.</w:t>
            </w:r>
          </w:p>
        </w:tc>
        <w:tc>
          <w:tcPr>
            <w:tcW w:w="4155" w:type="dxa"/>
            <w:vMerge/>
            <w:shd w:val="clear" w:color="auto" w:fill="FFFFFF"/>
            <w:noWrap/>
            <w:tcMar>
              <w:top w:w="75" w:type="dxa"/>
              <w:left w:w="75" w:type="dxa"/>
              <w:bottom w:w="75" w:type="dxa"/>
              <w:right w:w="75" w:type="dxa"/>
            </w:tcMar>
            <w:vAlign w:val="center"/>
          </w:tcPr>
          <w:p w14:paraId="79578792" w14:textId="77777777" w:rsidR="00241101" w:rsidRDefault="00241101">
            <w:pPr>
              <w:jc w:val="left"/>
            </w:pPr>
          </w:p>
        </w:tc>
        <w:tc>
          <w:tcPr>
            <w:tcW w:w="4156" w:type="dxa"/>
            <w:shd w:val="clear" w:color="auto" w:fill="FFFFFF"/>
            <w:noWrap/>
            <w:tcMar>
              <w:top w:w="75" w:type="dxa"/>
              <w:left w:w="75" w:type="dxa"/>
              <w:bottom w:w="75" w:type="dxa"/>
              <w:right w:w="75" w:type="dxa"/>
            </w:tcMar>
            <w:vAlign w:val="center"/>
          </w:tcPr>
          <w:p w14:paraId="2DF8EA25" w14:textId="486068CA" w:rsidR="00241101" w:rsidRDefault="00241101">
            <w:pPr>
              <w:jc w:val="left"/>
            </w:pPr>
            <w:r>
              <w:t xml:space="preserve">Vēršam uzmanību, ka 25.punktā noteiktais, ka “Projekta īstenošanas gaitā radušās sadārdzinājuma </w:t>
            </w:r>
            <w:r>
              <w:lastRenderedPageBreak/>
              <w:t>izmaksas finansējuma saņēmējs un sadarbības partneris sedz no saviem līdzekļiem” nebūs iespējams īstenot, jo nevalstiskajām organizācijām, kā bezpeļņas organizācijām, nav brīvu līdzekļu projekta izmaksu sadārdzinājuma segšanai. Līdzšinējā prakse izmaksu sadārdzinājumu gadījumos bijusi iespēja pārskatīt esošos līgumus un pārplānot plānotās aktivitātes. Tādēļ aicinām svītrot 25.punktu.</w:t>
            </w:r>
          </w:p>
        </w:tc>
        <w:tc>
          <w:tcPr>
            <w:tcW w:w="1350" w:type="dxa"/>
            <w:shd w:val="clear" w:color="auto" w:fill="FFFFFF"/>
            <w:noWrap/>
            <w:tcMar>
              <w:top w:w="75" w:type="dxa"/>
              <w:left w:w="75" w:type="dxa"/>
              <w:bottom w:w="75" w:type="dxa"/>
              <w:right w:w="75" w:type="dxa"/>
            </w:tcMar>
            <w:vAlign w:val="center"/>
          </w:tcPr>
          <w:p w14:paraId="413B5BE4" w14:textId="2365832D" w:rsidR="00241101" w:rsidRDefault="00241101">
            <w:pPr>
              <w:jc w:val="left"/>
            </w:pPr>
            <w:r>
              <w:lastRenderedPageBreak/>
              <w:t>Ņemts vērā</w:t>
            </w:r>
          </w:p>
        </w:tc>
        <w:tc>
          <w:tcPr>
            <w:tcW w:w="4156" w:type="dxa"/>
            <w:shd w:val="clear" w:color="auto" w:fill="FFFFFF"/>
            <w:noWrap/>
            <w:tcMar>
              <w:top w:w="75" w:type="dxa"/>
              <w:left w:w="75" w:type="dxa"/>
              <w:bottom w:w="75" w:type="dxa"/>
              <w:right w:w="75" w:type="dxa"/>
            </w:tcMar>
            <w:vAlign w:val="center"/>
          </w:tcPr>
          <w:p w14:paraId="1D411A7D" w14:textId="29585919" w:rsidR="00241101" w:rsidRDefault="00241101" w:rsidP="00241101">
            <w:r>
              <w:t xml:space="preserve">25. punkts svītrots, jo tas nav attiecināms gadījumos, kad finansējuma saņēmējs ir valsts </w:t>
            </w:r>
            <w:r>
              <w:lastRenderedPageBreak/>
              <w:t xml:space="preserve">pārvaldes iestāde, un 4.3.4.5. pasākumā </w:t>
            </w:r>
            <w:r w:rsidRPr="00241101">
              <w:t>galvenais finansējuma saņēmējs ir valsts iestāde - publisks nodibinājums</w:t>
            </w:r>
            <w:r>
              <w:t>.</w:t>
            </w:r>
          </w:p>
        </w:tc>
      </w:tr>
    </w:tbl>
    <w:p w14:paraId="4B04928C" w14:textId="77777777" w:rsidR="000440B4" w:rsidRDefault="000440B4"/>
    <w:sectPr w:rsidR="000440B4">
      <w:headerReference w:type="default" r:id="rId7"/>
      <w:footerReference w:type="default" r:id="rId8"/>
      <w:headerReference w:type="first" r:id="rId9"/>
      <w:footerReference w:type="first" r:id="rId10"/>
      <w:pgSz w:w="16833" w:h="11908" w:orient="landscape"/>
      <w:pgMar w:top="1133" w:right="1133" w:bottom="1133" w:left="1133"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FCB9E6" w14:textId="77777777" w:rsidR="000440B4" w:rsidRDefault="00AD0535">
      <w:r>
        <w:separator/>
      </w:r>
    </w:p>
  </w:endnote>
  <w:endnote w:type="continuationSeparator" w:id="0">
    <w:p w14:paraId="6B746C73" w14:textId="77777777" w:rsidR="000440B4" w:rsidRDefault="00AD05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Palatino">
    <w:panose1 w:val="02040602050305020304"/>
    <w:charset w:val="00"/>
    <w:family w:val="roman"/>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B57392" w14:textId="77777777" w:rsidR="00002919" w:rsidRDefault="00AD0535">
    <w:pPr>
      <w:jc w:val="right"/>
    </w:pPr>
    <w:r>
      <w:rPr>
        <w:sz w:val="24"/>
        <w:szCs w:val="24"/>
      </w:rPr>
      <w:fldChar w:fldCharType="begin"/>
    </w:r>
    <w:r>
      <w:rPr>
        <w:sz w:val="24"/>
        <w:szCs w:val="24"/>
      </w:rPr>
      <w:instrText>PAGE</w:instrText>
    </w:r>
    <w:r>
      <w:rPr>
        <w:sz w:val="24"/>
        <w:szCs w:val="24"/>
      </w:rPr>
      <w:fldChar w:fldCharType="separate"/>
    </w:r>
    <w:r w:rsidR="00241101">
      <w:rPr>
        <w:noProof/>
        <w:sz w:val="24"/>
        <w:szCs w:val="24"/>
      </w:rPr>
      <w:t>2</w:t>
    </w:r>
    <w:r>
      <w:rPr>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69A1F9" w14:textId="77777777" w:rsidR="000440B4" w:rsidRDefault="00AD0535">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6D93B" w14:textId="77777777" w:rsidR="000440B4" w:rsidRDefault="00AD0535">
      <w:r>
        <w:separator/>
      </w:r>
    </w:p>
  </w:footnote>
  <w:footnote w:type="continuationSeparator" w:id="0">
    <w:p w14:paraId="3B0C5C66" w14:textId="77777777" w:rsidR="000440B4" w:rsidRDefault="00AD0535">
      <w:r>
        <w:continuationSeparator/>
      </w:r>
    </w:p>
  </w:footnote>
  <w:footnote w:id="1">
    <w:p w14:paraId="515FADFE" w14:textId="74B7A305" w:rsidR="00D2393F" w:rsidRDefault="00D2393F">
      <w:pPr>
        <w:pStyle w:val="FootnoteText"/>
      </w:pPr>
      <w:r>
        <w:rPr>
          <w:rStyle w:val="FootnoteReference"/>
        </w:rPr>
        <w:footnoteRef/>
      </w:r>
      <w:r>
        <w:t xml:space="preserve"> </w:t>
      </w:r>
      <w:hyperlink r:id="rId1" w:history="1">
        <w:r>
          <w:rPr>
            <w:rStyle w:val="Hyperlink"/>
          </w:rPr>
          <w:t>EUR-</w:t>
        </w:r>
        <w:proofErr w:type="spellStart"/>
        <w:r>
          <w:rPr>
            <w:rStyle w:val="Hyperlink"/>
          </w:rPr>
          <w:t>Lex</w:t>
        </w:r>
        <w:proofErr w:type="spellEnd"/>
        <w:r>
          <w:rPr>
            <w:rStyle w:val="Hyperlink"/>
          </w:rPr>
          <w:t xml:space="preserve"> - 32021R1060 - LV - EUR-</w:t>
        </w:r>
        <w:proofErr w:type="spellStart"/>
        <w:r>
          <w:rPr>
            <w:rStyle w:val="Hyperlink"/>
          </w:rPr>
          <w:t>Lex</w:t>
        </w:r>
        <w:proofErr w:type="spellEnd"/>
        <w:r>
          <w:rPr>
            <w:rStyle w:val="Hyperlink"/>
          </w:rPr>
          <w:t xml:space="preserve"> (</w:t>
        </w:r>
        <w:proofErr w:type="spellStart"/>
        <w:r>
          <w:rPr>
            <w:rStyle w:val="Hyperlink"/>
          </w:rPr>
          <w:t>europa.eu</w:t>
        </w:r>
        <w:proofErr w:type="spellEnd"/>
        <w:r>
          <w:rPr>
            <w:rStyle w:val="Hyperlink"/>
          </w:rPr>
          <w:t>)</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153D5" w14:textId="77777777" w:rsidR="00002919" w:rsidRDefault="00AD0535">
    <w:pPr>
      <w:pStyle w:val="Header"/>
      <w:contextualSpacing w:val="0"/>
    </w:pPr>
    <w:r>
      <w:t>Viedokļu pārskats 23-TA-760</w:t>
    </w:r>
    <w:r>
      <w:br/>
      <w:t>Izdrukāts 21.04.2023. 13.23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9ED643" w14:textId="77777777" w:rsidR="00002919" w:rsidRDefault="00AD0535">
    <w:pPr>
      <w:pStyle w:val="Header"/>
      <w:contextualSpacing w:val="0"/>
    </w:pPr>
    <w:r>
      <w:t>Viedokļu pārskats 23-TA-760</w:t>
    </w:r>
    <w:r>
      <w:br/>
      <w:t>Izdrukāts 21.04.2023. 13.23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002919"/>
    <w:rsid w:val="00002919"/>
    <w:rsid w:val="000440B4"/>
    <w:rsid w:val="00241101"/>
    <w:rsid w:val="00264F75"/>
    <w:rsid w:val="00AD0535"/>
    <w:rsid w:val="00D2393F"/>
    <w:rsid w:val="00F6444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4CE11"/>
  <w15:docId w15:val="{4CB94539-1F9B-40EE-B563-C1C1CEEF4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333333"/>
        <w:sz w:val="28"/>
        <w:lang w:val="lv-LV" w:eastAsia="lv-LV"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after="120"/>
      <w:contextualSpacing/>
      <w:outlineLvl w:val="0"/>
    </w:pPr>
    <w:rPr>
      <w:rFonts w:ascii="Palatino" w:eastAsia="Palatino" w:hAnsi="Palatino" w:cs="Palatino"/>
      <w:sz w:val="36"/>
    </w:rPr>
  </w:style>
  <w:style w:type="paragraph" w:styleId="Heading2">
    <w:name w:val="heading 2"/>
    <w:basedOn w:val="Normal"/>
    <w:next w:val="Normal"/>
    <w:uiPriority w:val="9"/>
    <w:semiHidden/>
    <w:unhideWhenUsed/>
    <w:qFormat/>
    <w:pPr>
      <w:spacing w:before="120" w:after="160"/>
      <w:contextualSpacing/>
      <w:outlineLvl w:val="1"/>
    </w:pPr>
    <w:rPr>
      <w:rFonts w:ascii="Arial" w:eastAsia="Arial" w:hAnsi="Arial" w:cs="Arial"/>
      <w:b/>
      <w:sz w:val="26"/>
    </w:rPr>
  </w:style>
  <w:style w:type="paragraph" w:styleId="Heading3">
    <w:name w:val="heading 3"/>
    <w:basedOn w:val="Normal"/>
    <w:next w:val="Normal"/>
    <w:uiPriority w:val="9"/>
    <w:semiHidden/>
    <w:unhideWhenUsed/>
    <w:qFormat/>
    <w:pPr>
      <w:spacing w:before="120" w:after="160"/>
      <w:contextualSpacing/>
      <w:outlineLvl w:val="2"/>
    </w:pPr>
    <w:rPr>
      <w:rFonts w:ascii="Arial" w:eastAsia="Arial" w:hAnsi="Arial" w:cs="Arial"/>
      <w:b/>
      <w:i/>
      <w:color w:val="666666"/>
      <w:sz w:val="24"/>
    </w:rPr>
  </w:style>
  <w:style w:type="paragraph" w:styleId="Heading4">
    <w:name w:val="heading 4"/>
    <w:basedOn w:val="Normal"/>
    <w:next w:val="Normal"/>
    <w:uiPriority w:val="9"/>
    <w:semiHidden/>
    <w:unhideWhenUsed/>
    <w:qFormat/>
    <w:pPr>
      <w:spacing w:before="120" w:after="120"/>
      <w:contextualSpacing/>
      <w:outlineLvl w:val="3"/>
    </w:pPr>
    <w:rPr>
      <w:rFonts w:ascii="Palatino" w:eastAsia="Palatino" w:hAnsi="Palatino" w:cs="Palatino"/>
      <w:b/>
      <w:sz w:val="24"/>
    </w:rPr>
  </w:style>
  <w:style w:type="paragraph" w:styleId="Heading5">
    <w:name w:val="heading 5"/>
    <w:basedOn w:val="Normal"/>
    <w:next w:val="Normal"/>
    <w:uiPriority w:val="9"/>
    <w:semiHidden/>
    <w:unhideWhenUsed/>
    <w:qFormat/>
    <w:pPr>
      <w:spacing w:before="120" w:after="120"/>
      <w:contextualSpacing/>
      <w:outlineLvl w:val="4"/>
    </w:pPr>
    <w:rPr>
      <w:rFonts w:ascii="Arial" w:eastAsia="Arial" w:hAnsi="Arial" w:cs="Arial"/>
      <w:b/>
      <w:sz w:val="22"/>
    </w:rPr>
  </w:style>
  <w:style w:type="paragraph" w:styleId="Heading6">
    <w:name w:val="heading 6"/>
    <w:basedOn w:val="Normal"/>
    <w:next w:val="Normal"/>
    <w:uiPriority w:val="9"/>
    <w:semiHidden/>
    <w:unhideWhenUsed/>
    <w:qFormat/>
    <w:pPr>
      <w:spacing w:before="120" w:after="120"/>
      <w:contextualSpacing/>
      <w:outlineLvl w:val="5"/>
    </w:pPr>
    <w:rPr>
      <w:rFonts w:ascii="Arial" w:eastAsia="Arial" w:hAnsi="Arial" w:cs="Arial"/>
      <w:i/>
      <w:color w:val="666666"/>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contextualSpacing/>
    </w:pPr>
    <w:rPr>
      <w:rFonts w:ascii="Palatino" w:eastAsia="Palatino" w:hAnsi="Palatino" w:cs="Palatino"/>
      <w:sz w:val="60"/>
    </w:rPr>
  </w:style>
  <w:style w:type="paragraph" w:styleId="Subtitle">
    <w:name w:val="Subtitle"/>
    <w:basedOn w:val="Normal"/>
    <w:next w:val="Normal"/>
    <w:uiPriority w:val="11"/>
    <w:qFormat/>
    <w:pPr>
      <w:spacing w:before="60"/>
      <w:contextualSpacing/>
    </w:pPr>
    <w:rPr>
      <w:rFonts w:ascii="Arial" w:eastAsia="Arial" w:hAnsi="Arial" w:cs="Arial"/>
    </w:rPr>
  </w:style>
  <w:style w:type="paragraph" w:customStyle="1" w:styleId="paragraph">
    <w:name w:val="paragraph"/>
    <w:basedOn w:val="Normal"/>
    <w:next w:val="Normal"/>
    <w:pPr>
      <w:contextualSpacing/>
    </w:pPr>
  </w:style>
  <w:style w:type="paragraph" w:customStyle="1" w:styleId="paragraphheader">
    <w:name w:val="paragraph_header"/>
    <w:basedOn w:val="Normal"/>
    <w:next w:val="Normal"/>
    <w:pPr>
      <w:spacing w:before="280" w:after="280"/>
      <w:contextualSpacing/>
    </w:pPr>
  </w:style>
  <w:style w:type="paragraph" w:styleId="Header">
    <w:name w:val="header"/>
    <w:basedOn w:val="Normal"/>
    <w:next w:val="Normal"/>
    <w:pPr>
      <w:spacing w:after="280"/>
      <w:contextualSpacing/>
      <w:jc w:val="right"/>
    </w:pPr>
    <w:rPr>
      <w:sz w:val="24"/>
    </w:rPr>
  </w:style>
  <w:style w:type="paragraph" w:customStyle="1" w:styleId="signeddocumentparagraph">
    <w:name w:val="signed_document_paragraph"/>
    <w:basedOn w:val="Normal"/>
    <w:next w:val="Normal"/>
    <w:pPr>
      <w:contextualSpacing/>
      <w:jc w:val="right"/>
    </w:pPr>
    <w:rPr>
      <w:sz w:val="24"/>
    </w:rPr>
  </w:style>
  <w:style w:type="paragraph" w:customStyle="1" w:styleId="boldparagraphheader">
    <w:name w:val="bold_paragraph_header"/>
    <w:basedOn w:val="Normal"/>
    <w:next w:val="Normal"/>
    <w:pPr>
      <w:contextualSpacing/>
      <w:jc w:val="center"/>
    </w:pPr>
    <w:rPr>
      <w:b/>
    </w:rPr>
  </w:style>
  <w:style w:type="table" w:customStyle="1" w:styleId="a">
    <w:basedOn w:val="TableNormal"/>
    <w:tblPr>
      <w:tblStyleRowBandSize w:val="1"/>
      <w:tblStyleColBandSize w:val="1"/>
    </w:tblPr>
  </w:style>
  <w:style w:type="paragraph" w:styleId="FootnoteText">
    <w:name w:val="footnote text"/>
    <w:basedOn w:val="Normal"/>
    <w:link w:val="FootnoteTextChar"/>
    <w:uiPriority w:val="99"/>
    <w:semiHidden/>
    <w:unhideWhenUsed/>
    <w:rsid w:val="00D2393F"/>
    <w:rPr>
      <w:sz w:val="20"/>
    </w:rPr>
  </w:style>
  <w:style w:type="character" w:customStyle="1" w:styleId="FootnoteTextChar">
    <w:name w:val="Footnote Text Char"/>
    <w:basedOn w:val="DefaultParagraphFont"/>
    <w:link w:val="FootnoteText"/>
    <w:uiPriority w:val="99"/>
    <w:semiHidden/>
    <w:rsid w:val="00D2393F"/>
    <w:rPr>
      <w:sz w:val="20"/>
    </w:rPr>
  </w:style>
  <w:style w:type="character" w:styleId="FootnoteReference">
    <w:name w:val="footnote reference"/>
    <w:basedOn w:val="DefaultParagraphFont"/>
    <w:uiPriority w:val="99"/>
    <w:semiHidden/>
    <w:unhideWhenUsed/>
    <w:rsid w:val="00D2393F"/>
    <w:rPr>
      <w:vertAlign w:val="superscript"/>
    </w:rPr>
  </w:style>
  <w:style w:type="character" w:styleId="Hyperlink">
    <w:name w:val="Hyperlink"/>
    <w:basedOn w:val="DefaultParagraphFont"/>
    <w:uiPriority w:val="99"/>
    <w:semiHidden/>
    <w:unhideWhenUsed/>
    <w:rsid w:val="00D2393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eur-lex.europa.eu/eli/reg/2021/1060/oj/?locale=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539DF2-3258-41E9-B864-A63DB28640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3</Pages>
  <Words>1840</Words>
  <Characters>1050</Characters>
  <Application>Microsoft Office Word</Application>
  <DocSecurity>0</DocSecurity>
  <Lines>8</Lines>
  <Paragraphs>5</Paragraphs>
  <ScaleCrop>false</ScaleCrop>
  <HeadingPairs>
    <vt:vector size="2" baseType="variant">
      <vt:variant>
        <vt:lpstr>Title</vt:lpstr>
      </vt:variant>
      <vt:variant>
        <vt:i4>1</vt:i4>
      </vt:variant>
    </vt:vector>
  </HeadingPairs>
  <TitlesOfParts>
    <vt:vector size="1" baseType="lpstr">
      <vt:lpstr>viedoklu_parskats_23-TA-760.docx</vt:lpstr>
    </vt:vector>
  </TitlesOfParts>
  <Company/>
  <LinksUpToDate>false</LinksUpToDate>
  <CharactersWithSpaces>2885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viedoklu_parskats_23-TA-760.docx</dc:title>
  <cp:lastModifiedBy>Baiba Jakovļeva</cp:lastModifiedBy>
  <cp:revision>4</cp:revision>
  <dcterms:created xsi:type="dcterms:W3CDTF">2023-04-21T10:28:00Z</dcterms:created>
  <dcterms:modified xsi:type="dcterms:W3CDTF">2023-04-21T13:17:00Z</dcterms:modified>
</cp:coreProperties>
</file>