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B19B" w14:textId="77777777" w:rsidR="00786DAF" w:rsidRDefault="00786DAF" w:rsidP="002C22B9">
      <w:pPr>
        <w:jc w:val="center"/>
        <w:rPr>
          <w:sz w:val="20"/>
        </w:rPr>
      </w:pPr>
    </w:p>
    <w:p w14:paraId="0F233C10" w14:textId="77777777" w:rsidR="002C22B9" w:rsidRDefault="002C22B9" w:rsidP="002C22B9">
      <w:pPr>
        <w:jc w:val="center"/>
        <w:rPr>
          <w:sz w:val="20"/>
        </w:rPr>
      </w:pPr>
      <w:r w:rsidRPr="00914649">
        <w:rPr>
          <w:sz w:val="20"/>
        </w:rPr>
        <w:t>Rīgā</w:t>
      </w:r>
    </w:p>
    <w:p w14:paraId="55C3E07E"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28D4D881" w14:textId="77777777" w:rsidTr="009F77B9">
        <w:tc>
          <w:tcPr>
            <w:tcW w:w="450" w:type="dxa"/>
            <w:tcBorders>
              <w:top w:val="nil"/>
              <w:left w:val="nil"/>
              <w:bottom w:val="nil"/>
              <w:right w:val="nil"/>
            </w:tcBorders>
          </w:tcPr>
          <w:p w14:paraId="568821D5" w14:textId="77777777" w:rsidR="002C22B9" w:rsidRPr="00615936" w:rsidRDefault="002C22B9" w:rsidP="002C22B9">
            <w:pPr>
              <w:tabs>
                <w:tab w:val="left" w:pos="360"/>
                <w:tab w:val="left" w:pos="3960"/>
              </w:tabs>
              <w:rPr>
                <w:sz w:val="20"/>
              </w:rPr>
            </w:pPr>
          </w:p>
        </w:tc>
        <w:bookmarkStart w:id="0" w:name="reg_dat"/>
        <w:tc>
          <w:tcPr>
            <w:tcW w:w="1785" w:type="dxa"/>
            <w:tcBorders>
              <w:top w:val="nil"/>
              <w:left w:val="nil"/>
              <w:bottom w:val="single" w:sz="4" w:space="0" w:color="auto"/>
              <w:right w:val="nil"/>
            </w:tcBorders>
          </w:tcPr>
          <w:p w14:paraId="3F86BCF9" w14:textId="77777777" w:rsidR="002C22B9" w:rsidRPr="00615936" w:rsidRDefault="00EA2944" w:rsidP="002C22B9">
            <w:pPr>
              <w:tabs>
                <w:tab w:val="left" w:pos="3960"/>
              </w:tabs>
              <w:rPr>
                <w:szCs w:val="24"/>
              </w:rPr>
            </w:pPr>
            <w:r w:rsidRPr="00615936">
              <w:rPr>
                <w:szCs w:val="24"/>
              </w:rPr>
              <w:fldChar w:fldCharType="begin">
                <w:ffData>
                  <w:name w:val="reg_dat"/>
                  <w:enabled/>
                  <w:calcOnExit w:val="0"/>
                  <w:textInput>
                    <w:default w:val="                      "/>
                  </w:textInput>
                </w:ffData>
              </w:fldChar>
            </w:r>
            <w:r w:rsidR="002C22B9" w:rsidRPr="00615936">
              <w:rPr>
                <w:szCs w:val="24"/>
              </w:rPr>
              <w:instrText xml:space="preserve"> FORMTEXT </w:instrText>
            </w:r>
            <w:r w:rsidRPr="00615936">
              <w:rPr>
                <w:szCs w:val="24"/>
              </w:rPr>
            </w:r>
            <w:r w:rsidRPr="00615936">
              <w:rPr>
                <w:szCs w:val="24"/>
              </w:rPr>
              <w:fldChar w:fldCharType="separate"/>
            </w:r>
            <w:r w:rsidR="00383FA2">
              <w:rPr>
                <w:szCs w:val="24"/>
              </w:rPr>
              <w:t>02.09.2021</w:t>
            </w:r>
            <w:r w:rsidRPr="00615936">
              <w:rPr>
                <w:szCs w:val="24"/>
              </w:rPr>
              <w:fldChar w:fldCharType="end"/>
            </w:r>
            <w:bookmarkEnd w:id="0"/>
          </w:p>
        </w:tc>
        <w:tc>
          <w:tcPr>
            <w:tcW w:w="708" w:type="dxa"/>
            <w:tcBorders>
              <w:top w:val="nil"/>
              <w:left w:val="nil"/>
              <w:bottom w:val="nil"/>
              <w:right w:val="nil"/>
            </w:tcBorders>
          </w:tcPr>
          <w:p w14:paraId="2F0C7912" w14:textId="77777777" w:rsidR="002C22B9" w:rsidRPr="00615936" w:rsidRDefault="002C22B9" w:rsidP="002C22B9">
            <w:pPr>
              <w:tabs>
                <w:tab w:val="left" w:pos="360"/>
                <w:tab w:val="left" w:pos="3960"/>
              </w:tabs>
              <w:jc w:val="center"/>
              <w:rPr>
                <w:sz w:val="20"/>
              </w:rPr>
            </w:pPr>
            <w:r w:rsidRPr="00615936">
              <w:rPr>
                <w:sz w:val="20"/>
              </w:rPr>
              <w:t>Nr.</w:t>
            </w:r>
          </w:p>
        </w:tc>
        <w:bookmarkStart w:id="1" w:name="lietas_nr"/>
        <w:tc>
          <w:tcPr>
            <w:tcW w:w="2727" w:type="dxa"/>
            <w:tcBorders>
              <w:top w:val="nil"/>
              <w:left w:val="nil"/>
              <w:bottom w:val="single" w:sz="4" w:space="0" w:color="auto"/>
              <w:right w:val="nil"/>
            </w:tcBorders>
          </w:tcPr>
          <w:p w14:paraId="0C8D6E80" w14:textId="77777777" w:rsidR="002C22B9" w:rsidRPr="00615936" w:rsidRDefault="00EA2944"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002C22B9" w:rsidRPr="00615936">
              <w:rPr>
                <w:szCs w:val="24"/>
              </w:rPr>
              <w:instrText xml:space="preserve"> FORMTEXT </w:instrText>
            </w:r>
            <w:r w:rsidRPr="00615936">
              <w:rPr>
                <w:szCs w:val="24"/>
              </w:rPr>
            </w:r>
            <w:r w:rsidRPr="00615936">
              <w:rPr>
                <w:szCs w:val="24"/>
              </w:rPr>
              <w:fldChar w:fldCharType="separate"/>
            </w:r>
            <w:r w:rsidR="00A643B3">
              <w:rPr>
                <w:szCs w:val="24"/>
              </w:rPr>
              <w:t>4.1-37/28</w:t>
            </w:r>
            <w:r w:rsidRPr="00615936">
              <w:rPr>
                <w:szCs w:val="24"/>
              </w:rPr>
              <w:fldChar w:fldCharType="end"/>
            </w:r>
            <w:bookmarkEnd w:id="1"/>
            <w:r w:rsidR="002C22B9" w:rsidRPr="00615936">
              <w:rPr>
                <w:szCs w:val="24"/>
              </w:rPr>
              <w:t>/</w:t>
            </w:r>
            <w:bookmarkStart w:id="2" w:name="reg_num"/>
            <w:r w:rsidRPr="00615936">
              <w:rPr>
                <w:szCs w:val="24"/>
              </w:rPr>
              <w:fldChar w:fldCharType="begin">
                <w:ffData>
                  <w:name w:val="reg_num"/>
                  <w:enabled/>
                  <w:calcOnExit w:val="0"/>
                  <w:textInput>
                    <w:default w:val="            "/>
                  </w:textInput>
                </w:ffData>
              </w:fldChar>
            </w:r>
            <w:r w:rsidR="002C22B9" w:rsidRPr="00615936">
              <w:rPr>
                <w:szCs w:val="24"/>
              </w:rPr>
              <w:instrText xml:space="preserve"> FORMTEXT </w:instrText>
            </w:r>
            <w:r w:rsidRPr="00615936">
              <w:rPr>
                <w:szCs w:val="24"/>
              </w:rPr>
            </w:r>
            <w:r w:rsidRPr="00615936">
              <w:rPr>
                <w:szCs w:val="24"/>
              </w:rPr>
              <w:fldChar w:fldCharType="separate"/>
            </w:r>
            <w:r w:rsidR="00383FA2">
              <w:rPr>
                <w:szCs w:val="24"/>
              </w:rPr>
              <w:t>4825</w:t>
            </w:r>
            <w:r w:rsidRPr="00615936">
              <w:rPr>
                <w:szCs w:val="24"/>
              </w:rPr>
              <w:fldChar w:fldCharType="end"/>
            </w:r>
            <w:bookmarkEnd w:id="2"/>
          </w:p>
        </w:tc>
      </w:tr>
      <w:tr w:rsidR="002C22B9" w:rsidRPr="00615936" w14:paraId="39BB53CC" w14:textId="77777777" w:rsidTr="009F77B9">
        <w:trPr>
          <w:trHeight w:val="188"/>
        </w:trPr>
        <w:tc>
          <w:tcPr>
            <w:tcW w:w="450" w:type="dxa"/>
            <w:tcBorders>
              <w:top w:val="nil"/>
              <w:left w:val="nil"/>
              <w:bottom w:val="nil"/>
              <w:right w:val="nil"/>
            </w:tcBorders>
          </w:tcPr>
          <w:p w14:paraId="08828297"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11D89767"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3D34F4E7"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33A41B62" w14:textId="77777777" w:rsidR="002C22B9" w:rsidRPr="00615936" w:rsidRDefault="002C22B9" w:rsidP="002C22B9">
            <w:pPr>
              <w:tabs>
                <w:tab w:val="left" w:pos="360"/>
                <w:tab w:val="left" w:pos="3960"/>
              </w:tabs>
              <w:rPr>
                <w:sz w:val="20"/>
              </w:rPr>
            </w:pPr>
          </w:p>
        </w:tc>
      </w:tr>
      <w:tr w:rsidR="002C22B9" w:rsidRPr="00615936" w14:paraId="29CF5D29" w14:textId="77777777" w:rsidTr="009F77B9">
        <w:tc>
          <w:tcPr>
            <w:tcW w:w="450" w:type="dxa"/>
            <w:tcBorders>
              <w:top w:val="nil"/>
              <w:left w:val="nil"/>
              <w:bottom w:val="nil"/>
              <w:right w:val="nil"/>
            </w:tcBorders>
          </w:tcPr>
          <w:p w14:paraId="628A80BD" w14:textId="77777777" w:rsidR="002C22B9" w:rsidRPr="00615936" w:rsidRDefault="002C22B9" w:rsidP="002C22B9">
            <w:pPr>
              <w:tabs>
                <w:tab w:val="left" w:pos="360"/>
                <w:tab w:val="left" w:pos="3960"/>
              </w:tabs>
              <w:rPr>
                <w:sz w:val="20"/>
              </w:rPr>
            </w:pPr>
            <w:r w:rsidRPr="00615936">
              <w:rPr>
                <w:sz w:val="20"/>
              </w:rPr>
              <w:t>Uz</w:t>
            </w:r>
          </w:p>
        </w:tc>
        <w:bookmarkStart w:id="3" w:name="san_dat"/>
        <w:tc>
          <w:tcPr>
            <w:tcW w:w="1785" w:type="dxa"/>
            <w:tcBorders>
              <w:top w:val="nil"/>
              <w:left w:val="nil"/>
              <w:bottom w:val="single" w:sz="4" w:space="0" w:color="auto"/>
              <w:right w:val="nil"/>
            </w:tcBorders>
          </w:tcPr>
          <w:p w14:paraId="7679C55F" w14:textId="77777777" w:rsidR="002C22B9" w:rsidRPr="00615936" w:rsidRDefault="00EA2944"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002C22B9" w:rsidRPr="00615936">
              <w:rPr>
                <w:szCs w:val="24"/>
              </w:rPr>
              <w:instrText xml:space="preserve"> FORMTEXT </w:instrText>
            </w:r>
            <w:r w:rsidRPr="00615936">
              <w:rPr>
                <w:szCs w:val="24"/>
              </w:rPr>
            </w:r>
            <w:r w:rsidRPr="00615936">
              <w:rPr>
                <w:szCs w:val="24"/>
              </w:rPr>
              <w:fldChar w:fldCharType="separate"/>
            </w:r>
            <w:r w:rsidR="00A643B3">
              <w:rPr>
                <w:szCs w:val="24"/>
              </w:rPr>
              <w:t>19.08.2021</w:t>
            </w:r>
            <w:r w:rsidRPr="00615936">
              <w:rPr>
                <w:szCs w:val="24"/>
              </w:rPr>
              <w:fldChar w:fldCharType="end"/>
            </w:r>
            <w:bookmarkEnd w:id="3"/>
          </w:p>
        </w:tc>
        <w:tc>
          <w:tcPr>
            <w:tcW w:w="708" w:type="dxa"/>
            <w:tcBorders>
              <w:top w:val="nil"/>
              <w:left w:val="nil"/>
              <w:bottom w:val="nil"/>
              <w:right w:val="nil"/>
            </w:tcBorders>
          </w:tcPr>
          <w:p w14:paraId="3895D13D" w14:textId="77777777" w:rsidR="002C22B9" w:rsidRPr="00615936" w:rsidRDefault="002C22B9" w:rsidP="002C22B9">
            <w:pPr>
              <w:tabs>
                <w:tab w:val="left" w:pos="360"/>
                <w:tab w:val="left" w:pos="3960"/>
              </w:tabs>
              <w:jc w:val="center"/>
              <w:rPr>
                <w:sz w:val="20"/>
              </w:rPr>
            </w:pPr>
            <w:r w:rsidRPr="00615936">
              <w:rPr>
                <w:sz w:val="20"/>
              </w:rPr>
              <w:t>Nr.</w:t>
            </w:r>
          </w:p>
        </w:tc>
        <w:bookmarkStart w:id="4" w:name="san_num"/>
        <w:tc>
          <w:tcPr>
            <w:tcW w:w="2727" w:type="dxa"/>
            <w:tcBorders>
              <w:top w:val="nil"/>
              <w:left w:val="nil"/>
              <w:bottom w:val="single" w:sz="4" w:space="0" w:color="auto"/>
              <w:right w:val="nil"/>
            </w:tcBorders>
          </w:tcPr>
          <w:p w14:paraId="6688D139" w14:textId="77777777" w:rsidR="002C22B9" w:rsidRPr="00615936" w:rsidRDefault="00EA2944"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002C22B9" w:rsidRPr="00615936">
              <w:rPr>
                <w:szCs w:val="24"/>
              </w:rPr>
              <w:instrText xml:space="preserve"> FORMTEXT </w:instrText>
            </w:r>
            <w:r w:rsidRPr="00615936">
              <w:rPr>
                <w:szCs w:val="24"/>
              </w:rPr>
            </w:r>
            <w:r w:rsidRPr="00615936">
              <w:rPr>
                <w:szCs w:val="24"/>
              </w:rPr>
              <w:fldChar w:fldCharType="separate"/>
            </w:r>
            <w:r w:rsidR="00A643B3">
              <w:rPr>
                <w:szCs w:val="24"/>
              </w:rPr>
              <w:t>VSS-784, 29  29§</w:t>
            </w:r>
            <w:r w:rsidRPr="00615936">
              <w:rPr>
                <w:szCs w:val="24"/>
              </w:rPr>
              <w:fldChar w:fldCharType="end"/>
            </w:r>
            <w:bookmarkEnd w:id="4"/>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14:paraId="10E60CDA" w14:textId="77777777" w:rsidTr="000C0DD4">
        <w:trPr>
          <w:jc w:val="right"/>
        </w:trPr>
        <w:tc>
          <w:tcPr>
            <w:tcW w:w="4644" w:type="dxa"/>
          </w:tcPr>
          <w:p w14:paraId="1335C57D" w14:textId="77777777" w:rsidR="000C0DD4" w:rsidRDefault="00A643B3" w:rsidP="000C0DD4">
            <w:pPr>
              <w:jc w:val="right"/>
              <w:rPr>
                <w:b/>
                <w:bCs/>
                <w:szCs w:val="24"/>
                <w:lang w:eastAsia="lv-LV"/>
              </w:rPr>
            </w:pPr>
            <w:bookmarkStart w:id="5" w:name="org_nos"/>
            <w:r>
              <w:rPr>
                <w:b/>
                <w:bCs/>
                <w:szCs w:val="24"/>
                <w:lang w:eastAsia="lv-LV"/>
              </w:rPr>
              <w:t>Satiksmes ministrija</w:t>
            </w:r>
            <w:r w:rsidR="00E578B5">
              <w:rPr>
                <w:b/>
                <w:bCs/>
                <w:szCs w:val="24"/>
                <w:lang w:eastAsia="lv-LV"/>
              </w:rPr>
              <w:t>i</w:t>
            </w:r>
          </w:p>
        </w:tc>
      </w:tr>
      <w:bookmarkEnd w:id="5"/>
    </w:tbl>
    <w:p w14:paraId="6487C2C3" w14:textId="77777777" w:rsidR="001F53D9" w:rsidRPr="007F3771" w:rsidRDefault="001F53D9" w:rsidP="004F32A1">
      <w:pPr>
        <w:rPr>
          <w:spacing w:val="4"/>
          <w:sz w:val="20"/>
        </w:rPr>
      </w:pPr>
    </w:p>
    <w:tbl>
      <w:tblPr>
        <w:tblStyle w:val="TableGrid"/>
        <w:tblW w:w="0" w:type="auto"/>
        <w:tblLook w:val="04A0" w:firstRow="1" w:lastRow="0" w:firstColumn="1" w:lastColumn="0" w:noHBand="0" w:noVBand="1"/>
      </w:tblPr>
      <w:tblGrid>
        <w:gridCol w:w="4503"/>
      </w:tblGrid>
      <w:tr w:rsidR="000C0DD4" w14:paraId="213FC61D" w14:textId="77777777" w:rsidTr="000C0DD4">
        <w:tc>
          <w:tcPr>
            <w:tcW w:w="4503" w:type="dxa"/>
            <w:tcBorders>
              <w:top w:val="nil"/>
              <w:left w:val="nil"/>
              <w:bottom w:val="nil"/>
              <w:right w:val="nil"/>
            </w:tcBorders>
          </w:tcPr>
          <w:p w14:paraId="47479C30" w14:textId="77777777" w:rsidR="000C0DD4" w:rsidRDefault="00A643B3" w:rsidP="00C04DED">
            <w:pPr>
              <w:jc w:val="left"/>
              <w:rPr>
                <w:i/>
                <w:iCs/>
                <w:szCs w:val="24"/>
                <w:lang w:eastAsia="lv-LV"/>
              </w:rPr>
            </w:pPr>
            <w:r>
              <w:rPr>
                <w:i/>
                <w:iCs/>
                <w:szCs w:val="24"/>
                <w:lang w:eastAsia="lv-LV"/>
              </w:rPr>
              <w:t xml:space="preserve">Atzinums par Ministru kabineta noteikumu projektu </w:t>
            </w:r>
            <w:r w:rsidR="00A507E2">
              <w:rPr>
                <w:i/>
                <w:iCs/>
                <w:szCs w:val="24"/>
                <w:lang w:eastAsia="lv-LV"/>
              </w:rPr>
              <w:t>“</w:t>
            </w:r>
            <w:r>
              <w:rPr>
                <w:i/>
                <w:iCs/>
                <w:szCs w:val="24"/>
                <w:lang w:eastAsia="lv-LV"/>
              </w:rPr>
              <w:t xml:space="preserve">Kārtība, kādā Izložu un azartspēļu uzraudzības inspekcija sagatavo un </w:t>
            </w:r>
            <w:proofErr w:type="spellStart"/>
            <w:r>
              <w:rPr>
                <w:i/>
                <w:iCs/>
                <w:szCs w:val="24"/>
                <w:lang w:eastAsia="lv-LV"/>
              </w:rPr>
              <w:t>nosūta</w:t>
            </w:r>
            <w:proofErr w:type="spellEnd"/>
            <w:r>
              <w:rPr>
                <w:i/>
                <w:iCs/>
                <w:szCs w:val="24"/>
                <w:lang w:eastAsia="lv-LV"/>
              </w:rPr>
              <w:t xml:space="preserve"> lēmumu par piekļuves ierobežošanu Latvijā nelicencētu interaktīvo azartspēļu organizētāju tīmekļvietnēm</w:t>
            </w:r>
            <w:r w:rsidR="00A507E2">
              <w:rPr>
                <w:i/>
                <w:iCs/>
                <w:szCs w:val="24"/>
                <w:lang w:eastAsia="lv-LV"/>
              </w:rPr>
              <w:t>”</w:t>
            </w:r>
            <w:r>
              <w:rPr>
                <w:i/>
                <w:iCs/>
                <w:szCs w:val="24"/>
                <w:lang w:eastAsia="lv-LV"/>
              </w:rPr>
              <w:t xml:space="preserve"> (VSS-784)</w:t>
            </w:r>
          </w:p>
        </w:tc>
      </w:tr>
    </w:tbl>
    <w:p w14:paraId="26A016DC" w14:textId="77777777" w:rsidR="006D6710" w:rsidRPr="00615936" w:rsidRDefault="006D6710" w:rsidP="007F3771">
      <w:pPr>
        <w:rPr>
          <w:szCs w:val="24"/>
        </w:rPr>
      </w:pPr>
    </w:p>
    <w:p w14:paraId="6699C4F8" w14:textId="77777777" w:rsidR="00E578B5" w:rsidRPr="00AC78D5" w:rsidRDefault="00E578B5" w:rsidP="00E578B5">
      <w:pPr>
        <w:ind w:firstLine="720"/>
        <w:rPr>
          <w:rFonts w:eastAsia="Calibri"/>
          <w:szCs w:val="24"/>
        </w:rPr>
      </w:pPr>
      <w:r w:rsidRPr="00AC78D5">
        <w:rPr>
          <w:rFonts w:eastAsia="Calibri"/>
          <w:szCs w:val="24"/>
        </w:rPr>
        <w:t xml:space="preserve">Finanšu ministrija atbilstoši kompetencei ir izskatījusi Satiksmes ministrijas izstrādāto Ministru kabineta noteikumu projektu “Kārtība, kādā Izložu un azartspēļu uzraudzības inspekcija sagatavo un </w:t>
      </w:r>
      <w:proofErr w:type="spellStart"/>
      <w:r w:rsidRPr="00AC78D5">
        <w:rPr>
          <w:rFonts w:eastAsia="Calibri"/>
          <w:szCs w:val="24"/>
        </w:rPr>
        <w:t>nosūta</w:t>
      </w:r>
      <w:proofErr w:type="spellEnd"/>
      <w:r w:rsidRPr="00AC78D5">
        <w:rPr>
          <w:rFonts w:eastAsia="Calibri"/>
          <w:szCs w:val="24"/>
        </w:rPr>
        <w:t xml:space="preserve"> lēmumu par piekļuves ierobežošanu Latvijā nelicencētu interaktīvo azartspēļu organizētāju tīmekļvietnēm</w:t>
      </w:r>
      <w:r w:rsidR="00A507E2" w:rsidRPr="00AC78D5">
        <w:rPr>
          <w:rFonts w:eastAsia="Calibri"/>
          <w:szCs w:val="24"/>
        </w:rPr>
        <w:t>”</w:t>
      </w:r>
      <w:r w:rsidRPr="00AC78D5">
        <w:rPr>
          <w:rFonts w:eastAsia="Calibri"/>
          <w:szCs w:val="24"/>
        </w:rPr>
        <w:t xml:space="preserve"> (VSS-784) (turpmāk – noteikumu projekts) un tā sākotnējās ietekmes novērtējuma apvienoto ziņojumu (anotācija) un informē, ka atbalsta projekta tālāku virzību, vienlaikus izsakot šādu iebildumu.</w:t>
      </w:r>
    </w:p>
    <w:p w14:paraId="34265023" w14:textId="77777777" w:rsidR="00E578B5" w:rsidRPr="00AC78D5" w:rsidRDefault="00E578B5" w:rsidP="00E578B5">
      <w:pPr>
        <w:ind w:firstLine="720"/>
        <w:rPr>
          <w:rFonts w:eastAsia="Calibri"/>
          <w:szCs w:val="24"/>
        </w:rPr>
      </w:pPr>
      <w:r w:rsidRPr="00AC78D5">
        <w:rPr>
          <w:rFonts w:eastAsia="Calibri"/>
          <w:szCs w:val="24"/>
        </w:rPr>
        <w:t>Noteikumu projekta 5.</w:t>
      </w:r>
      <w:r w:rsidRPr="00AC78D5">
        <w:rPr>
          <w:rFonts w:ascii="Calibri" w:eastAsia="Calibri" w:hAnsi="Calibri" w:cs="Calibri"/>
          <w:szCs w:val="24"/>
        </w:rPr>
        <w:t> </w:t>
      </w:r>
      <w:r w:rsidRPr="00AC78D5">
        <w:rPr>
          <w:rFonts w:eastAsia="Calibri"/>
          <w:szCs w:val="24"/>
        </w:rPr>
        <w:t xml:space="preserve">punkts nosaka, ka pēc lēmuma pieņemšanas par piekļuves ierobežošanu (bloķēšanu) Latvijā nelicencēta interaktīvo azartspēļu organizētāja tīmekļvietnei, Izložu un azartspēļu uzraudzības inspekcija ne retāk kā reizi ceturksnī pārskata pieņemtos lēmumus un attiecīga lēmuma pieņemšanas gadījumā augstākā līmeņa domēna </w:t>
      </w:r>
      <w:r w:rsidR="00A507E2" w:rsidRPr="00AC78D5">
        <w:rPr>
          <w:rFonts w:eastAsia="Calibri"/>
          <w:szCs w:val="24"/>
        </w:rPr>
        <w:t>“</w:t>
      </w:r>
      <w:r w:rsidRPr="00AC78D5">
        <w:rPr>
          <w:rFonts w:eastAsia="Calibri"/>
          <w:szCs w:val="24"/>
        </w:rPr>
        <w:t>.lv</w:t>
      </w:r>
      <w:r w:rsidR="00A507E2" w:rsidRPr="00AC78D5">
        <w:rPr>
          <w:rFonts w:eastAsia="Calibri"/>
          <w:szCs w:val="24"/>
        </w:rPr>
        <w:t>”</w:t>
      </w:r>
      <w:r w:rsidRPr="00AC78D5">
        <w:rPr>
          <w:rFonts w:eastAsia="Calibri"/>
          <w:szCs w:val="24"/>
        </w:rPr>
        <w:t xml:space="preserve"> reģistra turētājam un elektronisko sakaru komersantam elektroniski </w:t>
      </w:r>
      <w:proofErr w:type="spellStart"/>
      <w:r w:rsidRPr="00AC78D5">
        <w:rPr>
          <w:rFonts w:eastAsia="Calibri"/>
          <w:szCs w:val="24"/>
        </w:rPr>
        <w:t>nosūta</w:t>
      </w:r>
      <w:proofErr w:type="spellEnd"/>
      <w:r w:rsidRPr="00AC78D5">
        <w:rPr>
          <w:rFonts w:eastAsia="Calibri"/>
          <w:szCs w:val="24"/>
        </w:rPr>
        <w:t xml:space="preserve"> ar drošu elektronisko parakstu parakstītu pieprasījumu (pielikums) par ierobežošanas (bloķēšanas) atcelšanu, pievienojot lēmuma kopiju.</w:t>
      </w:r>
    </w:p>
    <w:p w14:paraId="3CDD13B9" w14:textId="77777777" w:rsidR="00E578B5" w:rsidRPr="00AC78D5" w:rsidRDefault="00E578B5" w:rsidP="00E578B5">
      <w:pPr>
        <w:ind w:firstLine="720"/>
        <w:rPr>
          <w:rFonts w:eastAsia="Calibri"/>
          <w:szCs w:val="24"/>
        </w:rPr>
      </w:pPr>
      <w:r w:rsidRPr="00AC78D5">
        <w:rPr>
          <w:rFonts w:eastAsia="Calibri"/>
          <w:szCs w:val="24"/>
        </w:rPr>
        <w:t xml:space="preserve">Informējam, ka Izložu un azartspēļu uzraudzības inspekcija, izmantojot īpašu automatizētu pārbaudes rīku, piekļūstot elektronisko sakaru komersantu tīkla </w:t>
      </w:r>
      <w:proofErr w:type="spellStart"/>
      <w:r w:rsidRPr="00AC78D5">
        <w:rPr>
          <w:rFonts w:eastAsia="Calibri"/>
          <w:szCs w:val="24"/>
        </w:rPr>
        <w:t>pieslēguma</w:t>
      </w:r>
      <w:proofErr w:type="spellEnd"/>
      <w:r w:rsidRPr="00AC78D5">
        <w:rPr>
          <w:rFonts w:eastAsia="Calibri"/>
          <w:szCs w:val="24"/>
        </w:rPr>
        <w:t xml:space="preserve"> punktiem, regulāri veic pārbaudes, lai Izložu un azartspēļu uzraudzības inspekcijas amatpersonas varētu pārliecināties, ka pieņemtais lēmums par Latvijā nelicencēta interaktīvo azartspēļu vai interaktīvo izložu organizētāja domēna vārda vai interneta protokola (IP) adreses piekļuves ierobežošanu tiek pildīts.</w:t>
      </w:r>
    </w:p>
    <w:p w14:paraId="084A8537" w14:textId="77777777" w:rsidR="00E578B5" w:rsidRPr="00AC78D5" w:rsidRDefault="00E578B5" w:rsidP="00E578B5">
      <w:pPr>
        <w:ind w:firstLine="720"/>
        <w:rPr>
          <w:rFonts w:eastAsia="Calibri"/>
          <w:szCs w:val="24"/>
        </w:rPr>
      </w:pPr>
      <w:r w:rsidRPr="00AC78D5">
        <w:rPr>
          <w:rFonts w:eastAsia="Calibri"/>
          <w:szCs w:val="24"/>
        </w:rPr>
        <w:t xml:space="preserve">Tā pat informējam, ka Latvijā elektronisko sakaru komersantu tehnoloģiskās iespējas ir atšķirīgas, piemēram, liedzot mājaslapas domēna izmantošanu, ierobežojot mājaslapas </w:t>
      </w:r>
      <w:proofErr w:type="spellStart"/>
      <w:r w:rsidRPr="00AC78D5">
        <w:rPr>
          <w:rFonts w:eastAsia="Calibri"/>
          <w:szCs w:val="24"/>
        </w:rPr>
        <w:t>apakšsadaļu</w:t>
      </w:r>
      <w:proofErr w:type="spellEnd"/>
      <w:r w:rsidRPr="00AC78D5">
        <w:rPr>
          <w:rFonts w:eastAsia="Calibri"/>
          <w:szCs w:val="24"/>
        </w:rPr>
        <w:t xml:space="preserve"> pieejamību vai bloķējot interneta protokola (IP) adresi. Tajā pat laikā, izmantojot dažādus tehnoloģiskos risinājumus, šo bloķēto vietņu operatori aktīvi meklē un rada veidus, kā apiet spēkā esošo bloķēšanu Latvijā, veidojot jaunus </w:t>
      </w:r>
      <w:proofErr w:type="spellStart"/>
      <w:r w:rsidRPr="00AC78D5">
        <w:rPr>
          <w:rFonts w:eastAsia="Calibri"/>
          <w:szCs w:val="24"/>
        </w:rPr>
        <w:t>domēnvārdus</w:t>
      </w:r>
      <w:proofErr w:type="spellEnd"/>
      <w:r w:rsidRPr="00AC78D5">
        <w:rPr>
          <w:rFonts w:eastAsia="Calibri"/>
          <w:szCs w:val="24"/>
        </w:rPr>
        <w:t xml:space="preserve"> un </w:t>
      </w:r>
      <w:proofErr w:type="spellStart"/>
      <w:r w:rsidRPr="00AC78D5">
        <w:rPr>
          <w:rFonts w:eastAsia="Calibri"/>
          <w:szCs w:val="24"/>
        </w:rPr>
        <w:t>apakšsadaļas</w:t>
      </w:r>
      <w:proofErr w:type="spellEnd"/>
      <w:r w:rsidRPr="00AC78D5">
        <w:rPr>
          <w:rFonts w:eastAsia="Calibri"/>
          <w:szCs w:val="24"/>
        </w:rPr>
        <w:t xml:space="preserve">. </w:t>
      </w:r>
    </w:p>
    <w:p w14:paraId="2DE53CC3" w14:textId="77777777" w:rsidR="00A507E2" w:rsidRPr="00AC78D5" w:rsidRDefault="00E578B5" w:rsidP="00E578B5">
      <w:pPr>
        <w:ind w:firstLine="720"/>
        <w:rPr>
          <w:rFonts w:eastAsia="Calibri"/>
          <w:szCs w:val="24"/>
        </w:rPr>
      </w:pPr>
      <w:r w:rsidRPr="00AC78D5">
        <w:rPr>
          <w:rFonts w:eastAsia="Calibri"/>
          <w:szCs w:val="24"/>
        </w:rPr>
        <w:t xml:space="preserve">Papildus tam, pienākums ne retāk kā reizi ceturksnī pārskatīt pieņemtos lēmumus </w:t>
      </w:r>
      <w:r w:rsidRPr="00AC78D5">
        <w:rPr>
          <w:rFonts w:eastAsia="Calibri"/>
          <w:szCs w:val="24"/>
          <w:u w:val="single"/>
        </w:rPr>
        <w:t>radīs nesamērīgu administratīvo un tehnoloģisko slogu</w:t>
      </w:r>
      <w:r w:rsidRPr="00AC78D5">
        <w:rPr>
          <w:rFonts w:eastAsia="Calibri"/>
          <w:szCs w:val="24"/>
        </w:rPr>
        <w:t>, jo pašlaik, pēc Izložu un azartspēļu uzraudzības inspekcijas sniegtajiem datiem, ir bloķēti vairāk nekā 2300 domēna vārdi.</w:t>
      </w:r>
    </w:p>
    <w:p w14:paraId="4E58DE01" w14:textId="77777777" w:rsidR="00E578B5" w:rsidRPr="00AC78D5" w:rsidRDefault="00E578B5" w:rsidP="00E578B5">
      <w:pPr>
        <w:ind w:firstLine="720"/>
        <w:rPr>
          <w:rFonts w:eastAsia="Calibri"/>
          <w:szCs w:val="24"/>
        </w:rPr>
      </w:pPr>
      <w:r w:rsidRPr="00AC78D5">
        <w:rPr>
          <w:rFonts w:eastAsia="Calibri"/>
          <w:szCs w:val="24"/>
        </w:rPr>
        <w:lastRenderedPageBreak/>
        <w:t>Vēršam uzmanību, ka par vienīgo iespējamo pamatu Izložu un azartspēļu uzraudzības inspekcijai pārskatīt un pieņemt lēmumu par piekļuves ierobežošanas (bloķēšanas) atcelšanu, ir attiecīgas azartspēļu vai izložu licences saņemšana, jo saskaņā ar Azartspēļu un izložu likuma 3. panta pirmo daļu</w:t>
      </w:r>
      <w:r w:rsidRPr="00AC78D5">
        <w:rPr>
          <w:rFonts w:ascii="Calibri" w:eastAsia="Calibri" w:hAnsi="Calibri" w:cs="Calibri"/>
          <w:szCs w:val="24"/>
        </w:rPr>
        <w:t xml:space="preserve"> </w:t>
      </w:r>
      <w:r w:rsidRPr="00AC78D5">
        <w:rPr>
          <w:rFonts w:eastAsia="Calibri"/>
          <w:szCs w:val="24"/>
          <w:u w:val="single"/>
        </w:rPr>
        <w:t>Latvijas Republikā azartspēles un izlozes drīkst organizēt tikai pēc attiecīgo azartspēļu vai izložu licenču saņemšanas</w:t>
      </w:r>
      <w:r w:rsidRPr="00AC78D5">
        <w:rPr>
          <w:rFonts w:eastAsia="Calibri"/>
          <w:szCs w:val="24"/>
        </w:rPr>
        <w:t xml:space="preserve">. </w:t>
      </w:r>
    </w:p>
    <w:p w14:paraId="4249AC0C" w14:textId="77777777" w:rsidR="00E578B5" w:rsidRPr="00AC78D5" w:rsidRDefault="00E578B5" w:rsidP="00E578B5">
      <w:pPr>
        <w:rPr>
          <w:rFonts w:ascii="Calibri" w:eastAsia="Calibri" w:hAnsi="Calibri" w:cs="Calibri"/>
          <w:szCs w:val="24"/>
        </w:rPr>
      </w:pPr>
    </w:p>
    <w:p w14:paraId="1F5A207A" w14:textId="77777777" w:rsidR="00E578B5" w:rsidRPr="00AC78D5" w:rsidRDefault="00E578B5" w:rsidP="00E578B5">
      <w:pPr>
        <w:ind w:firstLine="720"/>
        <w:rPr>
          <w:rFonts w:eastAsia="Calibri"/>
          <w:szCs w:val="24"/>
          <w:u w:val="single"/>
        </w:rPr>
      </w:pPr>
      <w:r w:rsidRPr="00AC78D5">
        <w:rPr>
          <w:rFonts w:eastAsia="Calibri"/>
          <w:szCs w:val="24"/>
        </w:rPr>
        <w:t xml:space="preserve">Vienlaikus norādām, ka noteikumu projekta </w:t>
      </w:r>
      <w:r w:rsidRPr="00AC78D5">
        <w:rPr>
          <w:rFonts w:eastAsia="Calibri"/>
          <w:szCs w:val="24"/>
          <w:u w:val="single"/>
        </w:rPr>
        <w:t>5. punktā noteiktā pieprasījuma forma neatbilst noteikumu projekta 5.</w:t>
      </w:r>
      <w:r w:rsidR="00A507E2" w:rsidRPr="00AC78D5">
        <w:rPr>
          <w:rFonts w:eastAsia="Calibri"/>
          <w:szCs w:val="24"/>
          <w:u w:val="single"/>
        </w:rPr>
        <w:t> </w:t>
      </w:r>
      <w:r w:rsidRPr="00AC78D5">
        <w:rPr>
          <w:rFonts w:eastAsia="Calibri"/>
          <w:szCs w:val="24"/>
          <w:u w:val="single"/>
        </w:rPr>
        <w:t>punktā noteiktajai situācijai</w:t>
      </w:r>
      <w:r w:rsidRPr="00AC78D5">
        <w:rPr>
          <w:rFonts w:eastAsia="Calibri"/>
          <w:szCs w:val="24"/>
        </w:rPr>
        <w:t>, proti, noteikumu projekta pielikumā noteiktā pieprasījuma forma ir par piekļuves ierobežošanu (bloķēšanu) un tā neiekļauj pieprasījuma formu par ierobežošanas (bloķēšanas) atcelšanu.</w:t>
      </w:r>
    </w:p>
    <w:p w14:paraId="5F9CB32C" w14:textId="77777777" w:rsidR="00E578B5" w:rsidRPr="00AC78D5" w:rsidRDefault="00E578B5" w:rsidP="00E578B5">
      <w:pPr>
        <w:ind w:firstLine="720"/>
        <w:rPr>
          <w:rFonts w:eastAsia="Calibri"/>
          <w:szCs w:val="24"/>
        </w:rPr>
      </w:pPr>
      <w:r w:rsidRPr="00AC78D5">
        <w:rPr>
          <w:rFonts w:eastAsia="Calibri"/>
          <w:szCs w:val="24"/>
        </w:rPr>
        <w:t>Pamatojoties uz iepriekš minēto, lūdzam izteikt projekta 5. punktu šādā redakcijā:</w:t>
      </w:r>
    </w:p>
    <w:p w14:paraId="19928A6F" w14:textId="77777777" w:rsidR="00E578B5" w:rsidRPr="00AC78D5" w:rsidRDefault="00E578B5" w:rsidP="00E578B5">
      <w:pPr>
        <w:ind w:firstLine="720"/>
        <w:rPr>
          <w:rFonts w:eastAsia="Calibri"/>
          <w:szCs w:val="24"/>
        </w:rPr>
      </w:pPr>
      <w:r w:rsidRPr="00AC78D5">
        <w:rPr>
          <w:rFonts w:eastAsia="Calibri"/>
          <w:szCs w:val="24"/>
        </w:rPr>
        <w:t>“5. Elektronisko sakaru komersants nodrošina piekļuves ierobežošanu (bloķēšanu) Latvijā nelicencēto interaktīvo azartspēļu organizētāju mājaslapām līdz dienai, kad saņem inspekcijas lēmumu par ierobežošanas (bloķēšanas) atcelšanu.”.</w:t>
      </w:r>
    </w:p>
    <w:p w14:paraId="25D589EF" w14:textId="77777777" w:rsidR="00557B49" w:rsidRPr="00AC78D5" w:rsidRDefault="00557B49" w:rsidP="007F3771">
      <w:pPr>
        <w:rPr>
          <w:szCs w:val="24"/>
        </w:rPr>
      </w:pPr>
    </w:p>
    <w:p w14:paraId="0C1965DA" w14:textId="77777777" w:rsidR="00E578B5" w:rsidRPr="00AC78D5" w:rsidRDefault="00E578B5" w:rsidP="00E578B5">
      <w:pPr>
        <w:ind w:firstLine="720"/>
        <w:rPr>
          <w:szCs w:val="24"/>
        </w:rPr>
      </w:pPr>
      <w:r w:rsidRPr="00AC78D5">
        <w:rPr>
          <w:szCs w:val="24"/>
        </w:rPr>
        <w:t>Vienlaikus izsakām šādu priekšlikumu.</w:t>
      </w:r>
    </w:p>
    <w:p w14:paraId="45650F5F" w14:textId="77777777" w:rsidR="00E578B5" w:rsidRPr="00AC78D5" w:rsidRDefault="00E578B5" w:rsidP="00E578B5">
      <w:pPr>
        <w:ind w:firstLine="720"/>
        <w:rPr>
          <w:szCs w:val="24"/>
        </w:rPr>
      </w:pPr>
      <w:r w:rsidRPr="00AC78D5">
        <w:rPr>
          <w:szCs w:val="24"/>
        </w:rPr>
        <w:t>Ierosinām papildināt noteikumu projektu ar jaunu punktu šādā redakcijā:</w:t>
      </w:r>
    </w:p>
    <w:p w14:paraId="510B8BAC" w14:textId="77777777" w:rsidR="00E578B5" w:rsidRPr="00AC78D5" w:rsidRDefault="00E578B5" w:rsidP="00E578B5">
      <w:pPr>
        <w:ind w:firstLine="720"/>
        <w:rPr>
          <w:szCs w:val="24"/>
        </w:rPr>
      </w:pPr>
      <w:r w:rsidRPr="00AC78D5">
        <w:rPr>
          <w:szCs w:val="24"/>
        </w:rPr>
        <w:t xml:space="preserve">“Atzīt par spēku zaudējušu Ministru kabineta 2014.gada 9.jūnija noteikumi “Kārtība, kādā Izložu un azartspēļu uzraudzības inspekcija sagatavo un </w:t>
      </w:r>
      <w:proofErr w:type="spellStart"/>
      <w:r w:rsidRPr="00AC78D5">
        <w:rPr>
          <w:szCs w:val="24"/>
        </w:rPr>
        <w:t>nosūta</w:t>
      </w:r>
      <w:proofErr w:type="spellEnd"/>
      <w:r w:rsidRPr="00AC78D5">
        <w:rPr>
          <w:szCs w:val="24"/>
        </w:rPr>
        <w:t xml:space="preserve"> lēmumu par piekļuves ierobežošanu Latvijā nelicencētu interaktīvo azartspēļu organizētāju interneta mājaslapām””.</w:t>
      </w:r>
    </w:p>
    <w:p w14:paraId="42FA2F5C" w14:textId="77777777" w:rsidR="003F2252" w:rsidRPr="00AC78D5" w:rsidRDefault="003F2252" w:rsidP="007F3771">
      <w:pPr>
        <w:rPr>
          <w:szCs w:val="24"/>
        </w:rPr>
      </w:pPr>
    </w:p>
    <w:p w14:paraId="12F7A927" w14:textId="77777777" w:rsidR="00E578B5" w:rsidRPr="00AC78D5" w:rsidRDefault="00E578B5"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AC78D5" w14:paraId="3D2B2868" w14:textId="77777777" w:rsidTr="00AA6DC1">
        <w:tc>
          <w:tcPr>
            <w:tcW w:w="4395" w:type="dxa"/>
          </w:tcPr>
          <w:p w14:paraId="4220F0A5" w14:textId="77777777" w:rsidR="00A643B3" w:rsidRPr="00AC78D5" w:rsidRDefault="00A643B3" w:rsidP="007F3771">
            <w:pPr>
              <w:rPr>
                <w:szCs w:val="24"/>
              </w:rPr>
            </w:pPr>
            <w:r w:rsidRPr="00AC78D5">
              <w:rPr>
                <w:szCs w:val="24"/>
              </w:rPr>
              <w:t xml:space="preserve">Valsts sekretāres vietniece </w:t>
            </w:r>
          </w:p>
          <w:p w14:paraId="04BCBB9E" w14:textId="77777777" w:rsidR="00AA6DC1" w:rsidRPr="00AC78D5" w:rsidRDefault="00A643B3" w:rsidP="007F3771">
            <w:pPr>
              <w:rPr>
                <w:szCs w:val="24"/>
              </w:rPr>
            </w:pPr>
            <w:r w:rsidRPr="00AC78D5">
              <w:rPr>
                <w:szCs w:val="24"/>
              </w:rPr>
              <w:t>nodokļu administrēšanas un ēnu ekonomikas ierobežošanas jautājumos</w:t>
            </w:r>
          </w:p>
        </w:tc>
        <w:tc>
          <w:tcPr>
            <w:tcW w:w="1984" w:type="dxa"/>
          </w:tcPr>
          <w:p w14:paraId="57764F6C" w14:textId="77777777" w:rsidR="00AA6DC1" w:rsidRPr="00AC78D5" w:rsidRDefault="00AA6DC1" w:rsidP="00AA6DC1">
            <w:pPr>
              <w:jc w:val="center"/>
              <w:rPr>
                <w:szCs w:val="24"/>
              </w:rPr>
            </w:pPr>
            <w:bookmarkStart w:id="6" w:name="edoc_info2"/>
            <w:r w:rsidRPr="00AC78D5">
              <w:rPr>
                <w:szCs w:val="24"/>
              </w:rPr>
              <w:t>(paraksts*)</w:t>
            </w:r>
            <w:bookmarkEnd w:id="6"/>
          </w:p>
        </w:tc>
        <w:tc>
          <w:tcPr>
            <w:tcW w:w="2977" w:type="dxa"/>
            <w:vAlign w:val="bottom"/>
          </w:tcPr>
          <w:p w14:paraId="70D1D6D2" w14:textId="77777777" w:rsidR="00AA6DC1" w:rsidRPr="00AC78D5" w:rsidRDefault="00A643B3" w:rsidP="00483407">
            <w:pPr>
              <w:jc w:val="right"/>
              <w:rPr>
                <w:szCs w:val="24"/>
              </w:rPr>
            </w:pPr>
            <w:proofErr w:type="spellStart"/>
            <w:r w:rsidRPr="00AC78D5">
              <w:rPr>
                <w:szCs w:val="24"/>
              </w:rPr>
              <w:t>J.Salmiņa</w:t>
            </w:r>
            <w:proofErr w:type="spellEnd"/>
          </w:p>
        </w:tc>
      </w:tr>
      <w:tr w:rsidR="00AA6DC1" w:rsidRPr="00AC78D5" w14:paraId="7776A465" w14:textId="77777777" w:rsidTr="00AA6DC1">
        <w:tc>
          <w:tcPr>
            <w:tcW w:w="4395" w:type="dxa"/>
          </w:tcPr>
          <w:p w14:paraId="3BB9E9D6" w14:textId="77777777" w:rsidR="00AA6DC1" w:rsidRPr="00AC78D5" w:rsidRDefault="00AA6DC1" w:rsidP="007F3771">
            <w:pPr>
              <w:rPr>
                <w:szCs w:val="24"/>
              </w:rPr>
            </w:pPr>
          </w:p>
        </w:tc>
        <w:tc>
          <w:tcPr>
            <w:tcW w:w="1984" w:type="dxa"/>
          </w:tcPr>
          <w:p w14:paraId="664C783A" w14:textId="77777777" w:rsidR="00AA6DC1" w:rsidRPr="00AC78D5" w:rsidRDefault="00AA6DC1" w:rsidP="000C0DD4">
            <w:pPr>
              <w:jc w:val="right"/>
              <w:rPr>
                <w:szCs w:val="24"/>
              </w:rPr>
            </w:pPr>
          </w:p>
        </w:tc>
        <w:tc>
          <w:tcPr>
            <w:tcW w:w="2977" w:type="dxa"/>
            <w:vAlign w:val="bottom"/>
          </w:tcPr>
          <w:p w14:paraId="1EAD3FD6" w14:textId="77777777" w:rsidR="00AA6DC1" w:rsidRPr="00AC78D5"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rsidRPr="00AC78D5" w14:paraId="5DF0E07E" w14:textId="77777777" w:rsidTr="00AA6DC1">
        <w:trPr>
          <w:cantSplit/>
          <w:trHeight w:val="615"/>
        </w:trPr>
        <w:tc>
          <w:tcPr>
            <w:tcW w:w="8647" w:type="dxa"/>
          </w:tcPr>
          <w:p w14:paraId="1D8DA49D" w14:textId="77777777" w:rsidR="002D6CB4" w:rsidRPr="00AC78D5" w:rsidRDefault="00AA6DC1" w:rsidP="00AA6DC1">
            <w:pPr>
              <w:pStyle w:val="BodyTextIndent"/>
              <w:tabs>
                <w:tab w:val="left" w:pos="8397"/>
              </w:tabs>
              <w:ind w:left="0"/>
            </w:pPr>
            <w:bookmarkStart w:id="7" w:name="edoc_info" w:colFirst="0" w:colLast="0"/>
            <w:r w:rsidRPr="00AC78D5">
              <w:t>*Dokuments ir parakstīts ar drošu elektronisko parakstu</w:t>
            </w:r>
          </w:p>
        </w:tc>
      </w:tr>
      <w:bookmarkEnd w:id="7"/>
    </w:tbl>
    <w:p w14:paraId="7CE12A38" w14:textId="77777777" w:rsidR="00826D51" w:rsidRDefault="00826D51" w:rsidP="007F3771">
      <w:pPr>
        <w:rPr>
          <w:sz w:val="20"/>
        </w:rPr>
      </w:pPr>
    </w:p>
    <w:p w14:paraId="651DAE7D" w14:textId="77777777" w:rsidR="00A643B3" w:rsidRDefault="00A643B3" w:rsidP="00550BA5">
      <w:pPr>
        <w:ind w:firstLine="142"/>
        <w:rPr>
          <w:sz w:val="20"/>
        </w:rPr>
      </w:pPr>
      <w:r>
        <w:rPr>
          <w:sz w:val="20"/>
        </w:rPr>
        <w:t xml:space="preserve">Bless 67095672 </w:t>
      </w:r>
    </w:p>
    <w:p w14:paraId="3EBBCCE6" w14:textId="77777777" w:rsidR="000C0DD4" w:rsidRDefault="00A643B3" w:rsidP="00550BA5">
      <w:pPr>
        <w:ind w:firstLine="142"/>
        <w:rPr>
          <w:sz w:val="20"/>
        </w:rPr>
      </w:pPr>
      <w:r>
        <w:rPr>
          <w:sz w:val="20"/>
        </w:rPr>
        <w:t>Alvis.Bless@fm.gov.lv</w:t>
      </w:r>
    </w:p>
    <w:p w14:paraId="45B06514" w14:textId="77777777" w:rsidR="000C0DD4" w:rsidRPr="006D6710" w:rsidRDefault="000C0DD4" w:rsidP="007F3771">
      <w:pPr>
        <w:rPr>
          <w:sz w:val="20"/>
        </w:rPr>
      </w:pPr>
    </w:p>
    <w:sectPr w:rsidR="000C0DD4" w:rsidRPr="006D6710" w:rsidSect="002C22B9">
      <w:headerReference w:type="even" r:id="rId7"/>
      <w:headerReference w:type="default" r:id="rId8"/>
      <w:footerReference w:type="even" r:id="rId9"/>
      <w:footerReference w:type="default" r:id="rId10"/>
      <w:headerReference w:type="first" r:id="rId11"/>
      <w:footerReference w:type="first" r:id="rId12"/>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EB48" w14:textId="77777777" w:rsidR="00974AA1" w:rsidRDefault="00974AA1">
      <w:r>
        <w:separator/>
      </w:r>
    </w:p>
  </w:endnote>
  <w:endnote w:type="continuationSeparator" w:id="0">
    <w:p w14:paraId="2CE67BBB" w14:textId="77777777" w:rsidR="00974AA1" w:rsidRDefault="0097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09E6" w14:textId="77777777" w:rsidR="002C22B9" w:rsidRDefault="002C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EndPr/>
    <w:sdtContent>
      <w:p w14:paraId="0CAE0590" w14:textId="77777777" w:rsidR="0015384D" w:rsidRDefault="00EA2944">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674E12">
          <w:rPr>
            <w:noProof/>
            <w:sz w:val="24"/>
            <w:szCs w:val="24"/>
          </w:rPr>
          <w:t>2</w:t>
        </w:r>
        <w:r w:rsidRPr="00557B49">
          <w:rPr>
            <w:sz w:val="24"/>
            <w:szCs w:val="24"/>
          </w:rPr>
          <w:fldChar w:fldCharType="end"/>
        </w:r>
      </w:p>
    </w:sdtContent>
  </w:sdt>
  <w:p w14:paraId="0B18265B" w14:textId="77777777" w:rsidR="0015384D" w:rsidRDefault="00153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0323" w14:textId="77777777" w:rsidR="0015384D" w:rsidRDefault="0015384D">
    <w:pPr>
      <w:pStyle w:val="Footer"/>
      <w:jc w:val="center"/>
    </w:pPr>
  </w:p>
  <w:p w14:paraId="12612059"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ECA2" w14:textId="77777777" w:rsidR="00974AA1" w:rsidRDefault="00974AA1">
      <w:r>
        <w:separator/>
      </w:r>
    </w:p>
  </w:footnote>
  <w:footnote w:type="continuationSeparator" w:id="0">
    <w:p w14:paraId="4616B1C1" w14:textId="77777777" w:rsidR="00974AA1" w:rsidRDefault="00974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855C" w14:textId="77777777" w:rsidR="00F33DBE" w:rsidRDefault="00EA2944">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10CDCECD"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FB26"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03B0" w14:textId="77777777" w:rsidR="002C22B9" w:rsidRDefault="002C22B9">
    <w:pPr>
      <w:pStyle w:val="Header"/>
    </w:pPr>
  </w:p>
  <w:p w14:paraId="1C763C40" w14:textId="77777777" w:rsidR="002C22B9" w:rsidRDefault="002C22B9">
    <w:pPr>
      <w:pStyle w:val="Header"/>
    </w:pPr>
  </w:p>
  <w:p w14:paraId="7EF21766" w14:textId="77777777" w:rsidR="002C22B9" w:rsidRDefault="002C22B9">
    <w:pPr>
      <w:pStyle w:val="Header"/>
    </w:pPr>
  </w:p>
  <w:p w14:paraId="28788E14" w14:textId="77777777" w:rsidR="002C22B9" w:rsidRDefault="00974AA1" w:rsidP="002C22B9">
    <w:pPr>
      <w:pStyle w:val="Header"/>
      <w:tabs>
        <w:tab w:val="clear" w:pos="4153"/>
        <w:tab w:val="clear" w:pos="8306"/>
      </w:tabs>
    </w:pPr>
    <w:r>
      <w:rPr>
        <w:noProof/>
        <w:lang w:eastAsia="lv-LV"/>
      </w:rPr>
      <w:pict w14:anchorId="5BC08036">
        <v:shapetype id="_x0000_t202" coordsize="21600,21600" o:spt="202" path="m,l,21600r21600,l21600,xe">
          <v:stroke joinstyle="miter"/>
          <v:path gradientshapeok="t" o:connecttype="rect"/>
        </v:shapetype>
        <v:shape id="Text Box 43" o:spid="_x0000_s1027" type="#_x0000_t202" style="position:absolute;left:0;text-align:left;margin-left:84pt;margin-top:159.9pt;width:468pt;height:24.7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k/6gEAALgDAAAOAAAAZHJzL2Uyb0RvYy54bWysU9tu2zAMfR+wfxD0vjhO0mIz4hRdiw4D&#10;unVAuw9gZNkWZosapcTOvn6UnGTd+lbsRaB5OTw8pNdXY9+JvSZv0JYyn82l0FZhZWxTyu9Pd+/e&#10;S+ED2Ao6tLqUB+3l1ebtm/XgCr3AFrtKk2AQ64vBlbINwRVZ5lWre/AzdNpysEbqIfAnNVlFMDB6&#10;32WL+fwyG5AqR6i09+y9nYJyk/DrWqvwUNdeB9GVkrmF9FJ6t/HNNmsoGgLXGnWkAa9g0YOx3PQM&#10;dQsBxI7MC6jeKEKPdZgp7DOsa6N0moGnyef/TPPYgtNpFhbHu7NM/v/Bqq/7byRMxbvLpbDQ846e&#10;9BjERxzFahn1GZwvOO3RcWIY2c+5aVbv7lH98MLiTQu20ddEOLQaKuaXx8rsWemE4yPIdviCFfeB&#10;XcAENNbUR/FYDsHovKfDeTeRi2LnxYfV8nLOIcWxZb5aLi5SCyhO1Y58+KSxF9EoJfHuEzrs732I&#10;bKA4pcRmFu9M16X9d/YvBydGT2IfCU/Uw7gdj2pssTrwHITTOfH5s9Ei/ZJi4FMqpf+5A9JSdJ8t&#10;axHv7mTQydieDLCKS0sZpJjMmzDd586RaVpGntS2eM161SaNEoWdWBx58nmkCY+nHO/v+XfK+vPD&#10;bX4DAAD//wMAUEsDBBQABgAIAAAAIQBkhPyO3wAAAAwBAAAPAAAAZHJzL2Rvd25yZXYueG1sTI/B&#10;TsMwEETvSPyDtUjcqB1aRU2IU1UITkiINBw4OrGbWI3XIXbb8PfdnuhxZkez84rN7AZ2MlOwHiUk&#10;CwHMYOu1xU7Cd/3+tAYWokKtBo9Gwp8JsCnv7wqVa3/Gypx2sWNUgiFXEvoYx5zz0PbGqbDwo0G6&#10;7f3kVCQ5dVxP6kzlbuDPQqTcKYv0oVejee1Ne9gdnYTtD1Zv9vez+ar2la3rTOBHepDy8WHevgCL&#10;Zo7/YbjOp+lQ0qbGH1EHNpBO18QSJSyTjBiuiUSsyGrISrMl8LLgtxDlBQAA//8DAFBLAQItABQA&#10;BgAIAAAAIQC2gziS/gAAAOEBAAATAAAAAAAAAAAAAAAAAAAAAABbQ29udGVudF9UeXBlc10ueG1s&#10;UEsBAi0AFAAGAAgAAAAhADj9If/WAAAAlAEAAAsAAAAAAAAAAAAAAAAALwEAAF9yZWxzLy5yZWxz&#10;UEsBAi0AFAAGAAgAAAAhABaEaT/qAQAAuAMAAA4AAAAAAAAAAAAAAAAALgIAAGRycy9lMm9Eb2Mu&#10;eG1sUEsBAi0AFAAGAAgAAAAhAGSE/I7fAAAADAEAAA8AAAAAAAAAAAAAAAAARAQAAGRycy9kb3du&#10;cmV2LnhtbFBLBQYAAAAABAAEAPMAAABQBQAAAAA=&#10;" filled="f" stroked="f">
          <v:textbox inset="0,0,0,0">
            <w:txbxContent>
              <w:p w14:paraId="5927DDAB"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w:r>
    <w:r w:rsidR="002C22B9" w:rsidRPr="002C22B9">
      <w:rPr>
        <w:noProof/>
        <w:lang w:eastAsia="lv-LV"/>
      </w:rPr>
      <w:drawing>
        <wp:anchor distT="0" distB="0" distL="114300" distR="114300" simplePos="0" relativeHeight="251661312" behindDoc="1" locked="0" layoutInCell="1" allowOverlap="1" wp14:anchorId="03037BBA" wp14:editId="37AE3575">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anchor>
      </w:drawing>
    </w:r>
  </w:p>
  <w:p w14:paraId="33EF7001" w14:textId="77777777" w:rsidR="002C22B9" w:rsidRDefault="002C22B9">
    <w:pPr>
      <w:pStyle w:val="Header"/>
    </w:pPr>
  </w:p>
  <w:p w14:paraId="03A8AEEF" w14:textId="77777777" w:rsidR="002C22B9" w:rsidRDefault="002C22B9">
    <w:pPr>
      <w:pStyle w:val="Header"/>
    </w:pPr>
  </w:p>
  <w:p w14:paraId="794BAEC2" w14:textId="77777777" w:rsidR="002C22B9" w:rsidRDefault="002C22B9">
    <w:pPr>
      <w:pStyle w:val="Header"/>
    </w:pPr>
  </w:p>
  <w:p w14:paraId="677C418F" w14:textId="77777777" w:rsidR="002C22B9" w:rsidRDefault="002C22B9">
    <w:pPr>
      <w:pStyle w:val="Header"/>
    </w:pPr>
  </w:p>
  <w:p w14:paraId="24EBF92C" w14:textId="77777777" w:rsidR="002C22B9" w:rsidRDefault="002C22B9">
    <w:pPr>
      <w:pStyle w:val="Header"/>
    </w:pPr>
  </w:p>
  <w:p w14:paraId="0BC2C7E2" w14:textId="77777777" w:rsidR="002C22B9" w:rsidRDefault="002C22B9">
    <w:pPr>
      <w:pStyle w:val="Header"/>
    </w:pPr>
  </w:p>
  <w:p w14:paraId="4A7AD3BC" w14:textId="77777777" w:rsidR="002C22B9" w:rsidRDefault="00974AA1">
    <w:pPr>
      <w:pStyle w:val="Header"/>
    </w:pPr>
    <w:r>
      <w:rPr>
        <w:noProof/>
        <w:lang w:eastAsia="lv-LV"/>
      </w:rPr>
      <w:pict w14:anchorId="3145ADC3">
        <v:group id="Group 41" o:spid="_x0000_s1025" style="position:absolute;left:0;text-align:left;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6"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w:r>
  </w:p>
  <w:p w14:paraId="6519BAB2" w14:textId="77777777" w:rsidR="002C22B9" w:rsidRDefault="002C22B9">
    <w:pPr>
      <w:pStyle w:val="Header"/>
    </w:pPr>
  </w:p>
  <w:p w14:paraId="271C31FB" w14:textId="77777777" w:rsidR="002C22B9" w:rsidRDefault="002C22B9">
    <w:pPr>
      <w:pStyle w:val="Header"/>
    </w:pPr>
  </w:p>
  <w:p w14:paraId="7FB63290" w14:textId="77777777" w:rsidR="002C22B9" w:rsidRDefault="002C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3A91"/>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3FA2"/>
    <w:rsid w:val="00386F28"/>
    <w:rsid w:val="00392EBE"/>
    <w:rsid w:val="00393EB9"/>
    <w:rsid w:val="00396BF4"/>
    <w:rsid w:val="003A324A"/>
    <w:rsid w:val="003B329B"/>
    <w:rsid w:val="003B4764"/>
    <w:rsid w:val="003C720A"/>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74E12"/>
    <w:rsid w:val="00683E8B"/>
    <w:rsid w:val="00697AB8"/>
    <w:rsid w:val="006A05F7"/>
    <w:rsid w:val="006A3594"/>
    <w:rsid w:val="006A707B"/>
    <w:rsid w:val="006B33CB"/>
    <w:rsid w:val="006B42A2"/>
    <w:rsid w:val="006D24EC"/>
    <w:rsid w:val="006D6710"/>
    <w:rsid w:val="006D6E77"/>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2265"/>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74AA1"/>
    <w:rsid w:val="009819D5"/>
    <w:rsid w:val="0098433C"/>
    <w:rsid w:val="00991838"/>
    <w:rsid w:val="00996DC8"/>
    <w:rsid w:val="009B2296"/>
    <w:rsid w:val="009B7929"/>
    <w:rsid w:val="009C643F"/>
    <w:rsid w:val="009E200C"/>
    <w:rsid w:val="009F3293"/>
    <w:rsid w:val="009F77B9"/>
    <w:rsid w:val="00A03231"/>
    <w:rsid w:val="00A17946"/>
    <w:rsid w:val="00A21D44"/>
    <w:rsid w:val="00A30AED"/>
    <w:rsid w:val="00A318B0"/>
    <w:rsid w:val="00A4004D"/>
    <w:rsid w:val="00A507E2"/>
    <w:rsid w:val="00A54546"/>
    <w:rsid w:val="00A643B3"/>
    <w:rsid w:val="00A87DFA"/>
    <w:rsid w:val="00A94030"/>
    <w:rsid w:val="00AA21A4"/>
    <w:rsid w:val="00AA6DC1"/>
    <w:rsid w:val="00AA74E7"/>
    <w:rsid w:val="00AB2288"/>
    <w:rsid w:val="00AB278E"/>
    <w:rsid w:val="00AC60C1"/>
    <w:rsid w:val="00AC78D5"/>
    <w:rsid w:val="00AD576B"/>
    <w:rsid w:val="00AE2200"/>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9450C"/>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578B5"/>
    <w:rsid w:val="00E71316"/>
    <w:rsid w:val="00E95294"/>
    <w:rsid w:val="00EA294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167D3"/>
  <w15:docId w15:val="{60EACEA1-B881-47CB-99BC-3D6D6F86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57032382">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033B1-693B-46AF-81FC-82D66B4B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2745</Words>
  <Characters>1565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Atzinums par Ministru kabineta noteikumu projektu</dc:subject>
  <dc:creator>Bless A.</dc:creator>
  <dc:description>Sagatavots ALS E-aprites vidē.</dc:description>
  <cp:lastModifiedBy>Diāna Kristapsone</cp:lastModifiedBy>
  <cp:revision>4</cp:revision>
  <cp:lastPrinted>2007-06-25T10:49:00Z</cp:lastPrinted>
  <dcterms:created xsi:type="dcterms:W3CDTF">2021-09-06T08:09:00Z</dcterms:created>
  <dcterms:modified xsi:type="dcterms:W3CDTF">2022-04-25T13:36:00Z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