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23-TA-1188: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uzņēmējdarbības un cilvēktiesību nacionālo rīcības plānu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uzņēmējdarbības un cilvēktiesību nacionālo rīcības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vēstuli adresēt Latvijas Republikas tiesībsargam (ja sistēmā ir tāda opcija), jo vēstule Ministru prezidentam ir uz tiesībsarga veidlapas un ar viņa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uzņēmējdarbības un cilvēktiesību nacionālo rīcības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izvērtējis Latvijas Republikas tiesībsarga (turpmāk – Tiesībsargs) 2023. gada 5. aprīļa vēstulē Nr. 1-5/98 minēto lūgumu izstrādāt uzņēmējdarbības un cilvēktiesību nacionālo rīcības plānu, un sniedz šādu informāciju.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Iepazīstoties ar Apvienoto Nāciju Organizācijas (turpmāk – ANO) mājas lapā esošo informāciju[1], redzams, ka dažādas valstis izvēlas dažādus veidus, kā izveidot savus Plānus. Tomēr lielākā daļa apskatīto valstu Plānos ietver informāciju par jau esošajiem nozaru politikas attīstības plāniem dažādās jomās, kā arī normatīvajos aktos ietverto regulējumu, kas sekmē ANO uzņēmējdarbības un cilvēktiesību principu ievērošanu.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Tādēļ izvērtējot Plāna nepieciešamību, būtu noderīgi izvērtēt informāciju par esošajiem normatīvajiem aktiem un politikas plānošanas dokumentiem, kā arī par jaunām iniciatīvām, kas vēl nav ietvertas politikas plānošanas dokumentos vai normatīvajos aktos, bet kuru mērķis ir aizsargāt un ievērot cilvēktiesības, kā arī veicināt uzņēmēju atbilstību cilvēktiesību principiem.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šobrīd Latvija kā ES dalībvalsts gatavo nepieciešamos tiesību aktu projektus, lai pārņemtu Eiropas Parlamenta un Padomes 2022.gada 14.decembra Direktīvu (ES) 2022/2464, ar ko attiecībā uz korporatīvo ilgtspējas ziņu sniegšanu groza Regulu (ES) Nr.537/2014, Direktīvu 2004/109/EK, Direktīvu 2006/43/EK un Direktīvu 2013/34/ES. Minētā direktīva paredz uzņēmumiem pienākumu sniegt ne tikai informāciju par attiecīgā uzņēmuma attīstību, veiktspēju un stāvokli, bet arī informāciju par uzņēmuma darbības ietekmi uz vides, sociālajiem un personāla jautājumiem, cilvēktiesību ievērošanu un korupcijas un kukuļošanas apkarošanas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nepieļautu Eiropas Savienības vienotā tirgus regulējuma fragmentāciju, kā arī ievērojot pilsoniskās sabiedrības pieprasījumu, 2022. gada sākumā Eiropas Komisija nāca klajā ar Priekšlikumu Eiropas Parlamenta un Padomes direktīvai par uzņēmumu pienācīgu rūpību attiecībā uz ilgtspēju un ar ko groza Direktīvu (ES) 2019/1937 (Korporatīvās ilgtspējas direktīva), par kuru Tieslietu ministrija kā atbildīgā ministrija sagatavoja Latvijas Republikas nacionālo pozīciju. Direktīvas priekšlikuma mērķis ir veicināt lielo uzņēmumu ilgtspējīgu un atbildīgu rīcību, īstenojot pienācīgas rūpības pienākumu, lai novērstu negatīvu ietekmi uz cilvēktiesībām un vidi. Direktīvas priekšlikums paredz dalībvalstu pienākumu nodrošināt, ka to uzņēmumi veic atbilstošus pasākumus, lai apzinātu faktisku vai iespējamu nelabvēlīgu ietekmi uz cilvēktiesībām un vidi uzņēmumu pašu darbībā, to meitasuzņēmumos un to nodibināto tiešo vai netiešo darījumattiecību līmenī to vērtības ķēdē, kā arī novērstu, mazinātu vai izbeigtu šādu ietekmi. Priekšlikums lielā mērā ir balstīts uz OECD izstrādāto pieeju atbildīgai uzņēmējdarbībai un tās īstenošanu praksē[2]. Minētās direktīva jau pēc būtības skar lielu daļa uzņēmējdarbības un cilvēktiesību tvērumu, īstenojot pienācīgas rūpības pienākumu, lai novērstu negatīvu ietekmi uz cilvēktiesībām un vidi.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Attiecībā uz spēkā esošo publisko iepirkumu regulējumu informējam, ka publisko iepirkumu regulējums jau paredz mehānismus cilvēktiesību aizsardzībai un ievērošanai gan publisko iepirkuma procesā, gan iepirkuma līguma darbības laikā. Latvijas tiesiskajā regulējumā ir pārņemts Eiropas Savienībā (turpmāk – ES) noteiktais direktīvu regulējums iepirkumu jomā, t.sk. vides, sociālo un darba tiesību jomas prasību pienācīgu integrāciju publisko iepirkumu procedūrās, kas izriet no valsts un ES līmeņa normatīviem aktiem, dekrētiem un lēmumiem, kā arī no koplīgumiem, ja šādi noteikumi un to piemērošana ir saskaņā ar ES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Piemēram, saskaņā ar Publisko iepirkumu likumu (turpmāk – PIL) kandidāts vai pretendents tiek izslēgts no tālākas dalības iepirkumā, ja tiek konstatēts, ka kandidāts, pretendents vai persona, kura ir kandidāta vai pretendenta valdes vai padomes loceklis, pārstāvēttiesīgā persona, prokūrists vai persona, kura ir pilnvarota pārstāvēt kandidātu vai pretendentu darbībās, kas saistītas ar filiāli, ar tādu prokurora priekšrakstu par sodu vai tiesas spriedumu, kas stājies spēkā un kļuvis neapstrīdams un nepārsūdzams, ir atzīta par vainīgu vai tai ir piemērots piespiedu ietekmēšanas līdzeklis, tajā skaitā par cilvēku tirdzniecību (42. panta otrās daļas 1. punkta “e” apakšpunkts). Tāpat kandidāts vai pretendents tiek izslēgts, ja tas ar kompetentas institūcijas lēmumu, tiesas spriedumu vai prokurora priekšrakstu par sodu, kas stājies spēkā un kļuvis neapstrīdams un nepārsūdzams, ir atzīts par vainīgu un sodīts par darba tiesību pārkāpumu (PIL 42. panta otrās daļas 6. punkts). Ja pasūtītājs to norādījis iepirkuma dokumentos, tad kandidāts vai pretendents ir izslēdzams arī tad, ja pasūtītājs ar jebkādiem atbilstošiem līdzekļiem var pierādīt, ka kandidāts vai pretendents ir pārkāpis Latvijas vai ES normatīvos aktus vides, sociālo vai darba tiesību jomā, darba koplīgumu, ģenerālvienošanos vai prasības, kas noteiktas šā likuma 3. pielikumā minētajās starptautiskajās konvencijās (PIL 42. panta otrās daļas 8. punkts). Papildus izslēgšanas nosacījumi tiek pārbaudīti arī pretendenta norādītam apakšuzņēmējam, kura veicamo būvdarbu vai sniedzamo pakalpojumu vērtība ir vismaz 10 000 euro, katram personālsabiedrības biedram, ja kandidāts vai pretendents ir personālsabiedrība, kā arī kandidāta vai pretendenta norādītajai personai, uz kuras iespējām tas balstās, lai apliecinātu, ka tā kvalifikācija atbilst pasūtītāja noteiktajām prasībām, kā arī atsevišķi izslēgšanas nosacījumi – uz personām, kurām kandidātā vai pretendentā ir izšķirošā ietekme uz līdzdalības pamata normatīvo aktu par koncerniem izpratnē un uz kandidāta vai pretendenta patieso labuma guvēju (PIL 42. panta trešā daļa).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PIL 20.pantā ir regulējums tehnisko specifikāciju izstrādei būvdarbu līgumiem, lai tajās tiktu iekļautas prasības attiecībā uz tehnisko aprakstu apkopojumu, kas ietver vides aizsardzības prasības, projektēšanas prasības, tostarp prasības attiecībā uz piekļūstamības nodrošināšanu personām ar invaliditāti. Iepirkumiem, kuru rezultāti paredzēti lietošanai fiziskajām personām, tai skaitā pasūtītāja personālam, tehniskās specifikācijas sagatavo tā, lai nodrošinātu iepirkuma rezultātu piekļūstamību personām ar invaliditāti vai tiktu ņemti vērā universālā dizaina principi. Kā arī viens no tehniskās specifikācijas sagatavošanas veidiem ir nosakot funkcionālās prasības vai darbības rezultātus, iekļaujot vides aizsardzības prasības.  Attiecībā uz marķējumiem, ja pasūtītājs plāno iegādāties būvdarbus, preces vai pakalpojumus, kas atbilst noteiktām vides aizsardzības, sociālajām vai citām īpašām prasībām, tas var tehniskajās specifikācijās, piedāvājuma izvērtēšanas kritērijos vai iepirkuma līguma izpildes noteikumos prasīt īpašu marķējumu kā pierādījumu būvdarbu, pakalpojumu vai piegāžu atbilstībai noteiktajām prasībām, ievērojot marķējuma prasību nosacījumus.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būtiski vērst uzmanību, ka iepirkumu regulējums paredz pasūtītāja tiesības noteiktām personu grupām paredzētu pasākumu ietvaros rezervēt iespēju piedalīties iepirkuma procedūrās tikai tiem kandidātiem vai pretendentiem, kuriem vairāk nekā 30 procenti no vidējā nodarbināto darbinieku skaita gadā ir personas ar invaliditāti, ja paredzamā iepirkuma līguma priekšmets to pieļauj, kā arī līguma slēgšanai par noteiktiem veselības, sociālās un kultūras jomas pakalpojumiem, kuri atbilst noteiktiem kopējās iepirkumu klasifikācijas kodiem, pasūtītājs ir tiesīgs rezervēt iespēju piedalīties iepirkumā tikai tiem kandidātiem vai pretendentiem, kuriem ir piešķirts sociālā uzņēmuma statuss un kuri sniedz minēto jomu pakalpojumus.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PIL regulējumā arī noteikts, ka atbilstošākā piedāvājuma izvēlē iespējams izmantot sociālos kritērijus (PIL 51. panta otrās daļas 3. punkta “a” apakšpunkts), veicot sociāli atbildīgu iepirkumu. Vairāk informācijas par sociāli atbildīgu iepirkumu pieejams Iepirkumu uzraudzības biroja tīmekļvietnē[3].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regulējums paredz arī apakšuzņēmēju kontroli, proti, piedāvājumā ir jānorāda visi apakšuzņēmēji, kuru veicamo būvdarbu vai sniedzamo pakalpojumu vērtība ir vismaz 10 000 euro, un katram šādam apakšuzņēmējam izpildei nododamo iepirkuma līguma daļu (PIL 63. panta otrā daļa) un saskaņā ar PIL 42.panta trešās daļas 3.punktu, uz šādu pretendenta norādīto apakšuzņēmēju attiecas visi izslēgšanas iemesli PIL 42.panta otrās daļas kārtībā. Papildus būvdarbu līgumā var paredzēt tiešus maksājumus izpildītāja piesaistītajiem apakšuzņēmējiem (PIL 63. panta piektā daļa).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piedāvājumu vērtēšanas fāzes norisei publisko iepirkumu regulējumā iestrādāts mehānisms cilvēktiesību nodrošināšanas kontrolei, proti, ir noteikts pienākums pasūtītājam, ja piedāvātā cena šķiet nepamatoti lēta, pārliecināties par tās pamatotību, piemēram, ka piedāvājumā iekļautā darba samaksa atbilst vismaz vidējām stundas tarifa likmēm konkrētajā profesiju grupā (PIL 53. pants).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Iepirkuma līgumā PIL 60.panta kārtībā pasūtītājs ir tiesīgs paredzēt speciālus iepirkuma līguma izpildes noteikumus attiecībā uz sociāliem apstākļiem, vides aizsardzības prasībām, ievērojot nosacījumu, ka šie noteikumi nav pretrunā ar ES tieši piemērojamiem tiesību aktiem minētajās jomās un ir norādīti tehniskajās specifikācijās vai paziņojumā par līgumu, vai iepirkuma procedūras dokumentos un ir saistīti ar attiecīgā iepirkuma līguma priekšmetu.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PIL ir virkne noteikumi, kas piešķir cilvēktiesību un uzņēmējdarbības ievērošanas nozīmi, lai efektīvāk mazinātu negatīvo ietekmi uz šīm jomām.  Būtiski vērst uzmanību, ka 2023.gada 16.martā Saeimā pieņemti grozījumi PIL un Sabiedrisko pakalpojumu sniedzēju iepirkumu likumā (stājas spēkā 2023.gada 11.aprīlī), paredzot, ka no 2025.gada 28.jūnija attiecībā uz noteiktām precēm vai pakalpojumiem pasūtītājam iepirkuma tehniskajās specifikācijās ir obligāti jāiekļauj atsauce uz šīs konkrētās preces vai pakalpojuma atbilstību Preču un pakalpojumu piekļūstamības likuma noteiktajām piekļūstamības prasībām. Tādējādi atbilstoši Preču un pakalpojumu piekļūstamības likumam nodrošinot noteiktu preču un pakalpojumu piekļūstamību personām ar invaliditāti un citām personām ar ilgstošiem vai pārejošiem funkcionēšanas ierobežojumiem.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minētajam par publisko iepirkumu regulējumā noteikto notiek darbs šā regulējuma iedzīvināšanai, tajā skaitā informējot un izglītojot iepirkumu veicējus, tirgus dalībniekus un citas iesaistītās puses. Piemēram, vadlīnijas sociālā iepirkuma veikšanai sadarbībā ar Iepirkumu uzraudzības biroju izstrādājusi biedrība “Latvijas Sociālās uzņēmējdarbības asociācija”[4], apkopota arī ārvalstu pieredze[5]. Tāpat Iepirkumu uzraudzības birojs sadarbībā ar partneriem ir organizējis pasākumus sociālās uzņēmējdarbības veicināšanai, pieejama arī lekcija un mācības par stratēģisko, t.sk. sociāli atbildīgu, iepirkumu. Minētā un cita ar sociāli atbildīgu iepirkumu popularizēšanu saistīta informācija pieejama Iepirkumu uzraudzības biroja tīmekļvietnē[6]. Iepirkumu uzraudzības birojs aktīvi sadarbojas ar nozarēm, veicinot vadlīniju izstrādi iepirkumu veikšanai konkrētajā nozarē, aicinot attīstīt arī saimnieciskā izdevīguma vērtēšanas kritēriju izstrādi. Kopš 2020. gada vidus, pēc Iekšlietu ministrijas lūguma, Iepirkumu uzraudzības biroja  tīmekļvietnē pieejami arī Tiesībsarga vēstulē minētā projekta FLOW ietvaros izstrādātie materiāli cilvēktirdzniecības novēršanai.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kā horizontāls princips ir noteikta visās ES fondu atbalsta jomās, tostarp uzņēmējdarbībā. Horizontālā principa mērķis ir novērst nevienlīdzību starp sievietēm un vīriešiem jebkurā jomā, veicināt iekļaušanu un nediskrimināciju rases vai etniskās izcelsmes, reliģijas vai pārliecības, invaliditātes, vecuma vai seksuālās orientācijas dēļ. Horizontālā principa mērķi ir noteikti KNR[7], ESF+[8], ERAF un KF[9]regulās, TPF regulā[10]. Īstenojot horizontālā principa mērķus, īpaši tiek ņemta vērā nepieciešamība nodrošināt dzimumu līdztiesības aspekta integrēšanu, piekļuves iespējas personām ar invaliditāti,  tostarp informācijas un komunikācijas tehnoloģiju ziņā, un veicināt pāreju no dzīves  ilgstošas sociālās aprūpes un sociālās rehabilitācijas institūcijā uz  dzīvi ģimenē un kopienā.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Labklājības ministrija sadarbībā ar Tieslietu ministriju ir sagatavojusi vadlīnijas horizontālā principa “Vienlīdzība, iekļaušana, nediskriminācija un pamattiesību ievērošana” īstenošanai un uzraudzībai (2021.-2027.gada plānošanas periodam). Vadlīnijās ir iekļauta informācija un jaunākā statistika par invaliditātes, dzimumu līdztiesības, novecošanās, rases un etniskās izcelsmes, reliģijas un seksuālās orientācijas jautājumiem, to sasaiste ar nacionālajiem normatīvajiem aktiem un starptautiskajiem līgumiem. Te ietverti ieteikumi horizontālā principa ietekmes atspoguļošanai ES fondu plānošanas un īstenošanas dokumentos, tostarp tiesību aktu projektos un to anotācijās, specifisko atbalsta mērķu ietekmes uz horizontālo principu un tā rādītāju noteikšanai, nosacījumi projektu iesniegumu vērtēšanas kritēriju piemērošanai. Vadlīnijās ir sniegti vispārīgo un specifisko horizontālā principa darbību piemēri, kā arī horizontālā principa koordinācijas un uzraudzības sistēmas apraksts. Savukārt vadlīniju pielikumos ir sniegta koncentrēta informācija par to, kā pārliecināties, vai horizontālais princips un pamattiesības tiek ņemtas vērā un tiek ievērotas visos ES fondu ieviešanas visos posmos.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Programmu sagatavošanā, īstenošanā, uzraudzīšanā, ziņošanā par tām un to izvērtēšanā ir jāņem vērā un jāveicina dzimumu līdztiesība, dzimumu līdztiesības aspekta integrēšana un dzimumperspektīvas integrēšana, kā arī  jāveic darbības, lai novērstu jebkādu diskrimināciju dzimuma, rases vai etniskās izcelsmes, reliģijas vai ticības, invaliditātes, vecuma vai seksuālās orientācijas dēļ. Visā ES fondu sagatavošanā un īstenošanā jo īpaši ņem vērā nepieciešamību nodrošināt piekļuves iespējas personām ar invaliditāti. No ES fondiem būtu jāatbalsta tikai tādas darbības, kas mazina segregāciju vai atstumtību, un, finansējot infrastruktūru, būtu jānodrošina pieejamība personām ar invaliditāti.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vēršam uzmanību, ka arī Labklājības ministrija ir izstrādājusi vairākus politikas plānošanas dokumentus un normatīvos aktus, kas atbilst starptautiskajiem standartiem un ietver Tiesībsarga vēstulē minētās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Piemēram, Sociālās aizsardzības un darba tirgus politikas pamatnostādnes 2021.-2027.gadam (turpmāk - Pamatnostādnes) ir vidēja termiņa politikas plānošanas dokuments, kura mērķis ir veicināt iedzīvotāju sociālo iekļaušanu, samazinot ienākumu nevienlīdzību un nabadzību, attīstot pieejamus sociālos pakalpojumus un juridisko atbalstu, kas atbilst individuālajām vajadzībām, kā arī palielinot augstu nodarbinātības līmeni kvalitatīvā darba vidē. Šis mērķis tiek īstenots piecos darbības virzienos: 1) Ilgtspējīgs, stabils un adekvāts materiālais atbalsts, kas nodrošina pietiekamu ekonomisko neatkarību; 2) Moderna un pieejama sociālo pakalpojumu sistēma, kas uzlabo iedzīvotāju dzīves iespējas neatkarīgi no situācijas, nodrošina iespējas izglītoties un iekļauties darba tirgū; 3) Iekļaujošs darba tirgus visiem un kvalitatīvas darbavietas, kas atbalsta ilgtermiņa darba tirgus dalībniecību; 4) Attīstīta valsts nodrošinātā juridiskā atbalsta sistēma, kas paplašina mazāk aizsargāto personu piekļuvi tiesu sistēmai; 5) Sociālās aizsardzības un darba tirgus politikas pārvaldības stiprināšana.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Īstermiņa prioritāšu noteikšanai un plānoto uzdevumu īstenošanai Pamatnostādnēs ir paredzēti vairāki īstermiņa plānošanas dokumenti, piemēram, Darba aizsardzības jomas attīstības plāns 2021.-2023.gadam, Plāns sieviešu un vīriešu vienlīdzīgu tiesību un iespēju veicināšanai 2021.-2023.gadam, Plāns personu ar invaliditāti vienlīdzīgu iespēju veicināšanai 2021.-2023.gadam,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Plāns personu ar invaliditāti vienlīdzīgu iespēju veicināšanai 2021.-2023. gadam ir izstrādāts saskaņā ar ANO Konvencijā par personu ar invaliditāti tiesībām noteiktajiem principiem. Šis plāns ir vērsts uz integrētas un personu ar invaliditāti vajadzībām atbilstošas atbalsta sistēmas attīstību. Tā mērķis ir nodrošināt pasākumus, kas veicina nodarbinātību personām ar invaliditāti, uzlabo vides un pakalpojumu pieejamību un samazina sabiedrības stereotipus par šīm personām. Viens no šī plāna rīcības virzieniem ir iekļaujošas nodarbinātības stiprināšana. Tas ietver individuāla atbalsta uzlabošanu darba meklējumos personām ar invaliditāti, ņemot vērā to funkcionālo traucējumu veidu un smaguma pakāpi. Turklāt darba devējiem, kas nodarbina personas ar invaliditāti, tiek sniegts finansiāls atbalsts, lai pielāgotu darba vietas atbilstoši ergoterapeita viedoklim. Turklāt darba algas dotācija tiek nodrošināta darba vadītājiem, kas iesaistīti subsidētās nodarbinātības pasākumos. Personām ar invaliditāti ir pieejami arī citi pagaidu nodarbinātības pasākumi, piemēram, darba prasmju apguve, pārkvalifikācija, mācības pie darba devēja un papildu prasmju apguve, kas nepieciešamas darba tirgū.</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ir pieņemts Plāns sieviešu un vīriešu vienlīdzīgu tiesību un iespēju veicināšanai 2021.-2023. gadam. Plānā tiek izvirzīti trīs rīcības virzieni mērķa sasniegšanai: 1) sieviešu un vīriešu vienlīdzīgas tiesības un iespējas darba tirgū un izglītībā; 2) ar dzimumu saistītas vardarbības un vardarbības ģimenē novēršana; 3) dzimumu līdztiesības integrētās pieejas stiprināšana nozaru politikās. Rīcības virzienā "Sieviešu un vīriešu vienlīdzīgu tiesību un iespēju veicināšana izglītībā un darba tirgū" tiek īstenoti izglītojoši pasākumi darba devējiem un to darbiniekiem, lai veicinātu dažādības vadību un iecietību, tiek īstenoti pasākumi, lai apzinātu atšķirības darba samaksā starp sievietēm un vīriešiem, tiek veicināts dialogs ar sociālajiem partneriem, lai diskutētu par efektīviem risinājumiem darba samaksas atšķirību starp vīriešiem un sievietēm mazināšanai, tiek īstenoti pasākumi darba un privātās dzīves saskaņošanai, kas ir būtisks priekšnoteikums sieviešu un vīriešu vienlīdzīgai iespējai iesaistīties darba tirgū un uzņēmējdarbībā.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Visos iepriekš minētajos dokumentos ietvertie pasākumi būtu uzskatāmi par tādiem, kuru mērķis ir sasniegt un īstenot dažādos starptautiskajos dokumentos ietvertās cilvēktiesības un vienlīdz būtu attiecināmi uz starptautisko saistību izpildi atbilstoši ANO Uzņēmējdarbības un cilvēktiesību pamatprincipiem. Tas pats attiecināms arī uz Labklājības ministrijas kompetencē pieņemtajiem normatīvajiem aktiem dažādās ministrijas kompetencē esošajās jomās.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izveidoti un uzturēti  arī uzraudzības un kontroles mehānismi. Tāpat ir garantētas indivīdu tiesības vērsties valsts uzraudzības un kontroles iestādēs, piemēram, Valsts darba inspekcijā, Valsts bērnu tiesību aizsardzības inspekcijā,  vai tiesā, lai aizstāvētu savas aizskartās tiesības.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informējam, ka vairums ANO uzņēmējdarbības un cilvēktiesību principi jau ir iestrādāti nacionālajos plānošanas dokumentos un normatīvajos aktos. Tomēr saprotot, ka Latvijas uzņēmumiem jāspēj pielāgoties jauniem starptautiskiem uzņēmējdarbības un cilvēktiesību principiem, lai tie nezaudētu savu vietu globālajās vērtību ķēdēs, esam gatavi izvērtēt iespēju izveidot darba grupu, kas izstrādātu jaunu uzņēmējdarbības un cilvēktiesību nacionālo rīcības plānu.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https://www.ohchr.org/en/special-procedures/wg-business/national-action-plans-business-and-human-rights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Atbildīga uzņēmējdarbība (responsible business conduct) ir būtisks aspekts OECD darbā, izstrādājot rekomendācijas dalībvalstu valdībām šīs politikas iedzīvināšanai. Viens no organizācijas pamatdokumentiem par atbildīgu uzņēmējdarbību ir 1976. gadā pieņemtās OECD vadlīnijas multinacionāliem uzņēmumiem (OECD Guidelines for Multinational Enterprises). Vadlīnijas ir vairākkārt aktualizētas un izstrādāti dokumenti, kas gan precizē atbildīgas uzņēmējdarbības pienākumu un saturu, gan nosaka metodiku, kā uzņēmumiem jāīsteno atbildīgas uzņēmējdarbības principi savā ikdienas darbā. Būtiskākais no tiem ir OECD Rūpības pienākuma ieteikumi atbildīgai uzņēmējdarbībai (OECD Due Diligence Guidance for Responsible Business Conduct). Savukārt jaunākais OECD tiesību instruments šajā jomā (OECD Recommendation on the Role of Government in Promoting Responsible Business Conduct) pievēršas tieši valsts uzdevumiem atbildīgas uzņēmējdarbības veicināšanā.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https://www.iub.gov.lv/lv/socialais-iepirkums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https://www.iub.gov.lv/lv/media/658/download?attachment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https://www.iub.gov.lv/lv/media/877/download?attachment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https://www.iub.gov.lv/lv/socialais-iepirkums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(https://eur-lex.europa.eu/legal-content/LV/TXT/PDF/?uri=CELEX:32021R1060&amp;from=LV%20)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[8] Eiropas Parlamenta un Padomes 2021. gada 24. jūnija regula (ES) 2021/1057, ar ko izveido Eiropas Sociālo fondu Plus (ESF+) un atceļ Regulu (ES) Nr. 1296/2013 (https://eur-lex.europa.eu/legal-content/LV/TXT/PDF/?uri=CELEX:32021R1057&amp;from=EN</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[9] Eiropas Parlamenta un Padomes 2021. gada 24. jūnija regula (ES) 2021/1058  par Eiropas Reģionālās attīstības fondu un Kohēzijas fondu,  https://eur-lex.europa.eu/legal-content/LV/TXT/PDF/?uri=CELEX:32021R1058&amp;from=LV</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[10] Eiropas Parlamenta un padomes regula (ES) 2021/1056 (2021. gada 24. jūnijs), ar ko izveido Taisnīgas pārkārtošanās fondu https://eur-lex.europa.eu/legal-content/LV/TXT/PDF/?uri=CELEX:32021R1056&amp;from=LV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savā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"Strādājot ar cilvēku tirdzniecības novēršanas, kā arī ar uzņēmējdarbības un cilvēktiesību (angļu val. – </w:t>
            </w:r>
            <w:r w:rsidR="00000000" w:rsidRPr="00000000" w:rsidDel="00000000">
              <w:rPr>
                <w:i w:val="1"/>
                <w:rtl w:val="0"/>
              </w:rPr>
              <w:t xml:space="preserve">business and human rights</w:t>
            </w:r>
            <w:r w:rsidR="00000000" w:rsidRPr="00000000" w:rsidDel="00000000">
              <w:rPr>
                <w:rtl w:val="0"/>
              </w:rPr>
              <w:t xml:space="preserve">) jautājumiem, tiesībsargs ir atklājis, ka Latvijā nav izstrādāts un pieņemts uzņēmējdarbības un cilvēktiesību nacionālais rīcības plāns, kādu paredz starptautiskās cilvēktiesību aizsardzības rekomendācijas šajā jomā.[1]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ieskatā, minētais būtiski kavē cilvēktiesību aizsardzību tādā līmenī, kādā to paredz Latvijas Republikas Satversme (turpmāk – Satversme), starptautiskie cilvēktiesību akti un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vēstulē vēršam Ministru kabineta uzmanību uz galvenajiem apsvērumiem, kāpēc šāda nacionālā rīcības plāna izstrāde šobrīd jau būtu neatliekams valdības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pirmajā daļā ietverts pamatojums uzņēmējdarbības un cilvēktiesību nacionālā rīcības plāna izstrādei. Savukārt, otrajā daļā atklāts Latvijas konteksts un tiesībsarga pieredze, saskaroties ar uzņēmumu radīto negatīvo ietekmi uz cilvēktiesībām.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Ministru kabinetu apstiprināt uzņēmējdarbības un cilvēktiesību nacionālā rīcības plāna izstrādes nepieciešamību steidzamības kārtā un izvirzīt atbildīgo institūciju šī rīcības plāna izstrādāšanai, līdzdarbojoties visām jomā iesaistītajām un ieinteresētajām personām. Aicinu uzdot atbildīgajai valdības institūcijai aktīvāk veikt arī informēšanas pasākumus, lai veicinātu sabiedrības izpratni par ANO Pamatprincipiem un atbildīgu uzņēmējdarbību, tādējādi veicinot arī cilvēktiesību aizsardzību uzņēmējdarbības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novērtēšu, ja līdz 2023. gada 19. maijam informēsiet tiesībsargu par minēto pasākumu īstenošanas iespējām un laikiem. Ja šobrīd jau norit darbs pie uzņēmējdarbības un cilvēktiesību nacionālā rīcības plāna izstrādes, lūdzam informēt tiesībsargu par to, kādā stadijā ir šī rīcības plāna izstrāde un kā sabiedrība var līdzdarboties tā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šo vēstules projekta pēdējā rindkopā minētais, ka "Tādējādi informējam, ka vairums ANO uzņēmējdarbības un cilvēktiesību principi jau ir iestrādāti nacionālajos plānošanas dokumentos un normatīvajos aktos. Tomēr saprotot, ka Latvijas uzņēmumiem jāspēj pielāgoties jauniem starptautiskiem uzņēmējdarbības un cilvēktiesību principiem, lai tie nezaudētu savu vietu globālajās vērtību ķēdēs, esam gatavi izvērtēt iespēju izveidot darba grupu, kas izstrādātu jaunu uzņēmējdarbības un cilvēktiesību nacionālo rīcības plānu." prasa iekļaut Ministru kabineta sēdes protokollēmuma projektā kādu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prasītos veidot redakcionāli nedaudz precīzākas atbildes uz Tiesībsarga uzdotajiem jautājumiem (aicinājumiem).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ANO mājaslapu: https://www.ohchr.org/en/special-procedures/wg-business/national-action-plans-business-and-human-rights, Eiropas Padomes mājaslapu: https://www.coe.int/en/web/human-rights-intergovernmental-cooperation/national-action-plans un Dānijas Cilvēktiesību institūta izveidoto datubāzi: https://globalnaps.org/.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 tika sagatavota ņemot vērā iesaistīto ministriju sniegto informāciju. Nesaskatām nepieciešamību veikt redakcionālas izmaiņas.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izvērtējis Latvijas Republikas tiesībsarga (turpmāk – Tiesībsargs) 2023. gada 5. aprīļa vēstulē Nr. 1-5/98 minēto lūgumu izstrādāt uzņēmējdarbības un cilvēktiesību nacionālo rīcības plānu, un sniedz šādu informāciju.</w:t>
            </w:r>
            <w:r w:rsidR="00000000" w:rsidRPr="00000000" w:rsidDel="00000000">
              <w:rPr>
                <w:rtl w:val="0"/>
              </w:rPr>
              <w:t xml:space="preserve">
</w:t>
            </w:r>
            <w:r w:rsidR="00000000" w:rsidRPr="00000000" w:rsidDel="00000000">
              <w:rPr>
                <w:rtl w:val="0"/>
              </w:rPr>
              <w:t xml:space="preserve">Iepazīstoties ar Apvienoto Nāciju Organizācijas (turpmāk – ANO) mājas lapā esošo informāciju[1], redzams, ka dažādas valstis izvēlas dažādus veidus, kā izveidot savus Plānus. Tomēr lielākā daļa apskatīto valstu Plānos ietver informāciju par jau esošajiem nozaru politikas attīstības plāniem dažādās jomās, kā arī normatīvajos aktos ietverto regulējumu, kas sekmē ANO uzņēmējdarbības un cilvēktiesību principu ievērošanu.</w:t>
            </w:r>
            <w:r w:rsidR="00000000" w:rsidRPr="00000000" w:rsidDel="00000000">
              <w:rPr>
                <w:rtl w:val="0"/>
              </w:rPr>
              <w:t xml:space="preserve">
</w:t>
            </w:r>
            <w:r w:rsidR="00000000" w:rsidRPr="00000000" w:rsidDel="00000000">
              <w:rPr>
                <w:rtl w:val="0"/>
              </w:rPr>
              <w:t xml:space="preserve">Tādēļ izvērtējot Plāna nepieciešamību, būtu noderīgi izvērtēt informāciju par esošajiem normatīvajiem aktiem un politikas plānošanas dokumentiem, kā arī par jaunām iniciatīvām, kas vēl nav ietvertas politikas plānošanas dokumentos vai normatīvajos aktos, bet kuru mērķis ir aizsargāt un ievērot cilvēktiesības, kā arī veicināt uzņēmēju atbilstību cilvēktiesību principiem.</w:t>
            </w:r>
            <w:r w:rsidR="00000000" w:rsidRPr="00000000" w:rsidDel="00000000">
              <w:rPr>
                <w:rtl w:val="0"/>
              </w:rPr>
              <w:t xml:space="preserve">
</w:t>
            </w:r>
            <w:r w:rsidR="00000000" w:rsidRPr="00000000" w:rsidDel="00000000">
              <w:rPr>
                <w:rtl w:val="0"/>
              </w:rPr>
              <w:t xml:space="preserve">Informējam, ka šobrīd Latvija kā ES dalībvalsts gatavo nepieciešamos tiesību aktu projektus, lai pārņemtu Eiropas Parlamenta un Padomes 2022.gada 14.decembra Direktīvu (ES) 2022/2464, ar ko attiecībā uz korporatīvo ilgtspējas ziņu sniegšanu groza Regulu (ES) Nr.537/2014, Direktīvu 2004/109/EK, Direktīvu 2006/43/EK un Direktīvu 2013/34/ES. Minētā direktīva paredz uzņēmumiem pienākumu sniegt ne tikai informāciju par attiecīgā uzņēmuma attīstību, veiktspēju un stāvokli, bet arī informāciju par uzņēmuma darbības ietekmi uz vides, sociālajiem un personāla jautājumiem, cilvēktiesību ievērošanu un korupcijas un kukuļošanas apkarošanas jautājumiem.</w:t>
            </w:r>
            <w:r w:rsidR="00000000" w:rsidRPr="00000000" w:rsidDel="00000000">
              <w:rPr>
                <w:rtl w:val="0"/>
              </w:rPr>
              <w:t xml:space="preserve">
</w:t>
            </w:r>
            <w:r w:rsidR="00000000" w:rsidRPr="00000000" w:rsidDel="00000000">
              <w:rPr>
                <w:rtl w:val="0"/>
              </w:rPr>
              <w:t xml:space="preserve">Lai nepieļautu Eiropas Savienības vienotā tirgus regulējuma fragmentāciju, kā arī ievērojot pilsoniskās sabiedrības pieprasījumu, 2022. gada sākumā Eiropas Komisija nāca klajā ar Priekšlikumu Eiropas Parlamenta un Padomes direktīvai par uzņēmumu pienācīgu rūpību attiecībā uz ilgtspēju un ar ko groza Direktīvu (ES) 2019/1937 (Korporatīvās ilgtspējas direktīva), par kuru Tieslietu ministrija kā atbildīgā ministrija sagatavoja Latvijas Republikas nacionālo pozīciju. Direktīvas priekšlikuma mērķis ir veicināt lielo uzņēmumu ilgtspējīgu un atbildīgu rīcību, īstenojot pienācīgas rūpības pienākumu, lai novērstu negatīvu ietekmi uz cilvēktiesībām un vidi. Direktīvas priekšlikums paredz dalībvalstu pienākumu nodrošināt, ka to uzņēmumi veic atbilstošus pasākumus, lai apzinātu faktisku vai iespējamu nelabvēlīgu ietekmi uz cilvēktiesībām un vidi uzņēmumu pašu darbībā, to meitasuzņēmumos un to nodibināto tiešo vai netiešo darījumattiecību līmenī to vērtības ķēdē, kā arī novērstu, mazinātu vai izbeigtu šādu ietekmi. Priekšlikums lielā mērā ir balstīts uz OECD izstrādāto pieeju atbildīgai uzņēmējdarbībai un tās īstenošanu praksē[2]. Minētās direktīva jau pēc būtības skar lielu daļa uzņēmējdarbības un cilvēktiesību tvērumu, īstenojot pienācīgas rūpības pienākumu, lai novērstu negatīvu ietekmi uz cilvēktiesībām un vidi.</w:t>
            </w:r>
            <w:r w:rsidR="00000000" w:rsidRPr="00000000" w:rsidDel="00000000">
              <w:rPr>
                <w:rtl w:val="0"/>
              </w:rPr>
              <w:t xml:space="preserve">
</w:t>
            </w:r>
            <w:r w:rsidR="00000000" w:rsidRPr="00000000" w:rsidDel="00000000">
              <w:rPr>
                <w:rtl w:val="0"/>
              </w:rPr>
              <w:t xml:space="preserve">Attiecībā uz spēkā esošo publisko iepirkumu regulējumu informējam, ka publisko iepirkumu regulējums jau paredz mehānismus cilvēktiesību aizsardzībai un ievērošanai gan publisko iepirkuma procesā, gan iepirkuma līguma darbības laikā. Latvijas tiesiskajā regulējumā ir pārņemts Eiropas Savienībā (turpmāk – ES) noteiktais direktīvu regulējums iepirkumu jomā, t.sk. vides, sociālo un darba tiesību jomas prasību pienācīgu integrāciju publisko iepirkumu procedūrās, kas izriet no valsts un ES līmeņa normatīviem aktiem, dekrētiem un lēmumiem, kā arī no koplīgumiem, ja šādi noteikumi un to piemērošana ir saskaņā ar ES tiesību aktiem.</w:t>
            </w:r>
            <w:r w:rsidR="00000000" w:rsidRPr="00000000" w:rsidDel="00000000">
              <w:rPr>
                <w:rtl w:val="0"/>
              </w:rPr>
              <w:t xml:space="preserve">
</w:t>
            </w:r>
            <w:r w:rsidR="00000000" w:rsidRPr="00000000" w:rsidDel="00000000">
              <w:rPr>
                <w:rtl w:val="0"/>
              </w:rPr>
              <w:t xml:space="preserve">Piemēram, saskaņā ar Publisko iepirkumu likumu (turpmāk – PIL) kandidāts vai pretendents tiek izslēgts no tālākas dalības iepirkumā, ja tiek konstatēts, ka kandidāts, pretendents vai persona, kura ir kandidāta vai pretendenta valdes vai padomes loceklis, pārstāvēttiesīgā persona, prokūrists vai persona, kura ir pilnvarota pārstāvēt kandidātu vai pretendentu darbībās, kas saistītas ar filiāli, ar tādu prokurora priekšrakstu par sodu vai tiesas spriedumu, kas stājies spēkā un kļuvis neapstrīdams un nepārsūdzams, ir atzīta par vainīgu vai tai ir piemērots piespiedu ietekmēšanas līdzeklis, tajā skaitā par cilvēku tirdzniecību (42. panta otrās daļas 1. punkta “e” apakšpunkts). Tāpat kandidāts vai pretendents tiek izslēgts, ja tas ar kompetentas institūcijas lēmumu, tiesas spriedumu vai prokurora priekšrakstu par sodu, kas stājies spēkā un kļuvis neapstrīdams un nepārsūdzams, ir atzīts par vainīgu un sodīts par darba tiesību pārkāpumu (PIL 42. panta otrās daļas 6. punkts). Ja pasūtītājs to norādījis iepirkuma dokumentos, tad kandidāts vai pretendents ir izslēdzams arī tad, ja pasūtītājs ar jebkādiem atbilstošiem līdzekļiem var pierādīt, ka kandidāts vai pretendents ir pārkāpis Latvijas vai ES normatīvos aktus vides, sociālo vai darba tiesību jomā, darba koplīgumu, ģenerālvienošanos vai prasības, kas noteiktas šā likuma 3. pielikumā minētajās starptautiskajās konvencijās (PIL 42. panta otrās daļas 8. punkts). Papildus izslēgšanas nosacījumi tiek pārbaudīti arī pretendenta norādītam apakšuzņēmējam, kura veicamo būvdarbu vai sniedzamo pakalpojumu vērtība ir vismaz 10 000 euro, katram personālsabiedrības biedram, ja kandidāts vai pretendents ir personālsabiedrība, kā arī kandidāta vai pretendenta norādītajai personai, uz kuras iespējām tas balstās, lai apliecinātu, ka tā kvalifikācija atbilst pasūtītāja noteiktajām prasībām, kā arī atsevišķi izslēgšanas nosacījumi – uz personām, kurām kandidātā vai pretendentā ir izšķirošā ietekme uz līdzdalības pamata normatīvo aktu par koncerniem izpratnē un uz kandidāta vai pretendenta patieso labuma guvēju (PIL 42. panta trešā daļa).</w:t>
            </w:r>
            <w:r w:rsidR="00000000" w:rsidRPr="00000000" w:rsidDel="00000000">
              <w:rPr>
                <w:rtl w:val="0"/>
              </w:rPr>
              <w:t xml:space="preserve">
</w:t>
            </w:r>
            <w:r w:rsidR="00000000" w:rsidRPr="00000000" w:rsidDel="00000000">
              <w:rPr>
                <w:rtl w:val="0"/>
              </w:rPr>
              <w:t xml:space="preserve">Tāpat PIL 20.pantā ir regulējums tehnisko specifikāciju izstrādei būvdarbu līgumiem, lai tajās tiktu iekļautas prasības attiecībā uz tehnisko aprakstu apkopojumu, kas ietver vides aizsardzības prasības, projektēšanas prasības, tostarp prasības attiecībā uz piekļūstamības nodrošināšanu personām ar invaliditāti. Iepirkumiem, kuru rezultāti paredzēti lietošanai fiziskajām personām, tai skaitā pasūtītāja personālam, tehniskās specifikācijas sagatavo tā, lai nodrošinātu iepirkuma rezultātu piekļūstamību personām ar invaliditāti vai tiktu ņemti vērā universālā dizaina principi. Kā arī viens no tehniskās specifikācijas sagatavošanas veidiem ir nosakot funkcionālās prasības vai darbības rezultātus, iekļaujot vides aizsardzības prasības.  Attiecībā uz marķējumiem, ja pasūtītājs plāno iegādāties būvdarbus, preces vai pakalpojumus, kas atbilst noteiktām vides aizsardzības, sociālajām vai citām īpašām prasībām, tas var tehniskajās specifikācijās, piedāvājuma izvērtēšanas kritērijos vai iepirkuma līguma izpildes noteikumos prasīt īpašu marķējumu kā pierādījumu būvdarbu, pakalpojumu vai piegāžu atbilstībai noteiktajām prasībām, ievērojot marķējuma prasību nosacījumus.</w:t>
            </w:r>
            <w:r w:rsidR="00000000" w:rsidRPr="00000000" w:rsidDel="00000000">
              <w:rPr>
                <w:rtl w:val="0"/>
              </w:rPr>
              <w:t xml:space="preserve">
</w:t>
            </w:r>
            <w:r w:rsidR="00000000" w:rsidRPr="00000000" w:rsidDel="00000000">
              <w:rPr>
                <w:rtl w:val="0"/>
              </w:rPr>
              <w:t xml:space="preserve">Papildus būtiski vērst uzmanību, ka iepirkumu regulējums paredz pasūtītāja tiesības noteiktām personu grupām paredzētu pasākumu ietvaros rezervēt iespēju piedalīties iepirkuma procedūrās tikai tiem kandidātiem vai pretendentiem, kuriem vairāk nekā 30 procenti no vidējā nodarbināto darbinieku skaita gadā ir personas ar invaliditāti, ja paredzamā iepirkuma līguma priekšmets to pieļauj, kā arī līguma slēgšanai par noteiktiem veselības, sociālās un kultūras jomas pakalpojumiem, kuri atbilst noteiktiem kopējās iepirkumu klasifikācijas kodiem, pasūtītājs ir tiesīgs rezervēt iespēju piedalīties iepirkumā tikai tiem kandidātiem vai pretendentiem, kuriem ir piešķirts sociālā uzņēmuma statuss un kuri sniedz minēto jomu pakalpojumus.</w:t>
            </w:r>
            <w:r w:rsidR="00000000" w:rsidRPr="00000000" w:rsidDel="00000000">
              <w:rPr>
                <w:rtl w:val="0"/>
              </w:rPr>
              <w:t xml:space="preserve">
</w:t>
            </w:r>
            <w:r w:rsidR="00000000" w:rsidRPr="00000000" w:rsidDel="00000000">
              <w:rPr>
                <w:rtl w:val="0"/>
              </w:rPr>
              <w:t xml:space="preserve">Tāpat PIL regulējumā arī noteikts, ka atbilstošākā piedāvājuma izvēlē iespējams izmantot sociālos kritērijus (PIL 51. panta otrās daļas 3. punkta “a” apakšpunkts), veicot sociāli atbildīgu iepirkumu. Vairāk informācijas par sociāli atbildīgu iepirkumu pieejams Iepirkumu uzraudzības biroja tīmekļvietnē[3].</w:t>
            </w:r>
            <w:r w:rsidR="00000000" w:rsidRPr="00000000" w:rsidDel="00000000">
              <w:rPr>
                <w:rtl w:val="0"/>
              </w:rPr>
              <w:t xml:space="preserve">
</w:t>
            </w:r>
            <w:r w:rsidR="00000000" w:rsidRPr="00000000" w:rsidDel="00000000">
              <w:rPr>
                <w:rtl w:val="0"/>
              </w:rPr>
              <w:t xml:space="preserve">Publisko iepirkumu regulējums paredz arī apakšuzņēmēju kontroli, proti, piedāvājumā ir jānorāda visi apakšuzņēmēji, kuru veicamo būvdarbu vai sniedzamo pakalpojumu vērtība ir vismaz 10 000 euro, un katram šādam apakšuzņēmējam izpildei nododamo iepirkuma līguma daļu (PIL 63. panta otrā daļa) un saskaņā ar PIL 42.panta trešās daļas 3.punktu, uz šādu pretendenta norādīto apakšuzņēmēju attiecas visi izslēgšanas iemesli PIL 42.panta otrās daļas kārtībā. Papildus būvdarbu līgumā var paredzēt tiešus maksājumus izpildītāja piesaistītajiem apakšuzņēmējiem (PIL 63. panta piektā daļa).</w:t>
            </w:r>
            <w:r w:rsidR="00000000" w:rsidRPr="00000000" w:rsidDel="00000000">
              <w:rPr>
                <w:rtl w:val="0"/>
              </w:rPr>
              <w:t xml:space="preserve">
</w:t>
            </w:r>
            <w:r w:rsidR="00000000" w:rsidRPr="00000000" w:rsidDel="00000000">
              <w:rPr>
                <w:rtl w:val="0"/>
              </w:rPr>
              <w:t xml:space="preserve">Arī piedāvājumu vērtēšanas fāzes norisei publisko iepirkumu regulējumā iestrādāts mehānisms cilvēktiesību nodrošināšanas kontrolei, proti, ir noteikts pienākums pasūtītājam, ja piedāvātā cena šķiet nepamatoti lēta, pārliecināties par tās pamatotību, piemēram, ka piedāvājumā iekļautā darba samaksa atbilst vismaz vidējām stundas tarifa likmēm konkrētajā profesiju grupā (PIL 53. pants). </w:t>
            </w:r>
            <w:r w:rsidR="00000000" w:rsidRPr="00000000" w:rsidDel="00000000">
              <w:rPr>
                <w:rtl w:val="0"/>
              </w:rPr>
              <w:t xml:space="preserve">
</w:t>
            </w:r>
            <w:r w:rsidR="00000000" w:rsidRPr="00000000" w:rsidDel="00000000">
              <w:rPr>
                <w:rtl w:val="0"/>
              </w:rPr>
              <w:t xml:space="preserve">Iepirkuma līgumā PIL 60.panta kārtībā pasūtītājs ir tiesīgs paredzēt speciālus iepirkuma līguma izpildes noteikumus attiecībā uz sociāliem apstākļiem, vides aizsardzības prasībām, ievērojot nosacījumu, ka šie noteikumi nav pretrunā ar ES tieši piemērojamiem tiesību aktiem minētajās jomās un ir norādīti tehniskajās specifikācijās vai paziņojumā par līgumu, vai iepirkuma procedūras dokumentos un ir saistīti ar attiecīgā iepirkuma līguma priekšmetu.</w:t>
            </w:r>
            <w:r w:rsidR="00000000" w:rsidRPr="00000000" w:rsidDel="00000000">
              <w:rPr>
                <w:rtl w:val="0"/>
              </w:rPr>
              <w:t xml:space="preserve">
</w:t>
            </w:r>
            <w:r w:rsidR="00000000" w:rsidRPr="00000000" w:rsidDel="00000000">
              <w:rPr>
                <w:rtl w:val="0"/>
              </w:rPr>
              <w:t xml:space="preserve">Ņemot vērā minēto, PIL ir virkne noteikumi, kas piešķir cilvēktiesību un uzņēmējdarbības ievērošanas nozīmi, lai efektīvāk mazinātu negatīvo ietekmi uz šīm jomām.  Būtiski vērst uzmanību, ka 2023.gada 16.martā Saeimā pieņemti grozījumi PIL un Sabiedrisko pakalpojumu sniedzēju iepirkumu likumā (stājas spēkā 2023.gada 11.aprīlī), paredzot, ka no 2025.gada 28.jūnija attiecībā uz noteiktām precēm vai pakalpojumiem pasūtītājam iepirkuma tehniskajās specifikācijās ir obligāti jāiekļauj atsauce uz šīs konkrētās preces vai pakalpojuma atbilstību Preču un pakalpojumu piekļūstamības likuma noteiktajām piekļūstamības prasībām. Tādējādi atbilstoši Preču un pakalpojumu piekļūstamības likumam nodrošinot noteiktu preču un pakalpojumu piekļūstamību personām ar invaliditāti un citām personām ar ilgstošiem vai pārejošiem funkcionēšanas ierobežojumiem.</w:t>
            </w:r>
            <w:r w:rsidR="00000000" w:rsidRPr="00000000" w:rsidDel="00000000">
              <w:rPr>
                <w:rtl w:val="0"/>
              </w:rPr>
              <w:t xml:space="preserve">
</w:t>
            </w:r>
            <w:r w:rsidR="00000000" w:rsidRPr="00000000" w:rsidDel="00000000">
              <w:rPr>
                <w:rtl w:val="0"/>
              </w:rPr>
              <w:t xml:space="preserve">Papildus minētajam par publisko iepirkumu regulējumā noteikto notiek darbs šā regulējuma iedzīvināšanai, tajā skaitā informējot un izglītojot iepirkumu veicējus, tirgus dalībniekus un citas iesaistītās puses. Piemēram, vadlīnijas sociālā iepirkuma veikšanai sadarbībā ar Iepirkumu uzraudzības biroju izstrādājusi biedrība “Latvijas Sociālās uzņēmējdarbības asociācija”[4], apkopota arī ārvalstu pieredze[5]. Tāpat Iepirkumu uzraudzības birojs sadarbībā ar partneriem ir organizējis pasākumus sociālās uzņēmējdarbības veicināšanai, pieejama arī lekcija un mācības par stratēģisko, t.sk. sociāli atbildīgu, iepirkumu. Minētā un cita ar sociāli atbildīgu iepirkumu popularizēšanu saistīta informācija pieejama Iepirkumu uzraudzības biroja tīmekļvietnē[6]. Iepirkumu uzraudzības birojs aktīvi sadarbojas ar nozarēm, veicinot vadlīniju izstrādi iepirkumu veikšanai konkrētajā nozarē, aicinot attīstīt arī saimnieciskā izdevīguma vērtēšanas kritēriju izstrādi. Kopš 2020. gada vidus, pēc Iekšlietu ministrijas lūguma, Iepirkumu uzraudzības biroja  tīmekļvietnē pieejami arī Tiesībsarga vēstulē minētā projekta FLOW ietvaros izstrādātie materiāli cilvēktirdzniecības novēršanai.</w:t>
            </w:r>
            <w:r w:rsidR="00000000" w:rsidRPr="00000000" w:rsidDel="00000000">
              <w:rPr>
                <w:rtl w:val="0"/>
              </w:rPr>
              <w:t xml:space="preserve">
</w:t>
            </w:r>
            <w:r w:rsidR="00000000" w:rsidRPr="00000000" w:rsidDel="00000000">
              <w:rPr>
                <w:rtl w:val="0"/>
              </w:rPr>
              <w:t xml:space="preserve">Vienlīdzība, iekļaušana, nediskriminācija un pamattiesību ievērošana kā horizontāls princips ir noteikta visās ES fondu atbalsta jomās, tostarp uzņēmējdarbībā. Horizontālā principa mērķis ir novērst nevienlīdzību starp sievietēm un vīriešiem jebkurā jomā, veicināt iekļaušanu un nediskrimināciju rases vai etniskās izcelsmes, reliģijas vai pārliecības, invaliditātes, vecuma vai seksuālās orientācijas dēļ. Horizontālā principa mērķi ir noteikti KNR[7], ESF+[8], ERAF un KF[9]regulās, TPF regulā[10]. Īstenojot horizontālā principa mērķus, īpaši tiek ņemta vērā nepieciešamība nodrošināt dzimumu līdztiesības aspekta integrēšanu, piekļuves iespējas personām ar invaliditāti,  tostarp informācijas un komunikācijas tehnoloģiju ziņā, un veicināt pāreju no dzīves  ilgstošas sociālās aprūpes un sociālās rehabilitācijas institūcijā uz  dzīvi ģimenē un kopienā.</w:t>
            </w:r>
            <w:r w:rsidR="00000000" w:rsidRPr="00000000" w:rsidDel="00000000">
              <w:rPr>
                <w:rtl w:val="0"/>
              </w:rPr>
              <w:t xml:space="preserve">
</w:t>
            </w:r>
            <w:r w:rsidR="00000000" w:rsidRPr="00000000" w:rsidDel="00000000">
              <w:rPr>
                <w:rtl w:val="0"/>
              </w:rPr>
              <w:t xml:space="preserve">Labklājības ministrija sadarbībā ar Tieslietu ministriju ir sagatavojusi vadlīnijas horizontālā principa “Vienlīdzība, iekļaušana, nediskriminācija un pamattiesību ievērošana” īstenošanai un uzraudzībai (2021.-2027.gada plānošanas periodam). Vadlīnijās ir iekļauta informācija un jaunākā statistika par invaliditātes, dzimumu līdztiesības, novecošanās, rases un etniskās izcelsmes, reliģijas un seksuālās orientācijas jautājumiem, to sasaiste ar nacionālajiem normatīvajiem aktiem un starptautiskajiem līgumiem. Te ietverti ieteikumi horizontālā principa ietekmes atspoguļošanai ES fondu plānošanas un īstenošanas dokumentos, tostarp tiesību aktu projektos un to anotācijās, specifisko atbalsta mērķu ietekmes uz horizontālo principu un tā rādītāju noteikšanai, nosacījumi projektu iesniegumu vērtēšanas kritēriju piemērošanai. Vadlīnijās ir sniegti vispārīgo un specifisko horizontālā principa darbību piemēri, kā arī horizontālā principa koordinācijas un uzraudzības sistēmas apraksts. Savukārt vadlīniju pielikumos ir sniegta koncentrēta informācija par to, kā pārliecināties, vai horizontālais princips un pamattiesības tiek ņemtas vērā un tiek ievērotas visos ES fondu ieviešanas visos posmos.</w:t>
            </w:r>
            <w:r w:rsidR="00000000" w:rsidRPr="00000000" w:rsidDel="00000000">
              <w:rPr>
                <w:rtl w:val="0"/>
              </w:rPr>
              <w:t xml:space="preserve">
</w:t>
            </w:r>
            <w:r w:rsidR="00000000" w:rsidRPr="00000000" w:rsidDel="00000000">
              <w:rPr>
                <w:rtl w:val="0"/>
              </w:rPr>
              <w:t xml:space="preserve">Programmu sagatavošanā, īstenošanā, uzraudzīšanā, ziņošanā par tām un to izvērtēšanā ir jāņem vērā un jāveicina dzimumu līdztiesība, dzimumu līdztiesības aspekta integrēšana un dzimumperspektīvas integrēšana, kā arī  jāveic darbības, lai novērstu jebkādu diskrimināciju dzimuma, rases vai etniskās izcelsmes, reliģijas vai ticības, invaliditātes, vecuma vai seksuālās orientācijas dēļ. Visā ES fondu sagatavošanā un īstenošanā jo īpaši ņem vērā nepieciešamību nodrošināt piekļuves iespējas personām ar invaliditāti. No ES fondiem būtu jāatbalsta tikai tādas darbības, kas mazina segregāciju vai atstumtību, un, finansējot infrastruktūru, būtu jānodrošina pieejamība personām ar invaliditāti.</w:t>
            </w:r>
            <w:r w:rsidR="00000000" w:rsidRPr="00000000" w:rsidDel="00000000">
              <w:rPr>
                <w:rtl w:val="0"/>
              </w:rPr>
              <w:t xml:space="preserve">
</w:t>
            </w:r>
            <w:r w:rsidR="00000000" w:rsidRPr="00000000" w:rsidDel="00000000">
              <w:rPr>
                <w:rtl w:val="0"/>
              </w:rPr>
              <w:t xml:space="preserve">Tāpat vēršam uzmanību, ka arī Labklājības ministrija ir izstrādājusi vairākus politikas plānošanas dokumentus un normatīvos aktus, kas atbilst starptautiskajiem standartiem un ietver Tiesībsarga vēstulē minētās prasības.</w:t>
            </w:r>
            <w:r w:rsidR="00000000" w:rsidRPr="00000000" w:rsidDel="00000000">
              <w:rPr>
                <w:rtl w:val="0"/>
              </w:rPr>
              <w:t xml:space="preserve">
</w:t>
            </w:r>
            <w:r w:rsidR="00000000" w:rsidRPr="00000000" w:rsidDel="00000000">
              <w:rPr>
                <w:rtl w:val="0"/>
              </w:rPr>
              <w:t xml:space="preserve">Piemēram, Sociālās aizsardzības un darba tirgus politikas pamatnostādnes 2021.-2027.gadam (turpmāk - Pamatnostādnes) ir vidēja termiņa politikas plānošanas dokuments, kura mērķis ir veicināt iedzīvotāju sociālo iekļaušanu, samazinot ienākumu nevienlīdzību un nabadzību, attīstot pieejamus sociālos pakalpojumus un juridisko atbalstu, kas atbilst individuālajām vajadzībām, kā arī palielinot augstu nodarbinātības līmeni kvalitatīvā darba vidē. Šis mērķis tiek īstenots piecos darbības virzienos: 1) Ilgtspējīgs, stabils un adekvāts materiālais atbalsts, kas nodrošina pietiekamu ekonomisko neatkarību; 2) Moderna un pieejama sociālo pakalpojumu sistēma, kas uzlabo iedzīvotāju dzīves iespējas neatkarīgi no situācijas, nodrošina iespējas izglītoties un iekļauties darba tirgū; 3) Iekļaujošs darba tirgus visiem un kvalitatīvas darbavietas, kas atbalsta ilgtermiņa darba tirgus dalībniecību; 4) Attīstīta valsts nodrošinātā juridiskā atbalsta sistēma, kas paplašina mazāk aizsargāto personu piekļuvi tiesu sistēmai; 5) Sociālās aizsardzības un darba tirgus politikas pārvaldības stiprināšana.</w:t>
            </w:r>
            <w:r w:rsidR="00000000" w:rsidRPr="00000000" w:rsidDel="00000000">
              <w:rPr>
                <w:rtl w:val="0"/>
              </w:rPr>
              <w:t xml:space="preserve">
</w:t>
            </w:r>
            <w:r w:rsidR="00000000" w:rsidRPr="00000000" w:rsidDel="00000000">
              <w:rPr>
                <w:rtl w:val="0"/>
              </w:rPr>
              <w:t xml:space="preserve">Īstermiņa prioritāšu noteikšanai un plānoto uzdevumu īstenošanai Pamatnostādnēs ir paredzēti vairāki īstermiņa plānošanas dokumenti, piemēram, Darba aizsardzības jomas attīstības plāns 2021.-2023.gadam, Plāns sieviešu un vīriešu vienlīdzīgu tiesību un iespēju veicināšanai 2021.-2023.gadam, Plāns personu ar invaliditāti vienlīdzīgu iespēju veicināšanai 2021.-2023.gadam, u.c.</w:t>
            </w:r>
            <w:r w:rsidR="00000000" w:rsidRPr="00000000" w:rsidDel="00000000">
              <w:rPr>
                <w:rtl w:val="0"/>
              </w:rPr>
              <w:t xml:space="preserve">
</w:t>
            </w:r>
            <w:r w:rsidR="00000000" w:rsidRPr="00000000" w:rsidDel="00000000">
              <w:rPr>
                <w:rtl w:val="0"/>
              </w:rPr>
              <w:t xml:space="preserve">Savukārt Plāns personu ar invaliditāti vienlīdzīgu iespēju veicināšanai 2021.-2023. gadam ir izstrādāts saskaņā ar ANO Konvencijā par personu ar invaliditāti tiesībām noteiktajiem principiem. Šis plāns ir vērsts uz integrētas un personu ar invaliditāti vajadzībām atbilstošas atbalsta sistēmas attīstību. Tā mērķis ir nodrošināt pasākumus, kas veicina nodarbinātību personām ar invaliditāti, uzlabo vides un pakalpojumu pieejamību un samazina sabiedrības stereotipus par šīm personām. Viens no šī plāna rīcības virzieniem ir iekļaujošas nodarbinātības stiprināšana. Tas ietver individuāla atbalsta uzlabošanu darba meklējumos personām ar invaliditāti, ņemot vērā to funkcionālo traucējumu veidu un smaguma pakāpi. Turklāt darba devējiem, kas nodarbina personas ar invaliditāti, tiek sniegts finansiāls atbalsts, lai pielāgotu darba vietas atbilstoši ergoterapeita viedoklim. Turklāt darba algas dotācija tiek nodrošināta darba vadītājiem, kas iesaistīti subsidētās nodarbinātības pasākumos. Personām ar invaliditāti ir pieejami arī citi pagaidu nodarbinātības pasākumi, piemēram, darba prasmju apguve, pārkvalifikācija, mācības pie darba devēja un papildu prasmju apguve, kas nepieciešamas darba tirgū.</w:t>
            </w:r>
            <w:r w:rsidR="00000000" w:rsidRPr="00000000" w:rsidDel="00000000">
              <w:rPr>
                <w:rtl w:val="0"/>
              </w:rPr>
              <w:t xml:space="preserve">
</w:t>
            </w:r>
            <w:r w:rsidR="00000000" w:rsidRPr="00000000" w:rsidDel="00000000">
              <w:rPr>
                <w:rtl w:val="0"/>
              </w:rPr>
              <w:t xml:space="preserve">Tāpat ir pieņemts Plāns sieviešu un vīriešu vienlīdzīgu tiesību un iespēju veicināšanai 2021.-2023. gadam. Plānā tiek izvirzīti trīs rīcības virzieni mērķa sasniegšanai: 1) sieviešu un vīriešu vienlīdzīgas tiesības un iespējas darba tirgū un izglītībā; 2) ar dzimumu saistītas vardarbības un vardarbības ģimenē novēršana; 3) dzimumu līdztiesības integrētās pieejas stiprināšana nozaru politikās. Rīcības virzienā "Sieviešu un vīriešu vienlīdzīgu tiesību un iespēju veicināšana izglītībā un darba tirgū" tiek īstenoti izglītojoši pasākumi darba devējiem un to darbiniekiem, lai veicinātu dažādības vadību un iecietību, tiek īstenoti pasākumi, lai apzinātu atšķirības darba samaksā starp sievietēm un vīriešiem, tiek veicināts dialogs ar sociālajiem partneriem, lai diskutētu par efektīviem risinājumiem darba samaksas atšķirību starp vīriešiem un sievietēm mazināšanai, tiek īstenoti pasākumi darba un privātās dzīves saskaņošanai, kas ir būtisks priekšnoteikums sieviešu un vīriešu vienlīdzīgai iespējai iesaistīties darba tirgū un uzņēmējdarbībā.</w:t>
            </w:r>
            <w:r w:rsidR="00000000" w:rsidRPr="00000000" w:rsidDel="00000000">
              <w:rPr>
                <w:rtl w:val="0"/>
              </w:rPr>
              <w:t xml:space="preserve">
</w:t>
            </w:r>
            <w:r w:rsidR="00000000" w:rsidRPr="00000000" w:rsidDel="00000000">
              <w:rPr>
                <w:rtl w:val="0"/>
              </w:rPr>
              <w:t xml:space="preserve">Visos iepriekš minētajos dokumentos ietvertie pasākumi būtu uzskatāmi par tādiem, kuru mērķis ir sasniegt un īstenot dažādos starptautiskajos dokumentos ietvertās cilvēktiesības un vienlīdz būtu attiecināmi uz starptautisko saistību izpildi atbilstoši ANO Uzņēmējdarbības un cilvēktiesību pamatprincipiem. Tas pats attiecināms arī uz Labklājības ministrijas kompetencē pieņemtajiem normatīvajiem aktiem dažādās ministrijas kompetencē esošajās jomās.</w:t>
            </w:r>
            <w:r w:rsidR="00000000" w:rsidRPr="00000000" w:rsidDel="00000000">
              <w:rPr>
                <w:rtl w:val="0"/>
              </w:rPr>
              <w:t xml:space="preserve">
</w:t>
            </w:r>
            <w:r w:rsidR="00000000" w:rsidRPr="00000000" w:rsidDel="00000000">
              <w:rPr>
                <w:rtl w:val="0"/>
              </w:rPr>
              <w:t xml:space="preserve">Vienlaikus ir izveidoti un uzturēti  arī uzraudzības un kontroles mehānismi. Tāpat ir garantētas indivīdu tiesības vērsties valsts uzraudzības un kontroles iestādēs, piemēram, Valsts darba inspekcijā, Valsts bērnu tiesību aizsardzības inspekcijā,  vai tiesā, lai aizstāvētu savas aizskartās tiesības.</w:t>
            </w:r>
            <w:r w:rsidR="00000000" w:rsidRPr="00000000" w:rsidDel="00000000">
              <w:rPr>
                <w:rtl w:val="0"/>
              </w:rPr>
              <w:t xml:space="preserve">
</w:t>
            </w:r>
            <w:r w:rsidR="00000000" w:rsidRPr="00000000" w:rsidDel="00000000">
              <w:rPr>
                <w:rtl w:val="0"/>
              </w:rPr>
              <w:t xml:space="preserve">Tādējādi informējam, ka vairums ANO uzņēmējdarbības un cilvēktiesību principi jau ir iestrādāti nacionālajos plānošanas dokumentos un normatīvajos aktos. Tomēr saprotot, ka Latvijas uzņēmumiem jāspēj pielāgoties jauniem starptautiskiem uzņēmējdarbības un cilvēktiesību principiem, lai tie nezaudētu savu vietu globālajās vērtību ķēdēs, esam gatavi izvērtēt iespēju izveidot darba grupu, kas izstrādātu jaunu uzņēmējdarbības un cilvēktiesību nacionālo rīcības plānu.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https://www.ohchr.org/en/special-procedures/wg-business/national-action-plans-business-and-human-rights</w:t>
            </w:r>
            <w:r w:rsidR="00000000" w:rsidRPr="00000000" w:rsidDel="00000000">
              <w:rPr>
                <w:rtl w:val="0"/>
              </w:rPr>
              <w:t xml:space="preserve">
</w:t>
            </w:r>
            <w:r w:rsidR="00000000" w:rsidRPr="00000000" w:rsidDel="00000000">
              <w:rPr>
                <w:rtl w:val="0"/>
              </w:rPr>
              <w:t xml:space="preserve">[2] Atbildīga uzņēmējdarbība (responsible business conduct) ir būtisks aspekts OECD darbā, izstrādājot rekomendācijas dalībvalstu valdībām šīs politikas iedzīvināšanai. Viens no organizācijas pamatdokumentiem par atbildīgu uzņēmējdarbību ir 1976. gadā pieņemtās OECD vadlīnijas multinacionāliem uzņēmumiem (OECD Guidelines for Multinational Enterprises). Vadlīnijas ir vairākkārt aktualizētas un izstrādāti dokumenti, kas gan precizē atbildīgas uzņēmējdarbības pienākumu un saturu, gan nosaka metodiku, kā uzņēmumiem jāīsteno atbildīgas uzņēmējdarbības principi savā ikdienas darbā. Būtiskākais no tiem ir OECD Rūpības pienākuma ieteikumi atbildīgai uzņēmējdarbībai (OECD Due Diligence Guidance for Responsible Business Conduct). Savukārt jaunākais OECD tiesību instruments šajā jomā (OECD Recommendation on the Role of Government in Promoting Responsible Business Conduct) pievēršas tieši valsts uzdevumiem atbildīgas uzņēmējdarbības veicināšanā.</w:t>
            </w:r>
            <w:r w:rsidR="00000000" w:rsidRPr="00000000" w:rsidDel="00000000">
              <w:rPr>
                <w:rtl w:val="0"/>
              </w:rPr>
              <w:t xml:space="preserve">
</w:t>
            </w:r>
            <w:r w:rsidR="00000000" w:rsidRPr="00000000" w:rsidDel="00000000">
              <w:rPr>
                <w:rtl w:val="0"/>
              </w:rPr>
              <w:t xml:space="preserve">[3] https://www.iub.gov.lv/lv/socialais-iepirkums</w:t>
            </w:r>
            <w:r w:rsidR="00000000" w:rsidRPr="00000000" w:rsidDel="00000000">
              <w:rPr>
                <w:rtl w:val="0"/>
              </w:rPr>
              <w:t xml:space="preserve">
</w:t>
            </w:r>
            <w:r w:rsidR="00000000" w:rsidRPr="00000000" w:rsidDel="00000000">
              <w:rPr>
                <w:rtl w:val="0"/>
              </w:rPr>
              <w:t xml:space="preserve">[4] https://www.iub.gov.lv/lv/media/658/download?attachment</w:t>
            </w:r>
            <w:r w:rsidR="00000000" w:rsidRPr="00000000" w:rsidDel="00000000">
              <w:rPr>
                <w:rtl w:val="0"/>
              </w:rPr>
              <w:t xml:space="preserve">
</w:t>
            </w:r>
            <w:r w:rsidR="00000000" w:rsidRPr="00000000" w:rsidDel="00000000">
              <w:rPr>
                <w:rtl w:val="0"/>
              </w:rPr>
              <w:t xml:space="preserve">[5] https://www.iub.gov.lv/lv/media/877/download?attachment</w:t>
            </w:r>
            <w:r w:rsidR="00000000" w:rsidRPr="00000000" w:rsidDel="00000000">
              <w:rPr>
                <w:rtl w:val="0"/>
              </w:rPr>
              <w:t xml:space="preserve">
</w:t>
            </w:r>
            <w:r w:rsidR="00000000" w:rsidRPr="00000000" w:rsidDel="00000000">
              <w:rPr>
                <w:rtl w:val="0"/>
              </w:rPr>
              <w:t xml:space="preserve">[6] https://www.iub.gov.lv/lv/socialais-iepirkums</w:t>
            </w:r>
            <w:r w:rsidR="00000000" w:rsidRPr="00000000" w:rsidDel="00000000">
              <w:rPr>
                <w:rtl w:val="0"/>
              </w:rPr>
              <w:t xml:space="preserve">
</w:t>
            </w:r>
            <w:r w:rsidR="00000000" w:rsidRPr="00000000" w:rsidDel="00000000">
              <w:rPr>
                <w:rtl w:val="0"/>
              </w:rPr>
              <w:t xml:space="preserve">[7]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(https://eur-lex.europa.eu/legal-content/LV/TXT/PDF/?uri=CELEX:32021R1060&amp;from=LV%20)</w:t>
            </w:r>
            <w:r w:rsidR="00000000" w:rsidRPr="00000000" w:rsidDel="00000000">
              <w:rPr>
                <w:rtl w:val="0"/>
              </w:rPr>
              <w:t xml:space="preserve">
</w:t>
            </w:r>
            <w:r w:rsidR="00000000" w:rsidRPr="00000000" w:rsidDel="00000000">
              <w:rPr>
                <w:rtl w:val="0"/>
              </w:rPr>
              <w:t xml:space="preserve">[8] Eiropas Parlamenta un Padomes 2021. gada 24. jūnija regula (ES) 2021/1057, ar ko izveido Eiropas Sociālo fondu Plus (ESF+) un atceļ Regulu (ES) Nr. 1296/2013 (https://eur-lex.europa.eu/legal-content/LV/TXT/PDF/?uri=CELEX:32021R1057&amp;from=EN</w:t>
            </w:r>
            <w:r w:rsidR="00000000" w:rsidRPr="00000000" w:rsidDel="00000000">
              <w:rPr>
                <w:rtl w:val="0"/>
              </w:rPr>
              <w:t xml:space="preserve">
</w:t>
            </w:r>
            <w:r w:rsidR="00000000" w:rsidRPr="00000000" w:rsidDel="00000000">
              <w:rPr>
                <w:rtl w:val="0"/>
              </w:rPr>
              <w:t xml:space="preserve">[9] Eiropas Parlamenta un Padomes 2021. gada 24. jūnija regula (ES) 2021/1058  par Eiropas Reģionālās attīstības fondu un Kohēzijas fondu,  https://eur-lex.europa.eu/legal-content/LV/TXT/PDF/?uri=CELEX:32021R1058&amp;from=LV</w:t>
            </w:r>
            <w:r w:rsidR="00000000" w:rsidRPr="00000000" w:rsidDel="00000000">
              <w:rPr>
                <w:rtl w:val="0"/>
              </w:rPr>
              <w:t xml:space="preserve">
</w:t>
            </w:r>
            <w:r w:rsidR="00000000" w:rsidRPr="00000000" w:rsidDel="00000000">
              <w:rPr>
                <w:rtl w:val="0"/>
              </w:rPr>
              <w:t xml:space="preserve">[10] Eiropas Parlamenta un padomes regula (ES) 2021/1056 (2021. gada 24. jūnijs), ar ko izveido Taisnīgas pārkārtošanās fondu https://eur-lex.europa.eu/legal-content/LV/TXT/PDF/?uri=CELEX:32021R1056&amp;from=LV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Protokollēmums par Ministru kabineta atbildes vēstules projektu Latvijas Republikas tiesībsargam.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nosaukumu atbilstoši iedibinātajai praksei "Atbildes projekts tiesībsargam (par Uzņēmējdarbības un cilvēktiesību nacionālo rīcības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Protokollēmums par Ministru kabineta atbildes vēstules projektu Latvijas Republikas tiesībsargam.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un Valsts kancelejai nosūtīt vēstuli Latvijas Republikas tiesībsargam.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standartlēmumus atbilstoši iedibinātajai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atbildes projektu tiesībsargam.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noformēt un nosūtīt atbildi tiesībsargam.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un Valsts kancelejai nosūtīt vēstuli Latvijas Republikas tiesībsargam.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23-TA-1188</w:t>
    </w:r>
    <w:r>
      <w:br/>
    </w:r>
    <w:r w:rsidR="00000000" w:rsidRPr="00000000" w:rsidDel="00000000">
      <w:rPr>
        <w:rtl w:val="0"/>
      </w:rPr>
      <w:t xml:space="preserve">15.05.2023. 20.06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23-TA-1188</w:t>
    </w:r>
    <w:r>
      <w:br/>
    </w:r>
    <w:r w:rsidR="00000000" w:rsidRPr="00000000" w:rsidDel="00000000">
      <w:rPr>
        <w:rtl w:val="0"/>
      </w:rPr>
      <w:t xml:space="preserve">15.05.2023. 20.06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Izziņa_23-TA-1188.docx</dc:title>
</cp:coreProperties>
</file>

<file path=docProps/custom.xml><?xml version="1.0" encoding="utf-8"?>
<Properties xmlns="http://schemas.openxmlformats.org/officeDocument/2006/custom-properties" xmlns:vt="http://schemas.openxmlformats.org/officeDocument/2006/docPropsVTypes"/>
</file>