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22-TA-3783: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aizsargājamo ainavu apvidiem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 kā puse (gandrīz 57%) no šajā tiesību aktu projektā paredzētā jaunveidojamā aizsargājamo ainavu apvidū Koksnese-Odziena iekļautām platībām ir privātajā īpašumā esošās zemes, iebilstam par noteikumu projekta tālāku virzību, kamēr nav pārskatīta un pilnveidota pašreiz esošā netaisnīgā kompensāciju sistēma par saimnieciskās darbības aprobežojumiem. Vēlreiz norādām uz daudzu cilvēku parakstīto petīciju "Nē jaunām aizsargājamām teritorijām bez taisnīgas kompensācijas nodrošināšanas " https://www.peticijas.com/n_jaunm_aizsargjamm_teritorijm_bez_taisngas_kompenscijas_nodroinanas. Aicinām atgriezties pie diskusijām par šo noteikumu projektu pēc tam, kad būs izpildīts Ministru kabineta protokollēmumā, kas tika pieņemts apstiprinot  Ministru kabineta noteikumu projektu "Noteikumi par dabas liegumiem", noteiktais, kad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paužam neizpratni un lūdzam sniegt skaidrojumu noteikumu projekta anotācijā, kādēļ aizsargājamo ainavu apvidi- teritorijas, kas vēsturiski tika veidotas teritoriju ar daudzveidīgu ainavu un reģionam raksturīgo cilvēka veidoto kultūrvēsturisko ainavu saglabāšanai, tiek pārvērstas par teritorijām atsevišķu sugu aizsardzībai, kas nesaskan ar aizsargājamo ainavu apvidu sākotnējo izveidošanas mērķi un apsaimniekošanas režīms tajās var atšķirties no tā, kāds būtu nepieciešams kultūrvēsturiskās ainavas saglabāšanai. Tāpat anotācijā būtu jānorāda vai par šādas jaunas aizsargājamas teritorijas izveidi laicīgi  ir tikuši personiski informēti teritorijā ietilpstošo zemju īpašnieki, kas ir būtiski, jo konkrētā īpašuma iekļaušanu jaunā aizsargājamā teritorijā nav iespējams apstrīdēt administratīvā procesa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norādīts izziņas 2. un 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esam vairākkārtīgi norādījuši, zemes īpašnieki ir ieinteresēti saprātīgas, un uz dabas aizsardzības mērķa sasniegšanu vedošas, dabas aizsardzības sistēmas izveidē, taču tas nevar notikt netaisnīgā veidā, kas rada aizvainojumu par valsts rīcību un neiesaista zemes īpašniekus mērķu sasniegšanā. Tādēļ iebilstam pret jaunu aizsargājamu teritoriju veidošanu, līdz nav pārskatīta un reformēta kompensāciju sistēma par dabas aizsardzības aprobežojumiem, nosakot uz tirgus principiem balstītu kompensāciju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21. novembra sēdes protokollēmuma (prot. Nr. 58 63. §) "Noteikumu projekts "Noteikumi par dabas liegumiem"" (TA-23-TA-621) 3.punkts noteic līdz 2024.gada 31.maijam iesniegt izskatīšanai Ministru kabinetā priekšlikumus par efektīvāko piedāvājumu kompensāciju nodrošināšanai par saimnieciskās darbības ierobežojumiem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21. janvārī ( (prot. Nr. 3 45. §) apstiprināja Latvijas nostāju, ar kuru Latvija </w:t>
            </w:r>
            <w:r w:rsidR="00000000" w:rsidRPr="00000000" w:rsidDel="00000000">
              <w:rPr>
                <w:u w:val="single"/>
                <w:rtl w:val="0"/>
              </w:rPr>
              <w:t xml:space="preserve">apņēmās</w:t>
            </w:r>
            <w:r w:rsidR="00000000" w:rsidRPr="00000000" w:rsidDel="00000000">
              <w:rPr>
                <w:rtl w:val="0"/>
              </w:rPr>
              <w:t xml:space="preserve"> noteikt jaunas īpaši aizsargājamas dabas  teritorijas (</w:t>
            </w:r>
            <w:r w:rsidR="00000000" w:rsidRPr="00000000" w:rsidDel="00000000">
              <w:rPr>
                <w:i w:val="1"/>
                <w:rtl w:val="0"/>
              </w:rPr>
              <w:t xml:space="preserve">Natura 2000</w:t>
            </w:r>
            <w:r w:rsidR="00000000" w:rsidRPr="00000000" w:rsidDel="00000000">
              <w:rPr>
                <w:rtl w:val="0"/>
              </w:rPr>
              <w:t xml:space="preserve">), tai skaitā Eiropas platauša dzīvotņu aizsardzībai. Attiecīgi lai nodrošinātu Eiropas platauša sugas populācijas aizsardzību Latvijā atbilstoši Biotopu direktīvas prasībām (kas prasa īpaši aizsargājamas dabas teritorijas izveidošanu, pamatojoties uz zinātniskiem faktiem), ir ierosināts izveidot ainavu apvidu atbilstoši Eiropas platauša sugas aizsardzības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aizsargājamo ainavu apvidus "Koknese-Odziena" individuālo aizsardzības un izmantošanas noteikumu projektu (22-TA-3788) lielākā daļa ainavu apvidus tiks ietverta neitrālajās (2%) un ainavu aizsardzības zonās (77%). Ainavu aizsardzības zona tiks piemērota 92% no visām ainavu apvidū ietvertajām fizisko personu zemēm, 91% no juridisko personu zemēm. Attiecībā uz mežu zemēm būtiskākie mežsaimnieciskās darbības ierobežojumi (galvenās un kailcirtes liegums) fiziskām un juridiskām personām paredzēti aptuveni 565 ha (galvenokārt, kailcirtes liegums (priežu audzēs) - 432 ha), līdz ar to lielākajā daļā privātpersonu mežos būs iespējama mežsaimnieciskā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Informatīvās atsauces uz Eiropas Savienības direktīvām, vēršam uzmanību, ka otrā informatīvā atsauce ietverta uz Padomes 1979.gada 2.aprīļa Direktīvu Nr.79/409/EEK par savvaļas putnu aizsardzību, kas bija spēkā līdz 2010. gada 14. februārim un ir zaudējusi spēku, bet pašlaik spēkā ir anotācijas 5.1. un 5.4. apakšpunktos minētā Eiropas Parlamenta un Padomes 2009. gada 30. novembra Direktīva 2009/147/EK par savvaļas putnu aizsardzību, kuru arī lūdzam norādīt projektā pie informatīvajām atsaucēm uz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aktuālo Putnu direktīvu.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1.pielikuma kartē norādīto informāciju, ietverot tajā izbūvēto autoceļa P80 Tīnuži - Koknese posmu un perspektīvo E22 posma Koknese - Pļaviņas trasi.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Kartogrāfiskais materiāls pieejams teritoriju plānojumos - Aizkraukles novada Pļaviņu pilsētas, Aiviekstes pagasta, Klintaines pagasta un Vietalvas pagasta teritorijas plānojums (6.2 redakcija) (pieejams: https://geolatvija.lv/geo/tapis#document_26853), Kokneses novada teritorijas plānojums 2013.-2024.gadam (1.0 redakcija) (pieejams: https://geolatvija.lv/geo/tapis#document_145).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kartogrāfiskais materiāls.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nosaka īpaši aizsargājamās dabas teritorijas – aizsargājamo ainavu apvidus un paredz  izveidot jaunu īpaši aizsargājamo dabas teritoriju  - aizsargājamo ainavu apvidu īpaši aizsargājamās sikspārņu sugas - Eiropas platauša Barbastella barbastellus dzīvotņu aizsardzībai, kas pēc būtības cita starpā paredz arī fizisko un juridisko personu veiktās vai plānotās saimnieciskās darbības ierobežojumus vai papildu prasību izpildi saimnieciskās darbības veikšanai, kā arī ievērojot likuma “Par īpaši aizsargājamām dabas teritorijām” 1. panta 4) daļā iekļauto uzdevumu: “savienot valsts, starptautiskās, reģionālās un privātās intereses īpaši aizsargājamo dabas teritoriju izveidošanā, saglabāšanā, uzturēšanā un aizsardzībā”, Ekonomikas ministrija uztur iebildumu un aicina VARAM izvērtēt ietekmi uz minēto teritoriju īpašnieku saimniecisko darbību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likuma “Par īpaši aizsargājamām dabas teritorijām” 12. panta “Lēmuma sagatavošanai nepieciešamie dokumenti” 4) daļa nosaka nepieciešamību dokumentu pakotnē iekļaut “aprēķinu par kompensāciju apmēru zemes īpašniekiem par saimnieciskās darbības ierobežojumiem aizsargājamās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protokollēmums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58 63. §, kas tika pieņemts apstiprinot  Ministru kabineta noteikumu projektu "Noteikumi par dabas liegumiem", nosaka uzdevumu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aicinām šo noteikumu projektu virzīt pēc šo sagatavoto priekšlikumu izskatīšanas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2.sadaļā ir norāde par provizorisko ietekmi tautsaimniecībai (galvenokārt uz mežsaimniecisko darbību), ņemot vērā, ka ainavu apvidus teritorijā atbilstoši pašvaldības teritorijas plānojumiem lielākoties funkcionālās zonas </w:t>
            </w:r>
            <w:r w:rsidR="00000000" w:rsidRPr="00000000" w:rsidDel="00000000">
              <w:rPr>
                <w:u w:val="single"/>
                <w:rtl w:val="0"/>
              </w:rPr>
              <w:t xml:space="preserve">ir mežu un lauksaimniecības teritorijas </w:t>
            </w:r>
            <w:r w:rsidR="00000000" w:rsidRPr="00000000" w:rsidDel="00000000">
              <w:rPr>
                <w:rtl w:val="0"/>
              </w:rPr>
              <w:t xml:space="preserve">(ar attiecīgu atļauto galveno izmantošanu), savukārt funkcionālās zonas ar galveno izmantošanu apbūvei ir ietvertas ainavu apvidus neitrālajā zonā (ciemos) vai ainavu aizsardzības zonās, kurās vispārīgi nav aizlieguma saimnieciskajai darbībai. Līdz ar to nav precīzi iespējams novērtēt katra zemes īpašnieka iespējamo nākotnes saimniecisko darbību (kas nav lauksaimniecība vai mežsaimniecība) un potenciālo ietekmi uz to, izņemot vēja parku būvniecību visā ainavu apvidus teritorijā (izņemot pašpatēriņam neitrālajā un ainavu aizsardzības zonā), kas ir norādīts pie horizontālās ietekmes - anotācijas 8.1.7.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kompensāciju aprēķinu vēršam uzmanību, ka konkrētus ierobežojumus saimnieciskajai darbībai noteic ainavu apvidus individuālie aizsardzības un izmantošanas noteikumi (22-TA-3788), kuru anotācijas 3. sadaļā un anotācijas pielikumā ir norādītas aprēķinātās kompensācijas mežsaimnieciskās darbības ierobežojumiem (atbilstoši spēkā esošajām likmēm). Pie tam būtiskākie ierobežojumi ir galvenokārt valsts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aizsargājamās dabas teritorijas (</w:t>
            </w:r>
            <w:r w:rsidR="00000000" w:rsidRPr="00000000" w:rsidDel="00000000">
              <w:rPr>
                <w:i w:val="1"/>
                <w:rtl w:val="0"/>
              </w:rPr>
              <w:t xml:space="preserve">Natura 2000 </w:t>
            </w:r>
            <w:r w:rsidR="00000000" w:rsidRPr="00000000" w:rsidDel="00000000">
              <w:rPr>
                <w:rtl w:val="0"/>
              </w:rPr>
              <w:t xml:space="preserve">teritorijas) izveidošana plautauša aizsardzībai izriet no Biotopu direktīvas (pārkāpuma procedūras lieta Nr. 2019/2304).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atbilstoši  Ministru kabineta noteikumi Nr. 617 Tiesību akta projekta sākotnējās ietekmes izvērtēšanas kārtības 14.2. apakšpunktam, kas nosaka sabiedrības grupas, kuras ietekmēs projekts, ietekme uz tām, ietekmi uz tautsaimniecības attīstību un administratīvo slogu, tai skaitā administratīvo izmaksu monetārs novērtējums un atbilstības izmaksu monetārs novērtējums. Kaut arī VARAM anotācijā norāda, ka ir izvērtēti alternatīvie risinājumi un atbilstoši Eiropas tiesas 2000. gada 7. novembra spriedumam lietā C-371/98 First Corporate Shipping nedrīkst ņemt vērā citus kritērijus lēmuma pieņemšanai par ierosināmo teritoriju robežām, tomēr - izpildot Ministru kabineta noteikumu prasības, ir jānorāda ietekme uz tautsaimniecības attīstību, tostarp - ietekmi uz fiziskām un juridiskām personām un to tiesību aizskārumu.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ir aizpildīta, tai skaitā,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saimnieciskās darbības ierobežojumi (piemēram, mežsaimnieciskajai darbībai) galvenokārt izrietēs no saistītā Ministru kabineta noteikumu projekta "Aizsargājamo ainavu apvidus "Koknese-Odziena" individuālie aizsardzības un izmantošanas noteikumi" (22-TA-3788), nevis no šī noteikumu projekta (par ainavu apvidus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noteikumi Nr. 617 attiecībā uz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izmaksas ir informācijas sniegšanas pienākuma radītās izmaksas (noteikumu projekts tādas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izmaksas ir izmaksas, kas fiziskajai personai, juridiskajai personai, valsts vai pašvaldību institūcijai rodas, lai nodrošinātu projektā ietverto atbilstības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anotācijā norāda administratīvo izmaksu novērtējumu, ja sabiedrības grupai, kuru veido fiziskās personas, ko ietekmēs projekts, administratīvās izmaksas gada laikā </w:t>
            </w:r>
            <w:r w:rsidR="00000000" w:rsidRPr="00000000" w:rsidDel="00000000">
              <w:rPr>
                <w:u w:val="single"/>
                <w:rtl w:val="0"/>
              </w:rPr>
              <w:t xml:space="preserve">pārsniedz</w:t>
            </w:r>
            <w:r w:rsidR="00000000" w:rsidRPr="00000000" w:rsidDel="00000000">
              <w:rPr>
                <w:rtl w:val="0"/>
              </w:rPr>
              <w:t xml:space="preserve"> 200 </w:t>
            </w:r>
            <w:r w:rsidR="00000000" w:rsidRPr="00000000" w:rsidDel="00000000">
              <w:rPr>
                <w:i w:val="1"/>
                <w:rtl w:val="0"/>
              </w:rPr>
              <w:t xml:space="preserve">euro</w:t>
            </w:r>
            <w:r w:rsidR="00000000" w:rsidRPr="00000000" w:rsidDel="00000000">
              <w:rPr>
                <w:rtl w:val="0"/>
              </w:rPr>
              <w:t xml:space="preserve">, bet sabiedrības grupai, kuru veido juridiskās personas, ko ietekmēs projekts, – 2000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anotāciju ar informāciju par kompensācijas sistēmas pilnveides nepieciešamību, ņemot vērā Ministru kabineta 2023. gada 21.novembra sēdes protokola Nr.58 63 §, 3.punktā doto uzdevumam Vides aizsardzības un reģionālās attīstības ministrijai sadarbībā ar Zemkopības ministriju un Klimata un enerģētikas ministriju līdz 2024.gada 31.maijam iesniegt izskatīšanā Ministru kabinetā priekšlikumus par efektīvāko piedāvājumu kompensāciju nodrošināšanai par saimnieciskās darbības ierobežojumiem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iesakām noteikumu projektu virzīt apstiprināšanai pēc 2024.gada 31.maija, kad būs vairāk skaidrības par jauno kompensācijas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(1.6.punkts) papildināta ar norādi par protokollēmuma uzdevumu kompensācijas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aizsargājamas dabas teritorijas (Natura 2000 teritorijas) izveidošana izriet no Biotopus direktīvas, kā arī Latvija apņēmās to veikt bez kavēšanās atbilstoši Latvijas nostājai pārkāpuma procedūras lietā Nr. 2019/2304.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Kokrūpniecības federācija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ir viens no vairākiem noteikumu projektiem, kas pakāpenski aizvien vairāk ierobežo gan tiesības uz privātīpašumu, gan tautsaimniecības attīstību kopumā, norādām, ka Latvijas Kokrūpniecības federācija principiāli neatbalsta šādu, fragmentētu, pieeju Latvijas zemes resursu apsaimniekošanas plānošanā, kā arī pievienojas Latvijas Meža īpašnieku biedrības aicinājumam - pirms tālāku aizsargājamo teritoriju veidošanas, izstrādāt un ieviest taisnīgu kompensāciju sistēmu šo zemju īpašniekiem. Tas būtu pirmais solis, lai lēmumu pieņēmējiem veidotos kaut vispārīgs priekšstats par pieņemto lēmumu patiesajām izmaksām valsts un pašvaldību budžetos.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21. novembra sēdes protokollēmuma (prot. Nr. 58 63. §) "Noteikumu projekts "Noteikumi par dabas liegumiem"" (TA-23-TA-621) 3.punkts noteic līdz 2024.gada 31.maijam iesniegt izskatīšanai Ministru kabinetā priekšlikumus par efektīvāko piedāvājumu kompensāciju nodrošināšanai par saimnieciskās darbības ierobežojumiem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21. janvārī ( (prot. Nr. 3 45. §) apstiprināja Latvijas nostāju, ar kuru Latvija apņēmās noteikt jaunas īpaši aizsargājamas dabas  teritorijas (Natura 2000), tai skaitā Eiropas platauša dzīvotņu aizsardzībai. Attiecīgi lai nodrošinātu Eiropas platauša sugas populācijas aizsardzību Latvijā atbilstoši Biotopu direktīvas prasībām (kas prasa īpaši aizsargājamas dabas teritorijas izveidošanu, pamatojoties uz zinātniskiem faktiem), ir ierosināts izveidot ainavu apvidu atbilstoši Eiropas platauša sugas aizsardzības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aizsargājamo ainavu apvidus "Koknese-Odziena" individuālo aizsardzības un izmantošanas noteikumu projektu (22-TA-3788) lielākā daļa ainavu apvidus tiks ietverta neitrālajās (2%) un ainavu aizsardzības zonās (77%). Ainavu aizsardzības zona tiks piemērota 92% no visām ainavu apvidū ietvertajām fizisko personu zemēm, 91% no juridisko personu zemēm. Attiecībā uz mežu zemēm būtiskākie mežsaimnieciskās darbības ierobežojumi (galvenās un kailcirtes liegums) fiziskām un juridiskām personām paredzēti aptuveni 565 ha (galvenokārt, kailcirtes liegums (priežu audzēs) - 432 ha), līdz ar to lielākajā daļā privātpersonu mežos būs iespējama mežsaimnieciskā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pārskatot 5.4. apakšpunkta 1. tabulas "B" ailes un izvērtējot vai tiešām ar visu projektu tiek pārņemta tabulas "A" ailē norādītā tiesību norma. Vēršam uzmanību, ka no "A" ailē norādītās tiesību normas (piemēram, "Biotopu direktīvas 3. panta 2. punkts")  izriet nepieciešamība noteikt īpaši aizsargājamas dabas teritorijas, bet projektā tajā pašā laikā ir vienības, kas paredz noteikumus pašlaik spēkā esošā normatīvā akta atzīšanai par spēku zaudējušu, normas par to, ka aizsargājamo ainavu apvidus robežas noteiktas Latvijas ģeodēzisko koordinātu sistēmā vai to, ka aizsargājamo ainavu apvidus robežu ģeotelpiskie dati pieejami Dabas datu pārvaldības sistēmā, kas šķietami nav saistīti ar "A" ailē norādīto tiesību normu. Informējam, ka šajā ailē norāda katru projekta pantu, daļu, punktu, apakšpunktu, ar kuru tiks pārņemts Eiropas Savienības tiesību akta pants, daļa, punkts vai apakšpunkts, vai norāda vispārīgu atsauci uz tiesību aktu, kurā ir vai tiks pārņemtas norādītās tiesību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pārskatot un papildinot 5.4. apakšpunkta 1. tabulas "C" ailes, ņemot vērā, ka gadījumā, ja norāda, ka Eiropas Savienības tiesību aktu normas tiek ieviestas daļēji: - sniedz attiecīgu skaidrojumu; - precīzi norāda, kad un kādā veidā tiks nodrošināta minēto saistību izpilde pilnībā. Pašreizējie skaidrojumi šķietami nenodrošina pilnīgu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ja Eiropas Savienības tiesību akts paredz rīcības brīvību dalībvalstij pārņemt vai ieviest noteiktas tiesību normas, norāda konkrētu tiesību normu un pamato, kādēļ ir vai nav izmantota Eiropas Savienības tiesību aktā paredzētā rīcības brīvība dalībvalstij pārņemt vai ieviest noteiktas Eiropas Savienības tiesību akta normas, kā ir izmantota paredzētā rīcības brīvība u.tml. No anotācijā sniegtā skaidrojuma nav pilnībā skaidrs uz kuru no direktīvām un kādu rīcības brīvību sniegtais skaidrojums 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šo noteikumu projektu. Ņemot vērā, ka vairāk kā puse (gandrīz 57%) no šajā tiesību aktu projektā paredzētā jaunveidojamā aizsargājamo ainavu apvidū Koksnese-Odziena iekļautām platībām ir privātajā īpašumā esošās zemes, iebilstam par noteikumu projekta tālāku virzību, kamēr nav pārskatīta un pilnveidota pašreiz esošā netaisnīgā kompensāciju sistēma par saimnieciskās darbības aprobežojumiem. Vēlreiz norādām uz daudzu cilvēku parakstīto petīciju "Nē jaunām aizsargājamām teritorijām bez taisnīgas kompensācijas nodrošināšanas " https://www.peticijas.com/n_jaunm_aizsargjamm_teritorijm_bez_taisngas_kompenscijas_nodroinanas. Aicinām atgriezties pie diskusijām par šo noteikumu projektu pēc tam, kad būs izpildīts Ministru kabineta protokollēmumā, kas tika pieņemts apstiprinot  Ministru kabineta noteikumu projektu "Noteikumi par dabas liegumiem", noteiktais, kad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aizsargājamo ainavu apvidus "Koknese-Odziena" individuālo aizsardzības un izmantošanas noteikumu projektu (22-TA-3788) lielākā daļa ainavu apvidus tiks ietverta neitrālajās (2%) un ainavu aizsardzības zonās (77%). Ainavu aizsardzības zona tiks piemērota 92% no visām ainavu apvidū ietvertajām fizisko personu zemēm, 91% no juridisko personu zemēm. Attiecībā uz mežu zemēm būtiskākie mežsaimnieciskās darbības ierobežojumi (galvenās un kailcirtes liegums) fiziskām un juridiskām personām paredzēti aptuveni 565 ha (galvenokārt, kailcirtes liegums (priežu audzēs) - 432 ha), līdz ar to lielākajā daļā privātpersonu mežos būs iespējama mežsaimnieciskā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nosaukumu, ņemot vērā, ka tas neatbilst Ministru kabineta 2009. gada 3. februāra noteikumu Nr. 108 „Normatīvo aktu projektu sagatavošanas noteikumi” 91. un 92. punktam, kas noteic, ka noteikumu projekta nosaukumā vārdus “kārtība”, “noteikumi” v.tml. raksta kā nosaukuma pēdējo vārdu un ka nosaukumu ar vārdiem “Noteikumi par” iesāk tikai retos izņēmuma gadījumos. Iesakām projekta nosaukumu izteikt, piemēram, šādā redakcijā: "Aizsargājamo ainavu apvidu noteikumi"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pastāv uz esošo noteikumu nosaukumu saglabāšanu. Pēc analoģijas veidoti arī Ministru kabineta noteikumu nosaukumi, kas nosaka dabas liegumus, dabas parkus, aizsargājamās jūras teritorijas un ģeoloģiskos un ģeomorfoloģiskos dabas pieminekļus, aizsargājamās alejas, aizsargājamos dendroloģiskos stādījumus.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"Kaučers" shēma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pielikumus, pārliecinoties, vai tiek nodrošināta korekta aizsargājamo ainavu apvidu iezīmēšana un teritoriju atspoguļošana. Piemēram, ņemot vērā Dabas aizsardzības pārvaldes publicēto informāciju aizsargājamo ainavu apvidus „Kaučers” teritorijā atrodas septiņi ezeri: Salmeja, Kaučera, Stupānu (Stuponu), Liminu, Meiraukas, Baibas un Asara (Esereiša) ezeri, bet 10.pielikumā, kā aizsargājamā ainavu apvidus „Kaučers” teritorijā ietilpstošs, atsevišķi iezīmēts arī Bicānu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visos pielikumos atzīmējot teritoriālās vienības, iesakām nosaukt visas, kas minētas projekta 1. punktā, piemēram, 7. punktā nav tiešas norādes uz aizsargājamā ainavu apvidus "Vecpiebalga" Taurenes pagasta daļu. Tādā veidā uzlabojot pārskatāmību un pielikuma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kartogrāfiskie materāli.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"Kaučers" shēma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projekta pamatojuma skaidrojumu, jo, ņemot vērā anotācijā norādīto, ar projektu tiek izpildīts Ministru kabineta 2020. gada 21. janvāra sēdes protokollēmuma (prot. Nr. 3 45. §) "Latvijas Republikas nostājas projekts par Eiropas Komisijas 2019.gada 7.novembra formālo paziņojumu pārkāpuma procedūras lietā Nr.2019/2304" 4. punktā uzdotais uzdevums Vides aizsardzības un reģionālās attīstības ministrijai līdz 2021. gada 1. martam un līdz 2021. gada 1. septembrim izstrādāt konkrētus tiesību aktu projektus. No kā secināms, ka šķietami nav nodrošināta savlaicīga Ministru kabineta uzdoto uzdevumu izpilde (jau ir 2023. gada novembris), tāpēc iesakām papildināt skaidrojumu, nodrošinot pilnīgu projekta pamatojuma izpratni, vienlaicīgi izvērtējot un norādot arī to vai šāda nokavējuma rezultātā nav radušās kaut kādas sekas vai potenciālas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apakšpunkta problēmas aprakstu un nepieciešamības gadījumā to papildināt. Vēršam uzmanību uz to, ka problēmas aprakstā tiek skaidrots: </w:t>
            </w:r>
            <w:r w:rsidR="00000000" w:rsidRPr="00000000" w:rsidDel="00000000">
              <w:rPr>
                <w:i w:val="1"/>
                <w:rtl w:val="0"/>
              </w:rPr>
              <w:t xml:space="preserve">"Bez īpaši aizsargājamas dabas teritorijas  izveidošanas (un secīgi - iekļaušanas Natura 2000 sarakstā) nav iespējams pilnībā nodrošināt Biotopu direktīvas 3. panta 1. un 2. punkta prasības, platauša populācijas un tā dzīvotņu aizsardzību."</w:t>
            </w:r>
            <w:r w:rsidR="00000000" w:rsidRPr="00000000" w:rsidDel="00000000">
              <w:rPr>
                <w:rtl w:val="0"/>
              </w:rPr>
              <w:t xml:space="preserve">, lai gan no pašreizējās situācijas apraksta šķietami izriet plašāka problēma, kas aptver ne tikai plataušu populāciju: </w:t>
            </w:r>
            <w:r w:rsidR="00000000" w:rsidRPr="00000000" w:rsidDel="00000000">
              <w:rPr>
                <w:i w:val="1"/>
                <w:rtl w:val="0"/>
              </w:rPr>
              <w:t xml:space="preserve">"Eiropas Komisija 2019. gada 27. novembra formālajā paziņojumā pārkāpuma procedūras lietā Nr. 2019/2304 norādīja, ka </w:t>
            </w:r>
            <w:r w:rsidR="00000000" w:rsidRPr="00000000" w:rsidDel="00000000">
              <w:rPr>
                <w:u w:val="single"/>
                <w:rtl w:val="0"/>
              </w:rPr>
              <w:t xml:space="preserve">Latvijas Republikas Komisijai nosūtītais Kopienā nozīmīgo teritoriju saraksts ir nepietiekams (tai skaitā, arī attiecībā uz platausi)</w:t>
            </w:r>
            <w:r w:rsidR="00000000" w:rsidRPr="00000000" w:rsidDel="00000000">
              <w:rPr>
                <w:i w:val="1"/>
                <w:rtl w:val="0"/>
              </w:rPr>
              <w:t xml:space="preserve">, kā prasīts Biotopu direktīvas 4. panta 1. punktā, un tādējādi nav izpildījusi Biotopu direktīvas 3. panta 2. punktā noteiktos pienākumus.". </w:t>
            </w:r>
            <w:r w:rsidR="00000000" w:rsidRPr="00000000" w:rsidDel="00000000">
              <w:rPr>
                <w:rtl w:val="0"/>
              </w:rPr>
              <w:t xml:space="preserve">Attiecīgi iesakām papildināt problēmas aprakstu ar skaidrojumu kāpēc tiek izdalīta tieši šāda problēma un to, kā šādā veidā tiek izpildītas Eiropas Komisijas un Eiropas Savienības tiesību aktu prasības, nodrošināts pietiekams nozīmīgo teritoriju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apakšpunktu un papildināt tā aprakstu, nolūkā nodrošināt pilnīgu projekta skaidrojumu. Vēršam uzmanību, ka projektā nav paredzēta tikai ainavu apvidu noteikšana. Projekts paredz arī citus punktus, kas šķietami nav skaidroti, piemēram, Ministru kabineta 1999. gada 23. februāra noteikumu Nr. 69 "Noteikumi par aizsargājamo ainavu apvidiem" atzīšana par spēku zaudējušiem (4. punkts) vai aizsargājamo ainavu apvidus robežu ģeotelpisko datu pieejamības nodrošināšana Dabas datu pārvaldības sistēmā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platausis Barbastella barbastellus" un tā vairākkārt pieteikto saīsinājumu "platausis", divas reizes pieteikto saīsinājumu "Biotopu direktīva", saīsinājuma "Putnu direktīva" lietošanu pirms tā pieteikšanas un tā vairākkārtēju pieteikšanu.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projektā un tā anotācijā lūdzam lietot skaidrus un viennozīmīgi saprotamus formulējumus, piemēram, projekta 3. punktā iesakām konkretizēt norādi uz Dabas datu pārvaldības sistēmu, piemēram, norādot tās nosaukumu, lai nodrošinātu nepārprotamu izpratni tam, kāda konkrēta sistēma ar šo formulējumu tiek saprasta.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Pārskatīti un precizēti saīsinājumu lietojumi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2.2.4. apakšpunkta skaidrojumus par to, ka projekts var ietekmēt mazos un vidējos uzņēmumus, kuriem pieder nekustamais īpašums vai kuri veic saimniecisko darbību ainavu apvidū ietvertajās zemes vienībās, arī atsevišķās būvēs, uzsverot tieši Eiropas plataušu Barbastella barbastellus (turpmāk - platausis) ziemošanas vietas, lai gan, tajā pašā laikā, anotācijā tiek skaidrots, ka platauši arī vasaras sezonā var izmantot paslēptuves ēkās. Attiecīgi šķietami nepieciešams precizēt sniegto skaidrojumu vai uzsvērt to, kāpēc izceltas tieši ziemošanai izmantojamās būves. Tādā veidā nodrošinot nepārprotamu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ietekmēm minētas tikai ziemošanas vietas, jo to pieejamības nodrošināšana (lai iekļuves, piemēram, pagrabos, netiek aizsprostotas, tiek saglabātas spraugas, nodrošināta būvju konstrukciju pastiprināšana pret sabrukšanu utml.) ir būtiska platauša populācijas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vasarā paslēptuves ēkā ir tikai potenciāla alternatīva atlupušai koku mizai, atšķirībā no ziemas vasarā paslēptuves regulāri (1-3 dienas) tiek mainītas, nav nepieciešami īpaši nosacījumi šādu paslēptuvju pieejamībai esošās ēkās. Līdz ar to nav konstatējama kāda noteikumu projekta ietekme esošu būvju apsaimniekošanā (kas nav ziemošanas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2.4. apakšpunktu un papildināt, labot sniegtos skaidrojumus anotācijā, ņemot vērā anotācijā sniegto informāciju par to, ka fiziskajām personām ainavu apvidū ārpus ciemiem un neitrālajām zonām jaunu ēku būvniecībai vai esošo pārbūvei būs nepieciešams saņemts Valsts vides dienesta tehniskos noteikumus, atsevišķi neizdalot kādām konkrētām fiziskajām personām attiecīgie tehniskie noteikumi ir jāsaņem. Savukārt no anotācijas 2.4. apakšpunkta šķietami saprotams, ka Valsts vides dienesta tehniskie noteikumi saņemami un valsts nodeva par to maksājama tikai saimnieciskās darbības (mežsaimnieciskās, lauksaimnieciskās, citas) veicējiem, nesniedzot sīkākus skaidrojumus, pamatojumus par izņēmumu, piemēram, zemes īpašniekam, kurš potenciāli plāno pārbūvēt, piemēram, pagrabu, kas kā būves veids minēts norādot uz plataušu ziemošanas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 un  2.4.apakšpunkts.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22-TA-3788 lietas ietvaros kompensāciju aprēķinam izmantotas kompensāciju atbalsta likmes atbilstoši Ministru kabineta 2023. gada 18. aprīļa noteikumiem Nr. 197 "Atbalsta piešķiršanas kārtība Eiropas Lauksaimniecības fonda lauku attīstībai platībatkarīgo un dzīvniekatkarīgo saistību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6.1.apakšpunktā sniegto informāciju, lūdzam anotācijas 3.sadaļā ailēs “saskaņā ar valsts budžetu kārtējam gadam” un “saskaņā ar vidēja termiņa budžeta ietvaru” 1.1.apakšpunktā norādīt likumā “Par valsts budžetu 2023. gadam un budžeta ietvaru 2023., 2024. un 2025. gadam” plānoto ieņēmumu apmēru nodevai par vides aizsardzības tehnisko noteikumu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prognozējams, vai un cik ēkas tiks būvētas vai pārbūvētas ainavu apvidū ārpus ciemiem un neitrālajām zonām, nav objektīvi iespējams novērtēt, vai un cik tuvāko trīs gadu laikā, pie tam, dalījumā precīzi pa gadiem, būs ieņēmumi no nodevas par vides aizsardzības tehnisko noteikumu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papildināt, anotācijas 4.1. apakšsadaļu, ņemot vērā, ka anotācijā tiek minēti ar šo projektu saistīti projekti, piemēram, "[..] šo noteikumu projekta saistītajā Ministru kabineta noteikumu projektā "Aizsargājamo ainavu apvidus "Koknese-Odziena" individuālie aizsardzības un izmantošanas noteikumi"(22-TA-3788).". Tāpat arī anotācijas 5.1. apakšsadaļā norādīts, ka pēc jaunā ainavu apvidus izveidošanas tiks virzīti grozījumi likuma "Par īpaši aizsargājamām dabas teritorijām" pielikumā, papildinot Natura 2000 sarakstu ar jauno  ainavu apvidu. No kā šķietami secināms, ka projekts ietekmē vai var ietekmēt spēkā esošo tiesību normu sistēmu, bet anotācijas 4.1. apakšsadaļā norādīts, ka noteikumu projektam nav ietekmes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anotācijas 4.1. apakšsadaļu lūdzam ņemt vērā, ka to aizpilda, ja noteikumu projekts ietekmē spēkā esošo tiesību normu sistēmu,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anotācijas 4.1. apakšpunktu, ņemot vērā, ka anotācijā tiek minēti ar šo projektu saistīti projekti, piemēram, "[..] šo noteikumu projekta saistītajā Ministru kabineta noteikumu projektā "Aizsargājamo ainavu apvidus "Koknese-Odziena" individuālie aizsardzības un izmantošanas noteikumi"(22-TA-3788).". No kā šķietami secināms, ka projekts ietekmē vai var ietekmēt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anotācijas 4.1. apakšpunktu lūdzam ņemt vērā, ka to aizpilda, ja projekts ietekmē spēkā esošo tiesību normu sistēmu,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1.sadaļa (pie risinājumu apraksta).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informāciju par Ministru kabineta protokollēmumu, kas uzdod -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uzdevums izriet no cita protokollēmuma, nav lietderīgi to vēlreiz uzdot ar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atkārtoti pārskatīt anotācijas 5.4. apakšsadaļas 1. tabulu, izvērtējot vai ar noteikumu projektu netiek pārņemta arī Eiropas Parlamenta un Padomes 2009. gada 30. novembra Direktīvas 2009/147/EK par savvaļas putnu aizsardzību 4. panta 1. un 2. punkts. Vēršam uzmanību, ka atbilstoši Ministru kabineta 2011.gada 25.janvāra noteikumu Nr.78 "Grozījumi Ministru kabineta 1999.gada 23.februāra noteikumos Nr.69 "Noteikumi par aizsargājamo ainavu apvidiem"" anotācijai Ministru kabineta 1999. gada 23. februāra noteikumos Nr.69 "Noteikumi par aizsargājamo ainavu apvidiem", kurus plānots aizstāt ar noteikumu projektu, analoģiskās tiesību normās tiek pārņemts iepriekš minētās direktīvas 4. panta 1. un 2. punkts. Savukārt, atbilstoši noteikumu projekta anotācijas 5.4. apakšsadaļā sniegtajai informācijai, tiek pārņemts 3. panta 2. punkta a) apakšpunkts. Attiecīgi, iesakām pārliecināties vai ir pārņemtas visas Eiropas Savienības tiesību aktu normu un pārņemšana šī noteikumu kontekstā ir atspoguļota precīzi, lai nodrošinātu korektu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22-TA-3783</w:t>
    </w:r>
    <w:r>
      <w:br/>
    </w:r>
    <w:r w:rsidR="00000000" w:rsidRPr="00000000" w:rsidDel="00000000">
      <w:rPr>
        <w:rtl w:val="0"/>
      </w:rPr>
      <w:t xml:space="preserve">27.11.2024. 09.06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22-TA-3783</w:t>
    </w:r>
    <w:r>
      <w:br/>
    </w:r>
    <w:r w:rsidR="00000000" w:rsidRPr="00000000" w:rsidDel="00000000">
      <w:rPr>
        <w:rtl w:val="0"/>
      </w:rPr>
      <w:t xml:space="preserve">27.11.2024. 09.06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Izziņa_22-TA-3783.docx</dc:title>
</cp:coreProperties>
</file>

<file path=docProps/custom.xml><?xml version="1.0" encoding="utf-8"?>
<Properties xmlns="http://schemas.openxmlformats.org/officeDocument/2006/custom-properties" xmlns:vt="http://schemas.openxmlformats.org/officeDocument/2006/docPropsVTypes"/>
</file>