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25-TA-205: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Emisijas kvotu izsolīšanas instrumenta finansēto projektu atklāta konkursa "Notekūdeņu dūņu pārstrāde"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30.09.2025. 19:08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kas pēc projekta iesnieguma apstiprināšanas ir finansējuma saņēmējs, ir sabiedrisko ūdenssaimniecības pakalpojumu sniedzējs, ar kuru pašvaldība ir noslēgusi līgumu par sabiedrisko ūdenssaimniecības pakalpojumu sniegšanu, kas ietver pienākumu veikt notekūdeņu attīrīšanas procesā radušos notekūdeņu dūņu pārstrādi Dūņu centrā. Projekta iesniedzēja darbība norit atbilstoši Saimniecisko darbību statistiskās klasifikācijas Eiropas Kopienā (turpmāk – NACE) 2.1. redakcijai un atbilst E sadaļas 37. un 38. nodaļai.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Ūdenssaimniecības pakalpojuma likuma 1.panta 9. punktā sabiedriskie ūdenssaimniecības pakalpojumi, kas ietver arī šā paša likuma 7.</w:t>
            </w:r>
            <w:r w:rsidR="00000000" w:rsidRPr="00000000" w:rsidDel="00000000">
              <w:rPr>
                <w:vertAlign w:val="superscript"/>
                <w:rtl w:val="0"/>
              </w:rPr>
              <w:t xml:space="preserve">2</w:t>
            </w:r>
            <w:r w:rsidR="00000000" w:rsidRPr="00000000" w:rsidDel="00000000">
              <w:rPr>
                <w:rtl w:val="0"/>
              </w:rPr>
              <w:t xml:space="preserve"> punktā iekļauto notekūdeņu dūņu apsaimniekošanu (procesu kopumu, kas ietver notekūdeņu dūņu apstrādi, pārstrādi, utilizāciju un citas darbības ar notekūdeņu dūņām no to rašanās notekūdeņu attīrīšanas procesā līdz tālākai izmantošanai), aptver plašāku pakalpojumu loku, nekā tos, kas kvalificējas kā vispārēja tautsaimnieciskas nozīmes pakalpojums (VTNP) saskaņā ar Komisijas 2011. gada 20. decembra Lēmumu par Līguma par Eiropas Savienības darbību 106. panta 2. punkta piemērošanu valsts atbalstam attiecībā uz kompensāciju par sabiedriskajiem pakalpojumiem dažiem uzņēmumiem, kuriem uzticēts sniegt pakalpojumus ar vispārēju tautsaimniecisku nozīmi (turpmāk - Komisijas lēmums Nr. 2012/21/ES), noteikumos ir skaidri jānodala VTNP no citiem sabiedriskajiem pakalpojumiem, jo attiecībā uz atbalstu citiem pakalpojumiem, piešķirot atbalstu, būs jāpiemēro komercdarbības atbalsta regulējums, kas nav Komisijas lēmums Nr. 2012/21/ES, t.i. vai nu regula Nr. 651/2014, vai arī regula Nr. 2023/2831.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noteikumu projektu, skaidri nosakot, kuras darbības kvalificējas kā VTNP, un citas darbības (t.sk. sabiedriskie ūdenssaimniecības pakalpojumi), kuras nekvalificējas kā VTNP, piemēram, biogāzes ražošana (izņemot gadījumu, ja biogāze tiek patērēta tikai un vienīgi VTNP sniegšanai) vai komposta vai bioogļu ražošana lauksaimniekiem. Lūdzam arī precizēt anotāciju, iekļaujot tajā detalizētu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(KEM) nepiekrīt Finanšu ministrijas (FM) paustajai izpratnei, ka notekūdeņu dūņu pārstrādes procesi būtu dalāmi atsevišķi — VTNP darbībās un citās saimnieciskās darbībās, kas neatbilst VTNP ietvaram. Atbilstoši Eiropas Savienības tiesībām un Eiropas Savienības Tiesas judikatūrai: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VTNP jomu nosaka dalībvalsts, ja konkrētais pakalpojums ES līmenī netiek regulēts;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notekūdeņu dūņu apsaimniekošana nav regulēta ES līmenī kā komerciāls tirgus pakalpojums, un nav norādīts, ka noteiktas dūņu pārstrādes metodes būtu obligāti nodalāmas ārpus VTNP. Tādēļ Latvijai kā dalībvalstij ir tiesības un pienākums definēt šo pakalpojumu kā vienotu sabiedriskā ūdenssaimniecības pakalpojuma sastāvdaļu.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Dūņu pārstrāde ir vienots sabiedriskais pakalpojums – tirgus to nespēj nodrošināt. Ūdenssaimniecības pakalpojuma likuma 1. panta 9. punkts skaidri nosaka, ka notekūdeņu dūņu apsaimniekošana (savākšana, apstrāde, pārstrāde, utilizācija) ir vienots sabiedriskais ūdenssaimniecības pakalpojums. FM pozīcija, kas prasa šo procesu mākslīgi sadalīt, nav juridiski pamatota,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dūņu pārstrāde nav ekonomiski rentabla nevienā no tehnoloģiskajām metodēm (kompostēšana, anaerobā pārstrāde, termiskā apstrāde). Tirgus operators neuzņemas šādu darbību, jo dūņu apjomi Latvijā ir par maziem, lai garantētu komerciālu rentabilitāti.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valsts iejaukšanās dūņu pārstrādes infrastruktūra netiktu izveidota, un slogs pārietu uz iedzīvotājiem tarifu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apstākļi pilnībā atbilst ES judikatūras kritērijiem, saskaņā ar kuriem pakalpojums var tikt atzīts par VTNP, ja “tirgus nespēj nodrošināt pakalpojumu sabiedrības interesēs apmierinoši”.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Dūņu pārstrādes rezultātā neizbēgami rodas konkrēts produkts (komposts, biogāze, bioogles), taču atbalsts netiek sniegts produkta ražošanai, bet gan pārstrādes procesam, kas ir obligāts sabiedriskā ūdenssaimniecības pakalpojuma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produkts nav šīs atbalsta programmas primārais mērķis, kā arī nevar tikt ražots pietiekamā apjomā, lai izveidotu tirgu, kas savukārt rada tikai ieņēmumus tarifa samazināšanai, nevis komerciālu peļņu. Tas pilnā apjomā atbilst EK Lēmuma Nr. 2012/21/ES paredzētajam principam, ka VTNP kompensācija ir pieļaujama, ja tirgus nav spējīgs nodrošināt pakalpojumu, kompensāciju kontrolē pašvaldība, peļņas pārsniegums tiek novērsts (pārmaksas atgūšana).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Dūņu pārstrādes tehnoloģiskais process nav sadalāms neatkarīgās un izolētās darbībās, jo tas ir viens nepārtraukts process, kur neviena tehnoloģijas posma nav iespējams realizēt patstāvīgi. Tāpēc FM piedāvātais modelis – mākslīgi nodalīt “pārstrādi” no “produkts → izmantošana” – nav tehnoloģiski realizējams, un neatbilst ūdenssaimniecības nozares darba specifikai.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gala produkts iegūst pozitīvu vērtību, ieņēmumi samazina nepieciešamo kompensāciju VTNP ietvarā. Ja negatīvu vērtību, kompensācija ir nepieciešama lielāka, lai izvairītos no nesamērīgi augsta tarifa iedzīvotājiem. Tas apliecina, ka visa dūņu pārstrādes ķēde ir vienota sabiedriskā pakalpojuma daļa, nevis komercdarbība.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ieskatā visa notekūdeņu dūņu pārstrādes darbību ķēde atbilstoši nacionālajam regulējumam un ES tiesību ietvaram ir uzskatāma par vienotu VTNP. Tāpat KEM savā vērtējumā par VTNP piemērošanu notekūdeņu dūņu pārstrādei balstās jau uz līdzšinējā praksē ar EK saskaņotu VTNP piemērošanu analoģiskam procesam, kad  bioloģiski noārdāmo atkritumu pārstrādes ietvaros darbībām un izmaksām, kas saistītas ar šādu atkritumu pārstrādes infrastruktūras objektu izveidi un rezultējas ar no bioloģiski noārdāmiem atkritumiem ražoto izejvielu un gala produktu sagatavošanu, ir piemērota kompensācija (jeb VTNP regulējums) par deleģēto vispārējas tautsaimnieciskas nozīmes pakalpojumu sniegšanu. Attiecīgi KEM vērtējumā analoga pieeja ir pamatojama un izmantojama arī notekūdeņu dūņu pārstrādes jomā. Attiecīgi, lai saskaņotu Latvijas virzīto pieeju un nodrošinātu vienotu izpratni par VTNP piemērošanu notekūdeņu dūņu pārstrādes jomā, KEM 2025.gada 14.novembrī ar oficiālu vēstuli ir iesniegusi izvērstu analīzi un vērtējumu par VTNP piemērošanu notekūdeņu dūņu pārstrādei Latvijā Finanšu ministrijai tālākai koordinācijai un konsultāciju uzsākšanai ar EK. Gadījumā, ja Eiropas Komisijas vērtējumā notekūdeņu dūņu pārstrādei VTNP piemērošana nebūs iespējama, noteikumu projektam pievienotais protokollēmuma projekts paredz  KEM steidzamības kārtā sagatavot un virzīt izskatīšanai Ministru kabinetā grozījumus noteikumu projektā, paredzot citu atbilstošu valsts atbalsta regulējuma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iesniedzējs ir sabiedrisko ūdenssaimniecības pakalpojumu sniedzējs vai komersants, kuram projekta iesniegšanas brīdī ir sabiedrisko ūdenssaimniecības pakalpojumu sniedzēja statuss un ar pašvaldību noslēgts līgums par sabiedrisko ūdenssaimniecības pakalpojumu sniegšanu, tajā skaitā par attiecīgo notekūdeņu dūņu apsaimniekošanas pakalpojumu sniegšanu. Projekta iesniedzēja darbība atbilst Saimniecisko darbību statistiskās klasifikācijas Eiropas Kopienā (NACE) 2.1. redakcijas E sadaļas 37. vai 38. nodaļai.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ja atbalsts tiek piešķirts kā kompensācija par sabiedriskajiem pakalpojumiem dažiem uzņēmumiem, kuriem uzticēts sniegt pakalpojumus ar vispārēju tautsaimniecisku nozīmi – aktīvi paliek Latvijas Republikā finansējuma saņēmēja īpašumā un tiek izmantoti šo pakalpojumu sniegšanai visu deleģējuma līguma darbības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 "deleģējuma" ar vārdiem "sabiedriskā pakalpojuma", jo saskaņā ar Ūdenssaimniecības pakalpojumu likuma 6. panta pirmo daļu pašvaldība ar pakalpojuma sniedzēju slēdz līgumu par sabiedrisko ūdenssaimniecības pakalpojumu 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ja atbalsts tiek piešķirts kā kompensācija par sabiedriskajiem pakalpojumiem dažiem uzņēmumiem, kuriem uzticēts sniegt pakalpojumus ar vispārēju tautsaimniecisku nozīmi – aktīvi paliek Latvijas Republikā finansējuma saņēmēja īpašumā un tiek izmantoti šo pakalpojumu sniegšanai visu sabiedriskā pakalpojuma līguma darbības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Ar komercdarbības atbalsta saņemšanu saistītie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nosacījumu, kas paredz, ka atbalsts, kas sniegts saskaņā ar Komisijas regulu Nr. 651/2014, nepārsniedz paziņošanas robežvērtības, kas atrunātas minētās regulas 4. panta 1. punkta "s"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jauns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Atbalsts saskaņā ar regulu Nr. 651/2014 nepārsniedz paziņošanas robežvērtības, kas atrunātas minētās regulas 4. panta 1. punkta "s"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Ar komercdarbības atbalsta saņemšanu saistītie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sabiedrisko ūdenssaimniecības pakalpojuma sniedzējam ar pašvaldību ir noslēgts līgums par sabiedrisko ūdenssaimniecības pakalpojumu sniegšanu, kas ietver pienākumu veikt notekūdeņu attīrīšanas procesā radušos notekūdeņu dūņu pārstrādi. Līgumā iekļauta Ūdenssaimniecības pakalpojumu likuma 7. panta 1. un 2. punktā noteiktā informācija un papildus līgumā iekļaujama sekojoša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28.1. apakšpunktā minētā līgumā iekļaujamos nosacījumus ar nosacījumu, kas izriet no Komisijas lēmuma Nr. 2012/21/ES) 4. panta c) apakšpunkta - par jebkādu to ekskluzīvo vai īpašo tiesību būtību, kuras uzņēmumam piešķīrusi piešķīrējiestāde.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Iekļauts 28.1.2. punkts: informācija par jebkādu ekskluzīvo vai īpašo tiesību būtību, kuras pakalpojuma sniedzējam piešķir pašvaldība, lai nodrošinātu uzticētā sabiedriskā pakalpojuma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28.1.6. maksa par notekūdeņu dūņu apstrādes, pārstrādes un sagatavošanas utilizācijai pakalpojumu, kā arī tarifa aprēķināšanas kārtība un piemērošanas laiks. Tarifs tiek apstiprināts atbilstoši likuma "Par sabiedrisko pakalpojumu regulatoriem" un Ūdenssaimniecības pakalpojumu likuma prasībām un attiecas uz notekūdeņu attīrīšanas procesā radušos dūņu apsaimniekošanu Dūņu centrā;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Papildinām un precizējam iepriekšējai redakcijai sniegto iebildumu. Regulatora ieskatā līgumā nav jānorāda Regulatora noteiktais tarifs vai pašvaldības apstiprinātā maksa par pakalpojumu sniegšanu (līdzīgi kā tas netiek darīts pārējo sabiedrisko ūdenssaimniecības pakalpojumu gadījumā), jo tarifi / maksas ir mainīgi lielumi, kas ir atkarīgi no tehnoloģiskām un finanšu izmaiņām pakalpojumu sniedzēja darbībā un ārējiem faktoriem. Pretējā gadījumā katru reizi Regulatoram apstiprinot jaunu tarifu / pašvaldībai nosakot jaunu maksu būs nepieciešams pārslēgt līgumus / slēgt papildu vienošanās. Iesakām vai nu ievietot tikai vispārīgu noteikumu līgumā norādīt, ka tarifs tiek noteikts atbilstoši likuma “Par sabiedrisko pakalpojumu regulatoriem” prasībām, vai arī šo apakšpunktu neiekļaut, jo gan sabiedrisko ūdenssaimniecības tarifu, gan pašvaldību maksu noteikšanai jau ir spēkā esošs normatīvais regulējums, kas ir jāievēro.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Klimata un enerģētikas ministrija svītrojusi šo apakšpunktu, ņemot vērā Regulatora argumentāciju, ka gan sabiedrisko ūdenssaimniecības tarifu, gan pašvaldību maksu noteikšanai jau ir spēkā esošs normatīvais regulējums, kas ir jāievēro.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Ja atbalsts tiek sniegts kā kompensācija par sabiedriskajiem pakalpojumiem uzņēmumiem, kuriem uzticēts sniegt pakalpojumus ar vispārēju tautsaimniecisku nozīmi, attiecināmas ir šo noteikumu </w:t>
            </w:r>
            <w:r w:rsidR="00000000" w:rsidRPr="00000000" w:rsidDel="00000000">
              <w:rPr>
                <w:rtl w:val="0"/>
              </w:rPr>
              <w:t xml:space="preserve">23.</w:t>
            </w:r>
            <w:r w:rsidR="00000000" w:rsidRPr="00000000" w:rsidDel="00000000">
              <w:rPr>
                <w:rtl w:val="0"/>
              </w:rPr>
              <w:t xml:space="preserve"> punktā paredzētās darbības un ar to īstenošanai saistītās </w:t>
            </w:r>
            <w:r w:rsidR="00000000" w:rsidRPr="00000000" w:rsidDel="00000000">
              <w:rPr>
                <w:rtl w:val="0"/>
              </w:rPr>
              <w:t xml:space="preserve">24.</w:t>
            </w:r>
            <w:r w:rsidR="00000000" w:rsidRPr="00000000" w:rsidDel="00000000">
              <w:rPr>
                <w:rtl w:val="0"/>
              </w:rPr>
              <w:t xml:space="preserve"> punktā noteiktās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29.punktu tā, lai skaidrs, kuras šo noteikumu 23. punktā atbalstāmo darbību īstenošanai nepieciešamās ieguldījumu izmaksas un ar to īstenošanai saistītās 24. punktā noteiktās izmaksas var tikt sniegtas kā kompensācija par sabiedriskajiem pakalpojumiem uzņēmumiem, kuriem uzticēts sniegt pakalpojumus ar vispārēju tautsaimniecisku nozīmi (VTNP), jo, piemēram, biogāzes ražošana (izņemot gadījumu, ja biogāze tiek patērēta tikai un vienīgi VTNP sniegšanai) vai komposta vai bioogļu ražošana lauksaimniekiem nebūs kvalificējam kā VTNP. Papildus lūdzam skatīt skaidrojumu iebildumā pie šo noteikumu 15.punkta, kā arī ņemot vērā, ka ar Ministru kabineta noteikumu projektu “Noteikumi par notekūdeņu dūņu apsaimniekošanas reģionālo centru darbību” (turpmāk - MK noteikumu projekts Nr. 24-TA-2801) tiek paredzēts noteikt vienotu kārtību, kādā tiek izveidoti un darbojas reģionālie dūņu apsaimniekošanas centri Latvijā, lūdzam nodrošināt sinerģiju ar iepriekš minētajiem noteikumiem, tai skaitā, ņemot vērā arī par tiem izteiktos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nepiekrīt FM KAKD pieņēmumam, ka atsevišķas dūņu pārstrādes darbības – īpaši gala produktu ražošana (komposts, biogāze, bioogles) – būtu uzskatāmas par atsevišķu komercdarbību un tādēļ izslēdzamas no VTNP.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 23. punktā noteiktā dūņu pārstrādes ķēde ir VTNP sastāvdaļa. Ūdenssaimniecības pakalpojuma likuma 1. panta 9. punkts skaidri nosaka, ka notekūdeņu dūņu apsaimniekošana ietver visu darbību kopumu no dūņu rašanās līdz to turpmākai izmantošanai – tātad: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apstrāde, pārstrāde, gala produkta iegūšana un tā nodošana drošai izmantošanai. Līdz ar to neviens 23. punktā definētais process nav nodalāms ārpus VTNP, jo dūņu pārstrāde ir tehnoloģiski un funkcionāli nedalāms process. Dalīšana radītu mākslīgu un neatbilstošu robežu, kas neeksistē nedz praksē, nedz likumā. Gala produkts nav pasākuma mērķis, bet neizbēgams pārstrādes procesa rezultāts atbilstoši ES vides prasībām. Tirgū nav pieprasījuma, kas nodrošinātu rentablu komerciālu darbību (to apliecina nozare un pašvaldības). Iespējami ieņēmumi samazina nepieciešamo VTNP kompensāciju, tātad darbojas kā kontroles mehānisms, nevis tirgus priekšrocība. ES līmenī nav prasības gala produkta ražošanu nodalīt kā komercdarbību, ja tas ir obligāts un neatņemams pakalpojuma izpildes posms. Notekūdeņu dūņu pārstrādes joma nav ES noteikta kā komerciāls tirgus pakalpojums. Tas nozīmē, ka Latvijai ir tiesības definēt VTNP darbības apjomu. EK pārbauda tikai to, vai nav pieļauta “acīmredzama kļūda” (manifest error test). Ņemot vērā, ka tirgus šobrīd nenodrošina dūņu pārstrādi rentabili nevienā no metodēm, acīmredzama kļūda nepastāv. FM KAKD iebildums fokusējas uz gala produkta izmantošanu. Taču MK noteikumi nesniedz atbalstu gala produkta komerciālai realizācijai, bet gan pārstrādes procesu nodrošināšanai. Tādēļ šis piemērs nav pamats procesu nodalīšanai.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30.2.3. finansējuma saņēmējs saražoto biogāzi izmanto tikai un vienīgi sabiedriskā ūdenssaimniecības pakalpojuma sniegšanai vismaz 80 % apmērā no kopējā notekūdeņu dūņu pārstrādes rezultātā iegūtā biogāzes apjoma, un to nav atļauts izmantot citām uzņēmuma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lēmumu Nr. 2012/21/ES atbalstam biogāzes ražošanai var piemērot tikai tajā gadījumā, ja saražotā biogāze tiek patērēta tikai un vienīgi vispārējas tautsaimnieciskas nozīmes pakalpojumu sniegšanai, nevis citām uzņēmuma darbībām. Attiecīgi lūdzam precizēt noteikumu projekta 30.2.3. apakšpunktu attiecībā uz gadījumiem, ja atbalstu sniedz saskaņā ar Komisijas lēmuma Nr. 2012/21/ES nosacījumiem, tā, lai skaidrs, ka Komisijas lēmumu Nr. 2012/21/ES atbalstam biogāzes ražošanai var piemērot tikai tajā gadījumā, ja saražotā biogāze tiek patērēta tikai un vienīgi vispārējas tautsaimnieciskas nozīmes pakalpojumu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piekrīt FM norādei, ka Komisijas lēmumu Nr. 2012/21/ES var piemērot tikai tad, ja saražotā biogāze tiek izmantota tikai un vienīgi vispārējas tautsaimnieciskas nozīmes pakalpojuma (VTNP) sniegšanai. Atbilstoši precizēts šis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Ja netiek izpildīti šo noteikumu </w:t>
            </w:r>
            <w:r w:rsidR="00000000" w:rsidRPr="00000000" w:rsidDel="00000000">
              <w:rPr>
                <w:rtl w:val="0"/>
              </w:rPr>
              <w:t xml:space="preserve">30.</w:t>
            </w:r>
            <w:r w:rsidR="00000000" w:rsidRPr="00000000" w:rsidDel="00000000">
              <w:rPr>
                <w:rtl w:val="0"/>
              </w:rPr>
              <w:t xml:space="preserve"> punktā noteiktie nosacījumi, ieguldījumu izmaksas notekūdeņu dūņu pārstrādes iekārtās, kuru darbības rezultātā rodas biogāze, ir atbalstāmas saskaņā ar regulas Nr. 651/2014 41. pantu par šo noteikumu </w:t>
            </w:r>
            <w:r w:rsidR="00000000" w:rsidRPr="00000000" w:rsidDel="00000000">
              <w:rPr>
                <w:rtl w:val="0"/>
              </w:rPr>
              <w:t xml:space="preserve">23.1.5.</w:t>
            </w:r>
            <w:r w:rsidR="00000000" w:rsidRPr="00000000" w:rsidDel="00000000">
              <w:rPr>
                <w:rtl w:val="0"/>
              </w:rPr>
              <w:t xml:space="preserve"> apakšpunktā noteiktajām darbībām, un saskaņā ar regulas Nr. 2023/2831 nosacījumiem par šī noteikuma </w:t>
            </w:r>
            <w:r w:rsidR="00000000" w:rsidRPr="00000000" w:rsidDel="00000000">
              <w:rPr>
                <w:rtl w:val="0"/>
              </w:rPr>
              <w:t xml:space="preserve">24.</w:t>
            </w:r>
            <w:r w:rsidR="00000000" w:rsidRPr="00000000" w:rsidDel="00000000">
              <w:rPr>
                <w:rtl w:val="0"/>
              </w:rPr>
              <w:t xml:space="preserve"> punktā noteiktajām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arī atbalstu darbībām, piemēram, dūņu kā atkritumu pārstrāde, ražojot kompostu vai bioogles lauksaimniekiem, kurām atbalsts nekvalificējas kā kompensācija par VTNP sniegšanu, lūdzam pārskatīt noteikumus un darbību īstenošanai nepieciešamo ieguldījumu izmaksu segšanai piemērot regulas Nr. 651/2014 47. pantu "Ieguldījumu atbalsts resursefektivitātei un pārejai uz aprites ekonomiku".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Pasākuma tvērums un atbalstāmo darbību loģika neparedz atbalstu specifisku komerciālu produktu – komposta vai bioogļu – ražošanas attīstībai kā patstāvīgam saimnieciskās darbības virzienam. Atbalsts ir paredzēts tikai notekūdeņu dūņu pārstrādes procesam, kas ir pašvaldībai uzticētais pienākums vides aizsardzības nodrošināšanai. Gala produkts (komposts, bioogles, biogāze) ir neizbēgams procesa blakusprodukts, nevis komerciāls mērķis. Līdz ar to Pasākumā nav tehnoloģiski nodalāmu investīciju, kas kvalificētos kā 47. panta “resursefektivitātes un aprites ekonomikas” atbalsts. Turklāt biogāzes un citu pārstrādes produktu ražošana Pasākuma ietvaros nav tirgus aktivitāte, bet ir daļa no obligātā dūņu pārstrādes procesa.Tās attiecināmās izmaksas ir cieši integrētas VTNP procesā un tehnoloģiski nav nodalāmas kā atsevišķas “resursefektivitātes” investīcijas 47. panta izpratnē. Gadījumos, kad pārstrādes darbības nekvalificējas kā VTNP, attiecināmās izmaksas tiek novērtētas un piemērotas saskaņā ar regulas Nr. 651/2014 41. pantu (vides aizsardzības ieguldījumi) vai regulu Nr. 2023/2831 (de minimis), nevis 47. pantu, kas šajā kontekstā nav piemērojams.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esošais regulējums nodrošina korektu atbalsta piemērošanu un atbilst Pasākuma mērķim – dūņu pārstrādes nodrošināšanai kā pašvaldības uzdevumam, nevis komerciālu aprites ekonomikas produktu ražošanai.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Ja netiek izpildīti šo noteikumu </w:t>
            </w:r>
            <w:r w:rsidR="00000000" w:rsidRPr="00000000" w:rsidDel="00000000">
              <w:rPr>
                <w:rtl w:val="0"/>
              </w:rPr>
              <w:t xml:space="preserve">30.</w:t>
            </w:r>
            <w:r w:rsidR="00000000" w:rsidRPr="00000000" w:rsidDel="00000000">
              <w:rPr>
                <w:rtl w:val="0"/>
              </w:rPr>
              <w:t xml:space="preserve"> punktā noteiktie nosacījumi, ieguldījumu izmaksas notekūdeņu dūņu pārstrādes iekārtās, kuru darbības rezultātā rodas biogāze, ir atbalstāmas saskaņā ar regulas Nr. 651/2014 41. pantu par šo noteikumu </w:t>
            </w:r>
            <w:r w:rsidR="00000000" w:rsidRPr="00000000" w:rsidDel="00000000">
              <w:rPr>
                <w:rtl w:val="0"/>
              </w:rPr>
              <w:t xml:space="preserve">23.1.5.</w:t>
            </w:r>
            <w:r w:rsidR="00000000" w:rsidRPr="00000000" w:rsidDel="00000000">
              <w:rPr>
                <w:rtl w:val="0"/>
              </w:rPr>
              <w:t xml:space="preserve"> apakšpunktā noteiktajām darbībām, un saskaņā ar regulas Nr. 2023/2831 nosacījumiem par šī noteikuma </w:t>
            </w:r>
            <w:r w:rsidR="00000000" w:rsidRPr="00000000" w:rsidDel="00000000">
              <w:rPr>
                <w:rtl w:val="0"/>
              </w:rPr>
              <w:t xml:space="preserve">24.</w:t>
            </w:r>
            <w:r w:rsidR="00000000" w:rsidRPr="00000000" w:rsidDel="00000000">
              <w:rPr>
                <w:rtl w:val="0"/>
              </w:rPr>
              <w:t xml:space="preserve"> punktā noteiktajām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skaidri nosakot izmaksas, kurām atbalsts plānots ar regulu Nr. 2023/2831, jo noteikumu projekta 24. punktā noteiktas izmaksas, kam atbalsts nekvalificējas kā komercdarbības atbalsts (24.4.apakšpunkts), savukārt, 24.2.apakšpunktā minētās  būvprojekta ekspertīzes, autoruzraudzības un būvuzraudzības (tai skaitā inženiertehniskās uzraudzības) izmaksas, ja ekspertīzes vai uzraudzības veikšanu nosaka būvniecības jomu regulējošie normatīvie akti, ja šīs izmaksas ir iekļautas pamatlīdzekļa vērtībā, var atbalstīt, piemērojot regulu Nr. 651/2014.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priekšlikums ir ņemts vērā daļēji – noteikumu redakcija precizēta, lai skaidri nodalītu, kuras izmaksas var tikt atbalstītas saskaņā ar Regulas Nr. 651/2014 41. pantu un kurām piemērojama Regula Nr. 2023/2831.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biogāze tiek ražota, izmantojot tikai tādus ievadmateriālus (izejvielas), kas ir iekļauti Eiropas Parlamenta un Padomes 2018. gada 11. decembra Direktīvas 2018/2001 par atjaunojamo energoresursu izmantošanas veicināšanu (turpmāk- Direktīva 2018/2001) IX pielikumā. Saražotā biogāze kā kurināmais vai degviela atbilst Direktīvai 2018/2001 un tās īstenošanas vai deleģētajos aktos noteiktajiem ilgtspējas kritērijiem un siltumnīcefekta gāzu emisiju samazinājuma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32.2. apakšpunktā iekļautas atsauces uz Eiropas Parlamenta un Padomes 2018.gada 11.decembra Direktīvu Nr. 2018/2001 par no atjaunojamajiem energoresursiem iegūtas enerģijas izmantošanas veicināšanu. Norādām, ka atbilstoši Līguma par Eiropas Savienības darbību 288. panta trešajai daļai direktīvas dalībvalstīm uzliek saistības attiecībā uz sasniedzamo rezultātu, bet ļauj dalībvalstīm izvēlēties to īstenošanas formas un metodes. Proti, direktīvas atšķirībā no regulām nav tieši piemērojamas un tās kļūst saistošas personām tikai no brīža, kad tās ir pārņemtas Latvijas tiesību aktos. Ievērojot minēto, lūdzam noteikumu projekta 32.2. apakšpunktā norādītās atsauces uz minēto direktīvu aizstāt ar atsauci uz nacionālo tiesību aktu, kurā konkrētā direktīva ir pārņemta.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32.2. apakšpunkts precizēts šādā redakcijā: biogāze tiek ražota, izmantojot tikai tādus ievadmateriālus (izejvielas), kas ir iekļauti Ministru kabineta 2022. gada 2. novembra noteikumu Nr. 686 “Noteikumi par ilgtspējas un siltumnīcefekta gāzu emisiju ietaupījuma kritērijiem, no biomasas kurināmā ražotās elektroenerģijas kritērijiem un šo kritēriju ievērošanas uzraudzības un pārbaudes kārtību” 4.pielikumā. Atbilstoši precizēta arī Noteikumu projekta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 </w:t>
            </w:r>
            <w:r w:rsidR="00000000" w:rsidRPr="00000000" w:rsidDel="00000000">
              <w:rPr>
                <w:i w:val="1"/>
                <w:rtl w:val="0"/>
              </w:rPr>
              <w:t xml:space="preserve">de minimis</w:t>
            </w:r>
            <w:r w:rsidR="00000000" w:rsidRPr="00000000" w:rsidDel="00000000">
              <w:rPr>
                <w:rtl w:val="0"/>
              </w:rPr>
              <w:t xml:space="preserve"> atbalsts triju fiskālo gadu periodā nepārsniedz 300 000 euro vienam vienotam uzņēmumam, un pirms atbalsta piešķiršanas tiek pārbaudīts, vai kopējais piešķirtais </w:t>
            </w:r>
            <w:r w:rsidR="00000000" w:rsidRPr="00000000" w:rsidDel="00000000">
              <w:rPr>
                <w:i w:val="1"/>
                <w:rtl w:val="0"/>
              </w:rPr>
              <w:t xml:space="preserve">de minimis</w:t>
            </w:r>
            <w:r w:rsidR="00000000" w:rsidRPr="00000000" w:rsidDel="00000000">
              <w:rPr>
                <w:rtl w:val="0"/>
              </w:rPr>
              <w:t xml:space="preserve"> atbalsts šim uzņēmumam (atbilstoši regulas Nr. 2023/2831 2. panta 2. punktā noteiktajai definīcijai) nepārsniedz regulas 3. panta 2. punktā noteikto robežlielumu;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regulas Nr. 2023/2831 preambulas 11. apsvērumu: "</w:t>
            </w:r>
            <w:r w:rsidR="00000000" w:rsidRPr="00000000" w:rsidDel="00000000">
              <w:rPr>
                <w:i w:val="1"/>
                <w:rtl w:val="0"/>
              </w:rPr>
              <w:t xml:space="preserve">Trīs gadu laikposms šīs regulas vajadzībām būtu jāvērtē kā slīdošs periods. Attiecībā uz katru jaunu de minimis atbalsta piešķiršanu jāņem vērā de minimis atbalsta kopsumma, kas piešķirta iepriekšējos trīs gados</w:t>
            </w:r>
            <w:r w:rsidR="00000000" w:rsidRPr="00000000" w:rsidDel="00000000">
              <w:rPr>
                <w:rtl w:val="0"/>
              </w:rPr>
              <w:t xml:space="preserve">.". Attiecīgi lūdzam precizēt noteikumu projekta 38.1. apakšpunktu, nosakot, ka de minimis atbalsts nevienā trīs gadu periodā nepārsniedz 300 000 euro vienam vienotam uzņēmumam.  Lūdzam atbilstoši precizēt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piedāvātās redakcijas piemēru zemāk.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Piešķirot de minimis atbalstu, atbalsta sniedzējs pārbauda, vai plānotais de minimis atbalsts kopā ar iepriekšējos trīs gados, skaitot no atbalsta piešķiršanas dienas, piešķirto de minimis atbalstu viena vienota uzņēmuma līmenī nepārsniedz Komisijas regulas Nr.2023/2831 3.panta 2.punktā noteikto maksimālo de minimis atbalsta apmēru . Viens vienots uzņēmums ir uzņēmums, kas atbilst Komisijas regulas Nr.2023/2831 2.panta 2.punktā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precizēts atbilstoši Finanšu ministrijas piedāvātajai redakcijai.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piešķirot </w:t>
            </w:r>
            <w:r w:rsidR="00000000" w:rsidRPr="00000000" w:rsidDel="00000000">
              <w:rPr>
                <w:i w:val="1"/>
                <w:rtl w:val="0"/>
              </w:rPr>
              <w:t xml:space="preserve">de minimis</w:t>
            </w:r>
            <w:r w:rsidR="00000000" w:rsidRPr="00000000" w:rsidDel="00000000">
              <w:rPr>
                <w:rtl w:val="0"/>
              </w:rPr>
              <w:t xml:space="preserve"> atbalstu, atbalsta sniedzējs pārbauda, vai plānotais </w:t>
            </w:r>
            <w:r w:rsidR="00000000" w:rsidRPr="00000000" w:rsidDel="00000000">
              <w:rPr>
                <w:i w:val="1"/>
                <w:rtl w:val="0"/>
              </w:rPr>
              <w:t xml:space="preserve">de minimis</w:t>
            </w:r>
            <w:r w:rsidR="00000000" w:rsidRPr="00000000" w:rsidDel="00000000">
              <w:rPr>
                <w:rtl w:val="0"/>
              </w:rPr>
              <w:t xml:space="preserve"> atbalsts kopā ar iepriekšējos trīs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Nr.2023/2831 3. panta 2. punktā noteikto maksimālo </w:t>
            </w:r>
            <w:r w:rsidR="00000000" w:rsidRPr="00000000" w:rsidDel="00000000">
              <w:rPr>
                <w:i w:val="1"/>
                <w:rtl w:val="0"/>
              </w:rPr>
              <w:t xml:space="preserve">de minimis</w:t>
            </w:r>
            <w:r w:rsidR="00000000" w:rsidRPr="00000000" w:rsidDel="00000000">
              <w:rPr>
                <w:rtl w:val="0"/>
              </w:rPr>
              <w:t xml:space="preserve"> atbalsta apmēru. Viens vienots uzņēmums ir uzņēmums, kas atbilst Komisijas regulas Nr.2023/2831 2. panta 2. punktā noteiktajam.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2.2.2. specifiskā atbalsta mērķa "Pārejas uz aprites ekonomiku veicināšana" 2.2.2.3. pasākuma "Notekūdeņu dūņu pārstrāde"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izstrādātais MK noteikumu projekts Nr. 24-TA-2801 joprojām ir saskaņošanā, vienlaikus paredz nosacījumus, kas nodrošinās vides prasībām atbilstošu dūņu centralizētu savākšanu, uzskaiti, analīzi un pārstrādi, organizējot šo procesu ne vairāk kā 27 reģionālajos Dūņu centros, kuros paredzēts sniegt Kohēzijas fonda atbalstu infrastruktūras izveidei vai pilnveidei Eiropas Savienības kohēzijas politikas programmas 2021.–2027. gadam 2.2.2. specifiskā atbalsta mērķa “Pārejas uz aprites ekonomiku veicināšana” 2.2.2.3. pasākuma "Notekūdeņu dūņu pārstrāde" (turpmāk – 2.2.2.3.pasākums) ietvaros, lūdzam Klimata un enerģētikas ministrijai nodrošināt, ka MK noteikumu projekts Nr. 24-TA-2801 tiek apstiprināts pirms vai vismaz vienlaicīgi ar 2.2.2.3.pasākuma MK noteikumiem vai arī, ja 2.2.2.3.pasākuma MK noteikumus plānots apstiprināt ātrāk, aicinām izvērtēt iespēju papildināt protokollēmumu ar punktu, kas nosaka, ka 2.2.2.3.pasākuma MK noteikumi stājas spēkā pēc MK noteikumu projekta Nr. 24-TA-2801 apstiprināšanas.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ietvertie nosacījumi notekūdeņu dūņu centru izveidei ir saskaņā ar Ministru kabineta noteikumu projektā “Noteikumi par notekūdeņu dūņu apsaimniekošanas reģionālo centru darbību” (Nr. 24-TA-2801) ietvertajiem nosacījumiem, tādejādi nodrošinot arī abu regulējumu savstarpēju saskaņotību. Lai nodrošinātu nepieciešamos tālākos procesus investīciju īstenošanas uzsākšanai (t.sk. projektu vērtēšanas kritēriju saskaņošanu, atlases dokumentācijas izstrādi), noteikumu projekta apstiprināšanā netiek paredzēts noteikt ierobežojumu, ka noteikumu projekts stājas spēkā tikai pēc Ministru kabineta noteikumu projekta “Noteikumi par notekūdeņu dūņu apsaimniekošanas reģionālo centru darbību” apstiprināšanas. Saredzam, ka šāds ierobežojums varētu ierobežot arī tālākos nepieciešamos procesus sagatavoties investīciju atlases uzsākšanai.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Emisijas kvotu izsolīšanas instrumenta finansēto projektu atklāta konkursa "Notekūdeņu dūņu pārstrāde" nolikums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Projekta minimālā attiecināmo izmaksu kopsumma nav ierobežota. Projekta maksimālais Kohēzijas fonda finansējums ir 2 000 000 </w:t>
            </w:r>
            <w:r w:rsidR="00000000" w:rsidRPr="00000000" w:rsidDel="00000000">
              <w:rPr>
                <w:i w:val="1"/>
                <w:rtl w:val="0"/>
              </w:rPr>
              <w:t xml:space="preserve">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Nr. 2021/1060 53.panta 2.punktam, projektos līdz 200 000 EUR (ieskaitot) visām izmaksām jābūt segtām, piemērojot vienkāršotās izmaksas. Ņemot vēra iepriekšminēto, lūdzam izvērtēt vienkāršoto izmaksu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Ņemot vērā pasākuma specifiku, projekta vadības un īstenošanas personāla darba apjoms būtiski atšķirsies atkarībā no izvēlētās dūņu pārstrādes metodes, tehnoloģiskā risinājuma sarežģītības un projekta investīciju mēroga, līdz ar to nav iespējams noteikt vienotu, visiem projektiem piemērojamu likmi. Vienotā likme paredz izmaksu standartizāciju, taču dūņu pārstrādes projektos vadības intensitāti nosaka tehnoloģiskās iekārtas, būvniecības apjoms un iepirkumu skaits, kas katrā gadījumā ir būtiski atšķirīgs. Tāpat nav pieejami pietiekami salīdzināmi un vienveidīgi vēsturiskie dati, kas nepieciešami vienotās likmes pamatotai aprēķināšanai. Līdz ar to vienotās likmes piemērošana radītu neatbilstības risku un nenodrošinātu izdevumu atbilstīgu un precīzu uzskaiti.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Konkursa ietvaros vienam projektam pieejamais finanšu instrumenta finansējums ir līdz 3 000 000 </w:t>
            </w:r>
            <w:r w:rsidR="00000000" w:rsidRPr="00000000" w:rsidDel="00000000">
              <w:rPr>
                <w:i w:val="1"/>
                <w:rtl w:val="0"/>
              </w:rPr>
              <w:t xml:space="preserve">euro</w:t>
            </w:r>
            <w:r w:rsidR="00000000" w:rsidRPr="00000000" w:rsidDel="00000000">
              <w:rPr>
                <w:rtl w:val="0"/>
              </w:rPr>
              <w:t xml:space="preserve">.</w:t>
            </w:r>
            <w:r w:rsidR="00000000" w:rsidRPr="00000000" w:rsidDel="00000000">
              <w:rPr>
                <w:shd w:fill="#f1c40f" w:val="clea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ja plānotās darbības atbilst Notekūdeņu dūņu apsaimniekošanas plānam 2024.–2027. gadam – izdevumu un ieguvumu analīzi, kurā pamatota izvēlētā risinājuma atbilstība vides aizsardzības, ekonomiskajiem un ilgtspējas kritērijiem, kā arī norādīts plānotais investīciju apjoms, ieguvumi un sagaidāmie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20.punkta apakšpunktus, ņemot vērā anotācijā noteikto, ka katram projektam ir jābūt ekonomiski pamatotam. līdz ar to ir jāpapildina ar - izmaksu un ieguvumu analīzi.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ja plānotās darbības atbilst Notekūdeņu dūņu apsaimniekošanas plānam 2024.–2027. gadam – izdevumu un ieguvumu analīzi, kurā pamatota izvēlētā risinājuma atbilstība vides aizsardzības, ekonomiskajiem un ilgtspējas kritērijiem, kā arī norādīts plānotais investīciju apjoms, ieguvumi un sagaidāmie rezultāti, ievērojot, ka projekta ekonomiskā ienesīguma norma ir lielāka par sociālo diskonta likmi un projekta ekonomiskā neto pašreizējā vērtība ir lielāka par nulli;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ja plānotās darbības neatbilst Notekūdeņu dūņu apsaimniekošanas plānam 2024.–2027. gadam – Dūņu centra izveides nosacījumu izvērtējumu, ievērojot, ka projekta ekonomiskā ienesīguma norma ir lielāka par sociālo diskonta likmi un projekta ekonomiskā neto pašreizējā vērtība ir lielāka par nulli,  un pašvaldības domes lēmumu par šī risinājuma izvērtējuma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20.1. un 20.2. apakšpunkta redakcija precizēta atbilstoši Finanšu ministrijas piedāvātajai redakcijai.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23.2.4. notekūdeņu dūņu transportēšanai uz notekūdeņu dūņu pārstrādes vietu nepieciešamo specializēto, bezemisiju vai tīro transportlīdzekļu, kas darbināmi ar atjaunīgajiem energoresursiem, iegāde, tai skaitā frontālo iekrāvēju iegāde, ja tie ir darbināmi ar atjaunīgajiem energoresursiem un klasificējami kā bezemisiju vai tīrie transportlīdzekļi, un paredzēti dūņu pārstrādes procesa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(LŪKA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tirgus izpēti, ūdenssaimniecības uzņēmumi ir konstatējuši, ka šobrīd tirgū nav pieejami bezemisiju un tīro transportlīdzekļu kategorijas frontālie iekrāvēji. Kā arī šī tehnika faktiski tiks izmantota notekūdeņu dūņu pārstrādes un kompostēšanas nevis transportēšanas procesā, līdz ar to rosinām frontālo iekrāvēju iegādi pārcelt uz 23.2.3.punktu.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precizēts 23.2.3. apakšpunkts, kurā frontālie iekrāvēji pārcelti uz šo apakšpunktu šādā redakcijā: specializētās tehnikas un mehānismu iegāde, kas nepieciešama notekūdeņu dūņu pārstrādes un kompostēšanas procesu nodrošināšanai, tajā skaitā komposta apmaisītāji, irdinātāji, kausi, frontālie iekrāvēji un citi nepieciešamie mehānismi, kas nodrošina efektīvu bioloģiskās masas sagatavošanu, apstrādi un homogēnu aerāciju kompostēšanas procesā.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āpat Klimata un enerģētikas ministrija ir atbalstījusi Latvijas Ūdensapgādes un kanalizācijas uzņēmumu asociācijas (LŪKA) priekšlikumu un paredzējusi šī Pasākuma ietvaros atbalstāmo izmaksu sarakstā iekļaut frontālo iekrāvēju iegādi arī tad, ja tie darbināmi ar dīzeļdegvielu. Lēmums balstīts LŪKA sniegtajā argumentācijā, ka veiktā tirgus izpēte apliecina – šobrīd ūdenssaimniecības nozarē nav pieejami frontālie iekrāvēji, kas atbilstu bezemisiju vai tīro transportlīdzekļu kategorijai un vienlaikus spētu nodrošināt nepieciešamās tehniskās un ekspluatācijas prasības notekūdeņu dūņu apsaimniekošanas procesā. Frontālie iekrāvēji galvenokārt tiek izmantoti dūņu pārstrādes un kompostēšanas tehnoloģiskajās operācijās, nevis dūņu transportēšanā, tādēļ to iegāde ir klasificēta kā specializētā pārstrādes tehnika. Savukārt transportlīdzekļu kategorijā saglabāta prasība atbalstu attiecināt tikai uz bezemisiju vai tīrajiem transportlīdzekļiem gadījumos, kad šādas tehnoloģijas ir tirgū pieejamas. Vienlaikus noteikts, ka, tirgū parādoties tehniski piemērotām bezemisiju vai tīro transportlīdzekļu alternatīvām, atbalsts dīzeļdegvielu izmantojošu frontālo iekrāvēju iegādei vairs netiks piemērots.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26.2.4. notekūdeņu dūņu transportēšanai uz notekūdeņu dūņu pārstrādes vietu nepieciešamo specializēto, bezemisiju vai tīro transportlīdzekļu, kas darbināmi ar atjaunīgajiem energoresursiem, un to aprīkojuma iegāde, ja tie ir darbināmi ar atjaunīgajiem energoresursiem un klasificējami kā bezemisiju vai tīrie transportlīdzekļi.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projekta iesnieguma pamatojošās un projekta īstenošanas dokumentācijas izstrāde – Dūņu centra izveides nosacījumu izvērtējums, izdevumu un ieguvumu analīze, atbalstāmo darbību īstenošanai nepieciešamā tehniskā specifikācija, tehniskā projekta vai būvprojekta sagatavošanas (tai skaitā ar būvniecības ieceri un būvprojekta minimālā sastāvā saistīto sagatavošanas darbu)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vai no šī vai citiem apakšpunktiem skaidri izriet arī būvprojekta izstrādei un būvdarbu veikšanai nepieciešamo inženierizpēšu (piem., ģeodēziskās un topogrāfiskās izpētes un ģeotehniskās izpētes) izmaksu attiecināmība.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24.1. apakšpunkts papildināts atbilstoši Sabiedrisko pakalpojumu regulēšanas komisijas izvirzītajam priekšlikumam.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projekta iesnieguma pamatojošās un projekta īstenošanas dokumentācijas izstrāde – dūņu centra izveides nosacījumu izvērtējums, atbalstāmo aktivitāšu īstenošanai nepieciešamā tehniskā specifikācija, tehniskā projekta vai būvprojekta sagatavošanas (tajā skaitā ar būvniecības ieceri, būvprojekta minimālā sastāvā un nepieciešamajām inženierizpētēm, tostarp ģeodēziskajām, topogrāfiskajām un ģeotehniskajām izpētēm, saistīto sagatavošanas darbu)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projekta vadības un administrēšanas nodrošināšana, tai skaitā personāla izmaksas, projekta uzraudzības un koordinācijas aktivitātes, nepārsniedzot 10 procentus no kopējām attiecināmajām izmaksām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vadības un īstenošanas personāla atlīdzības izmaksām piemērot Regulas Nr.2021/1060 55. panta 1.punktā noteikto iespēju, un tās noteikt kā vienoto likmi, ņemot vērā, ka tas samazinās administratīvo slogu visiem iesaistītajiem.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pasākuma specifiku, projekta vadības un īstenošanas personāla darba apjoms būtiski atšķirsies atkarībā no izvēlētās dūņu pārstrādes metodes, tehnoloģiskā risinājuma sarežģītības un projekta investīciju mēroga, līdz ar to nav iespējams noteikt vienotu, visiem projektiem piemērojamu likmi. Vienotā likme paredz izmaksu standartizāciju, taču dūņu pārstrādes projektos vadības intensitāti nosaka tehnoloģiskās iekārtas, būvniecības apjoms un iepirkumu skaits, kas katrā gadījumā ir būtiski atšķirīgs. Tāpat nav pieejami pietiekami salīdzināmi un vienveidīgi vēsturiskie dati, kas nepieciešami vienotās likmes pamatotai aprēķināšanai. Līdz ar to vienotās likmes piemērošana radītu neatbilstības risku un nenodrošinātu izdevumu atbilstīgu un precīzu uzskaiti.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 projekta vadības un administrēšanas nodrošināšana, tajā skaitā personāla izmaksas, projekta uzraudzības un koordinācijas aktivitātes, nepārsniedzot 10 procentus no kopējām attiecināmajām izmaksām projektā;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Ar projekta darbībām tieši saistīto komunikācijas un vizuālās identitātes pasākumu izmaksas nav uzskatāmas par komercdarbības atbalstu. Minētās izmaksas nepārsniedz vienu procentu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vadošās iestādes vadlīniju Nr.1.2. "Vadlīnijas attiecināmo izmaksu noteikšanai Eiropas Savienības kohēzijas politikas programmas 2021.-2027.gada plānošanas periodā" 15. punktam ES fonda projektu komunikācijas un vizuālās identitātes prasību izmaksas attiecināmas kā netiešās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lūdzam šīs izmaksas paredzēt kā projekta netiešās attiecināmās izmaksas vai anotācijā sniegt argumentētu pamatojuma kāpēc šīs izmaksas būtu finansējamas no projekta tiešajām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Finanšu ministrijas izvirzītais priekšlikums un atbilstoši precizēts 25.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pasākuma ietvaros atbalsts tiek sniegts kā kompensācija par sabiedriskajiem pakalpojumiem uzņēmumiem, kuriem uzticēts sniegt pakalpojumus ar vispārēju tautsaimniecisku nozīmi, tad piemērojami šādi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(LŪKA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punkta redakciju būtu nepieciešams saskaņot ar Noteikumu projekta 24-TA-2801 par dūņu reģionālo centra darbību 14. un 15.punktā noteikto. Pretējā gadījumā var rasties pretrunas un neskaidrības, kas tieši jāparedz līgumos ar pašvaldībām. Tai skaitā jāparedz konkrēti, kas ir jāiesniedz arī situācijā, ja projekta iesniedzējs ir starppašvaldību dūņu centra operators.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Jābūt definētam, vai šādā gadījumā būtu jāiesniedz tikai viens pakalpojumu līgums ar vienu pašvaldību (tad kuru), vai vairāki pašvaldību līgumi (ar visām modelī ietilpstošajām), vai arī jāiesniedz vienošanās starp pašvaldībām, kā minēts MK noteikumu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LŪKA priekšlikums. Lai novērstu regulējuma dublēšanos un nodrošinātu konsekvenci ar MK noteikumu projektu Nr. 24-TA-2801 par dūņu reģionālo centru darbību, šajos noteikumos ir atstātas tikai tās prasības, kas ir specifiski saistītas ar ES fondu investīciju ieviešanu. Visi vispārīgie nosacījumi par līgumiem ar pašvaldībām, t.sk. attiecībā uz starppašvaldību dūņu centru operatoriem, ir ietverti dūņu centru darbības noteikumos, kas nodrošina vienotu un nepārprotamu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sabiedrisko ūdenssaimniecības pakalpojuma sniedzējam ar pašvaldību ir noslēgts līgums par sabiedrisko ūdenssaimniecības pakalpojumu sniegšanu, kas ietver pienākumu veikt notekūdeņu attīrīšanas procesā radušos notekūdeņu dūņu pārstrādi. Līgumā iekļauta Ūdenssaimniecības pakalpojumu likuma 7. panta 1. un 2. punktā noteiktā informācija un papildus līgumā iekļaujama sekojoša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Uzskaitītās līgumā iekļaujamās informācijas formulējumu (punktos ar līdzvērtīgu nozīmi) ieteicams saskaņot ar Ministru kabineta noteikumu “Noteikumi par notekūdeņu dūņu apsaimniekošanas reģionālo centru darbību” projekta 24-TA-2801 14.punktā sniegto minimālo līgumā iekļaujamo noteikumu uzskaitījuma formulējumu un 13.punktā minēto līguma termiņa regulējumu. Īpaši pievēršot uzmanību apakšpunktam par līguma pagarināšanas priekšnoteikumiem. Jāizvērtē, vai nepieciešams punktu par līgumā ietveramiem noteikumiem iekļaut gan noteikumu projektā 24-TA-280, gan šajā Noteikumu projektā. Pastāv arī iespēja pamatnoteikumus iekļaut noteikumu projektā 24-TA-2801, savukārt šajā Noteikumu projektā ierakstīt tikai tos noteikumus, kuri specifiski nepieciešami līdzfinansējuma piesaistīšanas priekšnoteikumu izpildei un nebūtu attiecināmi uz visu noteikumu projektā 24-TA-280 paredzēto līgumu 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28.1.apakšpunkta beigās iesakām lietot nevis “sekojoša informācija”, bet gan “šāda informācija”, kas ir stilistiski korektāk.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Lai novērstu dublēšanos un nodrošinātu konsekvenci, noteikumu projektā ir atstātas tikai tās līguma prasības, kas specifiski nepieciešamas ES fondu līdzfinansējuma piemērošanai, savukārt pamatprasības par līguma saturu un termiņu ietvertas MK noteikumu projektā Nr. 24-TA-2801 par dūņu reģionālo centru darbību. Tāpat ir veikts stilistiskais precizējums, aizstājot formulējumu “sekojoša informācija” ar “šāda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 prasības par nepieciešamā tehniskā aprīkojuma, tai skaitā transportlīdzekļu, autosvaru, analītiskās testēšanas iekārtas un citas infrastruktūras, uzturēšanu un atjaunošanu, lai nodrošinātu ar notekūdeņu dūņu savākšanu, apstrādi un pārstrādi saistīto uzticēto sabiedrisko pakalpojumu uzdevumu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(LŪKA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ieskatā līgumā nebūtu jāietver šajā punktā minētās konkrētās iekārtas, līguma tvērums var būt atbilstošs Noteikumu projekta 24-TA-2801 14.3.punktā definētajam.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ja pašvaldības vēlas definēt papildus informāciju, tās ir iespējams konkretizēt līgumā, ja tas ir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LŪKA priekšlikums ir ņemts vērā daļēji. Lai izvairītos no dublēšanās ar MK noteikumu projektu Nr. 24-TA-2801, šajā noteikumu projektā ir atstātas tikai tās prasības, kas ir būtiskas ES fondu līdzfinansējuma piemērošanai un kontrolei. Pamatprasības par dūņu apsaimniekošanas centra tehnisko nodrošinājumu tiek noteiktas dūņu centra darbības noteikumos, savukārt pašvaldībām saglabājas rīcības brīvība līgumā detalizēt papildus prasības pēc nepieciešamības.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 prasības par nepieciešamā tehniskā aprīkojuma, tai skaitā transportlīdzekļu, autosvaru, analītiskās testēšanas iekārtas un citas infrastruktūras, uzturēšanu un atjaunošanu, lai nodrošinātu ar notekūdeņu dūņu savākšanu, apstrādi un pārstrādi saistīto uzticēto sabiedrisko pakalpojumu uzdevumu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(LŪKA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Aicinājums izvērtēt nepieciešamību iekļaut prasību par "savākšanu" un apstrādi, jo šie procesi nav pārstrādes procesa sastāvdaļas, līdz ar to tikai daļēji saistīti ar šo MK noteikumu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priekšlikums. Šis noteikuma projekta apakšpunkts dzēsts.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28.1.3. notekūdeņu dūņu pieņemšanas nosacījumus, t.sk. rādītājus, laiku, vietu;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(LŪKA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kvalitāti saistītie rādītāji ir minēti 28.1.2. punktā, un kvantitāti 28.1.4. punktā. Līdz ar to ir nepieciešams definēt, kas šajā punktā ir saprotams ar terminu "rādītājus".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Šis apakšpunkts no noteikuma projekta dzēsts.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28.1.4. minimālo notekūdeņu dūņu apstrādes vai pārstrādes indikatīvo prognozējamo apjomu un nosacījumus apstrādes vai pārstrādes apjoma maiņai;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(LŪKA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izvērtēt vai punktā ietverams arī apstrādes process un ar to saistītā informācija, jo tas nav tieši saistīts ar notekūdeņu dūņu pārstrādi.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Šis apakšpunkts no noteikuma projekta dzēsts.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28.1.6. maksa par notekūdeņu dūņu apstrādes, pārstrādes un sagatavošanas utilizācijai pakalpojumu, kā arī tarifa aprēķināšanas kārtība un piemērošanas laiks. Tarifs tiek apstiprināts atbilstoši likuma "Par sabiedrisko pakalpojumu regulatoriem" un Ūdenssaimniecības pakalpojumu likuma prasībām un attiecas uz notekūdeņu attīrīšanas procesā radušos dūņu apsaimniekošanu Dūņu centrā;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(LŪKA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 ar pašvaldību ir jānoslēdz pirms projekta pieteikuma iesniegšanas un dūņu centra izveides, tādēļ nevar tikt noteikta un līgumā atrunāta maksa vai tarifs par sniegtajiem pakalpojumiem, jo to uz līguma noslēgšanas brīdi nebūs iespējams noteikt. Tā kā Ūdenssaimniecības pakalpojumu likums nosaka, ka dūņu pārstrāde ir sabiedriskais ūdenssaimniecības pakalpojums, tad skaidrs, ka maksa vai tarifi tiks noteikti atbilstoši sabiedrisko pakalpojumu regulēšanas pricipiem, kas atsevišķi līgumā ar pašvaldību nebūtu jāatrunā. Līgumā iespējams būtu nosakāma kārtība maksas noteikšanai un piemērošanai, kaut Noteikumu projekta 24-TA-2801 14.punkts to neparedz.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Šis apakšpunkts no noteikuma projekta dzēsts.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Projekta iesniedzējs iesniedz sadarbības iestādē vispārējas tautsaimnieciskas nozīmes pakalpojuma pilnvarojuma uzlicēja apliecinājumu par šo noteikumu </w:t>
            </w:r>
            <w:r w:rsidR="00000000" w:rsidRPr="00000000" w:rsidDel="00000000">
              <w:rPr>
                <w:rtl w:val="0"/>
              </w:rPr>
              <w:t xml:space="preserve">28.1.7.</w:t>
            </w:r>
            <w:r w:rsidR="00000000" w:rsidRPr="00000000" w:rsidDel="00000000">
              <w:rPr>
                <w:rtl w:val="0"/>
              </w:rPr>
              <w:t xml:space="preserve"> apakšpunktā minētās atlīdzības (kompensācijas) maksājumu kontroli un pārskatīšanu, kā arī minēto atlīdzības (kompensācijas) maksājumu pārmaksas novēršanu un atgūšanu, ievērojot Eiropas Savienības līmenī noteikto pārbaužu regularitāti, bet ne retāk kā reizi trijos gados un pilnvarojuma akta darbības perioda beigās.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turpinās darbs pie administratīvā sloga mazināšanas un vairāk netiks pieprasīts iesniegt sadarbības iestādē VTNP pilnvarojuma uzlicēja apliecinājumu par atlīdzības (kompensācijas) maksājumu kontroli un pārskatīšanu, lūdzam dzēst punktu, kas paredz minētā apliecinājuma iesniegšanu sadarbības iestādē.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Sniedzot atbalstu ar regulu Nr. 2023/2831, ievēro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atbalsta pretendenta atbilstība atbalsta programmā noteiktajiem de minimis nosacījumiem ir jāvērtē uz atbalsta piešķiršanas brīdi, lūdzam iekļaut noteikumu projektā nosacījumu, kas nosaka, ka atbalsta sniedzējs veic atbalsta pretendenta izvērtēšanu atbilstoši regulas Nr.2023/2831 nosacījumiem uz atbalsta piešķiršanas brīdi.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atbilstoši Finanšu ministrijas priekšlikums papildināts 37.5. apakšpunkts šādā redakcijā: atbalsta sniedzējs pirms atbalsta piešķiršanas veic atbalsta pretendenta atbilstības izvērtēšanu regulas Nr. 2023/2831 nosacījumiem, tostarp veic pārbaudi par kopējo de minimis atbalsta apjomu uz atbalsta piešķiršanas brīdi.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Sniedzot atbalstu ar regulu Nr. 2023/2831, ievēro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Lēmumu par atbalsta piešķiršanu saskaņā ar regulu Nr. 2023/2831 var pieņemt līdz 2030. gada 31.decembrim.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49.punktā noteikto projekta īstenošanas termiņu lūdzam precizēt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atbalsta piešķiršanu saskaņā ar regulu Nr. 2023/2831 var pieņemt līdz 2029.gada 31. 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precizēts atbilstoši Centrālās finanšu un līgumu aģentūras izvirzītajam priekšlikumam.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Lēmumu par atbalsta piešķiršanu saskaņā ar regulu Nr. 2023/2831 var pieņemt līdz 2030. gada 30. jūnijam.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lēmums par atbalsta piešķiršanu tiks pieņemts, sniedzot atbalstu, vai nu ar regulu Nr. 651/2014, vai Komisijas regulu Nr. 2023/2831, vai ar Komisijas lēmumu Nr. 2012/21/ES, lūdzam nekorektas interpretācijas novēršanas nolūkos pārskatīt un precizēt anotāciju pēc nepieciešamības, starp šiem pieminētajiem komercdarbības atbalsta regulējumiem, lietojot saikli “vai”, nevis “un”.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atbilstoši pārskatīta un precizēta noteikuma projekta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09.06.2025. 18:50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2.2.2. specifiskā atbalsta mērķa "Pārejas uz aprites ekonomiku veicināšana" 2.2.2.3. pasākuma "Notekūdeņu dūņu pārstrāde"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projektā novērojamas pretrunas ar Ministru kabineta noteikumu par notekūdeņu dūņu apsaimniekošanas reģionālo centru darbību projektu un tajā iekļauto būtību, kā arī notekūdeņu un notekūdeņu dūņu apsaimniekošanas tehnoloģisko procesu būtību, ka notekūdeņu dūņu apstrāde un pārstrāde ir sabiedrisko ūdenssaimniecības pakalpojumu daļa. Notekūdeņu dūņu apsaimniekošana ir daļa no ūdenssaimniecības pakalpojuma jeb notekūdeņu apsaimniekošanas un tā nav tehnoloģiski atraujams process un darbība. Līdz ar to ir nepieciešams novērsts pretrunas abu noteikumu projektu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novēršot pretrunas ar Ministru kabineta noteikumiem par notekūdeņu dūņu apsaimniekošanas reģionālo centru darbību. Noteikumu projekts saskaņots arī ar Ūdenssaimniecības pakalpojumu likumu un ar Ministru kabineta 2024. gada 28. februāra rīkojumu Nr. 237 apstiprinātais Notekūdeņu dūņu apsaimniekošanas plānu 2024.–2027. gadam, skaidri nosakot, ka notekūdeņu dūņu apstrāde un pārstrāde ir neatņemama sabiedrisko ūdenssaimniecības pakalpojumu sastāvdaļa, tādējādi nodrošinot atbilstību gan tehnoloģiskajam procesam, gan normatīvajam regulējumam. Detalizēts skaidrojums par notekūdeņu dūņu pārstrādes kā sabiedriskā ūdenssaimniecības pakalpojuma sastāvdaļas saturu un piemērošanu ir sniegts arī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Emisijas kvotu izsolīšanas instrumenta finansēto projektu atklāta konkursa "Notekūdeņu dūņu pārstrāde" nolikums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ietvaros projekta iesniedzējs var iesniegt ne vairāk kā vienu projekta iesniegumu šo noteikumu </w:t>
            </w:r>
            <w:r w:rsidR="00000000" w:rsidRPr="00000000" w:rsidDel="00000000">
              <w:rPr>
                <w:rtl w:val="0"/>
              </w:rPr>
              <w:t xml:space="preserve">11.</w:t>
            </w:r>
            <w:r w:rsidR="00000000" w:rsidRPr="00000000" w:rsidDel="00000000">
              <w:rPr>
                <w:rtl w:val="0"/>
              </w:rPr>
              <w:t xml:space="preserve"> punktā noteiktā pieejamā finansējuma ietvaros. Šo noteikumu </w:t>
            </w:r>
            <w:r w:rsidR="00000000" w:rsidRPr="00000000" w:rsidDel="00000000">
              <w:rPr>
                <w:rtl w:val="0"/>
              </w:rPr>
              <w:t xml:space="preserve">15.</w:t>
            </w:r>
            <w:r w:rsidR="00000000" w:rsidRPr="00000000" w:rsidDel="00000000">
              <w:rPr>
                <w:rtl w:val="0"/>
              </w:rPr>
              <w:t xml:space="preserve"> punktā noteiktais projekta iesniedzējs projekta iesniegumu iesniedz plānošanas reģionā, kurā ir saņēmis pašvaldības deleģējumu nodrošināt notekūdeņu dūņu apsaimniekošanas funkcijas notekūdeņu dūņu apsaimniekošanas reģionālā centrā (turpmāk- Dūņu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Ūdenssaimniecības pakalpojumu likumam notekūdeņu dūņu apsaimniekošanas reģionālajā centrā tiek veikta notekūdeņu dūņu apstrāde, pārstrāde un sagatavošana utilizācijai, kas ir sabiedriskie ūdenssaimniecības pakalpojumi (1.panta 73., 9.punkts).  Ikvienu sabiedrisko ūdenssaimniecības pakalpojumu pašvaldība var sniegt pati vai pilnvarot komersantu vai kooperatīvo sabiedrību, noslēdzot ar to līgumu par sabiedrisko ūdenssaimniecības pakalpojumu sniegšanu (5.panta pirmā daļa).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likuma izriet, ka notekūdeņu dūņu apsaimniekošanas jēdziens aptver vairāk darbības nekā sabiedriskie ūdenssaimniecības pakalpojumi, kas saistīti ar notekūdeņu dūņām. Tā ir procesu kopums, kas ietver notekūdeņu dūņu apstrādi, pārstrādi, utilizāciju un citas darbības ar notekūdeņu dūņām no to rašanās notekūdeņu attīrīšanas procesā līdz tālākai izmantošanai (1.panta 72.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projekta tēmu “Notekūdeņu dūņu pārstrāde” un paredzēto regulējumu saistībā ar notekūdeņu dūņu pārstrādes iekārtām, Regulatora ieskatā ir pamatoti Noteikumu projektā iekļauto regulējumu sasaistīt ar Ūdenssaimniecības pakalpojumu likumā paredzēto, tostarp pilnvarojuma līgumu notekūdeņu dūņu pārstrādes pakalpojuma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ietvaros projekta iesniedzējs var iesniegt ne vairāk kā vienu projekta iesniegumu šo noteikumu 11. punktā noteiktā pieejamā finansējuma ietvaros. Šo noteikumu 15.punktā noteiktais projekta iesniedzējs projekta iesniegumu iesniedz plānošanas reģionā, kurā atrodas notekūdeņu dūņu apsaimniekošanas reģionālais centrs (turpmāk — Dūņu centrs), ko tas izmanto notekūdeņu dūņu pārstrādes pakalpojuma 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iestrādāta SPRK piedāvātā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Konkursa ietvaros projekta iesniedzējs var iesniegt ne vairāk kā vienu projekta iesniegumu šo noteikumu </w:t>
            </w:r>
            <w:r w:rsidR="00000000" w:rsidRPr="00000000" w:rsidDel="00000000">
              <w:rPr>
                <w:rtl w:val="0"/>
              </w:rPr>
              <w:t xml:space="preserve">8.</w:t>
            </w:r>
            <w:r w:rsidR="00000000" w:rsidRPr="00000000" w:rsidDel="00000000">
              <w:rPr>
                <w:rtl w:val="0"/>
              </w:rPr>
              <w:t xml:space="preserve"> punktā noteiktā plānošanas reģionam noteiktā maksimālā finansējuma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ietvaros projekta iesniedzējs var iesniegt ne vairāk kā vienu projekta iesniegumu šo noteikumu </w:t>
            </w:r>
            <w:r w:rsidR="00000000" w:rsidRPr="00000000" w:rsidDel="00000000">
              <w:rPr>
                <w:rtl w:val="0"/>
              </w:rPr>
              <w:t xml:space="preserve">11.</w:t>
            </w:r>
            <w:r w:rsidR="00000000" w:rsidRPr="00000000" w:rsidDel="00000000">
              <w:rPr>
                <w:rtl w:val="0"/>
              </w:rPr>
              <w:t xml:space="preserve"> punktā noteiktā pieejamā finansējuma ietvaros. Šo noteikumu </w:t>
            </w:r>
            <w:r w:rsidR="00000000" w:rsidRPr="00000000" w:rsidDel="00000000">
              <w:rPr>
                <w:rtl w:val="0"/>
              </w:rPr>
              <w:t xml:space="preserve">15.</w:t>
            </w:r>
            <w:r w:rsidR="00000000" w:rsidRPr="00000000" w:rsidDel="00000000">
              <w:rPr>
                <w:rtl w:val="0"/>
              </w:rPr>
              <w:t xml:space="preserve"> punktā noteiktais projekta iesniedzējs projekta iesniegumu iesniedz plānošanas reģionā, kurā ir saņēmis pašvaldības deleģējumu nodrošināt notekūdeņu dūņu apsaimniekošanas funkcijas notekūdeņu dūņu apsaimniekošanas reģionālā centrā (turpmāk- Dūņu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- 27.06.2025.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 panta pirmās daļas 1. punkts noteic, ka pašvaldībai autonomā funkcija ir organizēt iedzīvotājiem ūdenssaimniecības pakalpojumus neatkarīgi no tā, kā īpašumā atrodas dzīvojamais fonds. Savukārt saskaņā ar Ūdenssaimniecības pakalpojuma likuma 6. panta pirmo daļu pašvaldības kompetence ir noteikt pašvaldības iestādi, kas pašvaldības administratīvajā teritorijā sniedz sabiedriskos ūdenssaimniecības pakalpojumus un citus noteikta veida ūdenssaimniecības pakalpojumus, vai pilnvarot komersantu vai kooperatīvo sabiedrību sniegt sabiedriskos ūdenssaimniecības pakalpojumus, noslēdzot ar to līgumu par sabiedrisko ūdenssaimniecības pakalpojumu sniegšanu visā pašvaldības administratīvajā teritorijā vai tās daļā. Atbilstoši Ūdenssaimniecības pakalpojuma likuma 1. panta 9. punktam sabiedriskie ūdenssaimniecības pakalpojumi ir pakalpojumi attīrīšanas procesā radušos notekūdeņu dūņu apstrādē, pārstrādē un sagatavošanā utilizācijai un notekūdeņu novadīšanā vidē, tai skaitā virszemes ūdensobjektos, izņemot notekūdeņu savākšanu lietus kanalizācijas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pašvaldība ar ūdenssaimniecības pakalpojuma sniedzēju slēdz sabiedrisko pakalpojumu līgumu, nevis pārvaldes uzdevuma deleģēšanas līgumu Valsts pārvaldes iekārtas likuma izpratnē. Tādējādi lūdzam ne vien precizēt Ministru kabineta noteikumu projekta12. punktu, bet arī šo noteikumu projekta 15., 16. un 47. punktu, kā arī lūdzam precizēt noteikumu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redakcija precizēta, paredzot, ka pašvaldība ar sabiedrisko ūdenssaimniecības pakalpojumu sniedzēju slēdz sabiedrisko pakalpojumu līgumu, nevis pārvaldes uzdevuma deleģēšanas līgumu, iebildums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jaunās numerācijas precizēts noteikumu projekta 11. un 15.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Konkursa ietvaros projekta iesniedzējs var iesniegt ne vairāk kā vienu projekta iesniegumu šo noteikumu </w:t>
            </w:r>
            <w:r w:rsidR="00000000" w:rsidRPr="00000000" w:rsidDel="00000000">
              <w:rPr>
                <w:rtl w:val="0"/>
              </w:rPr>
              <w:t xml:space="preserve">8.</w:t>
            </w:r>
            <w:r w:rsidR="00000000" w:rsidRPr="00000000" w:rsidDel="00000000">
              <w:rPr>
                <w:rtl w:val="0"/>
              </w:rPr>
              <w:t xml:space="preserve"> punktā noteiktā plānošanas reģionam noteiktā maksimālā finansējuma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kas pēc projekta iesnieguma apstiprināšanas ir finansējuma saņēmējs, ir sabiedrisko pakalpojumu sniedzējs, kuram ar pašvaldību ir noslēgts pakalpojuma līgums vai deleģējuma līgums par tām notekūdeņu dūņu apsaimniekošanas funkcijām, kas attiecināmas uz attiecīgā projekta darbībām, un kurš saņēmis pašvaldības deleģējumu nodrošināt notekūdeņu dūņu apsaimniekošanas funkcijas Dūņu centrā. Projekta iesniedzēja darbība norit atbilstoši Saimniecisko darbību statistiskās klasifikācijas Eiropas Kopienā (turpmāk – NACE) 2.1. redakcijai un atbilst E sadaļas 37. un 38. nodaļai.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kā pie Noteikumu projekta 12.punkta.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lai nodrošinātu atbilstību Ūdenssaimniecības pakalpojumu likuma regulējumam. Proti, noteikumos skaidri paredzēts, ka notekūdeņu dūņu pārstrāde ir sabiedrisko ūdenssaimniecības pakalpojumu sastāvdaļa un ka šā pakalpojuma sniegšanai pašvaldība ar pakalpojuma sniedzēju slēdz līgumu par sabiedrisko ūdenssaimniecības pakalpojumu sniegšanu, nevis deleģējuma līgumu Valsts pārvaldes iekārtas likuma izpratnē. Pēc jaunās numerācijas precizēts noteikumu projekta 11. un 15. punkts, sasaistot noteikumu regulējumu ar Ūdenssaimniecības pakalpojumu likuma normām un paredzot, ka projekta iesniedzējs ir sabiedrisko ūdenssaimniecības pakalpojumu sniedzējs, ar kuru pašvaldība ir noslēgusi līgumu par notekūdeņu dūņu pārstrādes pakalpojuma sniegšanu Dūņu centrā.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iesniedzējs ir sabiedrisko ūdenssaimniecības pakalpojumu sniedzējs vai komersants, kuram projekta iesniegšanas brīdī ir sabiedrisko ūdenssaimniecības pakalpojumu sniedzēja statuss un ar pašvaldību noslēgts līgums par sabiedrisko ūdenssaimniecības pakalpojumu sniegšanu, tajā skaitā par attiecīgo notekūdeņu dūņu apsaimniekošanas pakalpojumu sniegšanu. Projekta iesniedzēja darbība atbilst Saimniecisko darbību statistiskās klasifikācijas Eiropas Kopienā (NACE) 2.1. redakcijas E sadaļas 37. vai 38. nodaļai.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Līguma formu, kas noslēgts starp pašvaldību un sabiedrisko pakalpojumu sniedzēju, šo noteikumu </w:t>
            </w:r>
            <w:r w:rsidR="00000000" w:rsidRPr="00000000" w:rsidDel="00000000">
              <w:rPr>
                <w:rtl w:val="0"/>
              </w:rPr>
              <w:t xml:space="preserve">15.</w:t>
            </w:r>
            <w:r w:rsidR="00000000" w:rsidRPr="00000000" w:rsidDel="00000000">
              <w:rPr>
                <w:rtl w:val="0"/>
              </w:rPr>
              <w:t xml:space="preserve"> punktā minētās funkcijas nodrošināšanai, nosaka atbilstoši pašvaldības izvēlētajam dūņu apsaimniekošanas organizatoriskajam modelim. Ja pakalpojumu nodrošina komersants, darbojoties atbilstoši tirgus principiem, slēdzams pakalpojuma līgums. Savukārt, ja pašvaldība šo funkciju deleģē atbilstoši normatīvajiem aktiem, piemērojams deleģēšanas līgums.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 punkts paredz, ka „[…] pašvaldība šo funkciju deleģē atbilstoši normatīvajiem aktiem, piemērojams deleģēšanas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lietotā frāze “ja pašvaldība šo funkciju deleģē atbilstoši normatīvajiem aktiem” neatbilst Valsts pārvaldes iekārtas likuma terminoloģijai. Saskaņā ar Valsts pārvaldes iekārtas likuma 40. panta pirmo daļu publiskas personas institūcija var deleģēt tikai valsts pārvaldes uzdevumus, nevis “funkcijas”. Likuma izpratnē funkcijas nav deleģējamas — deleģējams ir konkrēts uzdevums, kura izpilde tiek veikta atbilstoši normatīvajiem aktiem un deleģēšanas līgumam.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Terminoloģijas neprecizitāte var radīt tiesiskas sekas, tostarp neskaidrību par deleģējuma apjomu, saturu un atbildību, kā arī var ietekmēt slēgto līgumu juridisko spēkā esamību. Ņemot vērā minēto, lūdzam precizēt noteikumu projekta 16. punktu, aizstājot terminu “funkciju deleģē” ar “uzdevumu deleģē”, lai nodrošinātu atbilstību Valsts pārvaldes iekārtas likuma 40. panta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atbilstoši juridiskās tehnikas prasībām tiesību normai ir jābūt skaidrai un nepārprotamai, lai tās lietotājs un piemērotājs precīzi izprastu savus pienākumus un tiesības. Noteikumu projekta 16. punkta redakcijā ietvertā vispārīga atsauce uz “normatīvajiem aktiem” neatbilst precizitātes prasībām, jo nav norādīts ne konkrētais normatīvais akts, ne tiesību 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noteikumu projekta 16. punktā nepieciešams norādīt konkrētu normatīvo aktu vai vismaz attiecīgo normatīvo aktu jomu atbilstoši Ministru kabineta 2009. gada 3. februāra noteikumu Nr. 108 “Normatīvo aktu projektu sagatavošanas noteikumi” 3.7. apakšnodaļai.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 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lai nodrošinātu atbilstību Ūdenssaimniecības pakalpojumu likuma regulējumam. Noteikumos skaidri paredzēts, ka notekūdeņu dūņu pārstrāde ir sabiedrisko ūdenssaimniecības pakalpojumu sastāvdaļa, un šā pakalpojuma sniegšanai pašvaldība ar pakalpojuma sniedzēju slēdz līgumu par sabiedrisko ūdenssaimniecības pakalpojumu sniegšanu. Tādējādi vairs nav atsauces uz deleģēšanas līgumu Valsts pārvaldes iekārtas likuma izpratnē, un līdz ar to ir novērstas iespējamās terminoloģijas un tiesiskās neskaidrības.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Pakalpojuma vai deleģējuma līgumā, kas minēts šo noteikumu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16.</w:t>
            </w:r>
            <w:r w:rsidR="00000000" w:rsidRPr="00000000" w:rsidDel="00000000">
              <w:rPr>
                <w:rtl w:val="0"/>
              </w:rPr>
              <w:t xml:space="preserve"> punktā, iekļauj vismaz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- 27.06.2025.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šajā normā paredzētās prasības sabiedriskā pakalpojuma līgumam neatbilst šo Ministru kabineta noteikumu izdošanas tiesiskajam pamatojumam, jo Ūdenssaimniecības pakalpojuma likums regulē ūdenssaimniecības pakalpojumus, kā arī Ūdenssaimniecības pakalpojuma likuma 6. panta ceturtās daļas 3. punkts noteic, ka vietējās pašvaldības dome izdod saistošos noteikumus, kuros paredz sabiedriskā ūdenssaimniecības pakalpojuma līgumā ietveramos noteikumus, kā arī tā slēgšanas, grozīšanas un izbeigšanas noteikumus. Ievērojot minēto, lūdzam svītrot Ministru kabineta noteikumu projekta 17. punktu, kā arī precizēt šo noteikumu projekta 24.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 un 24. punkts ir svītrots. Noteikumos skaidri paredzēts, ka notekūdeņu dūņu pārstrāde ir sabiedrisko ūdenssaimniecības pakalpojumu sastāvdaļa, un šā pakalpojuma sniegšanai pašvaldība ar pakalpojuma sniedzēju slēdz līgumu par sabiedrisko ūdenssaimniecības pakalpojumu sniegšanu. Tādējādi vairs nav atsauces uz deleģēšanas līgumu Valsts pārvaldes iekārtas likuma izpratnē, un līdz ar to ir novērstas iespējamās terminoloģijas un tiesiskās neskaidrības. Lai gan normatīvie akti paredz atlasi izsludināt 20 darba dienu laikā pēc MK noteikumu spēkā stāšanās, ņemot vērā nepieciešamību nodrošināt kvalitatīvu projektu sagatavošanu, pašvaldību vienošanos par Dūņu centra izveidi un detalizētu alternatīvu izvērtējumu, atlase plānota 2026. gada pirmajā ceturksnī. Šis papildus skaidrots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 maksu par notekūdeņu dūņu savākšanas, apstrādes un pārstrādes pakalpojumu, t.sk notekūdeņu dūņu pieņemšanas tarifa aprēķina veidu un piemērošanas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Regulators atbilstoši likumam “Par sabiedrisko pakalpojumu regulatoriem” apstiprina sabiedrisko pakalpojumu sniedzēju tarifus noteiktiem pakalpojumiem. Saskaņā ar Ūdenssaimniecības pakalpojumu likumu Regulators regulē notekūdeņu dūņu apsaimniekošanas reģionālajā centrā veikto notekūdeņu attīrīšanas procesā radušos notekūdeņu dūņu apstrādi, pārstrādi un sagatavošanu utilizācijai, (5.panta pirmās daļas 2.punkts). Attiecīgi arī tarifs tiks apstiprināts šiem pakalpojumiem, nevis notekūdeņu dūņu pieņemšanas darbībai, kā to paredz piedāvātā redakcija, un tā spēkā esamība tiks noteikta Regulatora lēmumā par tarifiem. Minētās neatbilstības novēršanai apakšpunkts labojams.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Ūdenssaimniecības pakalpojumu likuma izriet, ka pakalpojumi, kas saistīti ar notekūdeņu dūņu apsaimniekošanu, ir sabiedriskie ūdenssaimniecības pakalpojumi sākot no notekūdeņu savākšanas centralizētajās kanalizācijas sistēmās no piederības robežas un novadīšanas līdz notekūdeņu attīrīšanas iekārtām, notekūdeņu attīrīšanas līdz pat attīrīšanas procesā radušos notekūdeņu dūņu apstrādei, pārstrādei un sagatavošanai utilizācijai un notekūdeņu novadīšanai vidē. Attiecībā uz šiem pakalpojumiem lielākā vai mazākā apmērā (atkarībā no tā, vai šo pakalpojumu sniegšanu regulē Regulators vai pašvaldība) tiek nodrošināta likuma “Par sabiedrisko pakalpojumu regulatoriem” piemērošana, nodrošinot šo pakalpojumu tarifu (maksas) ekonomiskās pamatotības pārbaudi (5.pants, 6.panta otrā daļa).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17.punktā ietvertās prasības rediģētas un pārnestas uz 28.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17.7. apakšpunkts precizēts, nosakot, ka tarifs attiecas uz notekūdeņu attīrīšanas procesā radušos dūņu apstrādes, pārstrādes un sagatavošanas utilizācijai pakalpojumu, nevis uz dūņu pieņemšanas darbību. Tarifu apstiprināšana un spēkā esamība tiek nodrošināta atbilstoši likuma “Par sabiedrisko pakalpojumu regulatoriem” un Ūdenssaimniecības pakalpojumu likuma prasībām, tādējādi novēršot sākotnējās redakcijas neatbilstību un nodrošinot pakalpojumu atbilstību sabiedriskā pakalpojuma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Labotā redakcija (28.1.6. apakšpunkts): maksa par notekūdeņu dūņu apstrādes, pārstrādes un sagatavošanas utilizācijai pakalpojumu, kā arī tarifa aprēķināšanas kārtība un piemērošanas laiks. Tarifs tiek apstiprināts atbilstoši likuma “Par sabiedrisko pakalpojumu regulatoriem” un Ūdenssaimniecības pakalpojumu likuma prasībām un attiecas uz notekūdeņu attīrīšanas procesā radušos dūņu apsaimniekošanu Dūņu centrā.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 maksu par notekūdeņu dūņu savākšanas, apstrādes un pārstrādes pakalpojumu, t.sk notekūdeņu dūņu pieņemšanas tarifa aprēķina veidu un piemērošanas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ieskatā attiecīgo maksu noteikšanas metodiku būtu jānosaka Sabiedrisko pakalpojumu regulēšanas komisijai, kā arī maksa ir tieši atkarīga no pieņēmumiem, kas īstenoti notekūdeņu dūņu pārstrādes centra plānošanas laikā, bet faktiski tā darbības laikā pārstrādājamie notekūdeņu dūņu un citu bioloģiski noārdāmo atkritumu apjomi var būtiski mainīties, līdz ar to arī aprēķinātā maksa var būt atšķirīga. Turklāt, gadījumos, kuros notekūdeņu  apsaimniekošanu un notekūdeņu dūņu savākšanu, transportēšanu, apstrādi un pārstrādi organizē viens uzņēmums, var nebūt racionāli piemērot maksu par notekūdeņu dūņu savākšanu, apstrādi un pārstrādi, kas faktiski būtu norēķins viena uzņēmuma ietvaros, šādos gadījumos svarīga būtu tikai aprēķinu metodika, kas atsevišķās notekūdeņu dūņu apsaimniekošanas sadaļas iekļautu notekūdeņu apsaimniekošanas tarifā.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LŪKA iebildumus, noteikumu projekts precizēts, paredzot, ka maksa par notekūdeņu dūņu apstrādes, pārstrādes un sagatavošanas utilizācijai pakalpojumu tiek noteikta kā tarifs, kura aprēķināšanas kārtība un piemērošanas laiks atbilst likuma “Par sabiedrisko pakalpojumu regulatoriem” un Ūdenssaimniecības pakalpojumu likuma prasībām, tādējādi nodrošinot tarifu noteikšanas caurskatāmību un atbilstību regulētā pakalpojuma būtībai. Noteikumu projekta 17.punktā ietvertās prasības rediģētas un pārnestas uz 28.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Labotā redakcija (28.1.6. apakšpunkts): maksa par notekūdeņu dūņu apstrādes, pārstrādes un sagatavošanas utilizācijai pakalpojumu, kā arī tarifa aprēķināšanas kārtība un piemērošanas laiks. Tarifs tiek apstiprināts atbilstoši likuma “Par sabiedrisko pakalpojumu regulatoriem” un Ūdenssaimniecības pakalpojumu likuma prasībām un attiecas uz notekūdeņu attīrīšanas procesā radušos dūņu apsaimniekošanu Dūņu centrā.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 informāciju par iespēju saņemt atlīdzības (kompensācijas) maksājumus – investīcijas sabiedrisko pakalpojumu sniegšanas infrastruktūrā – un nosacījumus atlīdzības (kompensācijas) maksājumu aprēķināšanai, kontrolei un pārskatīšanai, kā arī atlīdzības (kompensācijas) maksājumu pārmaksas novēršanai un atmaksāšanai, ja tiek piemērots Eiropas Komisijas 2011. gada 20. decembra lēmums Nr. 2012/21/ES par Līguma par Eiropas Savienības darbību 106. panta 2. punkta piemērošanu valsts atbalstam attiecībā uz kompensāciju par sabiedriskajiem pakalpojumiem dažiem uzņēmumiem, kuriem uzticēts sniegt pakalpojumus ar vispārēju tautsaimniecisku nozīmi (turpmāk – Eiropas Komisijas lēmums Nr. 2012/21/ES),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ietvertas atsauces uz Eiropas Komisijas 2011. gada 20. decembra Lēmumu Nr. 2012/21/ES (turpmāk –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13. pants skaidri paredz, ka tas ir adresēts dalībvalstīm. Attiecīgi Lēmuma normas var būt tieši saistošas tikai valsts institūcijām, nevis privātpersonām (t.sk. juridiskajām). Ja Lēmuma normas jāpiemēro arī privātpersonām, tās ir jāpārņem nacionālajos normatīvajos aktos līdzīgi kā direktīvas.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 punktā norādīts, ka projekta iesniedzējs šo noteikumu izpratnē ir lielais, vidējais vai mazais (tai skaitā mikro) komersants. Tādējādi Lēmuma prasības tiek faktiski attiecinātas uz privātpersonām, nepārņemot tās nacionālajā tiesību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w:t>
            </w:r>
            <w:r w:rsidR="00000000" w:rsidRPr="00000000" w:rsidDel="00000000">
              <w:rPr>
                <w:b w:val="1"/>
                <w:rtl w:val="0"/>
              </w:rPr>
              <w:t xml:space="preserve">visā</w:t>
            </w:r>
            <w:r w:rsidR="00000000" w:rsidRPr="00000000" w:rsidDel="00000000">
              <w:rPr>
                <w:rtl w:val="0"/>
              </w:rPr>
              <w:t xml:space="preserve"> noteikumu projektā svītrot atsauces uz Lēmumu un attiecīgās Lēmuma normas, kuras nepieciešams padarīt saistošas juridiskajām personām, pārņemt (iestrādāt) noteikumu projektā līdzīgi kā Eiropas Savienības direktīvu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 daļēji. Noteikumu projekta tekstā atsauces uz Eiropas Komisijas 2011. gada 20. decembra Lēmumu Nr. 2012/21/ES (turpmāk- Eiropas Komisijas lēmums Nr. 2012/21/ES) ir svītrotas. Klimata un enerģētikas ministrija saglabā atsauci uz Eiropas Komisijas lēmumu Nr. 2012/21/ES tikai 28.1.8. apakšpunktā, kad to tieši paredz Komercdarbības atbalsta kontroles likuma 10. panta ceturtās daļas 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Projekta iesniedzējs šo noteikumu izpratnē ir lielais, vidējais vai mazais (tai skaitā mikro) komersants. Mazais (tai skaitā mikro) un vidējais komersants šo noteikumu izpratnē ir komersants, kas atbilst Eiropas Komisijas 2014. gada 17. jūnija Regulas (ES) Nr. 651/2014, ar ko noteiktas atbalsta kategorijas atzīst par saderīgām ar iekšējo tirgu, piemērojot Līguma 107. un 108. pantu (turpmāk – Regula Nr. 651/2014), I pielikumam. Lielais komersants šo noteikumu izpratnē ir komersants, kas neatbilst Regulas (ES) Nr. 651/2014 I pielikumā noteiktajiem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minētajai informācijai un Ministru kabineta noteikumu par notekūdeņu dūņu apsaimniekošanas reģionālo centru darbību projektam un Ūdenssaimniecības pakalpojumu likumam, notekūdeņu dūņu apsaimniekošana (apstrāde un pārstrāde) ir neatraujama sabiedrisko ūdenssaimniecības pakalpojumu daļa, līdz ar to projekta iesniedzējs un finansējuma saņēmējs jeb dūņu centra operators var būt tikai sabiedrisko ūdenssaimniecības pakalpojumu sniedzējs. Iespējami gadījumi, kuros notekūdeņu pārstrāde notiek ārpus esošā ūdenssaimniecības pakalpojuma sniedzēja, tomēr arī šādos gadījumos notekūdeņu dūņu centram būtu jāsaņem attiecīgs pašvaldības deleģējums par ūdenssaimniecības pakalpojuma daļas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precizēts, ka projekta iesniedzējs un finansējuma saņēmējs var būt tikai sabiedrisko ūdenssaimniecības pakalpojumu sniedzējs, kas darbojas saskaņā ar Ūdenssaimniecības pakalpojumu likuma regulējumu un ir saņēmis pašvaldības pilnvarojumu veikt notekūdeņu dūņu apsaimniekošanas funkcijas. Šādā veidā tiek nodrošināta atbilstība gan likuma prasībām, gan Ministru kabineta noteikumu par notekūdeņu dūņu apsaimniekošanas reģionālo centru darbību būtībai, vienlaikus skaidri nosakot, ka projekta iesniedzējs nevar būt jebkurš komersants, bet tikai pakalpojuma sniedzējs ar atbilstošu pašvaldības deleģējumu. 19.punkts labots (pēc jaunās numerācijas16.punkts) šādā redakcijā: Projekta iesniedzējs var būt lielais, vidējais vai mazais (tai skaitā mikro) komersants. Mazais (tai skaitā mikro) un vidējais komersants ir komersants, kas atbilst regulas Nr. 651/2014 I pielikumā noteiktajiem kritērijiem un ir iesniedzis deklarāciju par atbilstību šim statusam normatīvajos aktos noteiktajā kārtībā. Lielais komersants ir komersants, kas neatbilst regulas Nr. 651/2014 I pielikumā noteiktajiem kritērijiem.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iesniedzējs var būt lielais, vidējais vai mazais (tajā skaitā mikro) komersants. Mazais (tajā skaitā mikro) un vidējais komersants ir komersants, kas atbilst regulas Nr. 651/2014 I pielikumā noteiktajiem kritērijiem un ir iesniedzis deklarāciju par atbilstību šim statusam normatīvajos aktos noteiktajā kārtībā. Lielais komersants ir komersants, kas neatbilst regulas Nr. 651/2014 I pielikumā noteiktajiem kritērijiem.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iesniedzējam, kas ir grūtībās nonākušais uzņēmums, komercdarbības atbalsts netiek piešķirts, ja tas atbilst vismaz vienai no Regulas Nr. 651/2014 2. panta 18. punktā paredzētajām pazīmēm. Grūtībās nonākuša uzņēmuma pazīmes vērtē individuāli projekta iesniedzējam un tā saistīto personu grupai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nevis komercdarbības vai saimnieciskās darbības subjektu. Šajā kontekstā, runājot par projekta iesniedzēju kā juridisku personu vai saimnieciskās darbības veicēju, juridiski korekts būtu apzīmējums “komersants” vai “saimnieciskās darbības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citviet noteikumu projektā tiek lietots termins “komersants”, tādēļ šāda terminoloģijas neatbilstība var radīt neskaidrības tiesību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un nepieciešamības gadījumā precizēt noteikumu projektu, aizstājot terminu “uzņēmums” ar “komersants” vai "saimnieciskās darbības veicējs", lai nodrošinātu terminoloģijas konsekvenci un atbilstību Komerclikumam.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 Noteikumu projektā terminoloģija precizēta, aizstājot terminu “uzņēmums” ar “komersants”, tādējādi nodrošinot konsekvenci ar citām projekta normām un atbilstību Komerclikuma 18. pantā noteiktajam regulējumam. Labotā redakcija pēc jaunās numerācijas 18. punktā: Atbalstu nepiešķir projekta iesniedzējam, kas atbilst vismaz vienai no regulas Nr. 651/2014 2. panta 18. punktā paredzētajām grūtībās nonākuša komersanta pazīmēm. Grūtībās nonākuša komersanta pazīmes vērtē individuāli projekta iesniedzējam un tā saistīto personu grupai (ja attiecināms). Grūtībās nonākuša komersanta pazīmes pārbauda gan uz projekta iesnieguma iesniegšanas brīdi sadarbības iestādē, gan uz komercdarbības atbalsta piešķiršanas brīdi, kad pieņemts lēmums par projekta iesnieguma apstiprināšanu.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atbalsts tiek sniegts šo noteikumu 36.1. apakšpunktā noteiktajā kārtībā, atbalstu nepiešķir projekta iesniedzējam, kas atbilst vismaz vienai no regulas Nr. 651/2014 2. panta 18. punktā vai regulas, kas to aizstās paredzētajām grūtībās nonākuša komersanta pazīmēm. Grūtībās nonākuša komersanta pazīmes vērtē individuāli projekta iesniedzējam un tā saistīto personu grupai. Grūtībās nonākuša komersanta pazīmes pārbauda uz komercdarbības atbalsta piešķiršanas brīdi, kad pieņemts lēmumu par projekta iesnieguma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Pasākumā tiek noteiktas šādas atbalstāmās darbības, kas ietver investīcijas infrastruktūras izveidei, pārbūvei vai atjaunošanai, kā arī tās funkcionalitātes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25. un 26.punktu, korekti noteikumu projekta 26.punktā minot visas attiecināmās izmaksas. Vienlaikus attiecīgi lūdzam pārskatīt noteikumu projekta VI nodaļas punktos minētās atsauces uz attiecināmajām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 Noteikumu projekts precizēts, nodalot atbalstāmās darbības no attiecināmajām izmaksām, kā arī pārskatītas atsauces, lai nodrošinātu konsekvenci un juridisko skaidrību. Lūdzu skatīt noteikumu projekta 29. un 31.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Konkursā tiek noteiktas atbalstāmās aktivitātes, kas saistītas ar sabiedrisko ūdenssaimniecības pakalpojumu sniegšanu un vērstas uz komunālo notekūdeņu attīrīšanas procesā radušos notekūdeņu dūņu pārstrādi un reģenerāciju, samazinot siltumnīcefekta gāzu emisijas notekūdeņu dūņu apsaimniekošanā, nodrošinot tehnoloģiski efektīvus dūņu pārstrādes un reģenerācijas risinājumus, tādejādi to ietvaros attiecināmas šādas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Pasākumā tiek noteiktas šādas atbalstāmās darbības, kas ietver investīcijas infrastruktūras izveidei, pārbūvei vai atjaunošanai, kā arī tās funkcionalitātes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var veidoties situācijas kurās notekūdeņu dūņu pārstrādes centrs var tikt veidots neatkarīgi no šobrīd darbībā esošām notekūdeņu attīrīšanas iekārtām. Notekūdeņu dūņu pārstrādes procesu laikā rodas dažāda veida un koncentrācijas procesu notekūdeņi, kuru attīrīšanai ir nepieciešami papildus notekūdeņu attīrīšanas tehnoloģiskie risinājumi. Līdz ar to, nepieciešams identificēt papildus atbalstāmo darbību, kas ir notekūdeņu dūņu pārstrādes procesā radušos notekūdeņu un/vai fugāta attīrīšanas iekārtu izbūve.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 Noteikumu projekts papildināts, iekļaujot kā atbalstāmo darbību arī notekūdeņu dūņu pārstrādes procesā radušos notekūdeņu un/vai fugāta attīrīšanas iekārtu izbūvi.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23.1.2. apakšpunkts šādā redakcijā: notekūdeņu dūņu pārstrādes procesā radušos notekūdeņu un fugāta savākšanas, uzkrāšanas, pārsūknēšanas un attīrīšanas iekārtu un tām nepieciešamo tehnoloģisko risinājumu iegāde, izbūve, uzstādīšana un pielāgošana, lai nodrošinātu atbilstošu vides aizsardzības prasību ievērošanu.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Konkursā tiek noteiktas atbalstāmās aktivitātes, kas saistītas ar sabiedrisko ūdenssaimniecības pakalpojumu sniegšanu un vērstas uz komunālo notekūdeņu attīrīšanas procesā radušos notekūdeņu dūņu pārstrādi un reģenerāciju, samazinot siltumnīcefekta gāzu emisijas notekūdeņu dūņu apsaimniekošanā, nodrošinot tehnoloģiski efektīvus dūņu pārstrādes un reģenerācijas risinājumus, tādejādi to ietvaros attiecināmas šādas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būvprojekta ekspertīzes, autoruzraudzības un būvuzraudzības (tai skaitā inženiertehniskās uzraudzības) izmaksas, ja ekspertīzes vai uzraudzības veikšanu nosaka būvniecības jomu regulējošie normatīvie akti;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lai piemērotu Regulu Nr. 651/2014, noteikumu projekta 26.2. apakšpunktā minētajām izmaksām ir jābūt iekļautām pamatlīdzekļu vērtībā, lūdzam papildināt noteikumu projekta 26.2. apakšpunktu ar šo nosacījumu.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 Noteikumu projekts precizēts, paredzot, ka būvprojekta ekspertīzes, autoruzraudzības un būvuzraudzības izmaksas ir attiecināmas tikai tad, ja tās ir iekļautas pamatlīdzekļa vērtībā, kā to paredz Regulas Nr. 651/2014 piemērošanas nosacījumi. Papildus noteikts, ka šo izmaksu kopsumma kopā ar 24.1. apakšpunktā minētajām izmaksām nepārsniedz 10 % no projekta kopējām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Labotā redakcija 24.2. apakšpunktā: būvprojekta ekspertīzes, autoruzraudzības un būvuzraudzības (tai skaitā inženiertehniskās uzraudzības) izmaksas, ja ekspertīzes vai uzraudzības veikšanu nosaka būvniecības jomu regulējošie normatīvie akti, un ja šīs izmaksas ir iekļautas pamatlīdzekļa vērtībā. Šo noteikumu 24.1. un 24.2. apakšpunktā minēto izmaksu kopsumma nedrīkst pārsniegt 10 procentus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būvprojekta ekspertīzes, autoruzraudzības un būvuzraudzības (tajā skaitā inženiertehniskās uzraudzības) izmaksas, ja ekspertīzes vai uzraudzības veikšanu nosaka būvniecības jomu regulējošie normatīvie akti, un ja šīs izmaksas ir iekļautas pamatlīdzekļa vērtībā;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31.6. no saviem līdzekļiem sedz projekta īstenošanas gaitā radušos sadārdzinājumu un citas papildu izmaksas, ja tās saskaņotas atbilstoši šo noteikumu </w:t>
            </w:r>
            <w:r w:rsidR="00000000" w:rsidRPr="00000000" w:rsidDel="00000000">
              <w:rPr>
                <w:rtl w:val="0"/>
              </w:rPr>
              <w:t xml:space="preserve">26.10.</w:t>
            </w:r>
            <w:r w:rsidR="00000000" w:rsidRPr="00000000" w:rsidDel="00000000">
              <w:rPr>
                <w:rtl w:val="0"/>
              </w:rPr>
              <w:t xml:space="preserve"> apakšpunktam, nodrošinot piemērojamo komercdarbības atbalsta regulējuma normu ievērošanu;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sadārdzinājuma izmaksas projektā ir sedzamas no līdzekļiem, par kuriem nav saņemts jebkāds komercdarbības atbalsts, ja vien šīs izmaksas jau nav ietvertas sākotnēji piešķiramā atbalsta apjomā, ja atbalsts tiek sniegts saskaņā ar Regulu Nr. 651/2014, savukārt, ja atbalsts tiek sniegts saskaņā ar Eiropas Komisijas lēmuma Nr. 2012/21/ES nosacījumiem, neparedzētos izdevumus un rezerves izmaksas var segt piemērojot Eiropas Komisijas lēmuma Nr. 2012/21/ES nosacījumus. Attiecīgi lūdzam precizēt noteikumu projekta 31.6.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paredzot, ka projekta īstenošanas gaitā radušos sadārdzinājumu un citas papildu izmaksas finansējuma saņēmējs sedz no saviem līdzekļiem tikai tad, ja par šīm izmaksām nav saņemts jebkāds cits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31.6. apakšpunktu pēc jaunās numerācijas 51.5. apakšpunktā: no saviem līdzekļiem sedz projekta īstenošanas gaitā radušos sadārdzinājumu un citas papildu izmaksas, kurām nav saņemts jebkāds cits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31.12. nodrošina atsevišķu grāmatvedības uzskaiti par finansējuma izlietojumu projektā, nodalot tā ietvaros veiktās darbības no citas saimnieciskās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jānodala darbības, kam atbalsts piešķirts ar EK lēmumu Nr. 2012/21/ES, no pārējās saimnieciskā darbības, t.sk., piemēram, no tās, kam atbalsta projekta ietvaros tiek sniegts ar Regulu 651/2014 lūdzam precizēt noteikumu projekta 31.12.apakšpunktu. Attiecīgi lūdzam papildināt ar skaidrojumu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paredzot, ka finansējuma saņēmējam jānodrošina atsevišķa grāmatvedības uzskaite ne tikai starp projekta darbībām un citu saimniecisko darbību, bet arī skaidri nodalot darbības un izdevumus atbilstoši piemērojamajam valsts atbalsta regulējumam – Komisijas lēmumam Nr. 2012/21/ES, regulai Nr. 651/2014 vai regulai Nr. 2023/2831.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31.12. apakšpunktu pēc jaunās numerācijas 51.11. apakšpunktā: nodrošina atsevišķu grāmatvedības uzskaiti par finansējuma izlietojumu projektā, nodalot tā ietvaros veiktās darbības no citas saimnieciskās darbības, kā arī atsevišķi uzskaitot darbības un izdevumus, kam atbalsts piešķirts saskaņā ar Komisijas lēmumu Nr. 2012/21/ES, no darbībām un izdevumiem, kam atbalsts piešķirts saskaņā ar regulu Nr. 651/2014 vai regulu Nr. 2023/2831.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skaidrojumu: lai nodrošinātu caurspīdīgu finanšu plūsmu un nepieļautu dubultfinansēšanas risku, finansējuma saņēmējam pienākums ir uzturēt atsevišķu grāmatvedības uzskaiti, skaidri nošķirot izmaksas, kas attiecināmas uz katru no piemērojamajiem valsts atbalsta regulējumiem – Komisijas lēmumu Nr. 2012/21/ES, regulu Nr. 651/2014 un regulu Nr. 2023/2831.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58.6. nodrošina atsevišķu grāmatvedības uzskaiti par finansējuma izlietojumu projektā, nodalot tā ietvaros veiktās aktivitātes no citām saimnieciskajām aktivitātēm, kā arī atsevišķi uzskaitot aktivitātes un izdevumus, kam atbalsts piešķirts kā kompensācija par sabiedriskajiem pakalpojumiem uzņēmumiem, kuriem uzticēts sniegt pakalpojumus ar vispārēju tautsaimniecisku nozīmi, no darbībām un izdevumiem, kam atbalsts piešķirts saskaņā ar regulu Nr. 651/2014 vai regulu Nr. 2023/2831;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Pasākuma ietvaros projektā plāno tikai attiecināmās izmaksas. Izmaksas, kas saskaņā ar šo noteikumu prasībām nav iekļaujamas projektā kā attiecināmās izmaksas, ir finansējamas ārpus projekta par finansējuma saņēmēja līdzekļiem. Ārpus projekta nedrīkst paredzēt izmaksas par darbībām, kas tiešā veidā nodrošina projekta mērķa sasniegšanu, izņemot šo noteikumu </w:t>
            </w:r>
            <w:r w:rsidR="00000000" w:rsidRPr="00000000" w:rsidDel="00000000">
              <w:rPr>
                <w:rtl w:val="0"/>
              </w:rPr>
              <w:t xml:space="preserve">31.6.</w:t>
            </w:r>
            <w:r w:rsidR="00000000" w:rsidRPr="00000000" w:rsidDel="00000000">
              <w:rPr>
                <w:rtl w:val="0"/>
              </w:rPr>
              <w:t xml:space="preserve"> apakšpunktā minētās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notekūdeņu dūņu centru izbūvei varētu būt nepieciešams daudz lielāks finansējums nekā tas ir pieejams šajā investīciju programmā, līdz ar to ir augsta iespējamība, ka dūņu centru izveidei tiks piesaistīts papildus finansējums no ūdenssaimniecības vai pašvaldības līdzekļiem, aizņēmumiem valsts kasē vai komercbankās, citu finanšu instrumentu ieviešanas. Nepieciešams paplašināt punktu, pieļaujot papildus finansējuma attiecināmību projekta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informāciju, ka projekta īstenošanā var piesaistīt papildu finansējumu (piemēram, no pašvaldības, ūdenssaimniecības uzņēmuma līdzekļiem, valsts kases aizņēmumiem vai citiem finanšu instrumentiem), ar nosacījumu, ka par šo finansējumu netiek saņemts komercdarbības atbalsts. Vienlaikus saglabāta prasība, ka ārpus projekta nedrīkst plānot izmaksas par darbībām, kas tiešā veidā nodrošina projekta mērķa sasniegšanu, izņemot noteikumos paredzētos izņēmumus. Tāpat ir precizēta redakcija 52.punktam. Skatīt 32. punktu pēc jaunās numerācijas 52. punktā šādā redakcijā: Pasākuma ietvaros projektā plāno tikai attiecināmās izmaksas. Izmaksas, kas saskaņā ar šo noteikumu prasībām nav iekļaujamas projektā kā attiecināmās izmaksas, ir finansējamas ārpus projekta par finansējuma saņēmēja līdzekļiem. Projekta īstenošanā var piesaistīt papildu finansējumu, par kuru nav saņemts komerdarbības atbalsts. Ārpus projekta nedrīkst paredzēt izmaksas par darbībām, kas tiešā veidā nodrošina projekta mērķa sasniegšanu, izņemot šo noteikumu 51.5. apakšpunktā minētās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Projekta īstenošanā var piesaistīt papildu finansējumu, par kuru nav saņemts komercdarbības atbalsts. Ārpus projekta nedrīkst paredzēt izmaksas par aktivitātēm, kas tiešā veidā nodrošina projekta mērķa sasniegšanu, izņemot šo noteikumu </w:t>
            </w:r>
            <w:r w:rsidR="00000000" w:rsidRPr="00000000" w:rsidDel="00000000">
              <w:rPr>
                <w:rtl w:val="0"/>
              </w:rPr>
              <w:t xml:space="preserve">19.</w:t>
            </w:r>
            <w:r w:rsidR="00000000" w:rsidRPr="00000000" w:rsidDel="00000000">
              <w:rPr>
                <w:rtl w:val="0"/>
              </w:rPr>
              <w:t xml:space="preserve"> punktā minētās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Izmaksas ir attiecināmas no dienas, kad projekta iesniegums iesniegts sadarbības iestādē, izņemot šo noteikumu </w:t>
            </w:r>
            <w:r w:rsidR="00000000" w:rsidRPr="00000000" w:rsidDel="00000000">
              <w:rPr>
                <w:rtl w:val="0"/>
              </w:rPr>
              <w:t xml:space="preserve">26.1.</w:t>
            </w:r>
            <w:r w:rsidR="00000000" w:rsidRPr="00000000" w:rsidDel="00000000">
              <w:rPr>
                <w:rtl w:val="0"/>
              </w:rPr>
              <w:t xml:space="preserve"> apakšpunktā minētās izmaksas, kas ir attiecināmas no 2021. gada 1. janvāra.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ievērotu atbalsta stimulējošās ietekmes prasību un būtu skaidrs, ka vienlaikus ir jāievēro arī noteikumu projekta 45. un 60. punkta prasības, lūdzam noteikumu projekta 33. punktā iekļaut atsauci uz noteikumu projekta 45. un 60.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papildinot 33. (precizētajā redakcijā – 53.) punktu ar atsaucēm uz normām, kas nosaka atbalsta stimulējošās ietekmes prasību, proti, uz šo noteikumu 36. un 44. punktu šādā redakcijā: Izmaksas ir attiecināmas no dienas, kad projekta iesniegums iesniegts sadarbības iestādē, izņemot šo noteikumu 24.1. apakšpunktā minētās izmaksas, kas ir attiecināmas no 2021. gada 1. janvāra, ievērojot šo noteikumu 36. un 44. punkta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Izmaksas ir attiecināmas no noteikumu spēkā stāšanās dienas, izņemot šo noteikumu </w:t>
            </w:r>
            <w:r w:rsidR="00000000" w:rsidRPr="00000000" w:rsidDel="00000000">
              <w:rPr>
                <w:rtl w:val="0"/>
              </w:rPr>
              <w:t xml:space="preserve">27.1.</w:t>
            </w:r>
            <w:r w:rsidR="00000000" w:rsidRPr="00000000" w:rsidDel="00000000">
              <w:rPr>
                <w:rtl w:val="0"/>
              </w:rPr>
              <w:t xml:space="preserve"> apakšpunktā minētās izmaksas, kas ir attiecināmas no 2026. gada 1. janvāra, ievērojot šo noteikumu </w:t>
            </w:r>
            <w:r w:rsidR="00000000" w:rsidRPr="00000000" w:rsidDel="00000000">
              <w:rPr>
                <w:rtl w:val="0"/>
              </w:rPr>
              <w:t xml:space="preserve">41.</w:t>
            </w:r>
            <w:r w:rsidR="00000000" w:rsidRPr="00000000" w:rsidDel="00000000">
              <w:rPr>
                <w:rtl w:val="0"/>
              </w:rPr>
              <w:t xml:space="preserve"> un </w:t>
            </w:r>
            <w:r w:rsidR="00000000" w:rsidRPr="00000000" w:rsidDel="00000000">
              <w:rPr>
                <w:rtl w:val="0"/>
              </w:rPr>
              <w:t xml:space="preserve">49.</w:t>
            </w:r>
            <w:r w:rsidR="00000000" w:rsidRPr="00000000" w:rsidDel="00000000">
              <w:rPr>
                <w:rtl w:val="0"/>
              </w:rPr>
              <w:t xml:space="preserve"> punkta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Komercdarbības atbalsta piešķiršanas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noteikumu projekta nosacījumu uztveramību un lai tās lietotājs un piemērotājs gūtu nepārprotamu priekšstatu par noteikumu projektā ietvertajiem pienākumiem un tiesībām, lūdzam sastrukturēt noteikumu projekta nosacījumus tā, lai ir skaidrs, kurām attiecināmajām izmaksām ar kuru komercdarbības atbalsta regulējumu tiek piešķirts atbalsts, pēc iespējas nodrošinot, ka komercdarbības atbalsta piešķiršanas nosacījumi, kas izriet no katra piemērojamā komercdarbības atbalsta regulējuma, ir norādīti vienkopus, līdzīgi, kā tas ir, piemēram, Ministru kabineta 2025. gada 7. janvāra noteikumos "Eiropas Savienības kohēzijas politikas programmas 2021.–2027. gadam 2.1.2. specifiskā atbalsta mērķa "Atjaunojamo energoresursu enerģijas veicināšana – biometāns"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noteikumu projektu tā, lai viennozīmīgi skaidrs, kuras no noteikumu projekta 26.punktā minētām dūņu centra izmaksām tiek segtas ar šajos noteikumu projektā iekļautajiem Komisijas regulas Nr. 651/2014 pantiem un kuras ar Eiropas Komisijas lēmumu Nr. 2012/21/ES. [AM1] Šobrīd noteikumu projekts paredz vienlaikus  26.1., 26.2., 26.4., 26.5., 26.6., 26.7. apakšpunktā norādītās izmaksas segt ar abiem komercdarbības atbalsta regulējumiem, kas nav iespējams. Skaidrojam, ka Eiropas Komisijas lēmumu Nr. 2012/21/ES piemēro kompensācijai par vispārējas tautsaimnieciskas nozīmes pakalpojumu (sk. skaidrojošos materiālus FM mājas lapā sadaļā "Par vispārējas tautsaimnieciskas nozīmes pakalpojumiem"), savukārt, Komisijas regulu Nr. 651/2014 piemēro atbalstam saimnieciskai darbībai, kas nav vispārējas tautsaimnieciskas nozīmes pakalpojums.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Izejot no augstāk minētā, lūdzam veikt arī nepieciešamos precizējumus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iebildums ir ņemts vērā. Noteikumu projekts precizēts, skaidri nodalot, kuras no attiecināmajām izmaksām tiek segtas saskaņā ar Komisijas lēmumu Nr. 2012/21/ES kā kompensācija par sabiedrisko ūdenssaimniecības pakalpojumu, un kuras – saskaņā ar Komisijas regulas Nr. 651/2014 noteikumiem kā komercdarbības atbalsts. Atbilstoši tam precizēta arī projekta anotācija, lai nodrošinātu viennozīmīgu regulējuma piemērošanu un atbilstību atbalsta režīmiem.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Ar komercdarbības atbalsta saņemšanu saistītie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Komercdarbības atbalsta piešķiršanas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minētajai informācijai un Ministru kabineta noteikumu par notekūdeņu dūņu apsaimniekošanas reģionālo centru darbību projektam un Ūdenssaimniecības pakalpojumu likumam, notekūdeņu dūņu apsaimniekošana (apstrāde un pārstrāde) ir neatraujama sabiedrisko ūdenssaimniecības pakalpojumu daļa, līdz ar to nebūtu jāpiemēro komercatbalsta atbalsta forma, bet būtu attiecināma ūdenssaimniecības sabiedrisko pakalpojumu atbalsta forma.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analoga bioloģisko atkritumu pārstrāde Latvijā ir ieviesta Darbības programmas "Izaugsme un nodarbinātība" 5.2.1. specifiskā atbalsta mērķa "Veicināt dažāda veida atkritumu atkārtotu izmantošanu, pārstrādi un reģenerāciju" 5.2.1.2. pasākuma "Atkritumu pārstrādes veicināšana" ietvaros. Attiecīgā pasākuma ietvaros tika atbalstīta bioloģiski noārdāmo atkritumu pārstrādes infrastruktūras izveide kā sabiedrisko atkritumu apsaimniekošanas daļa. Turklāt, pārstrādes rezultātā tiek iegūts komposts, kuram ir izstrādāti kritēriji, lai attiecīgais materiāls zaudētu atkritumu statusu un būtu izmantojams augsnes ielabošanai, tajā skaitā pārdošanai. Šobrīd iegūtais komposts tiek arī realizēts tirgū, tomēr, līdzīgi kā prognozējams ar notekūdeņu dūņu pārstrādes rezultātā iegūto kompostu, tā pārdošanas izmaksas ir vairākkārt zemākas par pārstrādes pašizmaksu.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ieskatā ir jāveic būtiskas šo noteikumu projekta VI nodaļas izmaiņas, lai piemērotu atbalstu, kas sniedzams sabiedrisko ūdenssaimniecības pakalpojumu ietvarā. Tas nodrošinātu gan nozarei atbilstošu finansējuma modeļa īstenošanu, gan paaugstinātu projektu realizācijai pieejamā finansējuma intensitāti pārstrādes tehnoloģiju izveidei līdz vismaz 75%, gan nodrošinās augstāku investīciju programmas mērķu un rezultatīvo rādītāju sasniegšanas varbūtību.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ieskatā ir ļoti būtiski saņemt Sabiedrisko pakalpojumu regulēšanas komisijas viedokli par šobrīd plānoto komercdarbības atbalsta formu un tās iespējamo savietojamību ar sabiedriskajiem ūdenssaimniecības pakalpojumiem un tarifu aprēķinu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lai novērstu neskaidrības par komercdarbības atbalsta piemērojamību. Noteikumu projektā skaidri noteikts, ka notekūdeņu dūņu pārstrāde ir sabiedrisko ūdenssaimniecības pakalpojumu neatņemama sastāvdaļa, līdz ar to šajās darbībās atbalsts tiek sniegts kā kompensācija par sabiedriskajiem pakalpojumiem saskaņā ar Eiropas Komisijas lēmumu Nr. 2012/21/ES, nosakot Kohēzijas fonda līdzfinansējuma intensitāti līdz 85 %. Vienlaikus projektos var būt arī tādi ieguldījumi, kuri atbilstoši ES tiesību aktiem kvalificējami kā komercdarbības atbalsts (piemēram, atbilstoši regulas Nr. 651/2014 vai regulas Nr. 2023/2831 noteikumiem). Ja projektos paredzēti ieguldījumi, kas ietilpst Regulas Nr. 651/2014 41. panta tvērumā, tiek piemērotas šajā regulā noteiktās atbalsta intensitātes. Šādās situācijās tiek piemērots kombinēts regulējums, paredzot atsevišķu izmaksu uzskaiti un piemērojot attiecīgos atbalsta piešķiršanas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noteikumu projektā paredzēts Sabiedrisko pakalpojumu regulēšanas komisijas iesaistes mehānisms tarifu noteikšanā, kas nodrošina sabiedriskā pakalpojuma būtībai un ekonomiskajam pamatotumam atbilstošu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Ar komercdarbības atbalsta saņemšanu saistītie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Komercdarbības atbalsts saskaņā ar Regulas Nr. 651/2014 36.b pantu piešķir, ja ievēroti šādi Regulas Nr. 651/2014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Regulas Nr. 651/2014 36.b panta 5. punkta "a" un ''b'' apakšpunkts tiek piemērots tikai gadījumos, ja atbalstu piešķir konkurenci veicinošā konkursa procedūrā, savukārt, ja atbalstu piešķir, pamatojoties uz atbalsta shēmu, kas ir šīs programmas gadījums, ir piemērojamās Regulas Nr. 651/2014 36.b panta 6. punktā minētās atbalsta intensitātes, ievērojot Regulas Nr. 651/2014 36.b panta 2. un 3. punktā noteikto. Attiecīgi lūdzam precizēt noteikumu projektu, t.sk., iekļaujot attiecīgās normas, ko nosaka Regulas Nr. 651/2014 36.b panta 2., 3. un 6. punkts. Attiecīgi lūdzam precizēt arī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39. punkts, kas atsaucās uz minēto normu, ir svītrots. Atbilstoši precizēta arī anotācija, svītrojot atsauci uz Regulas Nr. 651/2014 36.b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Komercdarbības atbalsts saskaņā ar Regulas Nr. 651/2014 41. panta 10. punktu paredz 100% atbalsta intensitāti no attiecināmajām izmaksām infrastruktūras ieguldījumiem atjaunojamās enerģijas jomā, kas saistīta ar notekūdeņu dūņu pārstrādi, tostarp biogāzes (t.sk. biometāna) ieguves iekārtu iegādi un uzstādīšanu. Sniedzot atbalstu, jāievēro Regulas Nr. 651/2014 41. panta 1., 2. un 5. punkta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Regulas Nr. 651/2014 41. panta 10. punkts tiek piemērots tikai gadījumos, ja atbalstu piešķir konkurenci veicinošā konkursa procedūrā, savukārt, ja atbalstu piešķir, pamatojoties uz atbalsta shēmu, kas ir šīs programmas gadījums, ir piemērojamās Regulas Nr. 651/2014 41. panta 7. un 8. punktā minētās atbalsta intensitātes, kā arī ievērojot Regulas Nr. 651/2014 41. panta 6. punktā noteikto. Attiecīgi lūdzam precizēt noteikumu projektu, t.sk., iekļaujot attiecīgās normas, ko nosaka Regulas Nr. 651/2014 41. panta 7., 8.(ja attiecināms) un 6. punkts. Attiecīgi lūdzam precizēt arī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iebildums par Regulas Nr. 651/2014 41. panta piemērošanu ir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atbalsts netiek sniegts konkurenci veicinošā konkursa procedūrā, bet gan uz atbalsta shēmas pamata, noteikumu projektā svītrota atsauce uz 41. panta 10. punktu. Precizētajā redakcijā paredzēts, ka attiecināmās ir Regulas Nr. 651/2014 41. panta 7. un 8. punktā noteiktās atbalsta intensitātes, ievērojot arī 41. panta 6. punkta nosacījumus. Atbilstoši labota arī anotācija, lai nodrošinātu regulējuma atbilstību piemērojamajām normām. Skatīt noteikuma projekta 32.4. apakšpunktu: kopējā atbalsta intensitāte attiecināmajām izmaksām infrastruktūras ieguldījumiem atjaunojamās enerģijas jomā, kas saistīta ar notekūdeņu dūņu pārstrādi, tostarp biogāzes (t.sk. biometāna) ieguves iekārtu iegādi un uzstādīšanu saskaņā ar regulas Nr. 651/2014 41. panta 7. un 8. punktu nepārsniedz: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Maksimālā Kohēzijas fonda finansējuma intensitāte šo noteikumu </w:t>
            </w:r>
            <w:r w:rsidR="00000000" w:rsidRPr="00000000" w:rsidDel="00000000">
              <w:rPr>
                <w:rtl w:val="0"/>
              </w:rPr>
              <w:t xml:space="preserve">25.1.</w:t>
            </w:r>
            <w:r w:rsidR="00000000" w:rsidRPr="00000000" w:rsidDel="00000000">
              <w:rPr>
                <w:rtl w:val="0"/>
              </w:rPr>
              <w:t xml:space="preserve">, </w:t>
            </w:r>
            <w:r w:rsidR="00000000" w:rsidRPr="00000000" w:rsidDel="00000000">
              <w:rPr>
                <w:rtl w:val="0"/>
              </w:rPr>
              <w:t xml:space="preserve">25.2.</w:t>
            </w:r>
            <w:r w:rsidR="00000000" w:rsidRPr="00000000" w:rsidDel="00000000">
              <w:rPr>
                <w:rtl w:val="0"/>
              </w:rPr>
              <w:t xml:space="preserve">., </w:t>
            </w:r>
            <w:r w:rsidR="00000000" w:rsidRPr="00000000" w:rsidDel="00000000">
              <w:rPr>
                <w:rtl w:val="0"/>
              </w:rPr>
              <w:t xml:space="preserve">25.3.</w:t>
            </w:r>
            <w:r w:rsidR="00000000" w:rsidRPr="00000000" w:rsidDel="00000000">
              <w:rPr>
                <w:rtl w:val="0"/>
              </w:rPr>
              <w:t xml:space="preserve">, </w:t>
            </w:r>
            <w:r w:rsidR="00000000" w:rsidRPr="00000000" w:rsidDel="00000000">
              <w:rPr>
                <w:rtl w:val="0"/>
              </w:rPr>
              <w:t xml:space="preserve">25.4.</w:t>
            </w:r>
            <w:r w:rsidR="00000000" w:rsidRPr="00000000" w:rsidDel="00000000">
              <w:rPr>
                <w:rtl w:val="0"/>
              </w:rPr>
              <w:t xml:space="preserve">, </w:t>
            </w:r>
            <w:r w:rsidR="00000000" w:rsidRPr="00000000" w:rsidDel="00000000">
              <w:rPr>
                <w:rtl w:val="0"/>
              </w:rPr>
              <w:t xml:space="preserve">25.5.</w:t>
            </w:r>
            <w:r w:rsidR="00000000" w:rsidRPr="00000000" w:rsidDel="00000000">
              <w:rPr>
                <w:rtl w:val="0"/>
              </w:rPr>
              <w:t xml:space="preserve">, </w:t>
            </w:r>
            <w:r w:rsidR="00000000" w:rsidRPr="00000000" w:rsidDel="00000000">
              <w:rPr>
                <w:rtl w:val="0"/>
              </w:rPr>
              <w:t xml:space="preserve">25.7.</w:t>
            </w:r>
            <w:r w:rsidR="00000000" w:rsidRPr="00000000" w:rsidDel="00000000">
              <w:rPr>
                <w:rtl w:val="0"/>
              </w:rPr>
              <w:t xml:space="preserve"> apakšpunktā noteiktajām atbalstāmajām darbībām notekūdeņu dūņu kompostēšanas laukumu izbūvei, ieskaitot pārstrādes iekārtu iegādi, uzstādīšanu un pielāgošanu, un notekūdeņu dūņu žāvēšanas un pirolīzes iekārtu, tostarp pirolīzes reaktora, iegādei un uzstādīšanai, kurās neiekļauj </w:t>
            </w:r>
            <w:r w:rsidR="00000000" w:rsidRPr="00000000" w:rsidDel="00000000">
              <w:rPr>
                <w:i w:val="1"/>
                <w:rtl w:val="0"/>
              </w:rPr>
              <w:t xml:space="preserve">de minimis</w:t>
            </w:r>
            <w:r w:rsidR="00000000" w:rsidRPr="00000000" w:rsidDel="00000000">
              <w:rPr>
                <w:rtl w:val="0"/>
              </w:rPr>
              <w:t xml:space="preserve"> atbalstu šo noteikumu </w:t>
            </w:r>
            <w:r w:rsidR="00000000" w:rsidRPr="00000000" w:rsidDel="00000000">
              <w:rPr>
                <w:rtl w:val="0"/>
              </w:rPr>
              <w:t xml:space="preserve">26.1.</w:t>
            </w:r>
            <w:r w:rsidR="00000000" w:rsidRPr="00000000" w:rsidDel="00000000">
              <w:rPr>
                <w:rtl w:val="0"/>
              </w:rPr>
              <w:t xml:space="preserve"> apakšpunktā un </w:t>
            </w:r>
            <w:r w:rsidR="00000000" w:rsidRPr="00000000" w:rsidDel="00000000">
              <w:rPr>
                <w:rtl w:val="0"/>
              </w:rPr>
              <w:t xml:space="preserve">26.3.</w:t>
            </w:r>
            <w:r w:rsidR="00000000" w:rsidRPr="00000000" w:rsidDel="00000000">
              <w:rPr>
                <w:rtl w:val="0"/>
              </w:rPr>
              <w:t xml:space="preserve"> apakšpunktā minēto izmaksu segšanai, ņemot vērā Regulas Nr. 651/2014 47. panta 8. un 9. punktu un šo noteikumu </w:t>
            </w:r>
            <w:r w:rsidR="00000000" w:rsidRPr="00000000" w:rsidDel="00000000">
              <w:rPr>
                <w:rtl w:val="0"/>
              </w:rPr>
              <w:t xml:space="preserve">20.</w:t>
            </w:r>
            <w:r w:rsidR="00000000" w:rsidRPr="00000000" w:rsidDel="00000000">
              <w:rPr>
                <w:rtl w:val="0"/>
              </w:rPr>
              <w:t xml:space="preserve"> punktu, nepārsniedz: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viedokli, ka visi ūdenssaimniecības nozares uzņēmumi šobrīd tiek klasificēti kā lielie komersanti, līdz ar to neredzam nepieciešamību sadrumstalot atbalsta sniegšanas maksimālo intensitāti, bet aicinām to veidot vienādu visiem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balstoties uz ūdenssaimniecības nozares nepieciešamībām un faktiski prognozējamajiem rezultātiem par attiecīgo projektu realizāciju un to potenciālo ietekmi uz ūdenssaimniecības tarifiem, uzskatām, ka atbalsta likmei ir jābūt vismaz 75% no kopējām darbību realizācijas izmaksām. Pretējā gadījumā var netikt sasniegti kopējie darbības rezultējošie rādītāji,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ieviešanai nepieciešams būtisks komersantu līdzfinansējums, kas šobrīd ir ierobežots, jo paralēli tiek ieviesti citi investīciju projekti. Komersantiem pieejamie aizņemšanās limiti valsts kasē ir ierobežoti, kā arī komerciestādēs mēdz būt sasniegti maksimāli pieejamie kredītu apjomi.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dūņu pārstādes centru ieviešana tieši un būtiski ietekmēs notekūdeņu tarifus, jo projekta īstenošanas rezultātā ūdenssaimniecības pakalpojumu sniedzējiem radīsies papildus izmaksas, ko nav iespējams kompensēt ar potenciālajiem ieguvumiem no pārstrādātajiem materiāliem.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LŪKA iebildums ir 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ES tiesiskajam regulējumam, komercdarbības atbalsta piešķiršanas gadījumā ir obligāti jāveic finansējuma saņēmēja statusa noteikšana — proti, vai tas kvalificējas kā mikro, mazais, vidējais vai lielais uzņēmums, saskaņā ar regulas Nr. 651/2014 I pielikumā noteiktajiem kritērijiem. Šī ir nepieciešama procesuāla darbība, lai nodrošinātu atbalsta atbilstību valsts atbalsta kontroles prasībām. Lai arī pašvaldību kapitālsabiedrības pārsvarā klasificējas kā lielie uzņēmumi, statusa formāla pārbaude ir prasība no normatīvā regulējuma un nav uzskatāma par mākslīgu vai saturiski izšķirošu dalījumu, bet gan par juridisku priekšnosacījumu finansējuma piešķiršanai.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atbalsta intensitāte tiek diferencēta, ņemot vērā Regulas Nr. 651/2014 prasības, kas paredz atšķirīgus nosacījumus lielajiem un mazajiem/vidējiem komersantiem. Vienlaikus, lai nodrošinātu projektu īstenošanas finansiālo ilgtspēju un mazinātu potenciālo ietekmi uz tarifiem, ir paredzēts, ka Kohēzijas fonda finansējuma intensitāte nepārsniegs 85% no attiecināmajām izmaksām. Tādējādi noteikumu projekts nodrošina gan regulējuma atbilstību ES normām, gan atbalsta līmeni, kas praktiski palīdzēs sasniegt investīciju programmas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Projekta iesniedzējs, atbilstoši Regulas Nr. 651/2014 47. panta 7. punktam, projekta iesniegumā apraksta, ka tad, ja atbalsts nebūtu piešķirts, ieguldījums netiktu veikts, piemēram, šādu iemeslu dēļ: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atbalstu plānots sniegts saskaņā ar Regulas Nr. 651/2014 47. pantu, lūdzam noteikumu projektu papildināt arī ar normām, kas izriet no Regulas Nr. 651/2014 47. panta 2.,3., 4., 6. un 10.punkta.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44. punkts, un tajā ietvertā informācija par Regulas Nr. 651/2014 47. pantu,  ir svītrots. Atbilstoši precizēta arī anotācija, svītrojot atsauci uz Regulas Nr. 651/2014 47.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Komercdarbības atbalstu, kas piešķirts šo noteikumu ietvaros saskaņā ar Regulu Nr. 651/2014, drīkst kumulēt ar citu atbalstu no valsts, reģionālajiem vai Eiropas Savienības finanšu līdzekļiem, ja vien tas attiecas uz dažādām attiecināmajām izmaksām un pēc atbalstu apvienošanas netiek pārsniegta maksimāli pieļaujamā atbalsta intensitāte, kā to nosaka Regula Nr. 651/2014.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viennozīmīgi skaidri ir kumulācijas nosacījumi, kad atbalsts tiek sniegts ar Regulu Nr. 651/2014, lūdzam precizēt noteikumu projekta 50.punkta beigās minēto, aizstājot vārdus "kā to nosaka Regula Nr. 651/2014", ar informāciju, ka jāievēro šajos noteikumos noteiktā atbalsta intensitāte saskaņā ar Regulu Nr. 651/2014.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FM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50. punkts (precizētajā redakcijā – 42.) pārstrādāts, skaidri nosakot, ka atbalstu var kumulēt tikai tad, ja tas attiecas uz dažādām attiecināmajām izmaksām un pēc kumulācijas netiek pārsniegta šo noteikumu un Regulas Nr. 651/2014 attiecīgajos pantos noteiktā maksimāli pieļaujamā atbalsta intensitāte. Lūdzu skatīt 42.punktu.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Komercdarbības atbalstu, kas piešķirts šo noteikumu ietvaros saskaņā ar regulu Nr. 651/2014, drīkst kumulēt ar citu atbalstu no valsts, reģionālajiem vai Eiropas Savienības finanšu līdzekļiem, ja vien tas attiecas uz dažādām attiecināmajām izmaksām un pēc atbalstu apvienošanas netiek pārsniegta šo noteikumu un regulas Nr. 651/2014 attiecīgajā pantā noteiktā maksimāli pieļaujamā atbalsta intensitāte.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Piešķirto komercdarbības atbalstu drīkst kumulēt ar citu komercdarbības atbalstu, ja vien atbalsts attiecas uz dažādām attiecināmajām izmaksām un pēc atbalstu apvienošanas atbalsta vienībai vai izmaksu pozīcijai attiecīgā maksimālā atbalsta intensitāte nepārsniedz 100 procentus.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noteikumu projekta 53.punktu, jo tas ir pretrunā ar noteikumu projekta 51.punktā noteikto, ka de minimis atbalstu drīkst kumulēt ar citu komercdarbības atbalstu par tām pašām vai dažādām attiecināmajām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iebildums ir ņemts vērā. Noteikumu projekta 53. punkts ir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Neparedzētie izdevumi un rezerves izmaksas projektā ir sedzamas no līdzekļiem, par kuriem nav saņemts jebkāds komercdarbības atbalsts saskaņā ar Regulas Nr. 651/2014 1. panta 2. punkta "c" apakšpunkta un 6. panta 1. punkta, kā arī Eiropas Komisijas lēmuma Nr. 2012/21/ES 5.panta nosacījumiem, ja šīs izmaksas jau nav ietvertas sākotnēji piešķiramā atbalsta apjomā, saskaņā ar šo noteikumu </w:t>
            </w:r>
            <w:r w:rsidR="00000000" w:rsidRPr="00000000" w:rsidDel="00000000">
              <w:rPr>
                <w:rtl w:val="0"/>
              </w:rPr>
              <w:t xml:space="preserve">26.10.</w:t>
            </w:r>
            <w:r w:rsidR="00000000" w:rsidRPr="00000000" w:rsidDel="00000000">
              <w:rPr>
                <w:rtl w:val="0"/>
              </w:rPr>
              <w:t xml:space="preserve"> un </w:t>
            </w:r>
            <w:r w:rsidR="00000000" w:rsidRPr="00000000" w:rsidDel="00000000">
              <w:rPr>
                <w:rtl w:val="0"/>
              </w:rPr>
              <w:t xml:space="preserve">26.11.</w:t>
            </w:r>
            <w:r w:rsidR="00000000" w:rsidRPr="00000000" w:rsidDel="00000000">
              <w:rPr>
                <w:rtl w:val="0"/>
              </w:rPr>
              <w:t xml:space="preserve">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neparedzētie izdevumi un rezerves izmaksas projektā ir sedzamas no līdzekļiem, par kuriem nav saņemts jebkāds komercdarbības atbalsts, ja vien šīs izmaksas jau nav ietvertas sākotnēji piešķiramā atbalsta apjomā, ja atbalsts tiek sniegts saskaņā ar Regulu Nr. 651/2014, savukārt, ja atbalsts tiek sniegts saskaņā ar Eiropas Komisijas lēmuma Nr. 2012/21/ES nosacījumiem, neparedzētos izdevumus un rezerves izmaksas var segt, piemērojot Eiropas Komisijas lēmuma Nr. 2012/21/ES nosacījumus. Attiecīgi lūdzam precizēt noteikumu projekta 54.punktu, vienlaikus dzēšot atsauces uz Regulas Nr. 651/2014 1. panta 2. punkta "c" apakšpunktu un 6. panta 1. punktu, kā arī Eiropas Komisijas lēmuma Nr. 2012/21/ES 5.pantu, jo tās nav atbilstošas. Vienlaikus lūdzam ar skaidrojumu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iebildums ir ņemts vērā – precizēts noteikumu projekta 54. (precizētajā redakcijā – 26.) punkts, nosakot, ka, ja atbalsts piešķirts saskaņā ar Regulu Nr. 651/2014, neparedzētie izdevumi un rezerves izmaksas nav attiecināmas un sedzamas no finansējuma saņēmēja līdzekļiem, kas nav komercdarbības atbalsts. Savukārt gadījumā, ja atbalsts tiek sniegts kā kompensācija par sabiedriskajiem pakalpojumiem atbilstoši Komisijas lēmumam Nr. 2012/21/ES, šo izmaksu segšana ir pieļaujama tikai ar nosacījumu, ka tā ir pamatota, paredzēta sabiedriskā pakalpojuma līgumā un netiek radīta pārmērīga kompensācija. Atbilstoši precizēta arī anotācija. Lūdzu skatīt 26.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Neparedzētie izdevumi, kas minēti šo noteikumu </w:t>
            </w:r>
            <w:r w:rsidR="00000000" w:rsidRPr="00000000" w:rsidDel="00000000">
              <w:rPr>
                <w:rtl w:val="0"/>
              </w:rPr>
              <w:t xml:space="preserve">27.5.</w:t>
            </w:r>
            <w:r w:rsidR="00000000" w:rsidRPr="00000000" w:rsidDel="00000000">
              <w:rPr>
                <w:rtl w:val="0"/>
              </w:rPr>
              <w:t xml:space="preserve"> apakšpunktā, nav attiecināmi, ja atbalsts tiek piešķirts saskaņā ar regulas Nr. 651/2014 nosacījumiem, un finansējuma saņēmējs tos sedz no saviem līdzekļiem, kas nav komercdarbības atbalsts. Ja atbalsts tiek sniegts kā kompensācija par sabiedriskajiem pakalpojumiem uzņēmumiem, kuriem uzticēts sniegt pakalpojumus ar vispārēju tautsaimniecisku nozīmi, neparedzēto izdevumu segšana ir pieļaujama, ja tā ir pamatota, paredzēta līgumā par sabiedrisko ūdenssaimniecības pakalpojumu sniegšanu un nerada pārmērīgu kompensāciju.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Ja projekta darbības (izņemot šo noteikumu </w:t>
            </w:r>
            <w:r w:rsidR="00000000" w:rsidRPr="00000000" w:rsidDel="00000000">
              <w:rPr>
                <w:rtl w:val="0"/>
              </w:rPr>
              <w:t xml:space="preserve">26.1.</w:t>
            </w:r>
            <w:r w:rsidR="00000000" w:rsidRPr="00000000" w:rsidDel="00000000">
              <w:rPr>
                <w:rtl w:val="0"/>
              </w:rPr>
              <w:t xml:space="preserve"> apakšpunktā minētās izmaksas) ir uzsāktas un izmaksas radušās pirms projekta iesnieguma iesniegšanas sadarbības iestādē, projekta iesniegums tiek noraidīts.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dotu sasaisti ar darbu sākuma definīciju, tādējādi ievērojot atbalsta stimulējošās ietekmes prasību, lūdzam noteikumu projekta 60. punktā dot atsauci uz noteikumu projekta 45.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iebildums ir ņemts vērā – precizēts noteikumu projekta 60. (precizētajā redakcijā – 44.) punkts, papildinot to ar atsauci uz darba sākuma definīciju (šo noteikumu 36. punkts), lai nodrošinātu atbalsta stimulējošās ietekmes prasību izpildi. Lūdzu skatīt 44.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Ja projekta aktivitātes (izņemot šo noteikumu </w:t>
            </w:r>
            <w:r w:rsidR="00000000" w:rsidRPr="00000000" w:rsidDel="00000000">
              <w:rPr>
                <w:rtl w:val="0"/>
              </w:rPr>
              <w:t xml:space="preserve">27.1.</w:t>
            </w:r>
            <w:r w:rsidR="00000000" w:rsidRPr="00000000" w:rsidDel="00000000">
              <w:rPr>
                <w:rtl w:val="0"/>
              </w:rPr>
              <w:t xml:space="preserve"> apakšpunktā minētās izmaksas) ir uzsāktas un izmaksas radušās pirms projekta iesnieguma iesniegšanas Vides investīciju fondā, atbilstoši šo noteikumu </w:t>
            </w:r>
            <w:r w:rsidR="00000000" w:rsidRPr="00000000" w:rsidDel="00000000">
              <w:rPr>
                <w:rtl w:val="0"/>
              </w:rPr>
              <w:t xml:space="preserve">41.</w:t>
            </w:r>
            <w:r w:rsidR="00000000" w:rsidRPr="00000000" w:rsidDel="00000000">
              <w:rPr>
                <w:rtl w:val="0"/>
              </w:rPr>
              <w:t xml:space="preserve"> punktā noteiktajai darba sākuma definīcijai, projekta iesniegums tiek noraidīts.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plānotais un pieejamais kopējais attiecināmais finansējums ir 27 233 743 </w:t>
            </w:r>
            <w:r w:rsidR="00000000" w:rsidRPr="00000000" w:rsidDel="00000000">
              <w:rPr>
                <w:i w:val="1"/>
                <w:rtl w:val="0"/>
              </w:rPr>
              <w:t xml:space="preserve">euro</w:t>
            </w:r>
            <w:r w:rsidR="00000000" w:rsidRPr="00000000" w:rsidDel="00000000">
              <w:rPr>
                <w:rtl w:val="0"/>
              </w:rPr>
              <w:t xml:space="preserve"> (tajā skaitā elastības finansējums - 18 999 171 </w:t>
            </w:r>
            <w:r w:rsidR="00000000" w:rsidRPr="00000000" w:rsidDel="00000000">
              <w:rPr>
                <w:i w:val="1"/>
                <w:rtl w:val="0"/>
              </w:rPr>
              <w:t xml:space="preserve">euro</w:t>
            </w:r>
            <w:r w:rsidR="00000000" w:rsidRPr="00000000" w:rsidDel="00000000">
              <w:rPr>
                <w:rtl w:val="0"/>
              </w:rPr>
              <w:t xml:space="preserve">), tajā skaitā Kohēzijas fonda finansējums – 23 148 681 </w:t>
            </w:r>
            <w:r w:rsidR="00000000" w:rsidRPr="00000000" w:rsidDel="00000000">
              <w:rPr>
                <w:i w:val="1"/>
                <w:rtl w:val="0"/>
              </w:rPr>
              <w:t xml:space="preserve">euro</w:t>
            </w:r>
            <w:r w:rsidR="00000000" w:rsidRPr="00000000" w:rsidDel="00000000">
              <w:rPr>
                <w:rtl w:val="0"/>
              </w:rPr>
              <w:t xml:space="preserve"> (tajā skaitā elastības finansējums - 16 149 296 </w:t>
            </w:r>
            <w:r w:rsidR="00000000" w:rsidRPr="00000000" w:rsidDel="00000000">
              <w:rPr>
                <w:i w:val="1"/>
                <w:rtl w:val="0"/>
              </w:rPr>
              <w:t xml:space="preserve">euro</w:t>
            </w:r>
            <w:r w:rsidR="00000000" w:rsidRPr="00000000" w:rsidDel="00000000">
              <w:rPr>
                <w:rtl w:val="0"/>
              </w:rPr>
              <w:t xml:space="preserve">), un nacionālais līdzfinansējums, ko veido privātais līdzfinansējums, ne mazāk kā 4 085 062 </w:t>
            </w:r>
            <w:r w:rsidR="00000000" w:rsidRPr="00000000" w:rsidDel="00000000">
              <w:rPr>
                <w:i w:val="1"/>
                <w:rtl w:val="0"/>
              </w:rPr>
              <w:t xml:space="preserve">euro</w:t>
            </w:r>
            <w:r w:rsidR="00000000" w:rsidRPr="00000000" w:rsidDel="00000000">
              <w:rPr>
                <w:rtl w:val="0"/>
              </w:rPr>
              <w:t xml:space="preserve"> (tajā skaitā elastības finansējums - 2 849 875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6.punktu to izsakot piedāvātajā redakcijā, ņemot vērā, ka ar noteikuma projekta protokollēmuma 3. punktu tiek paredzēta atļauja Klimata un enerģētikas ministrijai izmantot elastības finansējumu. Vienlaicīgi lūdzam svītrot noteikumu projekta 7. punktu. Attiecīgi lūdzu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pieejamais kopējais attiecināmais finansējums ir 27 233 743 euro, tajā skaitā Kohēzijas fonda finansējums – 23 148 681 euro, un nacionālais līdzfinansējums, ko veido privātais līdzfinansējums, ne mazāk kā 4 085 062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priekšlikums ir ņemts vērā – precizēts noteikumu projekta 6. punkts FM piedāvātajā redakcijā, svītrojot elastības finansējuma atsevišķu uzskaitījumu, kā arī svītrots 7. punkts; atbilstoši precizēta un papildināta informācija ar skaidrojumu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Pakalpojuma vai deleģējuma līgumā, kas minēts šo noteikumu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16.</w:t>
            </w:r>
            <w:r w:rsidR="00000000" w:rsidRPr="00000000" w:rsidDel="00000000">
              <w:rPr>
                <w:rtl w:val="0"/>
              </w:rPr>
              <w:t xml:space="preserve"> punktā, iekļauj vismaz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(LŪKA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dūņu savākšanas, apstrādes un pārstrādes centra plānošanas laikā ir iespējams prognozēt tikai indikatīvus pārstrādājamo notekūdeņu dūņu apjomus, jo tie ir tieši atkarīgi no iedzīvotāju paradumiem, klimatiskajiem apstākļiem, pašvaldības attīstības un citiem faktoriem. Turklāt, ir iespējami gadījumi, kuros nākotnē prognozējamais pārstrādājamo notekūdeņu dūņu apjoms var samazināties gan notekūdeņu attīrīšanas procesu pilnveides, gan citu tehnoloģisko un demogrāfisko procesu ietekmē. Īpaši liela nenoteiktība iespējama pārstrādājamo notekūdeņu dūņu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LŪKA priekšlikums par indikatīvu dūņu apjomu noteikšanu ir ņemts vērā. Noteikumu projekts precizēts, paredzot, ka pakalpojuma līgumā norādāmie notekūdeņu dūņu apjomi tiek noteikti kā indikatīvi. Noteikuma projekta 17. punkts svītrots, informācija precizēta 28.1.4. apakšpunktā šādā redakcijā: minimālo notekūdeņu dūņu apstrādes vai pārstrādes indikatīvo prognozējamo apjomu un nosacījumus apstrādes vai pārstrādes apjoma maiņai.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iesniedzējs iesniedz sadarbības iestādē vispārējas tautsaimnieciskas nozīmes pakalpojuma pilnvarojuma uzlicēja apliecinājumu par šo noteikumu 16.7. apakšpunktā minētās atlīdzības (kompensācijas) maksājumu kontroli un pārskatīšanu, kā arī minēto atlīdzības (kompensācijas) maksājumu pārmaksas novēršanu un atgūšanu, ievērojot Eiropas Savienības līmenī noteikto pārbaužu regularitāti, bet ne retāk kā reizi trijos gados un pilnvarojuma akta darbības perioda beigās, ja tiek piemērots Eiropas Komisijas lēmums Nr. 2012/21/ES.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norādīto atsauci uz noteikumu projekta 16.7.apakšpunktu, norādot korektu noteikumu projekta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salāgot noteikumu projekta 18. un 49. punktu redakciju, lai novērstu nosacījumu dublēšanos viena noteikumu projekta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priekšlikums par atsauces precizēšanu ir ņemts vērā. Noteikumu projektā precizēts 18. punkts (precizētajā redakcijā – 34.) šādi: Projekta iesniedzējs iesniedz sadarbības iestādē vispārējas tautsaimnieciskas nozīmes pakalpojuma pilnvarojuma uzlicēja apliecinājumu par šo noteikumu 28.1.7. apakšpunktā minētās atlīdzības (kompensācijas) maksājumu kontroli un pārskatīšanu, kā arī minēto atlīdzības (kompensācijas) maksājumu pārmaksas novēršanu un atgūšanu, ievērojot Eiropas Savienības līmenī noteikto pārbaužu regularitāti, bet ne retāk kā reizi trijos gados un pilnvarojuma akta darbības perioda beigās.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iesniedzējs Valsts vides dienestā iesniedz informāciju par plānoto notekūdeņu dūņu pārstrādes iekārtu un darbību (tehnisko specifikāciju un citu papildinošu dokumentāciju, ja tāda ir pieejama), lai saņemtu Valsts vides dienesta izziņu par ietekmes uz vidi novērtējuma, sākotnējā izvērtējuma vai tehnisko noteikumu nepieciešamību. Projekta iesniedzējs pievieno izziņu projekta iesniegumam, ko iesniedz sadarbības iestādē atbilstoši šo noteikumu </w:t>
            </w:r>
            <w:r w:rsidR="00000000" w:rsidRPr="00000000" w:rsidDel="00000000">
              <w:rPr>
                <w:rtl w:val="0"/>
              </w:rPr>
              <w:t xml:space="preserve">22.</w:t>
            </w:r>
            <w:r w:rsidR="00000000" w:rsidRPr="00000000" w:rsidDel="00000000">
              <w:rPr>
                <w:rtl w:val="0"/>
              </w:rPr>
              <w:t xml:space="preserve"> punktā noteiktajai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(LŪKA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viedokli, ka vienlaicīgi no Valsts Vides dienesta būs nepieciešamas vismaz 10 izziņas un apšaubām iespējamību, ka tās tiks izdotas 15 darbdienu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svītrota prasība, ka Valsts Vides dienesta (turpmāk- VVD) izziņa sagatavojama 15 darba dienu laikā, lai novērstu nesamērīgus riskus un termiņa neizpildes iespēju. Vienlaikus Klimata un enerģētikas ministrija informējusi VVD par nepieciešamību izsniegt šādas izziņas, savukārt anotācijā papildus skaidrots, ka projekta iesniedzējiem plānošanas gaitā jāparedz papildu laiks dokumentācijas iesniegšanai VVD un izziņas saņemšanai (ieteicams vismaz viens mēnesis). Šo aspektu ņems vērā sadarbības iestāde, nosakot iesniegumu iesniegšanas termiņus, kā arī par to tiks informēti projektu iesniedzēji seminārā pirms atlases uzsākšanas.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 (iepriekš 23.) punktā veikti redakcionāli uzlabojumi un to lūdzu skatīt šādā redakcijā: Projekta iesniedzējs Valsts vides dienestam iesniedz informāciju par plānoto notekūdeņu dūņu pārstrādes iekārtu un darbību (tehnisko specifikāciju un citus pieejamos dokumentus), lai saņemtu izziņu par ietekmes uz vidi novērtējuma, sākotnējā izvērtējuma vai tehnisko noteikumu nepieciešamību. Saņemto izziņu projekta iesniedzējs pievieno projekta iesniegumam, ko iesniedz sadarbības iestādei saskaņā ar šo noteikumu 19.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Termiņš projektu iesniegumu sagatavošanai un iesniegšanai Kohēzijas politikas fondu vadības informācijas sistēmā tiks noteikts tā, lai nodrošinātu pietiekamu laiku Dūņu centra izveides nosacījumu izvērtējuma sagatavošanai un pabeigšanai, nepieciešamās dokumentācijas sagatavošanai, kā arī līguma ar pašvaldību noslēgšanai atbilstoši šo noteikumu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24.punktu, ņemot vērā to, ka tas nesatur juridiska rakstura normu, bet vairāk attiecas uz sadarbības iestādes un atbildīgās iestādes veicamām darbībām. Vēršam uzmanību, ka visi termiņi tiks noteikti projektu atlases nolikumā, un termiņš projektu iesniegumu iesniegšanai Kohēzijas politikas fondu vadības informācijas sistēmā tiks noteikts, sadarbības iestādei vienojoties ar atbildīgo iestādi. Ņemot vērā to, ka noteikumu projekta 22.punkts jau nosaka, ka projekta iesniedzējs sagatavo projekta iesniegumu saskaņā ar projektu iesniegumu atlases nolikuma prasībām, lūdzam svītrot noteikumu 24.punktu un nepieciešamības gadījumā ietvert to kā aprakstu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priekšlikums ņemts vērā- no noteikumu projekta svītrots 24. punkts. Termiņi projektu iesniegumu sagatavošanai un iesniegšanai tiks noteikti projektu atlases nolikumā, kā paredzēts noteikumu 19. punktā. Attiecīgā informācija iekļauta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uzkrāj datus par projekta ietekmi uz šo noteikumu </w:t>
            </w:r>
            <w:r w:rsidR="00000000" w:rsidRPr="00000000" w:rsidDel="00000000">
              <w:rPr>
                <w:rtl w:val="0"/>
              </w:rPr>
              <w:t xml:space="preserve">31.2.</w:t>
            </w:r>
            <w:r w:rsidR="00000000" w:rsidRPr="00000000" w:rsidDel="00000000">
              <w:rPr>
                <w:rtl w:val="0"/>
              </w:rPr>
              <w:t xml:space="preserve"> apakšpunktā minēto horizontālo principu īstenošanu un sniedz šo informāciju sadarbības iestādei;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neparedzēt pienākumu finansējuma saņēmējam uzkrāt datus par horizontālo principu "Vienlīdzība, iekļaušana, nediskriminācija un pamattiesību ievērošana" (turpmāk tekstā - HP VINPI). Paskaidrojam, ka atbilstoši Labklājības ministrijas un Tieslietu ministrijas vadlīnijām "Horizontālais princips “Vienlīdzība, iekļaušana, nediskriminācija un pamattiesību ievērošana”, 2.2.2.3.pasākumam  nav ietekmes uz HP VINPI, līdz ar to  finansējuma saņēmējam nav pienākums uzkrāt datus par HP VINPI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uzkrāj datus par projekta ietekmi uz horizontālo principu "Nenodarīt būtisku kaitējumu", "Energoefektivitāte pirmajā vietā" un "Klimatdrošināšana" īstenošanu un sniedz šo informāciju sadarbības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ņemts vērā LM izvirzītais priekšlikums. Lūdzu skatīt 51.3.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 ievēro interešu konflikta neesamību saskaņā ar Eiropas Parlamenta un Padomes 2024. gada 23. septembra Regula (ES, Euratom) 2024/2509 par finanšu noteikumiem, ko piemēro Savienības vispārējam budžetam (pārstrādāta redakcija) 61. panta un iepirkumu regulējošo normatīvo aktu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noteikumu projekta 31.5.apakšpunktu, ņemot vērā to, ka  Eiropas Parlamenta un Padomes 2024. gada 23. septembra Regulas (ES, Euratom) 2024/2509 par finanšu noteikumiem, ko piemēro Savienības vispārējam budžetam (pārstrādātā redakcija) 61.panta prasības ir tieši piemērojamas tādiem projektiem, kas saistīti ar Eiropas Savienības (ES) fondu atbalsta saņemšanu un vienlaikus kuros atbilstoši specifiskā atbalsta mērķim finansējuma saņēmējs atlases kārtībā ES fondu dalībniekiem, gala saņēmējiem vai sadarbības partneriem sniedz finansiālu atbalstu (t.s. daudzpakāpju projekti). Vienlaikus lūdzam svītrot arī atsauci uz Regulu 2024/2509 noteikumu projekta anotācijas 5.1.sadaļā un  5.4.sadaļas 1.tabulā.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priekšlikums ņemts vērā. Noteikumu projekta 31.5. apakšpunkts svītrots, jo Eiropas Parlamenta un Padomes Regulas (ES, Euratom) 2024/2509 61. panta prasības ir tieši piemērojamas tikai daudzpakāpju projektu gadījumos, kas šajā pasākumā nav paredzēti. Atbilstoši tam svītrotas arī atsauces uz Regulu Nr. 2024/2509 anotācijas 5.1. sadaļā un 5.4. sadaļas 1.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w:t>
            </w:r>
            <w:r w:rsidR="00000000" w:rsidRPr="00000000" w:rsidDel="00000000">
              <w:rPr>
                <w:i w:val="1"/>
                <w:rtl w:val="0"/>
              </w:rPr>
              <w:t xml:space="preserve">De minimis</w:t>
            </w:r>
            <w:r w:rsidR="00000000" w:rsidRPr="00000000" w:rsidDel="00000000">
              <w:rPr>
                <w:rtl w:val="0"/>
              </w:rPr>
              <w:t xml:space="preserve"> atbalstu, kas piešķirts šo noteikumu ietvaros saskaņā ar regulu Nr. 2023/2831, drīkst kumulēt ar citu komercdarbības atbalstu par tām pašām vai dažādām attiecināmajām izmaksām, ja vien tiek ievērota Regulā Nr. 2023/2831 noteiktā maksimālā kopējā atbalsta summa trīs gadu periodā, kā arī netiek pārsniegta attiecīgajam atbalsta veidam noteiktā maksimālā atbalsta intensitāte.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kumulācijas prasību ievērošanu, kas izriet no Komisijas regulas Nr. 2023/2831, lūdzam izteikt noteikumu projekta 51. punktu, piemēram, šādā piedāvātajā redakcijā, kuras piemēru lūdzam skatīt zemāk.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 minimis atbalstu, kas piešķirts šo noteikumu ietvaros saskaņā ar regulu Nr. 2023/2831, drīkst kumulēt ar citu de minimis atbalstu, tai skaitā attiecībā uz vienām un tām pašām attiecināmajām izmaksām, līdz Komisijas regulas Nr. 2023/2831 3. panta 2. 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ad-hoc lēmumā vai Eiropas Komisijas lēmumā. De minimis atbalstu ar citu de minimis atbalstu par vienām un tām pašām izmaksām var apvienot, ja pēc atbalstu apvienošanas atbalsta vienībai vai izmaksu pozīcijai attiecīgā maksimālā atbalsta intensitāte nepārsniedz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par vienām un tām pašām projekta attiecināmajām izmaksām tiek piešķirts atbalsts vairāku komercdarbības atbalsta programmu ietvaros, atbalsta saņēmējs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priekšlikums ņemts vērā. Noteikumu projekta 40. punkts (iepriekš- 51.punkts) precizēts, ņemot vērā FM piedāvāto redakciju, lai nodrošinātu korektu de minimis atbalsta kumulācijas nosacījumu piemērošanu saskaņā ar Komisijas regulas Nr. 2023/2831 prasībām. Redakcija papildināta ar detalizētu regulējumu par kumulāciju ar citiem de minimis un komercdarbības atbalsta veidiem, kā arī noteikts atbalsta saņēmēja pienākums sniegt informāciju par plānoto un piešķirto atbalstu, lai nepieļautu maksimāli pieļaujamās atbalsta intensitātes vai summas pārsniegšanu. Lūdzu skatīt 40.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w:t>
            </w:r>
            <w:r w:rsidR="00000000" w:rsidRPr="00000000" w:rsidDel="00000000">
              <w:rPr>
                <w:i w:val="1"/>
                <w:rtl w:val="0"/>
              </w:rPr>
              <w:t xml:space="preserve">De minimis</w:t>
            </w:r>
            <w:r w:rsidR="00000000" w:rsidRPr="00000000" w:rsidDel="00000000">
              <w:rPr>
                <w:rtl w:val="0"/>
              </w:rPr>
              <w:t xml:space="preserve"> atbalstu, kas piešķirts šo noteikumu ietvaros saskaņā ar regulu Nr. 2023/2831, drīkst kumulēt ar citu </w:t>
            </w:r>
            <w:r w:rsidR="00000000" w:rsidRPr="00000000" w:rsidDel="00000000">
              <w:rPr>
                <w:i w:val="1"/>
                <w:rtl w:val="0"/>
              </w:rPr>
              <w:t xml:space="preserve">de minimis</w:t>
            </w:r>
            <w:r w:rsidR="00000000" w:rsidRPr="00000000" w:rsidDel="00000000">
              <w:rPr>
                <w:rtl w:val="0"/>
              </w:rPr>
              <w:t xml:space="preserve"> atbalstu, tajā skaitā attiecībā uz vienām un tām pašām attiecināmajām izmaksām, līdz regulas Nr. 2023/2831 3. panta 2. punktā noteiktajam attiecīgajam robežlielumam, kā arī drīkst kumulēt ar citu komercdarbības atbalstu, tajā skaitā attiecībā uz vienām un tām pašām attiecināmajām izmaksām, ja netiek pārsniegta attiecīgā maksimālā atbalsta intensitāte vai atbalsta summa, kāda noteikta komercdarbības atbalsta programmā, ad-hoc lēmumā vai Eiropas Komisijas lēmumā. </w:t>
            </w:r>
            <w:r w:rsidR="00000000" w:rsidRPr="00000000" w:rsidDel="00000000">
              <w:rPr>
                <w:i w:val="1"/>
                <w:rtl w:val="0"/>
              </w:rPr>
              <w:t xml:space="preserve">De minimis</w:t>
            </w:r>
            <w:r w:rsidR="00000000" w:rsidRPr="00000000" w:rsidDel="00000000">
              <w:rPr>
                <w:rtl w:val="0"/>
              </w:rPr>
              <w:t xml:space="preserve"> atbalstu ar citu de minimis atbalstu par vienām un tām pašām izmaksām var apvienot, ja pēc atbalstu apvienošanas atbalsta vienībai vai izmaksu pozīcijai attiecīgā maksimālā atbalsta intensitāte nepārsniedz 100%. Ja par vienām un tām pašām projekta attiecināmajām izmaksām tiek piešķirts atbalsts vairāku komercdarbības atbalsta programmu ietvaros, atbalsta saņēmējs iesniedz informāciju par plānoto un piešķirto atbalstu, tajā skaitā par tām pašām attiecināmajām izmaksām, norādot atbalsta piešķiršanas datumu (tajā skaitā plānoto atbalsta piešķiršanas datumu), atbalsta intensitāti, atbalsta sniedzēju, konkursu vai investīciju un plānoto vai piešķirto atbalsta summu.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Komercdarbības atbalstu, kas piešķirts šo noteikumu ietvaros saskaņā ar Eiropas Komisijas lēmumu Nr. 2012/21/ES, drīkst kumulēt ar citu komercdarbības atbalstu, kas sniegts kā kompensācija par sabiedriskajiem pakalpojumiem dažiem uzņēmumiem, kuriem uzticēts sniegt pakalpojumus ar vispārēju tautsaimniecisku nozīmi, citas atbalsta programmas vai individuālā atbalsta projekta ietvaros par vienām un tām pašām attiecināmajām izmaksām, ja vien tiek ievērots pārkompensācijas aizliegums un kopējais atbalsta apjoms nepārsniedz nepieciešamo kompensāciju attiecīgā sabiedriskā pakalpojuma uzdevuma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viennozīmīgi skaidrs, ka noteikumu projekta 52. punktā minētais kopējais atbalsta apjoms nepārsniedz nepieciešamo kompensāciju attiecīgā sabiedriskā pakalpojuma uzdevuma izpildei, ir kompensācija, kas nepārsniedz gada summu 15 miljonus attiecīgā sabiedriskā pakalpojuma uzdevuma izpildei, kas noteikts Eiropas Komisijas lēmuma Nr. 2012/21/ES 2. panta 1a) punktā, lūdzam attiecīgi papildināt noteikumu projekta 52.punktu un anotācijas 5.4. 1. tabulu papildināt ar noteikumu punktu izvērtējumu atbilstoši Eiropas Komisijas lēmuma Nr. 2012/21/ES nosacījumiem, t.sk. Eiropas Komisijas lēmuma Nr. 2012/21/ES 2. panta 1a) punktam.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pārskatīt anotācijas 5.4. 1. tabulu un papildināt ar noteikumu punktu izvērtējumu atbilstoši arī citiem komercdarbības atbalsta regulējumiem.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priekšlikums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52. punkts (precizētajā redakcijā 41. punkts) precizēts, papildinot ar atsauci uz Komisijas lēmuma Nr. 2012/21/ES 2. panta 1. punkta a) apakšpunktā noteikto robežlielumu – maksimāli 15 miljoni euro gadā par vienu sabiedriskā pakalpojuma uzdevumu. Jaunajā redakcijā noteikts, ka kumulācija iespējama tikai ar citu atbalstu, kas sniegts kā kompensācija par sabiedriskajiem pakalpojumiem, ievērojot pārkompensācijas aizliegumu un nepārsniedzot nepieciešamo kompensāciju sabiedriskā ūdenssaimniecības pakalpojuma uzdevuma izpildei. Anotācija papildināta, ietverot punktu izvērtējumu atbilstoši Komisijas lēmuma Nr. 2012/21/ES prasībām, tostarp 2. panta 1. punkta a) apakšpunktam, kā arī citiem piemērojamajiem komercdarbības atbalsta regulējumiem. Lūdzu skatīt 41. punktu, kas precizēts šādā redakcijā: Komercdarbības atbalstu, kas piešķirts šo noteikumu ietvaros saskaņā ar Komisijas lēmumu Nr. 2012/21/ES, drīkst kumulēt tikai ar citu komercdarbības atbalstu, kas sniegts kā kompensācija par sabiedriskajiem pakalpojumiem saskaņā ar Komisijas lēmumu Nr. 2012/21/ES, tajā skaitā citas atbalsta programmas vai individuālā atbalsta projekta ietvaros par vienām un tām pašām attiecināmajām izmaksām, ja tiek ievērots pārkompensācijas aizliegums un kopējais atbalsta apjoms nepārsniedz nepieciešamo kompensāciju attiecīgā sabiedriskā ūdenssaimniecības pakalpojuma uzdevuma izpildei, kā arī nepārsniedz Komisijas lēmuma Nr. 2012/21/ES 2. panta 1. punkta a) apakšpunktā noteikto robežlielumu – 15 miljonus euro kalendāra gada laikā par vienu uzdevumu. Ja kompensācijas summa pilnvarojuma laikā ir mainīga, gada summu aprēķina kā pilnvarojuma laikā paredzamo kompensācijas gada summu vidējo rādītāju, attiecinot to uz katru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Ja tiek pārkāptas šajos noteikumos noteiktās komercdarbības atbalsta piešķiršanas prasības, tostarp Regulas Nr. 651/2014, Regulas Nr. 2023/2831 vai Eiropas Komisijas lēmuma Nr. 2012/21/ES prasības, finansējuma saņēmējam ir pienākums atmaksāt sadarbības iestādei projekta ietvaros saņemto nelikumīgo atbalstu pilnā apmērā kopā ar procentiem, saskaņā ar Komercdarbības atbalsta kontroles likuma IV vai V nodaļu. Atmaksa veicama no līdzekļiem, kas ir brīvi no komercdarbības atbalsta.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 nelikumīgu komercdarbības atbalstu tiek uzskatīts tāds atbalsts, kas sniegts, neievērojot attiecīgo komercdarbības atbalsta regulējumu, lūdzam no noteikumu projekta 64.punkta dzēst vārdus ''šajos noteikumos noteiktās komercdarbības atbalsta piešķiršanas prasības, tostarp'''.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priekšlikums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64. punkts (precizētajā redakcijā- 48. punkts) precizēts, dzēšot atsauci uz 'šajos noteikumos noteiktajām komercdarbības atbalsta piešķiršanas prasībām', lai atbilstoši Komercdarbības atbalsta kontroles likuma regulējumam nelikumīga atbalsta jēdziens tiktu sasaistīts tikai ar neatbilstību attiecīgajam Eiropas Savienības komercdarbības atbalsta regulējumam – regulai Nr. 651/2014, regulai Nr. 2023/2831 vai Komisijas lēmumam Nr. 2012/21/ES. Lūdzu skatīt 48.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Ja tiek pārkāptas regulas Nr. 651/2014, regulas Nr. 2023/2831 vai prasības, kas saistītas ar kompensācijas piešķiršanu par sabiedriskajiem pakalpojumiem uzņēmumiem, kuriem uzticēts sniegt pakalpojumus ar vispārēju tautsaimniecisku nozīmi, finansējuma saņēmējam ir pienākums atmaksāt Vides investīciju fondam projekta ietvaros saņemto nelikumīgo atbalstu pilnā apmērā kopā ar procentiem saskaņā ar Komercdarbības atbalsta kontroles likuma IV vai V nodaļu. Atmaksa veicama no līdzekļiem, kas ir brīvi no komercdarbības atbalsta.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25-TA-205</w:t>
    </w:r>
    <w:r>
      <w:br/>
    </w:r>
    <w:r w:rsidR="00000000" w:rsidRPr="00000000" w:rsidDel="00000000">
      <w:rPr>
        <w:rtl w:val="0"/>
      </w:rPr>
      <w:t xml:space="preserve">25.08.2026. 18.33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25-TA-205</w:t>
    </w:r>
    <w:r>
      <w:br/>
    </w:r>
    <w:r w:rsidR="00000000" w:rsidRPr="00000000" w:rsidDel="00000000">
      <w:rPr>
        <w:rtl w:val="0"/>
      </w:rPr>
      <w:t xml:space="preserve">25.08.2026. 18.33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Izziņa_25-TA-205.docx</dc:title>
</cp:coreProperties>
</file>

<file path=docProps/custom.xml><?xml version="1.0" encoding="utf-8"?>
<Properties xmlns="http://schemas.openxmlformats.org/officeDocument/2006/custom-properties" xmlns:vt="http://schemas.openxmlformats.org/officeDocument/2006/docPropsVTypes"/>
</file>