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46E7A" w14:textId="77777777" w:rsidR="00151A91" w:rsidRDefault="00151A91" w:rsidP="00151A91">
      <w:pPr>
        <w:rPr>
          <w:rFonts w:eastAsia="Times New Roman"/>
          <w:lang w:val="en-US"/>
        </w:rPr>
      </w:pPr>
      <w:r>
        <w:rPr>
          <w:rFonts w:eastAsia="Times New Roman"/>
          <w:b/>
          <w:bCs/>
          <w:lang w:val="en-US"/>
        </w:rPr>
        <w:t>From:</w:t>
      </w:r>
      <w:r>
        <w:rPr>
          <w:rFonts w:eastAsia="Times New Roman"/>
          <w:lang w:val="en-US"/>
        </w:rPr>
        <w:t xml:space="preserve"> Sandra </w:t>
      </w:r>
      <w:proofErr w:type="spellStart"/>
      <w:r>
        <w:rPr>
          <w:rFonts w:eastAsia="Times New Roman"/>
          <w:lang w:val="en-US"/>
        </w:rPr>
        <w:t>Vīgante</w:t>
      </w:r>
      <w:proofErr w:type="spellEnd"/>
      <w:r>
        <w:rPr>
          <w:rFonts w:eastAsia="Times New Roman"/>
          <w:lang w:val="en-US"/>
        </w:rPr>
        <w:t xml:space="preserve"> &lt;Sandra.Vigante@TM.GOV.LV&gt; </w:t>
      </w:r>
      <w:r>
        <w:rPr>
          <w:rFonts w:eastAsia="Times New Roman"/>
          <w:lang w:val="en-US"/>
        </w:rPr>
        <w:br/>
      </w:r>
      <w:r>
        <w:rPr>
          <w:rFonts w:eastAsia="Times New Roman"/>
          <w:b/>
          <w:bCs/>
          <w:lang w:val="en-US"/>
        </w:rPr>
        <w:t>Sent:</w:t>
      </w:r>
      <w:r>
        <w:rPr>
          <w:rFonts w:eastAsia="Times New Roman"/>
          <w:lang w:val="en-US"/>
        </w:rPr>
        <w:t xml:space="preserve"> Wednesday, September 29, 2021 4:12 PM</w:t>
      </w:r>
      <w:r>
        <w:rPr>
          <w:rFonts w:eastAsia="Times New Roman"/>
          <w:lang w:val="en-US"/>
        </w:rPr>
        <w:br/>
      </w:r>
      <w:r>
        <w:rPr>
          <w:rFonts w:eastAsia="Times New Roman"/>
          <w:b/>
          <w:bCs/>
          <w:lang w:val="en-US"/>
        </w:rPr>
        <w:t>To:</w:t>
      </w:r>
      <w:r>
        <w:rPr>
          <w:rFonts w:eastAsia="Times New Roman"/>
          <w:lang w:val="en-US"/>
        </w:rPr>
        <w:t xml:space="preserve"> ZM &lt;pasts@zm.gov.lv&gt;</w:t>
      </w:r>
      <w:r>
        <w:rPr>
          <w:rFonts w:eastAsia="Times New Roman"/>
          <w:lang w:val="en-US"/>
        </w:rPr>
        <w:br/>
      </w:r>
      <w:r>
        <w:rPr>
          <w:rFonts w:eastAsia="Times New Roman"/>
          <w:b/>
          <w:bCs/>
          <w:lang w:val="en-US"/>
        </w:rPr>
        <w:t>Cc:</w:t>
      </w:r>
      <w:r>
        <w:rPr>
          <w:rFonts w:eastAsia="Times New Roman"/>
          <w:lang w:val="en-US"/>
        </w:rPr>
        <w:t xml:space="preserve"> </w:t>
      </w:r>
      <w:proofErr w:type="spellStart"/>
      <w:r>
        <w:rPr>
          <w:rFonts w:eastAsia="Times New Roman"/>
          <w:lang w:val="en-US"/>
        </w:rPr>
        <w:t>Ilze</w:t>
      </w:r>
      <w:proofErr w:type="spellEnd"/>
      <w:r>
        <w:rPr>
          <w:rFonts w:eastAsia="Times New Roman"/>
          <w:lang w:val="en-US"/>
        </w:rPr>
        <w:t xml:space="preserve"> </w:t>
      </w:r>
      <w:proofErr w:type="spellStart"/>
      <w:r>
        <w:rPr>
          <w:rFonts w:eastAsia="Times New Roman"/>
          <w:lang w:val="en-US"/>
        </w:rPr>
        <w:t>Māliņa</w:t>
      </w:r>
      <w:proofErr w:type="spellEnd"/>
      <w:r>
        <w:rPr>
          <w:rFonts w:eastAsia="Times New Roman"/>
          <w:lang w:val="en-US"/>
        </w:rPr>
        <w:t xml:space="preserve"> &lt;Ilze.Malina@TM.GOV.LV&gt;; Dace Ugare &lt;Dace.Ugare@zm.gov.lv&gt;; </w:t>
      </w:r>
      <w:proofErr w:type="gramStart"/>
      <w:r>
        <w:rPr>
          <w:rFonts w:eastAsia="Times New Roman"/>
          <w:lang w:val="en-US"/>
        </w:rPr>
        <w:t>sandra.smuļko</w:t>
      </w:r>
      <w:proofErr w:type="gramEnd"/>
      <w:r>
        <w:rPr>
          <w:rFonts w:eastAsia="Times New Roman"/>
          <w:lang w:val="en-US"/>
        </w:rPr>
        <w:t>@zm.gov.lv &lt;sandra.smuÄ¼ko@zm.gov.lv&gt;</w:t>
      </w:r>
      <w:r>
        <w:rPr>
          <w:rFonts w:eastAsia="Times New Roman"/>
          <w:lang w:val="en-US"/>
        </w:rPr>
        <w:br/>
      </w:r>
      <w:r>
        <w:rPr>
          <w:rFonts w:eastAsia="Times New Roman"/>
          <w:b/>
          <w:bCs/>
          <w:lang w:val="en-US"/>
        </w:rPr>
        <w:t>Subject:</w:t>
      </w:r>
      <w:r>
        <w:rPr>
          <w:rFonts w:eastAsia="Times New Roman"/>
          <w:lang w:val="en-US"/>
        </w:rPr>
        <w:t xml:space="preserve"> FW: MK </w:t>
      </w:r>
      <w:proofErr w:type="spellStart"/>
      <w:r>
        <w:rPr>
          <w:rFonts w:eastAsia="Times New Roman"/>
          <w:lang w:val="en-US"/>
        </w:rPr>
        <w:t>noteikumu</w:t>
      </w:r>
      <w:proofErr w:type="spellEnd"/>
      <w:r>
        <w:rPr>
          <w:rFonts w:eastAsia="Times New Roman"/>
          <w:lang w:val="en-US"/>
        </w:rPr>
        <w:t xml:space="preserve"> </w:t>
      </w:r>
      <w:proofErr w:type="spellStart"/>
      <w:r>
        <w:rPr>
          <w:rFonts w:eastAsia="Times New Roman"/>
          <w:lang w:val="en-US"/>
        </w:rPr>
        <w:t>projekta</w:t>
      </w:r>
      <w:proofErr w:type="spellEnd"/>
      <w:r>
        <w:rPr>
          <w:rFonts w:eastAsia="Times New Roman"/>
          <w:lang w:val="en-US"/>
        </w:rPr>
        <w:t xml:space="preserve"> </w:t>
      </w:r>
      <w:proofErr w:type="spellStart"/>
      <w:r>
        <w:rPr>
          <w:rFonts w:eastAsia="Times New Roman"/>
          <w:lang w:val="en-US"/>
        </w:rPr>
        <w:t>saskaņošana</w:t>
      </w:r>
      <w:proofErr w:type="spellEnd"/>
      <w:r>
        <w:rPr>
          <w:rFonts w:eastAsia="Times New Roman"/>
          <w:lang w:val="en-US"/>
        </w:rPr>
        <w:t xml:space="preserve"> VSS -195</w:t>
      </w:r>
    </w:p>
    <w:p w14:paraId="5E8F3AB3" w14:textId="77777777" w:rsidR="00151A91" w:rsidRDefault="00151A91" w:rsidP="00151A91"/>
    <w:p w14:paraId="37CBD2F3" w14:textId="77777777" w:rsidR="00151A91" w:rsidRDefault="00151A91" w:rsidP="00151A91">
      <w:pPr>
        <w:pStyle w:val="NoSpacing"/>
        <w:jc w:val="both"/>
        <w:rPr>
          <w:color w:val="000000"/>
          <w:sz w:val="24"/>
          <w:szCs w:val="24"/>
        </w:rPr>
      </w:pPr>
      <w:r>
        <w:rPr>
          <w:color w:val="000000"/>
          <w:sz w:val="24"/>
          <w:szCs w:val="24"/>
        </w:rPr>
        <w:t>Labdien!</w:t>
      </w:r>
    </w:p>
    <w:p w14:paraId="216879AA" w14:textId="77777777" w:rsidR="00151A91" w:rsidRDefault="00151A91" w:rsidP="00151A91">
      <w:pPr>
        <w:pStyle w:val="NoSpacing"/>
        <w:jc w:val="both"/>
        <w:rPr>
          <w:color w:val="000000"/>
        </w:rPr>
      </w:pPr>
      <w:r>
        <w:rPr>
          <w:color w:val="000000"/>
          <w:sz w:val="24"/>
          <w:szCs w:val="24"/>
        </w:rPr>
        <w:t>Tieslietu ministrija ir izskatījusi Zemkopības ministrijas precizēto Ministru kabineta noteikumu projektu "Grozījumi Ministru kabineta 2010. gada 2. februāra noteikumos Nr. 104 "Pārtikas uzņēmumu atzīšanas un reģistrācijas kārtība"" (turpmāk – projekts) un izsaka šādus iebildumus: </w:t>
      </w:r>
    </w:p>
    <w:p w14:paraId="401029E0" w14:textId="77777777" w:rsidR="00151A91" w:rsidRDefault="00151A91" w:rsidP="00151A91">
      <w:pPr>
        <w:pStyle w:val="NoSpacing"/>
        <w:ind w:firstLine="720"/>
        <w:jc w:val="both"/>
        <w:rPr>
          <w:color w:val="000000"/>
        </w:rPr>
      </w:pPr>
      <w:r>
        <w:rPr>
          <w:color w:val="000000"/>
          <w:sz w:val="24"/>
          <w:szCs w:val="24"/>
        </w:rPr>
        <w:t>1. Projekta 10. punktā paredzētajā Ministru kabineta 2010. gada 2. februāra noteikumu Nr. 104 "Pārtikas uzņēmumu atzīšanas un reģistrācijas kārtība" (turpmāk – noteikumi) 24.</w:t>
      </w:r>
      <w:r>
        <w:rPr>
          <w:color w:val="000000"/>
          <w:sz w:val="24"/>
          <w:szCs w:val="24"/>
          <w:vertAlign w:val="superscript"/>
        </w:rPr>
        <w:t>2</w:t>
      </w:r>
      <w:r>
        <w:rPr>
          <w:color w:val="000000"/>
          <w:sz w:val="24"/>
          <w:szCs w:val="24"/>
        </w:rPr>
        <w:t>, 24.</w:t>
      </w:r>
      <w:r>
        <w:rPr>
          <w:color w:val="000000"/>
          <w:sz w:val="24"/>
          <w:szCs w:val="24"/>
          <w:vertAlign w:val="superscript"/>
        </w:rPr>
        <w:t>3</w:t>
      </w:r>
      <w:r>
        <w:rPr>
          <w:color w:val="000000"/>
          <w:sz w:val="24"/>
          <w:szCs w:val="24"/>
        </w:rPr>
        <w:t xml:space="preserve"> 24.</w:t>
      </w:r>
      <w:r>
        <w:rPr>
          <w:color w:val="000000"/>
          <w:sz w:val="24"/>
          <w:szCs w:val="24"/>
          <w:vertAlign w:val="superscript"/>
        </w:rPr>
        <w:t>4</w:t>
      </w:r>
      <w:r>
        <w:rPr>
          <w:color w:val="000000"/>
          <w:sz w:val="24"/>
          <w:szCs w:val="24"/>
        </w:rPr>
        <w:t>, 24.</w:t>
      </w:r>
      <w:r>
        <w:rPr>
          <w:color w:val="000000"/>
          <w:sz w:val="24"/>
          <w:szCs w:val="24"/>
          <w:vertAlign w:val="superscript"/>
        </w:rPr>
        <w:t>5</w:t>
      </w:r>
      <w:r>
        <w:rPr>
          <w:color w:val="000000"/>
          <w:sz w:val="24"/>
          <w:szCs w:val="24"/>
        </w:rPr>
        <w:t xml:space="preserve"> un 24.</w:t>
      </w:r>
      <w:r>
        <w:rPr>
          <w:color w:val="000000"/>
          <w:sz w:val="24"/>
          <w:szCs w:val="24"/>
          <w:vertAlign w:val="superscript"/>
        </w:rPr>
        <w:t>6</w:t>
      </w:r>
      <w:r>
        <w:rPr>
          <w:color w:val="000000"/>
          <w:sz w:val="24"/>
          <w:szCs w:val="24"/>
        </w:rPr>
        <w:t> punktā ietverts regulējums par pārtikas uzņēmumu reģistrāciju, bet nav skaidrs, vai projekta 10. punktā paredzētajā noteikumu 24.</w:t>
      </w:r>
      <w:r>
        <w:rPr>
          <w:color w:val="000000"/>
          <w:sz w:val="24"/>
          <w:szCs w:val="24"/>
          <w:vertAlign w:val="superscript"/>
        </w:rPr>
        <w:t>2</w:t>
      </w:r>
      <w:r>
        <w:rPr>
          <w:color w:val="000000"/>
          <w:sz w:val="24"/>
          <w:szCs w:val="24"/>
        </w:rPr>
        <w:t xml:space="preserve"> punktā minētajā gadījumā, pieņemot lēmumu par pārtikas uzņēmuma reģistrāciju attiecīgajā reģistrā, </w:t>
      </w:r>
      <w:r>
        <w:rPr>
          <w:color w:val="000000"/>
          <w:sz w:val="24"/>
          <w:szCs w:val="24"/>
          <w:shd w:val="clear" w:color="auto" w:fill="FFFFFF"/>
        </w:rPr>
        <w:t>Pārtikas un veterinārais dienests</w:t>
      </w:r>
      <w:r>
        <w:rPr>
          <w:color w:val="000000"/>
          <w:sz w:val="24"/>
          <w:szCs w:val="24"/>
        </w:rPr>
        <w:t xml:space="preserve"> ievēro Administratīvā procesa likumā paredzēto regulējumu, piemēram, veic faktu konstatāciju, </w:t>
      </w:r>
      <w:r>
        <w:rPr>
          <w:color w:val="000000"/>
          <w:sz w:val="24"/>
          <w:szCs w:val="24"/>
          <w:shd w:val="clear" w:color="auto" w:fill="FFFFFF"/>
        </w:rPr>
        <w:t>pārliecinoties, ka uzņēmums atbilst pārtikas apriti regulējošo normatīvo aktu prasībām u.tml. </w:t>
      </w:r>
    </w:p>
    <w:p w14:paraId="47235C47" w14:textId="77777777" w:rsidR="00151A91" w:rsidRDefault="00151A91" w:rsidP="00151A91">
      <w:pPr>
        <w:pStyle w:val="NoSpacing"/>
        <w:ind w:firstLine="720"/>
        <w:jc w:val="both"/>
        <w:rPr>
          <w:color w:val="000000"/>
        </w:rPr>
      </w:pPr>
      <w:r>
        <w:rPr>
          <w:color w:val="000000"/>
          <w:sz w:val="24"/>
          <w:szCs w:val="24"/>
        </w:rPr>
        <w:t>Turklāt vēršam uzmanību uz to, ka atbilstoši Administratīvā procesa likuma 55. panta 1. punktā noteiktajam administratīvo lietu iestādē ierosina uz iesnieguma pamata, nevis uz iesniegto dokumentu pamata kā tas ir norādīts projekta 10. punktā paredzētajā noteikumu 24.</w:t>
      </w:r>
      <w:r>
        <w:rPr>
          <w:color w:val="000000"/>
          <w:sz w:val="24"/>
          <w:szCs w:val="24"/>
          <w:vertAlign w:val="superscript"/>
        </w:rPr>
        <w:t>2</w:t>
      </w:r>
      <w:r>
        <w:rPr>
          <w:color w:val="000000"/>
          <w:sz w:val="24"/>
          <w:szCs w:val="24"/>
        </w:rPr>
        <w:t xml:space="preserve"> un 24.</w:t>
      </w:r>
      <w:r>
        <w:rPr>
          <w:color w:val="000000"/>
          <w:sz w:val="24"/>
          <w:szCs w:val="24"/>
          <w:vertAlign w:val="superscript"/>
        </w:rPr>
        <w:t>3</w:t>
      </w:r>
      <w:r>
        <w:rPr>
          <w:color w:val="000000"/>
          <w:sz w:val="24"/>
          <w:szCs w:val="24"/>
        </w:rPr>
        <w:t> punktā. </w:t>
      </w:r>
    </w:p>
    <w:p w14:paraId="3297EAD5" w14:textId="77777777" w:rsidR="00151A91" w:rsidRDefault="00151A91" w:rsidP="00151A91">
      <w:pPr>
        <w:pStyle w:val="NoSpacing"/>
        <w:ind w:firstLine="720"/>
        <w:jc w:val="both"/>
        <w:rPr>
          <w:color w:val="000000"/>
        </w:rPr>
      </w:pPr>
      <w:r>
        <w:rPr>
          <w:color w:val="000000"/>
          <w:sz w:val="24"/>
          <w:szCs w:val="24"/>
        </w:rPr>
        <w:t>Tāpat no projekta 10. punktā paredzētajā noteikumu 24.</w:t>
      </w:r>
      <w:r>
        <w:rPr>
          <w:color w:val="000000"/>
          <w:sz w:val="24"/>
          <w:szCs w:val="24"/>
          <w:vertAlign w:val="superscript"/>
        </w:rPr>
        <w:t>3</w:t>
      </w:r>
      <w:r>
        <w:rPr>
          <w:color w:val="000000"/>
          <w:sz w:val="24"/>
          <w:szCs w:val="24"/>
        </w:rPr>
        <w:t>, 24.</w:t>
      </w:r>
      <w:r>
        <w:rPr>
          <w:color w:val="000000"/>
          <w:sz w:val="24"/>
          <w:szCs w:val="24"/>
          <w:vertAlign w:val="superscript"/>
        </w:rPr>
        <w:t>4</w:t>
      </w:r>
      <w:r>
        <w:rPr>
          <w:color w:val="000000"/>
          <w:sz w:val="24"/>
          <w:szCs w:val="24"/>
        </w:rPr>
        <w:t xml:space="preserve"> un 24.</w:t>
      </w:r>
      <w:r>
        <w:rPr>
          <w:color w:val="000000"/>
          <w:sz w:val="24"/>
          <w:szCs w:val="24"/>
          <w:vertAlign w:val="superscript"/>
        </w:rPr>
        <w:t>5</w:t>
      </w:r>
      <w:r>
        <w:rPr>
          <w:color w:val="000000"/>
          <w:sz w:val="24"/>
          <w:szCs w:val="24"/>
        </w:rPr>
        <w:t> punktā ietvertā regulējuma nav viennozīmīgi skaidrs, vai attiecīgais lēmums tiek pieņemts Administratīvā procesa likuma 64. panta pirmajā daļā noteiktajā termiņā. </w:t>
      </w:r>
    </w:p>
    <w:p w14:paraId="0918BB75" w14:textId="77777777" w:rsidR="00151A91" w:rsidRDefault="00151A91" w:rsidP="00151A91">
      <w:pPr>
        <w:pStyle w:val="NoSpacing"/>
        <w:ind w:firstLine="720"/>
        <w:jc w:val="both"/>
        <w:rPr>
          <w:color w:val="000000"/>
        </w:rPr>
      </w:pPr>
      <w:r>
        <w:rPr>
          <w:color w:val="000000"/>
          <w:sz w:val="24"/>
          <w:szCs w:val="24"/>
        </w:rPr>
        <w:t xml:space="preserve">Savukārt </w:t>
      </w:r>
      <w:r>
        <w:rPr>
          <w:color w:val="000000"/>
          <w:sz w:val="24"/>
          <w:szCs w:val="24"/>
          <w:shd w:val="clear" w:color="auto" w:fill="FFFFFF"/>
        </w:rPr>
        <w:t xml:space="preserve">Administratīvā procesa likuma 70. pantā ir noteikts regulējums par administratīvā akta paziņošanu, tādēļ </w:t>
      </w:r>
      <w:r>
        <w:rPr>
          <w:color w:val="000000"/>
          <w:sz w:val="24"/>
          <w:szCs w:val="24"/>
        </w:rPr>
        <w:t>projekta 10. punktā paredzētajā noteikumu 24.</w:t>
      </w:r>
      <w:r>
        <w:rPr>
          <w:color w:val="000000"/>
          <w:sz w:val="24"/>
          <w:szCs w:val="24"/>
          <w:vertAlign w:val="superscript"/>
        </w:rPr>
        <w:t>2</w:t>
      </w:r>
      <w:r>
        <w:rPr>
          <w:color w:val="000000"/>
          <w:sz w:val="24"/>
          <w:szCs w:val="24"/>
        </w:rPr>
        <w:t xml:space="preserve"> un 24.</w:t>
      </w:r>
      <w:r>
        <w:rPr>
          <w:color w:val="000000"/>
          <w:sz w:val="24"/>
          <w:szCs w:val="24"/>
          <w:vertAlign w:val="superscript"/>
        </w:rPr>
        <w:t>6</w:t>
      </w:r>
      <w:r>
        <w:rPr>
          <w:color w:val="000000"/>
          <w:sz w:val="24"/>
          <w:szCs w:val="24"/>
        </w:rPr>
        <w:t> punktā ietvertais regulējums ir neskaidrs. Vienlaikus vēršam uzmanību arī uz to, ka atbilstoši Ministru kabineta 2009. gada 3. februāra noteikumu Nr. 108 "Normatīvo aktu projektu sagatavošanas noteikumi" 3.</w:t>
      </w:r>
      <w:r>
        <w:rPr>
          <w:color w:val="000000"/>
          <w:sz w:val="24"/>
          <w:szCs w:val="24"/>
          <w:shd w:val="clear" w:color="auto" w:fill="FFFFFF"/>
        </w:rPr>
        <w:t>2. apakšpunktā noteiktajam normatīvā akta projektā neietver normas, kas dublē augstāka spēka tiesību normās ietverto normatīvo regulējumu.</w:t>
      </w:r>
      <w:r>
        <w:rPr>
          <w:color w:val="000000"/>
          <w:sz w:val="24"/>
          <w:szCs w:val="24"/>
        </w:rPr>
        <w:t> </w:t>
      </w:r>
    </w:p>
    <w:p w14:paraId="14DC3553" w14:textId="77777777" w:rsidR="00151A91" w:rsidRDefault="00151A91" w:rsidP="00151A91">
      <w:pPr>
        <w:pStyle w:val="NoSpacing"/>
        <w:ind w:firstLine="720"/>
        <w:jc w:val="both"/>
        <w:rPr>
          <w:color w:val="000000"/>
        </w:rPr>
      </w:pPr>
      <w:r>
        <w:rPr>
          <w:color w:val="000000"/>
          <w:sz w:val="24"/>
          <w:szCs w:val="24"/>
        </w:rPr>
        <w:t>Ievērojot minēto, lūdzam izvērtēt projekta 10. punktā paredzētajā noteikumu 24.</w:t>
      </w:r>
      <w:r>
        <w:rPr>
          <w:color w:val="000000"/>
          <w:sz w:val="24"/>
          <w:szCs w:val="24"/>
          <w:vertAlign w:val="superscript"/>
        </w:rPr>
        <w:t>2</w:t>
      </w:r>
      <w:r>
        <w:rPr>
          <w:color w:val="000000"/>
          <w:sz w:val="24"/>
          <w:szCs w:val="24"/>
        </w:rPr>
        <w:t>, 24.</w:t>
      </w:r>
      <w:r>
        <w:rPr>
          <w:color w:val="000000"/>
          <w:sz w:val="24"/>
          <w:szCs w:val="24"/>
          <w:vertAlign w:val="superscript"/>
        </w:rPr>
        <w:t>3</w:t>
      </w:r>
      <w:r>
        <w:rPr>
          <w:color w:val="000000"/>
          <w:sz w:val="24"/>
          <w:szCs w:val="24"/>
        </w:rPr>
        <w:t>, 24.</w:t>
      </w:r>
      <w:r>
        <w:rPr>
          <w:color w:val="000000"/>
          <w:sz w:val="24"/>
          <w:szCs w:val="24"/>
          <w:vertAlign w:val="superscript"/>
        </w:rPr>
        <w:t>4</w:t>
      </w:r>
      <w:r>
        <w:rPr>
          <w:color w:val="000000"/>
          <w:sz w:val="24"/>
          <w:szCs w:val="24"/>
        </w:rPr>
        <w:t>, 24.</w:t>
      </w:r>
      <w:r>
        <w:rPr>
          <w:color w:val="000000"/>
          <w:sz w:val="24"/>
          <w:szCs w:val="24"/>
          <w:vertAlign w:val="superscript"/>
        </w:rPr>
        <w:t>5</w:t>
      </w:r>
      <w:r>
        <w:rPr>
          <w:color w:val="000000"/>
          <w:sz w:val="24"/>
          <w:szCs w:val="24"/>
        </w:rPr>
        <w:t xml:space="preserve"> un 24.</w:t>
      </w:r>
      <w:r>
        <w:rPr>
          <w:color w:val="000000"/>
          <w:sz w:val="24"/>
          <w:szCs w:val="24"/>
          <w:vertAlign w:val="superscript"/>
        </w:rPr>
        <w:t>6</w:t>
      </w:r>
      <w:r>
        <w:rPr>
          <w:color w:val="000000"/>
          <w:sz w:val="24"/>
          <w:szCs w:val="24"/>
        </w:rPr>
        <w:t xml:space="preserve"> punktā ietverto regulējumu un nepieciešamības gadījumā precizēt to, kā arī papildināt projekta sākotnējās </w:t>
      </w:r>
      <w:r>
        <w:rPr>
          <w:i/>
          <w:iCs/>
          <w:color w:val="000000"/>
          <w:sz w:val="24"/>
          <w:szCs w:val="24"/>
        </w:rPr>
        <w:t>(</w:t>
      </w:r>
      <w:proofErr w:type="spellStart"/>
      <w:r>
        <w:rPr>
          <w:i/>
          <w:iCs/>
          <w:color w:val="000000"/>
          <w:sz w:val="24"/>
          <w:szCs w:val="24"/>
        </w:rPr>
        <w:t>ex-ante)</w:t>
      </w:r>
      <w:proofErr w:type="spellEnd"/>
      <w:r>
        <w:rPr>
          <w:color w:val="000000"/>
          <w:sz w:val="24"/>
          <w:szCs w:val="24"/>
        </w:rPr>
        <w:t xml:space="preserve"> ietekmes novērtējuma ziņojumu (turpmāk – anotācija) ar atbilstošu skaidrojumu. </w:t>
      </w:r>
    </w:p>
    <w:p w14:paraId="5EF65F02" w14:textId="77777777" w:rsidR="00151A91" w:rsidRDefault="00151A91" w:rsidP="00151A91">
      <w:pPr>
        <w:ind w:firstLine="720"/>
        <w:rPr>
          <w:color w:val="000000"/>
          <w:sz w:val="24"/>
          <w:szCs w:val="24"/>
          <w:shd w:val="clear" w:color="auto" w:fill="FFFFFF"/>
        </w:rPr>
      </w:pPr>
      <w:r>
        <w:rPr>
          <w:color w:val="000000"/>
          <w:sz w:val="24"/>
          <w:szCs w:val="24"/>
        </w:rPr>
        <w:t>2. Projekta 13. punktā paredzētajā noteikumu 27. punktā ietverts regulējums par to, kādos gadījumos Pārtikas un veterinārais dienests svītro pārtikas uzņēmumu no attiecīgā reģistra, bet nav skaidrs, kādēļ nepieciešams šis regulējums. Proti, Pārtikas aprites uzraudzības likuma 27. panta sestā daļa paredz regulējumu par p</w:t>
      </w:r>
      <w:r>
        <w:rPr>
          <w:color w:val="000000"/>
          <w:sz w:val="24"/>
          <w:szCs w:val="24"/>
          <w:shd w:val="clear" w:color="auto" w:fill="FFFFFF"/>
        </w:rPr>
        <w:t xml:space="preserve">ārtikas uzņēmuma atzīšanas un atzīšanas numura vai reģistrācijas un reģistrācijas numura anulēšanu. Līdz ar to, pieņemot iepriekš minētos lēmumus, vienlaikus pārtikas uzņēmums būtu jāsvītro no attiecīgā reģistra, jo pretējā gadījumā var rasties situācijas, kad </w:t>
      </w:r>
      <w:r>
        <w:rPr>
          <w:color w:val="000000"/>
          <w:sz w:val="24"/>
          <w:szCs w:val="24"/>
        </w:rPr>
        <w:t>ir pieņemts lēmums par p</w:t>
      </w:r>
      <w:r>
        <w:rPr>
          <w:color w:val="000000"/>
          <w:sz w:val="24"/>
          <w:szCs w:val="24"/>
          <w:shd w:val="clear" w:color="auto" w:fill="FFFFFF"/>
        </w:rPr>
        <w:t xml:space="preserve">ārtikas uzņēmuma atzīšanas un atzīšanas numura vai reģistrācijas un reģistrācijas numura anulēšanu, bet pārtikas uzņēmums </w:t>
      </w:r>
      <w:r>
        <w:rPr>
          <w:color w:val="000000"/>
          <w:sz w:val="24"/>
          <w:szCs w:val="24"/>
          <w:shd w:val="clear" w:color="auto" w:fill="FFFFFF"/>
        </w:rPr>
        <w:lastRenderedPageBreak/>
        <w:t>nav svītrots no attiecīgā reģistra. Ievērojot minēto, lūdzam izvērtēt p</w:t>
      </w:r>
      <w:r>
        <w:rPr>
          <w:color w:val="000000"/>
          <w:sz w:val="24"/>
          <w:szCs w:val="24"/>
        </w:rPr>
        <w:t>rojekta 13. punktā paredzētajā noteikumu 27. punktā ietverto regulējumu un nepieciešamības gadījumā to precizēt, kā arī papildināt anotāciju ar atbilstošu skaidrojumu</w:t>
      </w:r>
      <w:r>
        <w:rPr>
          <w:color w:val="000000"/>
          <w:sz w:val="24"/>
          <w:szCs w:val="24"/>
          <w:shd w:val="clear" w:color="auto" w:fill="FFFFFF"/>
        </w:rPr>
        <w:t>.</w:t>
      </w:r>
    </w:p>
    <w:p w14:paraId="2CA7AFDC" w14:textId="77777777" w:rsidR="00151A91" w:rsidRDefault="00151A91" w:rsidP="00151A91">
      <w:pPr>
        <w:rPr>
          <w:lang w:eastAsia="en-US"/>
        </w:rPr>
      </w:pPr>
    </w:p>
    <w:p w14:paraId="3812667C" w14:textId="77777777" w:rsidR="00151A91" w:rsidRDefault="00151A91" w:rsidP="00151A91">
      <w:pPr>
        <w:rPr>
          <w:lang w:eastAsia="en-US"/>
        </w:rPr>
      </w:pPr>
    </w:p>
    <w:p w14:paraId="34F27B8A" w14:textId="77777777" w:rsidR="00151A91" w:rsidRDefault="00151A91" w:rsidP="00151A91">
      <w:pPr>
        <w:rPr>
          <w:rFonts w:ascii="Arial" w:hAnsi="Arial" w:cs="Arial"/>
          <w:color w:val="1F497D"/>
          <w:sz w:val="20"/>
          <w:szCs w:val="20"/>
        </w:rPr>
      </w:pPr>
      <w:r>
        <w:rPr>
          <w:rFonts w:ascii="Arial" w:hAnsi="Arial" w:cs="Arial"/>
          <w:color w:val="1F497D"/>
          <w:sz w:val="20"/>
          <w:szCs w:val="20"/>
        </w:rPr>
        <w:t>Amandas Mūrnieces vietā</w:t>
      </w:r>
    </w:p>
    <w:p w14:paraId="557A2477" w14:textId="77777777" w:rsidR="00151A91" w:rsidRDefault="00151A91" w:rsidP="00151A91">
      <w:pPr>
        <w:rPr>
          <w:rFonts w:ascii="Tahoma" w:hAnsi="Tahoma" w:cs="Tahoma"/>
          <w:color w:val="000000"/>
          <w:sz w:val="20"/>
          <w:szCs w:val="20"/>
        </w:rPr>
      </w:pPr>
      <w:r>
        <w:rPr>
          <w:rFonts w:ascii="Arial" w:hAnsi="Arial" w:cs="Arial"/>
          <w:b/>
          <w:bCs/>
          <w:color w:val="1F497D"/>
          <w:sz w:val="20"/>
          <w:szCs w:val="20"/>
        </w:rPr>
        <w:t>Sandra Vīgante</w:t>
      </w:r>
    </w:p>
    <w:p w14:paraId="49D5C012" w14:textId="77777777" w:rsidR="00151A91" w:rsidRDefault="00151A91" w:rsidP="00151A91">
      <w:pPr>
        <w:rPr>
          <w:rFonts w:ascii="Tahoma" w:hAnsi="Tahoma" w:cs="Tahoma"/>
          <w:color w:val="000000"/>
          <w:sz w:val="20"/>
          <w:szCs w:val="20"/>
        </w:rPr>
      </w:pPr>
      <w:r>
        <w:rPr>
          <w:rFonts w:ascii="Arial" w:hAnsi="Arial" w:cs="Arial"/>
          <w:color w:val="1F497D"/>
          <w:sz w:val="20"/>
          <w:szCs w:val="20"/>
        </w:rPr>
        <w:t>Tieslietu ministrijas Valststiesību departamenta</w:t>
      </w:r>
    </w:p>
    <w:p w14:paraId="28366063" w14:textId="77777777" w:rsidR="00151A91" w:rsidRDefault="00151A91" w:rsidP="00151A91">
      <w:pPr>
        <w:rPr>
          <w:rFonts w:ascii="Tahoma" w:hAnsi="Tahoma" w:cs="Tahoma"/>
          <w:color w:val="000000"/>
          <w:sz w:val="20"/>
          <w:szCs w:val="20"/>
        </w:rPr>
      </w:pPr>
      <w:r>
        <w:rPr>
          <w:rFonts w:ascii="Arial" w:hAnsi="Arial" w:cs="Arial"/>
          <w:color w:val="1F497D"/>
          <w:sz w:val="20"/>
          <w:szCs w:val="20"/>
        </w:rPr>
        <w:t>Starptautisko publisko tiesību nodaļas vadītāja</w:t>
      </w:r>
    </w:p>
    <w:p w14:paraId="491C7461" w14:textId="77777777" w:rsidR="00151A91" w:rsidRDefault="00151A91" w:rsidP="00151A91">
      <w:pPr>
        <w:rPr>
          <w:rFonts w:ascii="Tahoma" w:hAnsi="Tahoma" w:cs="Tahoma"/>
          <w:color w:val="000000"/>
          <w:sz w:val="20"/>
          <w:szCs w:val="20"/>
        </w:rPr>
      </w:pPr>
      <w:r>
        <w:rPr>
          <w:rFonts w:ascii="Arial" w:hAnsi="Arial" w:cs="Arial"/>
          <w:color w:val="1F497D"/>
          <w:sz w:val="20"/>
          <w:szCs w:val="20"/>
        </w:rPr>
        <w:t>tālr. 67036975</w:t>
      </w:r>
    </w:p>
    <w:p w14:paraId="63A992D7" w14:textId="77777777" w:rsidR="00151A91" w:rsidRDefault="00151A91" w:rsidP="00151A91">
      <w:pPr>
        <w:rPr>
          <w:lang w:eastAsia="en-US"/>
        </w:rPr>
      </w:pPr>
    </w:p>
    <w:p w14:paraId="7B7327A1" w14:textId="77777777" w:rsidR="00151A91" w:rsidRDefault="00151A91" w:rsidP="00151A91">
      <w:pPr>
        <w:pStyle w:val="NormalWeb"/>
        <w:shd w:val="clear" w:color="auto" w:fill="FFFFFF"/>
        <w:rPr>
          <w:color w:val="000000"/>
        </w:rPr>
      </w:pPr>
      <w:r>
        <w:rPr>
          <w:rFonts w:ascii="Arial" w:hAnsi="Arial" w:cs="Arial"/>
          <w:b/>
          <w:bCs/>
          <w:color w:val="201F1E"/>
          <w:sz w:val="20"/>
          <w:szCs w:val="20"/>
          <w:bdr w:val="none" w:sz="0" w:space="0" w:color="auto" w:frame="1"/>
        </w:rPr>
        <w:t>Ilze Māliņa</w:t>
      </w:r>
    </w:p>
    <w:p w14:paraId="0BC4506A" w14:textId="77777777" w:rsidR="00151A91" w:rsidRDefault="00151A91" w:rsidP="00151A91">
      <w:pPr>
        <w:pStyle w:val="NormalWeb"/>
        <w:shd w:val="clear" w:color="auto" w:fill="FFFFFF"/>
        <w:rPr>
          <w:color w:val="000000"/>
        </w:rPr>
      </w:pPr>
      <w:r>
        <w:rPr>
          <w:rFonts w:ascii="Arial" w:hAnsi="Arial" w:cs="Arial"/>
          <w:color w:val="201F1E"/>
          <w:sz w:val="20"/>
          <w:szCs w:val="20"/>
          <w:bdr w:val="none" w:sz="0" w:space="0" w:color="auto" w:frame="1"/>
        </w:rPr>
        <w:t>Tieslietu ministrijas</w:t>
      </w:r>
    </w:p>
    <w:p w14:paraId="054DAEFB" w14:textId="77777777" w:rsidR="00151A91" w:rsidRDefault="00151A91" w:rsidP="00151A91">
      <w:pPr>
        <w:pStyle w:val="NormalWeb"/>
        <w:shd w:val="clear" w:color="auto" w:fill="FFFFFF"/>
        <w:rPr>
          <w:color w:val="000000"/>
        </w:rPr>
      </w:pPr>
      <w:r>
        <w:rPr>
          <w:rFonts w:ascii="Arial" w:hAnsi="Arial" w:cs="Arial"/>
          <w:color w:val="201F1E"/>
          <w:sz w:val="20"/>
          <w:szCs w:val="20"/>
          <w:bdr w:val="none" w:sz="0" w:space="0" w:color="auto" w:frame="1"/>
        </w:rPr>
        <w:t>Valststiesību departamenta</w:t>
      </w:r>
    </w:p>
    <w:p w14:paraId="103E76B4" w14:textId="77777777" w:rsidR="00151A91" w:rsidRDefault="00151A91" w:rsidP="00151A91">
      <w:pPr>
        <w:pStyle w:val="NormalWeb"/>
        <w:shd w:val="clear" w:color="auto" w:fill="FFFFFF"/>
        <w:rPr>
          <w:color w:val="000000"/>
        </w:rPr>
      </w:pPr>
      <w:r>
        <w:rPr>
          <w:rFonts w:ascii="Arial" w:hAnsi="Arial" w:cs="Arial"/>
          <w:color w:val="201F1E"/>
          <w:sz w:val="20"/>
          <w:szCs w:val="20"/>
          <w:bdr w:val="none" w:sz="0" w:space="0" w:color="auto" w:frame="1"/>
        </w:rPr>
        <w:t>Administratīvo tiesību nodaļas juriste</w:t>
      </w:r>
    </w:p>
    <w:p w14:paraId="475C8E9D" w14:textId="77777777" w:rsidR="00151A91" w:rsidRDefault="00151A91" w:rsidP="00151A91">
      <w:pPr>
        <w:pStyle w:val="NormalWeb"/>
        <w:shd w:val="clear" w:color="auto" w:fill="FFFFFF"/>
        <w:rPr>
          <w:rFonts w:ascii="Arial" w:hAnsi="Arial" w:cs="Arial"/>
          <w:color w:val="201F1E"/>
          <w:sz w:val="20"/>
          <w:szCs w:val="20"/>
          <w:bdr w:val="none" w:sz="0" w:space="0" w:color="auto" w:frame="1"/>
        </w:rPr>
      </w:pPr>
      <w:r>
        <w:rPr>
          <w:rFonts w:ascii="Arial" w:hAnsi="Arial" w:cs="Arial"/>
          <w:color w:val="201F1E"/>
          <w:sz w:val="20"/>
          <w:szCs w:val="20"/>
          <w:bdr w:val="none" w:sz="0" w:space="0" w:color="auto" w:frame="1"/>
        </w:rPr>
        <w:t>tālr. 67036910</w:t>
      </w:r>
    </w:p>
    <w:p w14:paraId="4E97E6EF" w14:textId="77777777" w:rsidR="00816341" w:rsidRDefault="00816341"/>
    <w:sectPr w:rsidR="0081634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C4E"/>
    <w:rsid w:val="00151A91"/>
    <w:rsid w:val="00816341"/>
    <w:rsid w:val="00822C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BFBEF"/>
  <w15:chartTrackingRefBased/>
  <w15:docId w15:val="{BA5556CE-FD83-43B0-8721-254EB343B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A91"/>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1A91"/>
    <w:pPr>
      <w:spacing w:before="100" w:beforeAutospacing="1" w:after="100" w:afterAutospacing="1"/>
    </w:pPr>
  </w:style>
  <w:style w:type="paragraph" w:styleId="NoSpacing">
    <w:name w:val="No Spacing"/>
    <w:basedOn w:val="Normal"/>
    <w:uiPriority w:val="1"/>
    <w:qFormat/>
    <w:rsid w:val="00151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242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2435</Words>
  <Characters>1388</Characters>
  <Application>Microsoft Office Word</Application>
  <DocSecurity>0</DocSecurity>
  <Lines>11</Lines>
  <Paragraphs>7</Paragraphs>
  <ScaleCrop>false</ScaleCrop>
  <Company>Zemkopības Ministrija</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Bugina</dc:creator>
  <cp:keywords/>
  <dc:description/>
  <cp:lastModifiedBy>Liene Bugina</cp:lastModifiedBy>
  <cp:revision>2</cp:revision>
  <dcterms:created xsi:type="dcterms:W3CDTF">2022-03-29T13:46:00Z</dcterms:created>
  <dcterms:modified xsi:type="dcterms:W3CDTF">2022-03-29T13:47:00Z</dcterms:modified>
</cp:coreProperties>
</file>