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25-TA-2977: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07.01.2026. 15:12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koriģēt 3. sadaļas nosaukumu, izsakot to šādi: “Vispārējā periodiskā pārskata trešā cikla ietvaros saņemto rekomendāciju izpilde. Tāpat lūdzam mainīt rekomendāciju numerāciju, aizstājot ciparu “134….” ar “132…” atbilstoši ANO Cilvēktiesību padomes Vispārējā periodiskā pārskata darba grupas ziņojumā ietvertajam koriģējumam, skat. https://docs.un.org/en/A/HRC/48/15/Add.1/Corr.1.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 zemsvītras atsauci, norādot, ka 4.3.1.3. pasākums nav uzskatāms par tiešu deinstitucionalizācijas pasākumu, bet pasākums tiek īstenots sinerģijā ar deinstitucionalizācijas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perioda turpinājums: ES kohēzijas politikas programma 2021–2027, 4.3.5.1 pasākums sabiedrībā balstītu sociālo pakalpojumu pieejamībai un 4.3.1.3 pasākums sociālo mājokļu infrastruktūrai kā aktivitāte sinerģijā ar deinstiutionalizācijas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 zemsvītras atsaucē (ziņojuma 110. rindkopa) norādīto informāciju, ņemot vērā, ka 110. rindkopā tiek minēts 2014.-2020. gada perioda projektu ietvaros paveiktais, bet 16. zemsvītras atsaucē ir minēti 2021.–2027. gada perioda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ziņojuma 107.punkta 14. zemsvītras atsaucē norādīto 4.3.5.1 pasākumu “Sabiedrībā balstītu sociālo pakalpojumu pieejamības palielināšana”, ņemot vērā, ka šī pasākuma ietvaros netiek nodrošināts psihosociāls atbalsts Bērnu klīniskajā universitātes slimnīcā ar plānoto atbalstu līdz 4550 bērniem. Minētais atbalsts ar attiecīgo rādītāju tiek plānots 4.3.6.3. pasākuma "Atbalsts bērniem ar smagu diagnozi vai funkcionāliem traucējumiem, iespējamu vai esošu invaliditāti un viņu ģimenes locekļiem"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ziņojuma projekta papildināšanu ar atsauci uz ieguldījumiem, kas tiek veikti ES kohēzijas politikas programmas 2021-2027.gadam 4.2.1.3.pasākuma "Infrastruktūras un mācību vides pilnveide efektīvas, kvalitatīvas un mūsdienīgas izglītības īstenošanai speciālās izglītības iestādēs" ietvaros, lai uzlabotu izglītības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zemsvītras atsauču numerāciju, jo informatīvā ziņojuma teksta 58.rindkopā ir norādīta atsauce uz 6.zemsvītru, bet sadaļā "Piezīmes" pati 6.zemsvītras atsauce iztrūkst.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18:35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51.punkta “Neformālās ieslodzīto hierarhijas izskaušana: Latvija turpina mērķtiecīgu darbu neformālās ieslodzīto hierarhijas izskaušanā, kas vēsturiski bijusi būtisks šķērslis drošai un tiesiskai cietumu pārvaldībai. 2023.–2024.gadā tika veikti mērķtiecīgi pasākumi: atsevišķu ieslodzīto grupējumu izolēšana, personāla kapacitātes stiprināšana, pierādījumu vākšanas uzlabošana un drošības režīmu digitalizācija. Šie pasākumi ir būtiski samazinājuši neformālo varas struktūru ietekmi un radījuši drošāku vidi gan ieslodzītajiem, gan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biroja rīcībā esošā informācija (iesniegumi) liecina, ka ieslodzīto hierarhijas jautājums joprojām ir aktuāls, minētie pasākumi tiek veikti ar mērķi mazināt un izskaust ieslodzījuma vietās pastāvošo hierarhiju un tās izpausmes.  Minētie pasākumi, kā arī jaunā infrastruktūra, kuras darbība vēl nav uzsākta apcietinājuma/brīvības atņemšanas soda izpildē,  ir kompleksi pasākumi un to rezultāti būs vērtējami ilgtermiņā. Līdz ar to, kā arī Tiesībsarga birojā saņemto informāciju, ir pamats apšaubīt, ka šobrīd minēto pasākumu rezultātā hierarhija ir būtiski mazinājusies, it īpaši pie apstākļiem, kad šobrīd cietumu sistēmā ir jūtams būtisks amatpersonu/darbinieku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 punktā teikts “Bērnu un sieviešu aizsardzība kriminālprocesā”, bet tālāk minēts Administratīvās atbildības likums, kas nav saistīts ar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 aicina precizēt tēmas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81. punktā teikts, ka “Tiek nodrošināts asistenta pakalpojums izglītības iestādē bērniem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 norāda, ka tas ir tikai tiem bērniem, kuriem ir īpašas kopšanas nepieciešamība, nevis visiem bērniem ar invaliditāti, līdz ar to fakts ir nepilnīgs,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81. punktā teikts, ka “Katra Latvijas pašvaldība nodrošina iespēju apgūt speciālās izglītības programmas bērniem ar invaliditāti un speciālām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 norāda, ka visās pašvaldībās nav pieejamas visas speciālās izglītības programmas, līdz ar to fakts ir nepilnīgs,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Tiesībsarga birojs lūdz papildināt ziņojuma 87. punktu šādi:  “Saeima 2025. gada 30. oktobrī pieņēma likumu “Par izstāšanos no Eiropas Padomes Konvencijas par vardarbības pret sievietēm un vardarbības ģimenē novēršanu un apkarošanu”, izraisot plašu rezonansi un diskusijas sabiedrībā par konvencijas nozīmīgumu cīņā pret vardarbību pret sievietēm un ģimenē. Valsts prezidents 2025. gada 3. novembrī lēma neizsludināt likumu, prasot nodot to otrreizējai caurlūkošanai, kas pašlaik ir izdarīts, nosakot termiņu priekšlikumu iesniegšanai līdz 2026. gada 1. novembrim.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ņemts vērā. Ziņojuma teksts precizēts, norādot, ka pasākumi neformālās ieslodzīto hierarhijas mazināšanai un izskaušanai joprojām tiek īstenoti. Akcentēta ilgtermiņa rezultātu vērtēšana, ņemot vērā arī personāla kapacitātes izaicinājumus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ņemts vērā. Precizēts punkta tvērums, lai tas ietvertu kā administratīvās atbildības, tā kriminātbildības regulējumu.Sadaļas nosaukums un saturs precizēts atbilstoši piemērojamajam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 ņemts vērā. Ziņojumā precizēts, atbilstoši faktiskajam tiesiskajam regulējumam un pakalpojuma piešķiršanas kritērijiem: asistenta pakalpojums izglītības iestādē tiek nodrošināts bērniem ar invaliditāti, kuriem nepieciešama īpaša kopšana.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ņemts vērā. Ziņojuma tekstā precizēts,  ka pašvaldības savas kompetences ietvaros cenšas nodrošināt speciālās izglītības programmu pieejamību, taču ne visās pašvaldībās ir pieejamas visas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ņemts vērā. Ziņojums papildināts ar piedāvāto redakciju: atspoguļota Stambulas konvencijas ratifikācija un tās spēkā stāšanās, saglabājot ziņojuma informatīvo un faktoloģisko raksturu, bez politiskā procesa detalizētas izklāsta.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2.1. "Normatīvā un institucionālā ietvara uzlabojumi" jautājumā par politikas plānošanas dokumentiem un normatīvā regulējuma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pieminētajiem politikas plānošanas dokumentiem ir arī Latvijas Piektais nacionālais atvērtās pārvaldības rīcības plāns 2022.–2025.gadam, kas ietver pasākumus sabiedrības līdzdalības, atklātības un atbildības veicināšanai valsts institūciju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pēdējos gados noritēja aktīvs darbs, lai pilnveidotu sabiedrības līdzdalības kārtību valsts un pašvaldību institūcijās, veicinot efektīvāku un jēgpilnāku procesu, kādā sabiedrība var iesaistīties un līdzdarboties. Ministru kabinets 2024. gada 15. oktobrī pieņēma noteikumus Nr. 639 "Sabiedrības līdzdalības kārtība attīstības plānošanas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Ziņojums papildināts ar informāciju par sabiedrības līdzdalības regulējuma pilnveidi: par Latvijas Piekto nacionālo atvērtās pārvaldības rīcības plānu 2022.–2025.gadam un MK noteikumiem Nr.639.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107. punktu ar pirmsskolas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 un Izglītības likums garantē ikvienam bērnam, tostarp starptautiskās aizsardzības saņēmēju bērniem, tiesības uz bezmaksas un iekļaujošu </w:t>
            </w:r>
            <w:r w:rsidR="00000000" w:rsidRPr="00000000" w:rsidDel="00000000">
              <w:rPr>
                <w:b w:val="1"/>
                <w:rtl w:val="0"/>
              </w:rPr>
              <w:t xml:space="preserve">pimsskolas izglītību</w:t>
            </w:r>
            <w:r w:rsidR="00000000" w:rsidRPr="00000000" w:rsidDel="00000000">
              <w:rPr>
                <w:rtl w:val="0"/>
              </w:rPr>
              <w:t xml:space="preserve">, pamatizglītību un vidējo izglītību, neatkarīgi no mantiskā vai sociālā stāvokļa, tautības, etniskās izcelsmes, reliģijas, veselības stāvokļa vai dzīvesvietas. Izglītojamajiem tiek nodrošināti atbalsta pasākumi, atbalsta personāls un individuālais izglītības programmas apguves plāns, īpašu uzmanību veltot valsts valodas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Punkts precizēts tajā iekļaujot atsauci uz pirmsskolas izglītību. Ziņojumā iekļauta informācija par pirmsskolas izglītības pieejamību no 1,5 gadu vecuma un obligātumu no 5 gadu vecuma. Sadaļa papildināta atbilstoši Izglītības likumam un izglītības politikas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97. punktā minēto par 17 mazākumtautībām Latvijā. Lūdzu skatīt iebidumu un pamatojumu iepriekš, ko Latvijā uzskatām par mazākumtautībām.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terminoloģija, aizstājot jēdzienu “mazākumtautības” ar “tautības”.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3.11.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1.Bērnu no 5 gadu vecuma izglītošana Latvijā ir obligāta. Pašvaldībām savā administratīvajā teritorijā ir jānodrošina pirmsskolas izglītības pieejamība visiem bērniem, kas sasnieguši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2.Latvijā 2021. gadā tika izstrādātās Izglītības attīstības pamatnostādnes 2021.-2027. gadam "Nākotnes prasmes nākotnes sabiedrībai", kur viens no mērķiem ir Atbalsts ikviena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gadā Ministru kabinets apstiprināja informatīvo ziņojumu "Iekļaujošās izglītības attīstībā visās izglītības pakāpēs", kur ir izstrādāts turpmākās rīcības plāns iekļaujošās izglītības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Papildināta ziņojuma 3.11. sadaļa ar informāciju par Izglītības attīstības pamatnostādnēm 2021.–2027. gadam un 2025. gadā apstiprināto informatīvo ziņojumu par iekļaujošās izglītības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cilvēktiesības un medijpratība: līdz  2023.gadam Latvijā pilnībā ieviests kompetenču pieejā balstīts mācību saturs no pirmsskolas līdz vidusskolai: caurviju prasmes ir kritiskā domāšana, problēmrisināšana, pilsoniskā līdzdalība un medijpratība. Mācību saturā sistemātiski iekļauti temati par cilvēktiesībām, diskriminācijas novēršanu, naida runu, rasismu un antisemītismu. Valsts regulāri finansē pedagogu profesionālās pilnveides kursus neiecietības un diskriminācijas novēršanas jautājumos. Mazākumtautību valodas un kultūrvēstures apguve tiek finansēta interešu izglītībā un vidējās izglītības specializētajā kursā “Mazākumtautību valoda un literatūra”.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Precizēts formulējums par no valsts budžeta finansētajiem pedagogu profesionālās kompetences pilnveides kursiem. 38. punkts izteikts precizētā redakcijā, skaidri norādot kompetenču pieejas ieviešanu no pirmsskolas līdz vidusskolai, caurviju prasmju loku un pedagogu profesionālās pilnveides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 punktā apgalvojumu, ka Latvijā ir 529 aktīvas mazākumtautību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pašas definētai pozīcijai 2005. gadā pievienojoties Eiropas Padomes Vispārējai nacionālo minoritāšu aizsardzības konvencijai, uz kuru savos nolēmumos atsaucas arī Satversmes tiesa, "Latvija par kritērijiem indivīda piederībai pie mazākumtautības atzinusi kultūras, reliģijas un valodas atšķirību, pilsonību un konkrētās mazākumtautības vēsturisko saikni ar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2018-12-01 atgādina, ka atbilstoši likuma "Par Vispārējo konvenciju par nacionālo minoritāšu aizsardzību" 2.pantam: "Personas, kas nav Latvijas vai citas valsts pilsoņi, bet pastāvīgi un legāli dzīvo Latvijas Republikā, nepieder nacionālajai minoritātei (izcelts – IZ) Konvencijas izpratnē atbilstoši attiecīgajā Latvijas Republikas deklarācijā sniegtajai nacionālās minoritātes definīcijai, bet kas sevi identificē ar šai definīcijai atbilstošu nacionālo minoritāti, var izmantot Konvencijā paredzētās tiesības, ja vien likums nenosaka izņēmumus". Jāpiebilst, ka Satversmes 114.pantam jābūt harmonijā ar šo Latvijas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1935. gada statistikai, Latvijā bija šādas etniskās grupas: krievi, ebreji, baltkrievi, vācieši, poļi, lietuvieši, igauņi un dažas citas nelielas etniskās grupas, piemēram, romu tauta. Pēc neatkarības atjaunošanas, ja šīs etniskās grupas sevi ir saglabājušas Latvijas teritorijā, var uzskatīt, ka pilsoņi, kas sevi identificē arī šīm etniskām grupām veido vēsturiskās mazākumtautības. Padomju laika iebraucēji bija vai nu migranti vai arī PSRS okupācijas karaspēkam un varas institūcijām piederīgas personas. Pasaules prakse neuzrāda piemērus, kad migranti tiktu automātiski definēti kā mazākumtautība.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ar aktīvas mazākumtautību </w:t>
            </w:r>
            <w:r w:rsidR="00000000" w:rsidRPr="00000000" w:rsidDel="00000000">
              <w:rPr>
                <w:b w:val="1"/>
                <w:rtl w:val="0"/>
              </w:rPr>
              <w:t xml:space="preserve">un citu Latvijā dzīvojošu tautību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norādot, ka statistikas dati attiecas uz mazākumtautību un citu Latvijā dzīvojošo tautību organizācijām, saglabājot datu saturisko nozīmi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(LPA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Ārlietu ministrijas izstrādāto informatīvo ziņojumu “Latvijas Republikas Nacionālais Ziņojums Apvienoto Nāciju Organizācijas Vispārējā Periodiskā Pārskata ceturtā cikla ietvaros” (turpmāk – informatīvais ziņojums) un sniedz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Aicinām 2.2. “Pilsoniskā līdzdalība” sadaļas devīto rindkopu izteikt šādā redakcijā:</w:t>
            </w:r>
            <w:r w:rsidR="00000000" w:rsidRPr="00000000" w:rsidDel="00000000">
              <w:rPr>
                <w:rtl w:val="0"/>
              </w:rPr>
              <w:t xml:space="preserve"> “Latvija ir panākusi nozīmīgu progresu iedzīvotāju līdzdalības un pilsoniskās sabiedrības stiprināšanā. Latvijā ir 27,5 tūkstoši reģistrētas biedrības un nodibinājumi, bet par aktīvām var uzskatīt aptuveni 17 405 organizācijas. Kā rādītājs organizāciju aktivitātei ir gada pārskata iesniegšana Valsts ieņēmumu dienestā. 2024.gadā dibinātas 1085 jaunas organizācijas un sektorā nodarbināti 21,6 tūkstoši cilvēku. 2023.gadā biedrību un nodibinājumu kopējie ieņēmumi sasniedza 680 miljonus eiro</w:t>
            </w:r>
            <w:r w:rsidR="00000000" w:rsidRPr="00000000" w:rsidDel="00000000">
              <w:rPr>
                <w:vertAlign w:val="superscript"/>
                <w:rtl w:val="0"/>
              </w:rPr>
              <w:t xml:space="preserve">[1]</w:t>
            </w:r>
            <w:r w:rsidR="00000000" w:rsidRPr="00000000" w:rsidDel="00000000">
              <w:rPr>
                <w:rtl w:val="0"/>
              </w:rPr>
              <w:t xml:space="preserve">. Kopš 2016. gada darbojas valsts budžeta programma “NVO fonds”, kuras mērķis ir stiprināt pilsoniskās sabiedrības ilgtspējīgu attīstību un demokrātiju Latvijā. 2024. un 2025.gadā katru gadu pieejami 2,5 miljoni eiro un tiek īstenoti ap 90 projekti. Iesniegto projektu pieteikumu skaits ievērojami pārsniedz pieejamā finansējuma iespējas un aptuveni 2/3 kvalitatīvi novērtēto projektu nesaņem finansējumu ierobežotā finansējuma apjoma dēļ. Lai atbalstītu visus kvalitatīvi iesniegtos projektu pieteikumus, būtu nepieciešams palielināt “NVO fonda” finansējumu vismaz līdz 5 miljoniem eiro gadā. 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Aicinām 2.2. “Pilsoniskā līdzdalība” sadaļai pievienot jaunu rindkopu un izteikt to šādā redakcijā: </w:t>
            </w:r>
            <w:r w:rsidR="00000000" w:rsidRPr="00000000" w:rsidDel="00000000">
              <w:rPr>
                <w:rtl w:val="0"/>
              </w:rPr>
              <w:t xml:space="preserve">“2025. gadā darbu uzsāka arī Nevalstisko organizāciju un Ministru kabineta sadarbības memoranda īstenošanas padomes jaunais modelis, kur Memoranda padomes sekretariāta funkcija tiek uzticēta atklātā konkursā izvēlētai nevalstiskajai organizācijai, kā arī darbu sāka četras Memoranda padomes darba grupas  - finanšu (budžeta) un nodokļu darba grupa, satura plānošanas darba grupa, sabiedrības iesaistes un atvērtās pārvaldības darba grupa un deleģēto pārstāvju darbības koordinācijas darba grupa. 2025-2026. gadā Memoranda padomes sekretariāta funkcijas nodrošina biedrība “Latvijas Pilsoniskā alianse”. Memoranda padome ir viens no centrālajiem mehānismiem, kas veicina nevalstisko organizāciju un valsts pārvaldes dialogu un sadarbību augstākajā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Pilsoniskā alianse. (2025) Biedrību un nodibinājumu sektora monitorings 2024.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panākusi nozīmīgu progresu iedzīvotāju līdzdalības un pilsoniskās sabiedrības stiprināšanā. Latvijā ir 27,5 tūkstoši reģistrētas biedrības un nodibinājumi, bet par aktīvām var uzskatīt aptuveni 17 405 organizācijas. Kā rādītājs organizāciju aktivitātei ir gada pārskata iesniegšana Valsts ieņēmumu dienestā. 2024.gadā dibinātas 1085 jaunas organizācijas un sektorā nodarbināti 21,6 tūkstoši cilvēku. 2023.gadā biedrību un nodibinājumu kopējie ieņēmumi sasniedza 680 miljonus eiro.1 Kopš 2016. gada darbojas valsts budžeta programma “NVO fonds”, kuras mērķis ir stiprināt pilsoniskās sabiedrības ilgtspējīgu attīstību un demokrātiju Latvijā. 2024. un 2025.gadā katru gadu pieejami 2,5 miljoni eiro un tiek īstenoti ap 90 projekti. Iesniegto projektu pieteikumu skaits ievērojami pārsniedz pieejamā finansējuma iespējas un aptuveni 2/3 kvalitatīvi novērtēto projektu nesaņem finansējumu ierobežotā finansējuma apjoma dēļ. Lai atbalstītu visus kvalitatīvi iesniegtos projektu pieteikumus, būtu nepieciešams palielināt “NVO fonda” finansējumu vismaz līdz 5 miljoniem eiro gadā. 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darbu uzsāka arī Nevalstisko organizāciju un Ministru kabineta sadarbības memoranda īstenošanas padomes jaunais modelis, kur Memoranda padomes sekretariāta funkcija tiek uzticēta atklātā konkursā izvēlētai nevalstiskajai organizācijai, kā arī darbu sāka četras Memoranda padomes darba grupas  - finanšu (budžeta) un nodokļu darba grupa, satura plānošanas darba grupa, sabiedrības iesaistes un atvērtās pārvaldības darba grupa un deleģēto pārstāvju darbības koordinācijas darba grupa. 2025-2026. gadā Memoranda padomes sekretariāta funkcijas nodrošina biedrība “Latvijas Pilsoniskā alianse”. Memoranda padome ir viens no centrālajiem mehānismiem, kas veicina nevalstisko organizāciju un valsts pārvaldes dialogu un sadarbību augstākajā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 sadaļa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 sadaļa izteikta precizētā redakcijā un papildināta ar atsevišķu punktu par Nevalstisko organizāciju un Ministru kabineta sadarbības memoranda īstenošanas padomi, tās jauno modeli un Memoranda padomes nozīmi NVO – valsts pārvaldes  dialogā un sadarbībā.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rinkopā  Latvijas elektronisko plašsaziņas līdzekļu vide ir plurālistiska. Latvijas sabiedriskā medija tiešsaistes vietnē pieejami raksti un informācija angļu, krievu, ukraiņu, baltkrievu un poļu valodās. 2025.gadā krievu valodā tika raidīti 38% radio un 39,4% televīzijas programmu, latviešu valodā  60% radio un 26,3% televīzijas programmu, bet ukraiņu valodā 6% televīzijas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pārbaudīt datus ar SEPLP un/vai NEPLP, lai nejuktu informācija par Latvijas sabiedriskajiem medijiem un Latvijā reģistrētajiem un raidošiem komerciālajiem kanāliem un radio stacijām. Iespējams, ka nepieciešamas divas atsevišķas rindkopas.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elektronisko plašsaziņas līdzekļu nozares uzraugošo institūciju datiem, precizēti dati par Latvijā reģistrēto un raidošo radio un televīzijas programmu kopainu. Teksts precizēts, skaidri norādot, ka dati attiecas uz Latvijā reģistrēto un raidošo mediju kopainu, balstoties uz uzraugošo institūciju apkopojumu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rindkopā - Šie pasākumi sekmē ilgtspējīgu, līdzdalīgu un uzticībā balstītu demokrātiju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"uzticibā" balstītu nomainīt uz "uzticēšanās" balstītu. Latviski terminoloģijām nav niansētas atšķirības, taču tulkojot uz angļu valodu uzticība ir "loyalty", kamēr uzticēšanās ir "trust".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precizēts nomainot  "uzticībā" uz "uzticēšanās", nodrošinot precīzu termina atbilstību tulkojumam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rindkopā precizēt, ka NVO fonda mērķis ir stiprināt pilsoniskās sabiedrības ilgtspējīgu attīstību un demokrātiju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Ziņojumā precizēts, ka NVO fonda mērķis r pilsoniskās sabiedrības ilgtspējīgas attīstības un demokrātijas stiprināšana. NVO fonda mērķis ir stiprināt pilsoniskās sabiedrības ilgtspējīgu attīstību un demokrātiju Latvijā. Teksts precizēts, skaidri norādot, ka NVO fonda mērķis ir pilsoniskās sabiedrības ilgtspējīgas attīstības un demokrātijas stiprināšana. Punkts precizēts, aktualizējot datus par NVO sektoru (skaitu, nodarbinātību un finansējumu) un valsts atbalsta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rindkopas teikuma daļai "Latvijas cilvēki ir mūsu valsts lielākā vērtība"  var papildināt ar informāciju no sekojošās rindkopas, vai arī rindkopu iekļaut zemsvītras piezīmēs.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Konceptuālais dokuments "Latvijas izaugsmes modelis: cilvēks pirmajā vietā" (apstiprināts Saeimā 2005. gada 26. oktobrī) nosaka uz cilvēku centrētu Latvijas izaugsmes modeli ar mērķi paaugstināt ikviena Latvijas iedzīvotāja dzīves kvalitāti trīs aspektos – labklājība, drošība un ilgtspēja. Šī pieeja ietverta arī valsts konstitucionālajā pamatā – 2014. gadā pieņemtajā Latvijas Republikas Satversmes preambulā.  (Avots: Politikas plānošanas rokasgrāmata Pārresoru koordinācijas centrs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Ziņojums papildināts ar informāciju par Konceptuālo dokumentu "Latvijas izaugsmes modelis: cilvēks pirmajā vietā" (apstiprināts Saeimā 2005. gada 26. oktobrī) nosaka uz cilvēku centrētu Latvijas izaugsmes modeli ar mērķi paaugstināt ikviena Latvijas iedzīvotāja dzīves kvalitāti trīs aspektos – labklājība, drošība un ilgtspēja. Šī pieeja ietverta arī valsts konstitucionālajā pamatā – 2014. gadā pieņemtajā Latvijas Republikas Satversmes preambulā.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97.punktu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Kultūras ministrija īsteno mazākumtautību NVO līdzdalības veicināšanas programmu Latvijas reģionos. Īstenoto projektu ietvaros tiek stiprināta mazākumtautību NVO ilgtspēja un attīstība, veicināta pilsoniskā līdzdalība un jauniešu iesaiste, atbalstīta starpkultūru komunikācija un nodrošināta mazākumtautību kultūras tradīciju saglabāšana. Programmas ietvaros tiek nodrošināti kultūras pasākumi, apmācības, semināri, metodisko materiālu izdošana u.c.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sadarbībā ar  Latvijas Nacionālo kultūras centru (LNKC) atbalsta mazākumtautību kolektīvu dalību tādos nozīmīgos pasākumos kā  folkloras festivāls "Baltica" un Vispārējie latviešu Dziesmu un deju svētki. LNKC īsteno Latvijas kultūras vēstnieku programmu (t.sk. vasaras nometnes), veicina kultūras organizāciju un kolektīvu profesionālo izaugsmi. Mazākumtautību festivāli 2021. gadā (515 dalībnieki, 55 kolektīvi, 8 tautības, &gt;900 apmeklētāju) un 2024. gadā (1500 dalībnieki, 90 kolektīvi, 17 mazākumtautības) ir kļuvuši par Dziesmu un deju svētku kustības sastāvdaļu. KM Mazākumtautību NVO pārstāvju konsultatīvajā padomē darbojas 16 mazākumtautību NVO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Precizēts punkts par KM īstenoto mazākumtautību nevalstisko organizāciju līdzdalības veicināšanas programmu un tās ietvaros īstenotajiem projektiem un pasākumiem. Minētais punkts izteikts jaunā, detalizētā redakcijā, ietverot programmu mērķus, pasākumus un sasniegumus.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 ir panākusi nozīmīgu progresu iedzīvotāju līdzdalības un pilsoniskās sabiedrības stiprināšanā. Latvijā ir 27,5 tūkstoši reģistrētu NVO, tostarp 2024.gadā dibinātas 1085 jaunas organizācijas; sektorā nodarbināti 21,6 tūkstoši cilvēku. 2023.gadā biedrību un nodibinājumu kopējie ieņēmumi sasniedza 680 miljonus eiro.Kopš 2016. gada darbojas valsts budžeta programma "NVO fonds”, kuras mērķis ir pilsoniskās sabiedrības ilgtspēja. 2024. un 2025.gadā katru gadu NVO pieejami 2 350 000 eiro, attiecīgi 2024.gadā atbalstīti 97 projekti (t.sk. 48 makro projekti, kas tiek slēgti uz 2 gadiem) un 2025.gadā - 59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Ziņojumā precizēts , ka NVO fonda mērķis r pilsoniskās sabiedrības ilgtspējīgas attīstības un demokrātijas stiprināšana. NVO fonda mērķis ir stiprināt pilsoniskās sabiedrības ilgtspējīgu attīstību un demokrātiju Latvijā. Teksts precizēts, skaidri norādot, ka NVO fonda mērķis ir pilsoniskās sabiedrības ilgtspējīgas attīstības un demokrātijas stiprināšana. Punkts precizēts, aktualizējot datus par NVO sektoru (skaitu, nodarbinātību un finansējumu) un valsts atbalsta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104. punkta pirmā teikuma beigās ielikt gramatikas pieturzīmi punktu, bet otrā teikuma iekavu informāciju papildināt ar saīsinājuumu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vienlīdzīgu iespēju stiprināšanai apstiprināts Plāns personu ar invaliditāti vienlīdzīgu iespēju veicināšanai 2024.–2027.gadam ar pieciem savstarpēji papildinošiem rīcības virzieniem – invaliditātes noteikšanas sistēmas pilnveidošana, atbalsta pakalpojumu attīstība, iekļaujoša nodarbinātība, vides un informācijas piekļūstamība un sabiedrības izpratne</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piekļūstamības likums veicina dažādu veidu funkcionāliem ierobežojumiem pakļautu personu (t.sk. ar redzes, dzirdes, kustību, intelektuālās attīstības traucējumiem, autiskā spektra traucējumiem </w:t>
            </w:r>
            <w:r w:rsidR="00000000" w:rsidRPr="00000000" w:rsidDel="00000000">
              <w:rPr>
                <w:b w:val="1"/>
                <w:rtl w:val="0"/>
              </w:rPr>
              <w:t xml:space="preserve">u.c.</w:t>
            </w:r>
            <w:r w:rsidR="00000000" w:rsidRPr="00000000" w:rsidDel="00000000">
              <w:rPr>
                <w:rtl w:val="0"/>
              </w:rPr>
              <w:t xml:space="preserve">) iespējas lietot preces un pakalpojumus, izmantojot dažādus sensoros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100. punkta pēdējo teikumu papildināt ar vārdiem "reizi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pabalsts transporta izdevumu kompensēšanai personām ar invaliditāti ar apgrūtinātu pārvietošanos palielināts no 79,68 līdz 105 eiro </w:t>
            </w:r>
            <w:r w:rsidR="00000000" w:rsidRPr="00000000" w:rsidDel="00000000">
              <w:rPr>
                <w:b w:val="1"/>
                <w:rtl w:val="0"/>
              </w:rPr>
              <w:t xml:space="preserve">reizi pusgadā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Ziņojuma teksts precizēts par pabalsta izmaksas periodiskumu ar norādi, ka pabalsts tiek izmaksāts  “reizi pusgadā”.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109. punktu ar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Krievijas Federācijas uzsāktā pilna mēroga iebrukuma Ukrainā 2022.gada 24.februārī, Latvija uzņēma lielu Ukrainas civiliedzīvotāju skaitu, kas bēga no bruņotā konflikta izraisītajām sekām. Šobrīd Latvijā uzturas 31 152 Ukrainas civiliedzīvotāji. Šo personu aizsardzībai un integrācijai 2022.gada 3.martā pieņemts Ukrainas civiliedzīvotāju atbalsta likums, kas paredz visaptverošu atbalstu personām, kas izceļo no Ukrainas vai nevar atgriezties Krievijas Federācijas izraisītā bruņotā konflikta dēļ. Likums paredz atvieglotus nodarbinātības nosacījumus: darba devējam nav jānodrošina atalgojums vidējās bruto algas līmenī, nav nepieciešama iepriekšēja vakances reģistrācija NVA, Ukrainas civiliedzīvotāju var nodarbināt bez latviešu valodas prasmes, ciktāl tas netraucē darba pienākumu veikšanai </w:t>
            </w:r>
            <w:r w:rsidR="00000000" w:rsidRPr="00000000" w:rsidDel="00000000">
              <w:rPr>
                <w:b w:val="1"/>
                <w:rtl w:val="0"/>
              </w:rPr>
              <w:t xml:space="preserve">(bet ārstniecības personām, farmaceitiem un farmaceita asistentiem, kuri ir Ukrainas civiliedzīvotāji, triju gadu laikā no īslaicīgo profesionālo pakalpojumu sniegšanas atļaujas saņemšanas jāapgūst valsts valoda vismaz B1 līmenī)</w:t>
            </w:r>
            <w:r w:rsidR="00000000" w:rsidRPr="00000000" w:rsidDel="00000000">
              <w:rPr>
                <w:rtl w:val="0"/>
              </w:rPr>
              <w:t xml:space="preserve">, un trīs mēnešus pēc darba līguma noslēgšanas nav obligāta pirmreizējā medicīniskā pārbaude (izņemot darbus īpašos apstākļos). Likums paredz arī atvieglotus profesionālās kvalifikācijas atzīšanas nosacījumus un īpašus noteikumus nodarbināšanai ārstniecībā, farmaceitiskajā aprūpē, izglītībā, sportā, bērnu aprūpē un psiholoģisko pakalpojumu jomā. No 2022.gada 7.marta Ukrainas civiliedzīvotājiem pieejams nodarbinātības uzsākšanas pabalsts, bet no 2022.gada 3.oktobra – pašnodarbinātības uzsākšanas pabalsts viena valstī noteiktās minimālās mēneša algas apmērā[1], kas netiek aplikts ar iedzīvotāju ienākuma nodokli. NVA konsultē Ukrainas civiliedzīvotājus, palīdz atrast darbu un administrē pabalstu piešķiršanu [i].</w:t>
            </w:r>
            <w:r w:rsidR="00000000" w:rsidRPr="00000000" w:rsidDel="00000000">
              <w:rPr>
                <w:b w:val="1"/>
                <w:rtl w:val="0"/>
              </w:rPr>
              <w:t xml:space="preserve"> Ņemot vērā Latvijā dzīvojošo Ukrainas civiliedzīvotāju skaita un nodarbinātības un pašnodarbinātības pabalstu saņēmēju skaita samazināšanos, atvērtāku darba tirgu un relatīvi zemo kopējo bezdarba līmeni (bezdarba līmenis 2025. gada 8. decembrī bija 4,8%), vakanču skaita samazināšanos, kā arī samērā augsto Ukrainas civiliedzīvotāju nodarbinātības līmeni (saskaņā ar Centrālā statistikas pārvaldes novērtējumu – 53,9% 2025. gada sākumā), turpmākā pabalstu izmaksa, sākot ar 2026. gadu, netiek plānota. Vienlaikus tiek plānots turpināt pārējo NVA sniegto atbalstu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Ziņojums papildināts atbilstoši piedāvātajai redakcijai ar detalizētu informāciju par Ukrainas civiliedzīvotājiem sniegto atbalstu un tā dinamiku.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108. punktā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Nodarbinātības jomā patvēruma meklētājiem centrā “Mucenieki” pēc pieprasījuma ir pieejams ievadkurss “Darba tirgus Latvijā”, individuālās konsultācijas un informatīvie materiāli, savukārt personām ar bēgļa vai alternatīvo statusu, kuras NVA ir reģistrējušās kā bezdarbnieki, ir pieejami tādi paši aktīvie nodarbinātības atbalsta pasākumi kā Latvijas valstspiederīgajiem, tai skaitā, individuālā darba meklēšanas plāna sagatavošana, karjeras konsultācijas, latviešu valodas kursi, profesionālās kvalifikācijas ieguve, apmācība pie darba devēja, subsidētā nodarbinātība, reģionālās mobilitātes atbalsts u.c.[1]</w:t>
            </w:r>
            <w:r w:rsidR="00000000" w:rsidRPr="00000000" w:rsidDel="00000000">
              <w:rPr>
                <w:rtl w:val="0"/>
              </w:rPr>
              <w:t xml:space="preserve"> Laika posmā no 2016.gada līdz 2025.gada jūnija beigām NVA kā bezdarbnieki reģistrējušies 570 bēgļi vai personas ar alternatīvo statusu (daļa atkārtoti), 2024.gadā reģistrētas 156 personas ar bēgļa vai alternatīvo statusu, no kurām 41 NVA klients iekārtojies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Plašāka informācija par NVA pakalpojumiem pieejama NVA mājaslapā: https://www.nva.gov.lv/lv/mekleju-darbu.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Ziņojums papildināts atbilstoši piedāvātajai redakcijai, ietverot aktualizētus datus par nodarbinātības atbalsta pasākumiem patvēruma meklētājiem un personām ar starptautisko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39. punktā tekstu ”ieviests ES darba samaksas pārskatāmības regulējums.” aizstāt ar tekstu “notiek ES darba samaksas pārskatāmības regulējuma ieviešanas process”, ņemot vērā, ka ziņojums ir par laika posmu no 2021. –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Sociālā aizsardzība, dzimumu līdztiesība un darba tirgus: ar sieviešu un vīriešu vienlīdzīgu tiesību plānu 2021–2023 un Sociālās aizsardzības pamatnostādnēm 2021–2027 mazināta ienākumu nevienlīdzība un darba samaksas plaisa, </w:t>
            </w:r>
            <w:r w:rsidR="00000000" w:rsidRPr="00000000" w:rsidDel="00000000">
              <w:rPr>
                <w:strike w:val="1"/>
                <w:rtl w:val="0"/>
              </w:rPr>
              <w:t xml:space="preserve">ieviests ES darba samaksas pārskatāmības regulējum </w:t>
            </w:r>
            <w:r w:rsidR="00000000" w:rsidRPr="00000000" w:rsidDel="00000000">
              <w:rPr>
                <w:b w:val="1"/>
                <w:rtl w:val="0"/>
              </w:rPr>
              <w:t xml:space="preserve">notiek ES darba samaksas pārskatāmības regulējuma ieviešanas process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Ziņojums precizēts atbilstoši piedāvātajai redakcijai un formulējums mainīts uz “notiek ES darba samaksas pārskatāmības regulējuma ieviešanas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ziņojuma sākuma lapu vai pirmo punktu un skaidrāk izteikt, ka šis ir ziņojums  par cilvēktiesību aizsardzības jautājumiem Latvijā un ka tas ir daļa no Apvienoto Nāciju Organizācijas (ANO) cilvēktiesību situācijas Latvijā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Ziņojuma 1. punkts precizēts, norādot ziņojuma mērķi, saturu un saistību ar ANO Vispārējo periodisko pārskatu.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60.punktu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Žurnālistu drošība kopumā saglabājās stabila, taču tiešsaistes vidē pieaug naidīgas komunikācijas un uzmākšanās gadījumi, kas nesamērīgi ietekmē žurnālistus un sabiedrisko mediju darbiniekus. Atbildot uz situāciju, 2024.gadā KM kopā ar plašu institūciju un mediju pārstāvju grupu izveidoja darba grupu žurnālistu drošības stiprināšanai un pasūtīja pētījumu ar priekšlikumiem, tostarp par ES SLAPP direktīvas transponēšanu. Darba grupas sagatavoto Žurnālistu un citu mediju profesionāļu drošības plānu 2025–2027 ar konkrētiem pasākumiem, tai skaitā mediju un policijas sadarbības stiprināšanu, vadlīnijām policijas un mediju profesionāļiem, kiberdrošības apmācībām, datu vākšanu un monitoringu par apdraudējumiem, Ministru kabinets apstiprināja 2025. gada 11. novembrī.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Ziņojuma teksts precizēts atbilstoši piedāvātajai redakcijai, atspoguļojot žurnālistu drošības stiprināšanas pasākumus un institucionālo sadarbību.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59.punktu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Mediju atbalsta fonds  pārskata periodā nodrošināja sistemātisku finansiālu atbalstu kvalitatīva satura veidošanai. Piecu gadu laikā finansēts 501 projekts, ar pieejamo finansējumu 19 miljonu eiro apmērā,  atbalstot sabiedriski nozīmīgu žurnālistiku nacionālajos, reģionālajos un diasporas medijos. Tas būtiski stiprinājis Latvijas informatīvo telpu un ļāva palielināt neatkarīgas satura veidošanas kapacitāti.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Ziņojuma teksts precizēts atbilstoši piedāvātajai redakcijai, aktualizējot informāciju par Mediju atbalsta fonda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42.punktu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Integrācija un mazaizsargāto grupu iekļaušana: ar Saliedētas un pilsoniski aktīvas sabiedrības pamatnostādnēm 2021–2027 un Plāniem romu stratēģiskā ietvara īstenošanai (2022–2023; 2024–2027) tiek veicināta romu iekļaušana izglītībā, nodarbinātībā un sabiedriskajā dzīvē. ES programmas ietvaros kopš 2016.gada nepārtraukti īstenots projekts “Latvijas romu platforma”, kura 8.cikla ietvaros (2025–2027) darbojas romu mediatori pašvaldībās, notiek mācības romu sievietēm un jauniešiem, kā arī turpinās sabiedrības informēšana. Savukārt projekta 6.ciklā (2021-2023) izveidoto izstādi “Romi Latvijā” turpina eksponēt Latvijas reģionos, kā arī sociālajos tīklos publicēti 7. projekta cikla (2023-2025) ietvaros sagatavotie 10 videostāsti un Latvijas bibliotēkās ir pieejama grāmata “Romi Latvijā” (latviešu un angļu valodā). 2024.gada aptaujā 90% izglītības iestāžu atzina, ka nodrošina pietiekamu atbalstu romu izglītojamiem.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Ziņojuma teksts precizēts atbilstoši piedāvātajai redakcijai, papildinot informāciju par romu iekļaušanas politikas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27.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Latvijā 2022.gadā tika identificētas 529 aktīvas NVO (biedrības un nodibinājumi), kas būtu attiecināmas uz mazākumtautību sektoru, kas apliecina kopienu kultūras aktivitāti un daudzveidību. Aktīvo mazākumtautību organizāciju kodols ir 100–120 NVO (pētījuma autoru aplēses), kas regulāri īsteno kultūras, radošās un amatiermākslas aktivitātes. 70% organizāciju īsteno kultūras pasākumus, 55% informē sabiedrību par savu darbību, 53% radošās aktivitātes, 51% amatiermākslu, 45% pieredzes apmaiņu. Organizāciju biedru kopskaits sasniedz 16 654 personas (kā darbībā aktīvas norādītas 8 438 personas).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nacionālā ziņojuma projekta Apvienoto Nāciju Organizācijas (ANO) Vispārējā periodiskā pārskata ceturtā cikla ietvaros (turpmāk – Ziņojums) par laika posmu no 2021. līdz 2025.gadam 17.punktu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2025. gadā Mediju atbalsta fonda finansējums sasniedza 4,5 miljonus eiro. Eiropas Savienības Atveseļošanas fonda ietvaros nodrošināti 13 miljoni eiro mediju digitalizācijai un modernizācijai. 2025.gadā pabeigta sabiedrisko mediju apvienošana vienotā Latvijas sabiedriskajā medijā (LSM), nodrošinot līdz šim lielāko finansējuma pieaugumu un stiprinot redakcionālo neatkarību.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w:t>
            </w:r>
            <w:r w:rsidR="00000000" w:rsidRPr="00000000" w:rsidDel="00000000">
              <w:rPr>
                <w:b w:val="1"/>
                <w:rtl w:val="0"/>
              </w:rPr>
              <w:t xml:space="preserve">un citu Latvijā dzīvojošo tautību </w:t>
            </w:r>
            <w:r w:rsidR="00000000" w:rsidRPr="00000000" w:rsidDel="00000000">
              <w:rPr>
                <w:rtl w:val="0"/>
              </w:rPr>
              <w:t xml:space="preserve">kultūras tradīciju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papildināts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95. un 96.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w:t>
            </w:r>
            <w:r w:rsidR="00000000" w:rsidRPr="00000000" w:rsidDel="00000000">
              <w:rPr>
                <w:b w:val="1"/>
                <w:rtl w:val="0"/>
              </w:rPr>
              <w:t xml:space="preserve">un citu tautību.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Abi punkti papildināti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95. punkta teikuma daļu: "12,5 tūkstoši skolēnu".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tūkstoši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2023.gada 31.decembra noslēdzies ES fondu projekts “Kompetenču pieeja mācību saturā” (Skola2030), kura ietvaros</w:t>
            </w:r>
            <w:r w:rsidR="00000000" w:rsidRPr="00000000" w:rsidDel="00000000">
              <w:rPr>
                <w:b w:val="1"/>
                <w:rtl w:val="0"/>
              </w:rPr>
              <w:t xml:space="preserve"> izstrādātas</w:t>
            </w:r>
            <w:r w:rsidR="00000000" w:rsidRPr="00000000" w:rsidDel="00000000">
              <w:rPr>
                <w:rtl w:val="0"/>
              </w:rPr>
              <w:t xml:space="preserve"> pirmsskolas, pamatizglītības un vispārējās vidējās izglītības valsts vadlīnijas, standarti un programmu paraugi, nodrošinot kompetencēs balstītu mācību saturu no pirmsskolas līdz vidusskolai. Izglītības iestāžu akreditācijas procesā viena no būtiskajām vērtēšanas jomām ir iekļaujoša vide: fiziski un emocionāli droša, pozitīva mācību vide un </w:t>
            </w:r>
            <w:r w:rsidR="00000000" w:rsidRPr="00000000" w:rsidDel="00000000">
              <w:rPr>
                <w:b w:val="1"/>
                <w:rtl w:val="0"/>
              </w:rPr>
              <w:t xml:space="preserve">izglītojamo</w:t>
            </w:r>
            <w:r w:rsidR="00000000" w:rsidRPr="00000000" w:rsidDel="00000000">
              <w:rPr>
                <w:rtl w:val="0"/>
              </w:rPr>
              <w:t xml:space="preserve"> motivācija.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Teksts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akti atbalsta bērna agrīno attīstību ģimenē un  vecāku līdzsvaru ar darbu: bērnu kopšanas atvaļinājums un vecāku pabalsts pieejams līdz 1,5 gadu vecumam, obligātā iesaiste pirmsskolas izglītībā no 5 gadu vecuma, savukārt 88% vecāku izvēlas bērnam sākt pirmsskolas izglītību no 3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46. punkts izteikts precizētā redakcijā, precīzāk atspoguļojot bērna agrīnās attīstības un ģimenes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atsaucēm uz Eiropas Savienības kohēzijas politikas programmas 2021.-2027. gadam specifiskajiem atbalsta mērķiem/pasākumiem un Eiropas Savienības Atveseļošanas un noturības mehānisma plāna projekta Nr. un/vai reformu, investīcijām, to minēšanas vietās, piemēram, ziņojuma 17.,  64.,  69., 82., 83., 102., 104., 105., 106. Un 110. punktā. Pretējā gadījumā nav iespējams skaidri un nepārprotami identificēt veiktās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atsaucēm uz ES kohēzijas politikas programmas 2021.–2027. gadam mērķiem un Atveseļošanas un noturības mehānisma investīcijām, nodrošinot veikto ieguldījumu skaidru identificējamību.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25-TA-2977</w:t>
    </w:r>
    <w:r>
      <w:br/>
    </w:r>
    <w:r w:rsidR="00000000" w:rsidRPr="00000000" w:rsidDel="00000000">
      <w:rPr>
        <w:rtl w:val="0"/>
      </w:rPr>
      <w:t xml:space="preserve">26.01.2026. 19.10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25-TA-2977</w:t>
    </w:r>
    <w:r>
      <w:br/>
    </w:r>
    <w:r w:rsidR="00000000" w:rsidRPr="00000000" w:rsidDel="00000000">
      <w:rPr>
        <w:rtl w:val="0"/>
      </w:rPr>
      <w:t xml:space="preserve">26.01.2026. 19.10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Izziņa_25-TA-2977.docx</dc:title>
</cp:coreProperties>
</file>

<file path=docProps/custom.xml><?xml version="1.0" encoding="utf-8"?>
<Properties xmlns="http://schemas.openxmlformats.org/officeDocument/2006/custom-properties" xmlns:vt="http://schemas.openxmlformats.org/officeDocument/2006/docPropsVTypes"/>
</file>