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 jūlija noteikumos Nr. 407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(26.03.2026.)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28.05.2026. 16:12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ietvert skaidrojumu vai izstrādātie grozījumi nav uzskatāmi par būtiskiem, tas ir tādi, kas ietekmē darbības veidu, mērķus vai īstenošanas nosacījumus, tādējādi traucējot tās sākotnējo mērķu sasniegšanu.  Vienlaikus lūdzam papildināt noteikumu projekta anotāciju ar skaidrojumu par izstrādāto grozījumu ietekmi uz finansējuma saņēmēju - akciju sabiedrību "Latvijas valsts meži", tāpat arī vai līgumā par projekta īstenošanu tiks veikti attiecīgi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 Papildus norādām, ka anotācijas 2.1. sadaļā ir sniegts skaidrojums par izstrādāto grozījumu ietekmi uz finansējuma saņēmēju. Vienlaikus papildināts, ka šie grozījumi neietekmēs jau apstiprināto projektu 6.1.1.1. pasākuma trešās atlases kārtas ietvaros, un attiecīgajā projekta īstenošanas līgumā grozījumus veikt nebūs nepieciešams, jo noteikumu projektā paredzētais finansējuma un rādītāju samazinājums neskar jau uzsāktās projekta darbības un to izpildes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noteikumu projekta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- 2.1.apakšpunktā pārskatīt un precizēt summas 2028.gadam, jo šobrīd 2028.gadam kopējā ietekme uz valsts budžeta izdevumiem 3.1.punktā veidojas 411 317 euro apmērā, savukārt 6.punktā norādītajā izdevumu sadalījumā pa gadiem, valsts budžeta izdevumi 2028.gadam norādīti  411 316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 un 2.1.apakšpunktos pārskatīt 2029.gadam norādīto ieņēmumu un izdevumu apmēru, jo šobrīd tas nesakrīt ar 6.punktā norādīto informāciju (2029.gadam izmaiņu ailē jāsniedz informācija, lai tā kopā ar budžetā jau plānoto atbilstu apmēram, kas norādīts 6.punktā), attiecīgi arī manuāli precizējot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- 6.punktā pārskatīt un precizēt norādīto izdevumu un finansējuma avotu sadalījumu pa gadiem, lai to kopsummas sakristu ar noteikumu projekta grozījumu 8.punktā norādītajām TPF un valsts budžeta līdzfinansējuma summām (šobrīd tās atšķiras par 1 euro), vienlaikus precizējot izdevumu kopsummu 2028., 2029. un 2030.gadam, jo tā šobrīd neveido attiecīgajos gados norādīto TPF un valsts budžeta līdzfinansējumu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- 6.punktā pievienot skaidrojumu, ka informācija par pasākuma īstenošanai plānoto privāto līdzfinansējumu netiek sniegta anotācijas 3.sadaļā, jo tam nav ietekme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2025. gada 1. jūlija noteikumos Nr. 407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rosinātā finansējuma/projekta pārcelšana starp 6.1.1. specifiskā atbalsta mērķa “Pārejas uz klimatneitralitāti radīto ekonomisko, sociālo un vides seku mazināšana visvairāk skartajos reģionos”  (turpmāk – 6.1.1. SAM) pasākumiem iekļauta VARAM iesniegtajā Eiropas Savienības kohēzijas politikas programmas 2021. – 2027.gadam grozījumu priekšlikumā, (turpmāk - grozījumi Nr.6), paredzot izmaiņas intervenču kodos. Grozījumi Nr. 6 šobrīd ir tikai izstrādes stadijā, kas nozīmē, ka nav ne neoficiālas vienošanā ar Eiropas Komisiju (turpmāk – EK), ne arī lemts par grozījumu nacionālu apstiprināšanu Ministru Kabinetā (turpmāk – MK). Attiecīgi, lūdzam papildināt MK sēdes protokollēmuma projektu ar punktu, ka MK lemj par finansējuma pārcelšanu pirms apstiprināti grozījumi Nr.6., kā arī punktu, kas nosaka kāda būs turpmākā rīcība, ja EK neakceptēs rosinātos grozījumus Nr.6.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papildināt anotāciju ar skaidrojumu, ka grozījumos Nr.6 ir pieteiktas izmaiņas, finansējuma/projekta pārcelšanas ietvaros, 6.1.1. SAM intervences kodos.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atbilstoši papildināts, vienlaikus attiecīgi papildinot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2025. gada 1. jūlija noteikumos Nr. 407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projekta darbību īstenošanas rezultātā teritorijās, kurās netiek sniegts komercdarbības atbalsts, rodas ieņēmumi, piemēram, no koksnes un šķeldas realizācijas, šo ieņēmumu uzskaitei projekta iesniedzējs nodrošina finanšu analīzes sagatavošanu. Pamatojoties uz izmaksu un ieguvumu analīzē norādīto neto ieņēmumu apmēru, kas tiek precizēts atbilstoši faktiskajam apmēram, ne vēlāk kā pirms pēdējā maksājuma veikšanas tiek samazināts Taisnīgas pārkārtošanās fonda finansējuma apmērs. Šo ieņēmumu uzskaiti projekta iesniedzējs veic kā daļu no šo noteikumu 15. punktā minētās izmaksu un ieguvumu analīzes.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šis nosacījums būtu viennozīmīgi skaidrs visiem, t.sk. arī finansējuma saņēmējam, lūdzu precīzi norādīt, par kādiem ieņēmumiem var tikt samazināts Taisnīgas pārkārtošanās fonda finansējuma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1 </w:t>
            </w:r>
            <w:r w:rsidR="00000000" w:rsidRPr="00000000" w:rsidDel="00000000">
              <w:rPr>
                <w:rtl w:val="0"/>
              </w:rPr>
              <w:t xml:space="preserve"> Ja projekta darbību īstenošanas rezultātā teritorijās, kurās netiek sniegts komercdarbības atbalsts, rodas ieņēmumi, piemēram, no koksnes un šķeldas realizācijas, šo ieņēmumu uzskaitei projekta iesniedzējs nodrošina finanšu analīzes sagatavošanu. Pamatojoties uz izmaksu un ieguvumu analīzē norādīto neto ieņēmumu apmēru, kas tiek precizēts atbilstoši faktiskajam apmēram, ne vēlāk kā pirms pēdējā maksājuma veikšanas tiek samazināts Taisnīgas pārkārtošanās fonda finansējuma apmērs, </w:t>
            </w:r>
            <w:r w:rsidR="00000000" w:rsidRPr="00000000" w:rsidDel="00000000">
              <w:rPr>
                <w:i w:val="1"/>
                <w:rtl w:val="0"/>
              </w:rPr>
              <w:t xml:space="preserve">ja faktiskie ieņēmumi pārsniedz sākotnēji plānotos.</w:t>
            </w:r>
            <w:r w:rsidR="00000000" w:rsidRPr="00000000" w:rsidDel="00000000">
              <w:rPr>
                <w:rtl w:val="0"/>
              </w:rPr>
              <w:t xml:space="preserve"> Šo ieņēmumu uzskaiti projekta iesniedzējs veic kā daļu no šo noteikumu 15. punktā minētās izmaksu un ieguvumu analīzes.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attiecīgi papildināts. Vienlaikus sniedzam skaidrojumu, ka atbilstoši Eiropas Savienības fondu tiesiskajam ietvaram projektos, kuros netiek sniegts komercdarbības atbalsts, ir saistošs peļņas gūšanas aizlieguma princips, kas paredz finansējuma samazināšanu par visiem faktiski gūtajiem neto ieņēmumiem, kuri nav tikuši atrēķināti jau projekta uzsākšanas posmā. Lai korekti atspoguļotu šo mehānismu un salāgotu to ar priekšlikuma mērķi, noteikumu projekta 15.</w:t>
            </w:r>
            <w:r w:rsidR="00000000" w:rsidRPr="00000000" w:rsidDel="00000000">
              <w:rPr>
                <w:vertAlign w:val="superscript"/>
                <w:rtl w:val="0"/>
              </w:rPr>
              <w:t xml:space="preserve">1</w:t>
            </w:r>
            <w:r w:rsidR="00000000" w:rsidRPr="00000000" w:rsidDel="00000000">
              <w:rPr>
                <w:rtl w:val="0"/>
              </w:rPr>
              <w:t xml:space="preserve"> punkts tiek papildināts, ka Taisnīgas pārkārtošanās fonda finansējuma apmērs tiek samazināts tieši par to summu, par kuru faktiski gūtie neto ieņēmumi pārsniedz sākotnējā finanšu (izmaksu un ieguvumu) analīzē paredzētos un jau atrēķinātos neto ieņēmumus. Šāda redakcija pilnībā novērš dubultās finansēšanas un neattiecināmo izmaksu riskus, vienlaikus sniedzot finansējuma saņēmējam skaidru metodisko rāmi finanšu analīzes precizēšanai pirms noslēguma maksājuma.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projekta darbību īstenošanas rezultātā teritorijās, kurās netiek sniegts komercdarbības atbalsts, rodas ieņēmumi, piemēram, no koksnes un šķeldas realizācijas, šo ieņēmumu uzskaitei projekta iesniedzējs nodrošina finanšu analīzes sagatavošanu. Pamatojoties uz izmaksu un ieguvumu analīzē norādīto neto ieņēmumu apmēru, kas tiek precizēts atbilstoši faktiskajam apmēram, ne vēlāk kā pirms pēdējā maksājuma veikšanas tiek samazināts Taisnīgas pārkārtošanās fonda finansējuma apmērs par summu, par kuru faktiski gūtie neto ieņēmumi pārsniedz sākotnējā finanšu analīzē paredzētos neto ieņēmumus. Šo ieņēmumu uzskaiti projekta iesniedzējs veic kā daļu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minētās izmaksu un ieguvumu analīzes.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26-TA-786</w:t>
    </w:r>
    <w:r>
      <w:br/>
    </w:r>
    <w:r w:rsidR="00000000" w:rsidRPr="00000000" w:rsidDel="00000000">
      <w:rPr>
        <w:rtl w:val="0"/>
      </w:rPr>
      <w:t xml:space="preserve">13.06.2026. 11.53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26-TA-786</w:t>
    </w:r>
    <w:r>
      <w:br/>
    </w:r>
    <w:r w:rsidR="00000000" w:rsidRPr="00000000" w:rsidDel="00000000">
      <w:rPr>
        <w:rtl w:val="0"/>
      </w:rPr>
      <w:t xml:space="preserve">13.06.2026. 11.53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Izziņa_26-TA-786.docx</dc:title>
</cp:coreProperties>
</file>

<file path=docProps/custom.xml><?xml version="1.0" encoding="utf-8"?>
<Properties xmlns="http://schemas.openxmlformats.org/officeDocument/2006/custom-properties" xmlns:vt="http://schemas.openxmlformats.org/officeDocument/2006/docPropsVTypes"/>
</file>