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3A3E1" w14:textId="75B2CC50" w:rsidR="00CC6591" w:rsidRPr="001A73BA" w:rsidRDefault="00CC6591" w:rsidP="00C970A8">
      <w:pPr>
        <w:pStyle w:val="naisnod"/>
        <w:spacing w:before="0" w:after="0"/>
        <w:jc w:val="both"/>
      </w:pPr>
    </w:p>
    <w:tbl>
      <w:tblPr>
        <w:tblW w:w="0" w:type="auto"/>
        <w:jc w:val="center"/>
        <w:tblLook w:val="00A0" w:firstRow="1" w:lastRow="0" w:firstColumn="1" w:lastColumn="0" w:noHBand="0" w:noVBand="0"/>
      </w:tblPr>
      <w:tblGrid>
        <w:gridCol w:w="10773"/>
      </w:tblGrid>
      <w:tr w:rsidR="00CC6591" w:rsidRPr="00C970A8" w14:paraId="29058C7C" w14:textId="77777777" w:rsidTr="00A20799">
        <w:trPr>
          <w:jc w:val="center"/>
        </w:trPr>
        <w:tc>
          <w:tcPr>
            <w:tcW w:w="10773" w:type="dxa"/>
            <w:tcBorders>
              <w:bottom w:val="single" w:sz="6" w:space="0" w:color="000000"/>
            </w:tcBorders>
          </w:tcPr>
          <w:p w14:paraId="3822C5A8" w14:textId="6D3F0AA2" w:rsidR="00CC6591" w:rsidRPr="00C970A8" w:rsidRDefault="00A3143D" w:rsidP="00100C0B">
            <w:pPr>
              <w:jc w:val="center"/>
              <w:rPr>
                <w:b/>
                <w:bCs/>
              </w:rPr>
            </w:pPr>
            <w:r w:rsidRPr="00C970A8">
              <w:rPr>
                <w:b/>
                <w:bCs/>
              </w:rPr>
              <w:t>Izziņa par atzinumos sniegtajiem iebildumiem par</w:t>
            </w:r>
            <w:r w:rsidR="00A20799" w:rsidRPr="00C970A8">
              <w:rPr>
                <w:b/>
                <w:bCs/>
              </w:rPr>
              <w:t xml:space="preserve"> noteikumu projektu “Grozījumi Ministru kabineta 2018. gada 26.jūnija noteikumos Nr. 377 “Latvijas Antidopinga biroja nolikums” (VSS-713)</w:t>
            </w:r>
          </w:p>
        </w:tc>
      </w:tr>
    </w:tbl>
    <w:p w14:paraId="54EB2B57" w14:textId="77777777" w:rsidR="00CC6591" w:rsidRPr="00C970A8" w:rsidRDefault="00CC6591" w:rsidP="00100C0B">
      <w:pPr>
        <w:pStyle w:val="naisc"/>
        <w:spacing w:before="0" w:after="0"/>
        <w:ind w:firstLine="1080"/>
      </w:pPr>
      <w:r w:rsidRPr="00C970A8">
        <w:t>(dokumenta veids un nosaukums)</w:t>
      </w:r>
    </w:p>
    <w:p w14:paraId="5CEA8E95" w14:textId="77777777" w:rsidR="00CC6591" w:rsidRPr="00C970A8" w:rsidRDefault="00CC6591" w:rsidP="00C970A8">
      <w:pPr>
        <w:pStyle w:val="naisf"/>
        <w:spacing w:before="0" w:after="0"/>
        <w:ind w:firstLine="720"/>
      </w:pPr>
    </w:p>
    <w:p w14:paraId="2D6CCC23" w14:textId="77777777" w:rsidR="00CC6591" w:rsidRPr="00C970A8" w:rsidRDefault="00CC6591" w:rsidP="00C970A8">
      <w:pPr>
        <w:pStyle w:val="naisf"/>
        <w:spacing w:before="0" w:after="0"/>
        <w:ind w:firstLine="0"/>
        <w:rPr>
          <w:b/>
        </w:rPr>
      </w:pPr>
      <w:r w:rsidRPr="00C970A8">
        <w:rPr>
          <w:b/>
        </w:rPr>
        <w:t>I. Jautājumi, par kuriem saskaņošanā vienošanās nav panākta</w:t>
      </w:r>
    </w:p>
    <w:p w14:paraId="41E024AB" w14:textId="77777777" w:rsidR="00CC6591" w:rsidRPr="00C970A8" w:rsidRDefault="00CC6591" w:rsidP="00C970A8">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CC6591" w:rsidRPr="00C970A8" w14:paraId="4D911B5B" w14:textId="77777777" w:rsidTr="002B6155">
        <w:tc>
          <w:tcPr>
            <w:tcW w:w="708" w:type="dxa"/>
            <w:tcBorders>
              <w:top w:val="single" w:sz="6" w:space="0" w:color="000000"/>
              <w:left w:val="single" w:sz="6" w:space="0" w:color="000000"/>
              <w:bottom w:val="single" w:sz="6" w:space="0" w:color="000000"/>
              <w:right w:val="single" w:sz="6" w:space="0" w:color="000000"/>
            </w:tcBorders>
            <w:vAlign w:val="center"/>
          </w:tcPr>
          <w:p w14:paraId="4EEB98AD" w14:textId="77777777" w:rsidR="00CC6591" w:rsidRPr="00C970A8" w:rsidRDefault="00CC6591" w:rsidP="00C970A8">
            <w:pPr>
              <w:pStyle w:val="naisc"/>
              <w:spacing w:before="0" w:after="0"/>
              <w:jc w:val="both"/>
            </w:pPr>
            <w:r w:rsidRPr="00C970A8">
              <w:t>Nr. p. k.</w:t>
            </w:r>
          </w:p>
        </w:tc>
        <w:tc>
          <w:tcPr>
            <w:tcW w:w="3086" w:type="dxa"/>
            <w:tcBorders>
              <w:top w:val="single" w:sz="6" w:space="0" w:color="000000"/>
              <w:left w:val="single" w:sz="6" w:space="0" w:color="000000"/>
              <w:bottom w:val="single" w:sz="6" w:space="0" w:color="000000"/>
              <w:right w:val="single" w:sz="6" w:space="0" w:color="000000"/>
            </w:tcBorders>
            <w:vAlign w:val="center"/>
          </w:tcPr>
          <w:p w14:paraId="3F4CF58C" w14:textId="77777777" w:rsidR="00CC6591" w:rsidRPr="00C970A8" w:rsidRDefault="00CC6591" w:rsidP="00C970A8">
            <w:pPr>
              <w:pStyle w:val="naisc"/>
              <w:spacing w:before="0" w:after="0"/>
              <w:ind w:firstLine="12"/>
              <w:jc w:val="both"/>
            </w:pPr>
            <w:r w:rsidRPr="00C970A8">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0674C764" w14:textId="77777777" w:rsidR="00CC6591" w:rsidRPr="00C970A8" w:rsidRDefault="00CC6591" w:rsidP="00C970A8">
            <w:pPr>
              <w:pStyle w:val="naisc"/>
              <w:spacing w:before="0" w:after="0"/>
              <w:ind w:right="3"/>
              <w:jc w:val="both"/>
            </w:pPr>
            <w:r w:rsidRPr="00C970A8">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4911FE66" w14:textId="77777777" w:rsidR="00CC6591" w:rsidRPr="00C970A8" w:rsidRDefault="00CC6591" w:rsidP="00C970A8">
            <w:pPr>
              <w:pStyle w:val="naisc"/>
              <w:spacing w:before="0" w:after="0"/>
              <w:ind w:firstLine="21"/>
              <w:jc w:val="both"/>
            </w:pPr>
            <w:r w:rsidRPr="00C970A8">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52597C4D" w14:textId="77777777" w:rsidR="00CC6591" w:rsidRPr="00C970A8" w:rsidRDefault="00CC6591" w:rsidP="00C970A8">
            <w:pPr>
              <w:jc w:val="both"/>
            </w:pPr>
            <w:r w:rsidRPr="00C970A8">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4E02695E" w14:textId="77777777" w:rsidR="00CC6591" w:rsidRPr="00C970A8" w:rsidRDefault="00CC6591" w:rsidP="00C970A8">
            <w:pPr>
              <w:jc w:val="both"/>
            </w:pPr>
            <w:r w:rsidRPr="00C970A8">
              <w:t>Projekta attiecīgā punkta (panta) galīgā redakcija</w:t>
            </w:r>
          </w:p>
        </w:tc>
      </w:tr>
      <w:tr w:rsidR="00CC6591" w:rsidRPr="00C970A8" w14:paraId="6C05639F" w14:textId="77777777" w:rsidTr="002B6155">
        <w:tc>
          <w:tcPr>
            <w:tcW w:w="708" w:type="dxa"/>
            <w:tcBorders>
              <w:top w:val="single" w:sz="6" w:space="0" w:color="000000"/>
              <w:left w:val="single" w:sz="6" w:space="0" w:color="000000"/>
              <w:bottom w:val="single" w:sz="6" w:space="0" w:color="000000"/>
              <w:right w:val="single" w:sz="6" w:space="0" w:color="000000"/>
            </w:tcBorders>
          </w:tcPr>
          <w:p w14:paraId="52D35497" w14:textId="77777777" w:rsidR="00CC6591" w:rsidRPr="00C970A8" w:rsidRDefault="00CC6591" w:rsidP="00C970A8">
            <w:pPr>
              <w:pStyle w:val="naisc"/>
              <w:spacing w:before="0" w:after="0"/>
              <w:jc w:val="both"/>
            </w:pPr>
            <w:r w:rsidRPr="00C970A8">
              <w:t>1</w:t>
            </w:r>
          </w:p>
        </w:tc>
        <w:tc>
          <w:tcPr>
            <w:tcW w:w="3086" w:type="dxa"/>
            <w:tcBorders>
              <w:top w:val="single" w:sz="6" w:space="0" w:color="000000"/>
              <w:left w:val="single" w:sz="6" w:space="0" w:color="000000"/>
              <w:bottom w:val="single" w:sz="6" w:space="0" w:color="000000"/>
              <w:right w:val="single" w:sz="6" w:space="0" w:color="000000"/>
            </w:tcBorders>
          </w:tcPr>
          <w:p w14:paraId="1060F93A" w14:textId="77777777" w:rsidR="00CC6591" w:rsidRPr="00C970A8" w:rsidRDefault="00CC6591" w:rsidP="00C970A8">
            <w:pPr>
              <w:pStyle w:val="naisc"/>
              <w:spacing w:before="0" w:after="0"/>
              <w:ind w:firstLine="720"/>
              <w:jc w:val="both"/>
            </w:pPr>
            <w:r w:rsidRPr="00C970A8">
              <w:t>2</w:t>
            </w:r>
          </w:p>
        </w:tc>
        <w:tc>
          <w:tcPr>
            <w:tcW w:w="3118" w:type="dxa"/>
            <w:tcBorders>
              <w:top w:val="single" w:sz="6" w:space="0" w:color="000000"/>
              <w:left w:val="single" w:sz="6" w:space="0" w:color="000000"/>
              <w:bottom w:val="single" w:sz="6" w:space="0" w:color="000000"/>
              <w:right w:val="single" w:sz="6" w:space="0" w:color="000000"/>
            </w:tcBorders>
          </w:tcPr>
          <w:p w14:paraId="7345EDC6" w14:textId="77777777" w:rsidR="00CC6591" w:rsidRPr="00C970A8" w:rsidRDefault="00CC6591" w:rsidP="00C970A8">
            <w:pPr>
              <w:pStyle w:val="naisc"/>
              <w:spacing w:before="0" w:after="0"/>
              <w:ind w:firstLine="720"/>
              <w:jc w:val="both"/>
            </w:pPr>
            <w:r w:rsidRPr="00C970A8">
              <w:t>3</w:t>
            </w:r>
          </w:p>
        </w:tc>
        <w:tc>
          <w:tcPr>
            <w:tcW w:w="2977" w:type="dxa"/>
            <w:tcBorders>
              <w:top w:val="single" w:sz="6" w:space="0" w:color="000000"/>
              <w:left w:val="single" w:sz="6" w:space="0" w:color="000000"/>
              <w:bottom w:val="single" w:sz="6" w:space="0" w:color="000000"/>
              <w:right w:val="single" w:sz="6" w:space="0" w:color="000000"/>
            </w:tcBorders>
          </w:tcPr>
          <w:p w14:paraId="5CBFBE9D" w14:textId="77777777" w:rsidR="00CC6591" w:rsidRPr="00C970A8" w:rsidRDefault="00CC6591" w:rsidP="00C970A8">
            <w:pPr>
              <w:pStyle w:val="naisc"/>
              <w:spacing w:before="0" w:after="0"/>
              <w:ind w:firstLine="720"/>
              <w:jc w:val="both"/>
            </w:pPr>
            <w:r w:rsidRPr="00C970A8">
              <w:t>4</w:t>
            </w:r>
          </w:p>
        </w:tc>
        <w:tc>
          <w:tcPr>
            <w:tcW w:w="2459" w:type="dxa"/>
            <w:tcBorders>
              <w:top w:val="single" w:sz="4" w:space="0" w:color="auto"/>
              <w:left w:val="single" w:sz="4" w:space="0" w:color="auto"/>
              <w:bottom w:val="single" w:sz="4" w:space="0" w:color="auto"/>
              <w:right w:val="single" w:sz="4" w:space="0" w:color="auto"/>
            </w:tcBorders>
          </w:tcPr>
          <w:p w14:paraId="43006646" w14:textId="77777777" w:rsidR="00CC6591" w:rsidRPr="00C970A8" w:rsidRDefault="00CC6591" w:rsidP="00C970A8">
            <w:pPr>
              <w:jc w:val="both"/>
            </w:pPr>
            <w:r w:rsidRPr="00C970A8">
              <w:t>5</w:t>
            </w:r>
          </w:p>
        </w:tc>
        <w:tc>
          <w:tcPr>
            <w:tcW w:w="1920" w:type="dxa"/>
            <w:tcBorders>
              <w:top w:val="single" w:sz="4" w:space="0" w:color="auto"/>
              <w:left w:val="single" w:sz="4" w:space="0" w:color="auto"/>
              <w:bottom w:val="single" w:sz="4" w:space="0" w:color="auto"/>
            </w:tcBorders>
          </w:tcPr>
          <w:p w14:paraId="01607216" w14:textId="77777777" w:rsidR="00CC6591" w:rsidRPr="00C970A8" w:rsidRDefault="00CC6591" w:rsidP="00C970A8">
            <w:pPr>
              <w:jc w:val="both"/>
            </w:pPr>
            <w:r w:rsidRPr="00C970A8">
              <w:t>6</w:t>
            </w:r>
          </w:p>
        </w:tc>
      </w:tr>
      <w:tr w:rsidR="00CC6591" w:rsidRPr="00C970A8" w14:paraId="04B12BA9" w14:textId="77777777" w:rsidTr="002B6155">
        <w:tc>
          <w:tcPr>
            <w:tcW w:w="708" w:type="dxa"/>
            <w:tcBorders>
              <w:top w:val="single" w:sz="6" w:space="0" w:color="000000"/>
              <w:left w:val="single" w:sz="6" w:space="0" w:color="000000"/>
              <w:bottom w:val="single" w:sz="6" w:space="0" w:color="000000"/>
              <w:right w:val="single" w:sz="6" w:space="0" w:color="000000"/>
            </w:tcBorders>
          </w:tcPr>
          <w:p w14:paraId="25CBBC5B" w14:textId="77777777" w:rsidR="00CC6591" w:rsidRPr="00C970A8" w:rsidRDefault="00CC6591" w:rsidP="00C970A8">
            <w:pPr>
              <w:pStyle w:val="naisc"/>
              <w:spacing w:before="0" w:after="0"/>
              <w:jc w:val="both"/>
            </w:pPr>
          </w:p>
        </w:tc>
        <w:tc>
          <w:tcPr>
            <w:tcW w:w="3086" w:type="dxa"/>
            <w:tcBorders>
              <w:top w:val="single" w:sz="6" w:space="0" w:color="000000"/>
              <w:left w:val="single" w:sz="6" w:space="0" w:color="000000"/>
              <w:bottom w:val="single" w:sz="6" w:space="0" w:color="000000"/>
              <w:right w:val="single" w:sz="6" w:space="0" w:color="000000"/>
            </w:tcBorders>
          </w:tcPr>
          <w:p w14:paraId="1405BC2A" w14:textId="77777777" w:rsidR="00CC6591" w:rsidRPr="00C970A8" w:rsidRDefault="00CC6591" w:rsidP="00C970A8">
            <w:pPr>
              <w:pStyle w:val="naisc"/>
              <w:spacing w:before="0" w:after="0"/>
              <w:ind w:firstLine="720"/>
              <w:jc w:val="both"/>
            </w:pPr>
          </w:p>
        </w:tc>
        <w:tc>
          <w:tcPr>
            <w:tcW w:w="3118" w:type="dxa"/>
            <w:tcBorders>
              <w:top w:val="single" w:sz="6" w:space="0" w:color="000000"/>
              <w:left w:val="single" w:sz="6" w:space="0" w:color="000000"/>
              <w:bottom w:val="single" w:sz="6" w:space="0" w:color="000000"/>
              <w:right w:val="single" w:sz="6" w:space="0" w:color="000000"/>
            </w:tcBorders>
          </w:tcPr>
          <w:p w14:paraId="3B104736" w14:textId="77777777" w:rsidR="00CC6591" w:rsidRPr="00C970A8" w:rsidRDefault="00CC6591" w:rsidP="00C970A8">
            <w:pPr>
              <w:pStyle w:val="naisc"/>
              <w:spacing w:before="0" w:after="0"/>
              <w:ind w:firstLine="720"/>
              <w:jc w:val="both"/>
            </w:pPr>
          </w:p>
        </w:tc>
        <w:tc>
          <w:tcPr>
            <w:tcW w:w="2977" w:type="dxa"/>
            <w:tcBorders>
              <w:top w:val="single" w:sz="6" w:space="0" w:color="000000"/>
              <w:left w:val="single" w:sz="6" w:space="0" w:color="000000"/>
              <w:bottom w:val="single" w:sz="6" w:space="0" w:color="000000"/>
              <w:right w:val="single" w:sz="6" w:space="0" w:color="000000"/>
            </w:tcBorders>
          </w:tcPr>
          <w:p w14:paraId="7A88C60B" w14:textId="77777777" w:rsidR="00CC6591" w:rsidRPr="00C970A8" w:rsidRDefault="00CC6591" w:rsidP="00C970A8">
            <w:pPr>
              <w:pStyle w:val="naisc"/>
              <w:spacing w:before="0" w:after="0"/>
              <w:ind w:firstLine="720"/>
              <w:jc w:val="both"/>
            </w:pPr>
          </w:p>
        </w:tc>
        <w:tc>
          <w:tcPr>
            <w:tcW w:w="2459" w:type="dxa"/>
            <w:tcBorders>
              <w:top w:val="single" w:sz="4" w:space="0" w:color="auto"/>
              <w:left w:val="single" w:sz="4" w:space="0" w:color="auto"/>
              <w:bottom w:val="single" w:sz="4" w:space="0" w:color="auto"/>
              <w:right w:val="single" w:sz="4" w:space="0" w:color="auto"/>
            </w:tcBorders>
          </w:tcPr>
          <w:p w14:paraId="6C22959F" w14:textId="77777777" w:rsidR="00CC6591" w:rsidRPr="00C970A8" w:rsidRDefault="00CC6591" w:rsidP="00C970A8">
            <w:pPr>
              <w:jc w:val="both"/>
            </w:pPr>
          </w:p>
        </w:tc>
        <w:tc>
          <w:tcPr>
            <w:tcW w:w="1920" w:type="dxa"/>
            <w:tcBorders>
              <w:top w:val="single" w:sz="4" w:space="0" w:color="auto"/>
              <w:left w:val="single" w:sz="4" w:space="0" w:color="auto"/>
              <w:bottom w:val="single" w:sz="4" w:space="0" w:color="auto"/>
            </w:tcBorders>
          </w:tcPr>
          <w:p w14:paraId="05D2D7E5" w14:textId="77777777" w:rsidR="00CC6591" w:rsidRPr="00C970A8" w:rsidRDefault="00CC6591" w:rsidP="00C970A8">
            <w:pPr>
              <w:jc w:val="both"/>
            </w:pPr>
          </w:p>
        </w:tc>
      </w:tr>
    </w:tbl>
    <w:p w14:paraId="48FCA690" w14:textId="77777777" w:rsidR="00CC6591" w:rsidRPr="00C970A8" w:rsidRDefault="00CC6591" w:rsidP="00C970A8">
      <w:pPr>
        <w:pStyle w:val="naisf"/>
        <w:spacing w:before="0" w:after="0"/>
        <w:ind w:firstLine="0"/>
        <w:rPr>
          <w:b/>
        </w:rPr>
      </w:pPr>
    </w:p>
    <w:p w14:paraId="1F8ECA8A" w14:textId="77777777" w:rsidR="00CC6591" w:rsidRPr="00C970A8" w:rsidRDefault="00CC6591" w:rsidP="00C970A8">
      <w:pPr>
        <w:pStyle w:val="naisf"/>
        <w:spacing w:before="0" w:after="0"/>
        <w:ind w:firstLine="0"/>
        <w:rPr>
          <w:b/>
        </w:rPr>
      </w:pPr>
      <w:r w:rsidRPr="00C970A8">
        <w:rPr>
          <w:b/>
        </w:rPr>
        <w:t xml:space="preserve">Informācija par </w:t>
      </w:r>
      <w:proofErr w:type="spellStart"/>
      <w:r w:rsidRPr="00C970A8">
        <w:rPr>
          <w:b/>
        </w:rPr>
        <w:t>starpministriju</w:t>
      </w:r>
      <w:proofErr w:type="spellEnd"/>
      <w:r w:rsidRPr="00C970A8">
        <w:rPr>
          <w:b/>
        </w:rPr>
        <w:t xml:space="preserve"> (starpinstitūciju) sanāksmi vai elektronisko saskaņošanu</w:t>
      </w:r>
    </w:p>
    <w:p w14:paraId="43FCDD02" w14:textId="77777777" w:rsidR="00CC6591" w:rsidRPr="00C970A8" w:rsidRDefault="00CC6591" w:rsidP="00C970A8">
      <w:pPr>
        <w:pStyle w:val="naisf"/>
        <w:spacing w:before="0" w:after="0"/>
        <w:ind w:firstLine="0"/>
        <w:rPr>
          <w:b/>
        </w:rPr>
      </w:pPr>
    </w:p>
    <w:tbl>
      <w:tblPr>
        <w:tblW w:w="12582" w:type="dxa"/>
        <w:tblLook w:val="00A0" w:firstRow="1" w:lastRow="0" w:firstColumn="1" w:lastColumn="0" w:noHBand="0" w:noVBand="0"/>
      </w:tblPr>
      <w:tblGrid>
        <w:gridCol w:w="6345"/>
        <w:gridCol w:w="6237"/>
      </w:tblGrid>
      <w:tr w:rsidR="00CC6591" w:rsidRPr="00C970A8" w14:paraId="0A912263" w14:textId="77777777" w:rsidTr="006457C3">
        <w:tc>
          <w:tcPr>
            <w:tcW w:w="6345" w:type="dxa"/>
          </w:tcPr>
          <w:p w14:paraId="56B77D80" w14:textId="77777777" w:rsidR="00CC6591" w:rsidRPr="00C970A8" w:rsidRDefault="00CC6591" w:rsidP="00C970A8">
            <w:pPr>
              <w:pStyle w:val="naisf"/>
              <w:spacing w:before="0" w:after="0"/>
              <w:ind w:firstLine="0"/>
            </w:pPr>
            <w:r w:rsidRPr="00C970A8">
              <w:t>Datums</w:t>
            </w:r>
          </w:p>
        </w:tc>
        <w:tc>
          <w:tcPr>
            <w:tcW w:w="6237" w:type="dxa"/>
            <w:tcBorders>
              <w:bottom w:val="single" w:sz="4" w:space="0" w:color="auto"/>
            </w:tcBorders>
          </w:tcPr>
          <w:p w14:paraId="22E82928" w14:textId="77777777" w:rsidR="00CC6591" w:rsidRDefault="00E258C7" w:rsidP="00C970A8">
            <w:pPr>
              <w:pStyle w:val="NormalWeb"/>
              <w:spacing w:before="0" w:beforeAutospacing="0" w:after="0" w:afterAutospacing="0"/>
              <w:jc w:val="both"/>
            </w:pPr>
            <w:r w:rsidRPr="00C970A8">
              <w:t xml:space="preserve">Elektroniskā saskaņošana </w:t>
            </w:r>
            <w:r w:rsidR="00BC1632">
              <w:t>03.09.2021</w:t>
            </w:r>
          </w:p>
          <w:p w14:paraId="5856874B" w14:textId="07BB3664" w:rsidR="00CE3490" w:rsidRPr="00C970A8" w:rsidRDefault="00CE3490" w:rsidP="00C970A8">
            <w:pPr>
              <w:pStyle w:val="NormalWeb"/>
              <w:spacing w:before="0" w:beforeAutospacing="0" w:after="0" w:afterAutospacing="0"/>
              <w:jc w:val="both"/>
            </w:pPr>
            <w:r>
              <w:t>Elektroniskā saskaņošana ar Tieslietu ministriju 10.09.2021</w:t>
            </w:r>
          </w:p>
        </w:tc>
      </w:tr>
      <w:tr w:rsidR="00CC6591" w:rsidRPr="00C970A8" w14:paraId="1AF756EB" w14:textId="77777777" w:rsidTr="006457C3">
        <w:tc>
          <w:tcPr>
            <w:tcW w:w="6345" w:type="dxa"/>
          </w:tcPr>
          <w:p w14:paraId="7CE0F725" w14:textId="77777777" w:rsidR="00CC6591" w:rsidRPr="00C970A8" w:rsidRDefault="00CC6591" w:rsidP="00C970A8">
            <w:pPr>
              <w:pStyle w:val="naisf"/>
              <w:spacing w:before="0" w:after="0"/>
              <w:ind w:firstLine="0"/>
            </w:pPr>
          </w:p>
        </w:tc>
        <w:tc>
          <w:tcPr>
            <w:tcW w:w="6237" w:type="dxa"/>
            <w:tcBorders>
              <w:top w:val="single" w:sz="4" w:space="0" w:color="auto"/>
            </w:tcBorders>
          </w:tcPr>
          <w:p w14:paraId="5D7635B5" w14:textId="77777777" w:rsidR="00CC6591" w:rsidRPr="00C970A8" w:rsidRDefault="00CC6591" w:rsidP="00C970A8">
            <w:pPr>
              <w:pStyle w:val="NormalWeb"/>
              <w:spacing w:before="0" w:beforeAutospacing="0" w:after="0" w:afterAutospacing="0"/>
              <w:ind w:firstLine="720"/>
              <w:jc w:val="both"/>
            </w:pPr>
          </w:p>
        </w:tc>
      </w:tr>
      <w:tr w:rsidR="00CC6591" w:rsidRPr="00C970A8" w14:paraId="4CBE8D37" w14:textId="77777777" w:rsidTr="006457C3">
        <w:tc>
          <w:tcPr>
            <w:tcW w:w="6345" w:type="dxa"/>
          </w:tcPr>
          <w:p w14:paraId="1DCE3A02" w14:textId="77777777" w:rsidR="00CC6591" w:rsidRPr="00C970A8" w:rsidRDefault="00CC6591" w:rsidP="00C970A8">
            <w:pPr>
              <w:pStyle w:val="naiskr"/>
              <w:spacing w:before="0" w:after="0"/>
              <w:jc w:val="both"/>
            </w:pPr>
            <w:r w:rsidRPr="00C970A8">
              <w:t>Saskaņošanas dalībnieki</w:t>
            </w:r>
          </w:p>
        </w:tc>
        <w:tc>
          <w:tcPr>
            <w:tcW w:w="6237" w:type="dxa"/>
            <w:tcBorders>
              <w:bottom w:val="single" w:sz="4" w:space="0" w:color="auto"/>
            </w:tcBorders>
          </w:tcPr>
          <w:p w14:paraId="0B9420E4" w14:textId="40101BB2" w:rsidR="00CC6591" w:rsidRPr="00C970A8" w:rsidRDefault="00CC6591" w:rsidP="00C970A8">
            <w:pPr>
              <w:pStyle w:val="NormalWeb"/>
              <w:spacing w:before="0" w:beforeAutospacing="0" w:after="0" w:afterAutospacing="0"/>
              <w:jc w:val="both"/>
            </w:pPr>
            <w:r w:rsidRPr="00C970A8">
              <w:t>Tieslietu ministrija, Izglītības un zinātnes ministrija, Finanšu ministrija, Ārlietu ministrija</w:t>
            </w:r>
            <w:r w:rsidR="00E258C7" w:rsidRPr="00C970A8">
              <w:t>,</w:t>
            </w:r>
            <w:r w:rsidR="00A20799" w:rsidRPr="00C970A8">
              <w:t xml:space="preserve"> </w:t>
            </w:r>
            <w:proofErr w:type="spellStart"/>
            <w:r w:rsidR="00A20799" w:rsidRPr="00C970A8">
              <w:t>Iekšlietu</w:t>
            </w:r>
            <w:proofErr w:type="spellEnd"/>
            <w:r w:rsidR="00A20799" w:rsidRPr="00C970A8">
              <w:t xml:space="preserve"> ministrija, </w:t>
            </w:r>
            <w:r w:rsidR="00E258C7" w:rsidRPr="00C970A8">
              <w:t>Vides aizsardzības un reģionālās attīstības ministrija</w:t>
            </w:r>
          </w:p>
        </w:tc>
      </w:tr>
    </w:tbl>
    <w:p w14:paraId="3CFA2DBF" w14:textId="77777777" w:rsidR="00CC6591" w:rsidRPr="00C970A8" w:rsidRDefault="00CC6591" w:rsidP="00C970A8">
      <w:pPr>
        <w:jc w:val="both"/>
      </w:pPr>
    </w:p>
    <w:tbl>
      <w:tblPr>
        <w:tblW w:w="12582" w:type="dxa"/>
        <w:tblLook w:val="00A0" w:firstRow="1" w:lastRow="0" w:firstColumn="1" w:lastColumn="0" w:noHBand="0" w:noVBand="0"/>
      </w:tblPr>
      <w:tblGrid>
        <w:gridCol w:w="6708"/>
        <w:gridCol w:w="840"/>
        <w:gridCol w:w="5034"/>
      </w:tblGrid>
      <w:tr w:rsidR="00CC6591" w:rsidRPr="00C970A8" w14:paraId="3517F21B" w14:textId="77777777" w:rsidTr="006457C3">
        <w:trPr>
          <w:trHeight w:val="285"/>
        </w:trPr>
        <w:tc>
          <w:tcPr>
            <w:tcW w:w="6708" w:type="dxa"/>
          </w:tcPr>
          <w:p w14:paraId="64B9DC57" w14:textId="77777777" w:rsidR="00CC6591" w:rsidRPr="00C970A8" w:rsidRDefault="00CC6591" w:rsidP="00C970A8">
            <w:pPr>
              <w:pStyle w:val="naiskr"/>
              <w:spacing w:before="0" w:after="0"/>
              <w:jc w:val="both"/>
            </w:pPr>
            <w:r w:rsidRPr="00C970A8">
              <w:t>Saskaņošanas dalībnieki izskatīja šādu ministriju (citu institūciju) iebildumus</w:t>
            </w:r>
          </w:p>
        </w:tc>
        <w:tc>
          <w:tcPr>
            <w:tcW w:w="840" w:type="dxa"/>
          </w:tcPr>
          <w:p w14:paraId="4946DB48" w14:textId="77777777" w:rsidR="00CC6591" w:rsidRPr="00C970A8" w:rsidRDefault="00CC6591" w:rsidP="00C970A8">
            <w:pPr>
              <w:pStyle w:val="naiskr"/>
              <w:spacing w:before="0" w:after="0"/>
              <w:ind w:firstLine="720"/>
              <w:jc w:val="both"/>
            </w:pPr>
          </w:p>
        </w:tc>
        <w:tc>
          <w:tcPr>
            <w:tcW w:w="5034" w:type="dxa"/>
            <w:tcBorders>
              <w:bottom w:val="single" w:sz="4" w:space="0" w:color="auto"/>
            </w:tcBorders>
          </w:tcPr>
          <w:p w14:paraId="3E5745A7" w14:textId="5886546E" w:rsidR="00CC6591" w:rsidRPr="00C970A8" w:rsidRDefault="00CC6591" w:rsidP="00C970A8">
            <w:pPr>
              <w:pStyle w:val="naiskr"/>
              <w:spacing w:before="0" w:after="0"/>
              <w:ind w:firstLine="12"/>
              <w:jc w:val="both"/>
            </w:pPr>
          </w:p>
        </w:tc>
      </w:tr>
      <w:tr w:rsidR="00CC6591" w:rsidRPr="00C970A8" w14:paraId="3BDF8F74" w14:textId="77777777" w:rsidTr="006457C3">
        <w:tc>
          <w:tcPr>
            <w:tcW w:w="6708" w:type="dxa"/>
          </w:tcPr>
          <w:p w14:paraId="72AFD8DC" w14:textId="77777777" w:rsidR="00CC6591" w:rsidRPr="00C970A8" w:rsidRDefault="00CC6591" w:rsidP="00C970A8">
            <w:pPr>
              <w:pStyle w:val="naiskr"/>
              <w:spacing w:before="0" w:after="0"/>
              <w:jc w:val="both"/>
            </w:pPr>
          </w:p>
          <w:p w14:paraId="5F1F7511" w14:textId="77777777" w:rsidR="00CC6591" w:rsidRPr="00C970A8" w:rsidRDefault="00CC6591" w:rsidP="00C970A8">
            <w:pPr>
              <w:pStyle w:val="naiskr"/>
              <w:spacing w:before="0" w:after="0"/>
              <w:jc w:val="both"/>
            </w:pPr>
            <w:r w:rsidRPr="00C970A8">
              <w:t>Ministrijas (citas institūcijas), kuras nav ieradušās uz sanāksmi vai kuras nav atbildējušas uz uzaicinājumu piedalīties elektroniskajā saskaņošanā</w:t>
            </w:r>
          </w:p>
        </w:tc>
        <w:tc>
          <w:tcPr>
            <w:tcW w:w="5874" w:type="dxa"/>
            <w:gridSpan w:val="2"/>
          </w:tcPr>
          <w:p w14:paraId="54DB04D6" w14:textId="77777777" w:rsidR="00CC6591" w:rsidRPr="00C970A8" w:rsidRDefault="00CC6591" w:rsidP="00C970A8">
            <w:pPr>
              <w:pBdr>
                <w:bottom w:val="single" w:sz="4" w:space="1" w:color="auto"/>
              </w:pBdr>
              <w:jc w:val="both"/>
            </w:pPr>
            <w:r w:rsidRPr="00C970A8">
              <w:tab/>
            </w:r>
          </w:p>
          <w:p w14:paraId="715562A7" w14:textId="77777777" w:rsidR="00CC6591" w:rsidRPr="00C970A8" w:rsidRDefault="00CC6591" w:rsidP="00C970A8">
            <w:pPr>
              <w:pBdr>
                <w:bottom w:val="single" w:sz="4" w:space="1" w:color="auto"/>
              </w:pBdr>
              <w:jc w:val="both"/>
            </w:pPr>
          </w:p>
          <w:p w14:paraId="73B6837F" w14:textId="22EAFA16" w:rsidR="00CC6591" w:rsidRPr="00C970A8" w:rsidRDefault="00CC6591" w:rsidP="00C970A8">
            <w:pPr>
              <w:pBdr>
                <w:bottom w:val="single" w:sz="4" w:space="1" w:color="auto"/>
              </w:pBdr>
              <w:jc w:val="both"/>
            </w:pPr>
          </w:p>
        </w:tc>
      </w:tr>
    </w:tbl>
    <w:p w14:paraId="46196F78" w14:textId="77777777" w:rsidR="007E6C63" w:rsidRPr="00C970A8" w:rsidRDefault="007E6C63" w:rsidP="00C970A8">
      <w:pPr>
        <w:pStyle w:val="naisf"/>
        <w:spacing w:before="0" w:after="0"/>
        <w:ind w:firstLine="0"/>
        <w:rPr>
          <w:b/>
        </w:rPr>
      </w:pPr>
    </w:p>
    <w:p w14:paraId="29A669D6" w14:textId="77777777" w:rsidR="007E6C63" w:rsidRPr="00C970A8" w:rsidRDefault="007E6C63" w:rsidP="00C970A8">
      <w:pPr>
        <w:pStyle w:val="naisf"/>
        <w:spacing w:before="0" w:after="0"/>
        <w:ind w:firstLine="0"/>
        <w:rPr>
          <w:b/>
        </w:rPr>
      </w:pPr>
    </w:p>
    <w:p w14:paraId="0A8F39C6" w14:textId="58D6206A" w:rsidR="00CC6591" w:rsidRPr="00C970A8" w:rsidRDefault="00CC6591" w:rsidP="00BC1632">
      <w:pPr>
        <w:pStyle w:val="naisf"/>
        <w:spacing w:before="0" w:after="0"/>
        <w:ind w:firstLine="0"/>
        <w:jc w:val="center"/>
        <w:rPr>
          <w:b/>
        </w:rPr>
      </w:pPr>
      <w:r w:rsidRPr="00C970A8">
        <w:rPr>
          <w:b/>
        </w:rPr>
        <w:t>II. Jautājumi, par kuriem saskaņošanā vienošanās ir panākta</w:t>
      </w:r>
    </w:p>
    <w:p w14:paraId="33A8123C" w14:textId="77777777" w:rsidR="00CC6591" w:rsidRPr="00C970A8" w:rsidRDefault="00CC6591" w:rsidP="00C970A8">
      <w:pPr>
        <w:pStyle w:val="naisf"/>
        <w:spacing w:before="0" w:after="0"/>
        <w:ind w:firstLine="720"/>
      </w:pPr>
    </w:p>
    <w:tbl>
      <w:tblPr>
        <w:tblW w:w="15000"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
        <w:gridCol w:w="708"/>
        <w:gridCol w:w="3086"/>
        <w:gridCol w:w="1215"/>
        <w:gridCol w:w="3179"/>
        <w:gridCol w:w="3995"/>
        <w:gridCol w:w="2801"/>
        <w:gridCol w:w="8"/>
      </w:tblGrid>
      <w:tr w:rsidR="00CC6591" w:rsidRPr="00C970A8" w14:paraId="508581AA" w14:textId="77777777" w:rsidTr="00E83461">
        <w:trPr>
          <w:gridBefore w:val="1"/>
          <w:wBefore w:w="8" w:type="dxa"/>
        </w:trPr>
        <w:tc>
          <w:tcPr>
            <w:tcW w:w="708" w:type="dxa"/>
            <w:tcBorders>
              <w:top w:val="single" w:sz="6" w:space="0" w:color="000000"/>
              <w:left w:val="single" w:sz="6" w:space="0" w:color="000000"/>
              <w:bottom w:val="single" w:sz="6" w:space="0" w:color="000000"/>
              <w:right w:val="single" w:sz="6" w:space="0" w:color="000000"/>
            </w:tcBorders>
            <w:vAlign w:val="center"/>
          </w:tcPr>
          <w:p w14:paraId="51D04F34" w14:textId="77777777" w:rsidR="00CC6591" w:rsidRPr="00C970A8" w:rsidRDefault="00CC6591" w:rsidP="00C970A8">
            <w:pPr>
              <w:pStyle w:val="naisc"/>
              <w:spacing w:before="0" w:after="0"/>
              <w:jc w:val="both"/>
            </w:pPr>
            <w:r w:rsidRPr="00C970A8">
              <w:t>Nr. p. k.</w:t>
            </w:r>
          </w:p>
        </w:tc>
        <w:tc>
          <w:tcPr>
            <w:tcW w:w="3086" w:type="dxa"/>
            <w:tcBorders>
              <w:top w:val="single" w:sz="6" w:space="0" w:color="000000"/>
              <w:left w:val="single" w:sz="6" w:space="0" w:color="000000"/>
              <w:bottom w:val="single" w:sz="6" w:space="0" w:color="000000"/>
              <w:right w:val="single" w:sz="6" w:space="0" w:color="000000"/>
            </w:tcBorders>
            <w:vAlign w:val="center"/>
          </w:tcPr>
          <w:p w14:paraId="3F7B5BB4" w14:textId="77777777" w:rsidR="00CC6591" w:rsidRPr="00C970A8" w:rsidRDefault="00CC6591" w:rsidP="00C970A8">
            <w:pPr>
              <w:pStyle w:val="naisc"/>
              <w:spacing w:before="0" w:after="0"/>
              <w:ind w:firstLine="12"/>
              <w:jc w:val="both"/>
            </w:pPr>
            <w:r w:rsidRPr="00C970A8">
              <w:t>Saskaņošanai nosūtītā projekta redakcija (konkrēta punkta (panta) redakcija)</w:t>
            </w:r>
          </w:p>
        </w:tc>
        <w:tc>
          <w:tcPr>
            <w:tcW w:w="4394" w:type="dxa"/>
            <w:gridSpan w:val="2"/>
            <w:tcBorders>
              <w:top w:val="single" w:sz="6" w:space="0" w:color="000000"/>
              <w:left w:val="single" w:sz="6" w:space="0" w:color="000000"/>
              <w:bottom w:val="single" w:sz="6" w:space="0" w:color="000000"/>
              <w:right w:val="single" w:sz="6" w:space="0" w:color="000000"/>
            </w:tcBorders>
            <w:vAlign w:val="center"/>
          </w:tcPr>
          <w:p w14:paraId="7A79CBBF" w14:textId="77777777" w:rsidR="00CC6591" w:rsidRPr="00C970A8" w:rsidRDefault="00CC6591" w:rsidP="00C970A8">
            <w:pPr>
              <w:pStyle w:val="naisc"/>
              <w:spacing w:before="0" w:after="0"/>
              <w:ind w:right="3"/>
              <w:jc w:val="both"/>
            </w:pPr>
            <w:r w:rsidRPr="00C970A8">
              <w:t>Atzinumā norādītais ministrijas (citas institūcijas) iebildums, kā arī saskaņošanā papildus izteiktais iebildums par projekta konkrēto punktu (pantu)</w:t>
            </w:r>
          </w:p>
        </w:tc>
        <w:tc>
          <w:tcPr>
            <w:tcW w:w="3995" w:type="dxa"/>
            <w:tcBorders>
              <w:top w:val="single" w:sz="6" w:space="0" w:color="000000"/>
              <w:left w:val="single" w:sz="6" w:space="0" w:color="000000"/>
              <w:bottom w:val="single" w:sz="6" w:space="0" w:color="000000"/>
              <w:right w:val="single" w:sz="6" w:space="0" w:color="000000"/>
            </w:tcBorders>
            <w:vAlign w:val="center"/>
          </w:tcPr>
          <w:p w14:paraId="2D8A69E8" w14:textId="77777777" w:rsidR="00CC6591" w:rsidRPr="00C970A8" w:rsidRDefault="00CC6591" w:rsidP="00C970A8">
            <w:pPr>
              <w:pStyle w:val="naisc"/>
              <w:spacing w:before="0" w:after="0"/>
              <w:ind w:firstLine="21"/>
              <w:jc w:val="both"/>
            </w:pPr>
            <w:r w:rsidRPr="00C970A8">
              <w:t>Atbildīgās ministrijas norāde par to, ka iebildums ir ņemts vērā, vai informācija par saskaņošanā panākto alternatīvo risinājumu</w:t>
            </w:r>
          </w:p>
        </w:tc>
        <w:tc>
          <w:tcPr>
            <w:tcW w:w="2809" w:type="dxa"/>
            <w:gridSpan w:val="2"/>
            <w:tcBorders>
              <w:top w:val="single" w:sz="4" w:space="0" w:color="auto"/>
              <w:left w:val="single" w:sz="4" w:space="0" w:color="auto"/>
              <w:bottom w:val="single" w:sz="4" w:space="0" w:color="auto"/>
            </w:tcBorders>
            <w:vAlign w:val="center"/>
          </w:tcPr>
          <w:p w14:paraId="320DA526" w14:textId="77777777" w:rsidR="00CC6591" w:rsidRPr="00C970A8" w:rsidRDefault="00CC6591" w:rsidP="00C970A8">
            <w:pPr>
              <w:jc w:val="both"/>
            </w:pPr>
            <w:r w:rsidRPr="00C970A8">
              <w:t>Projekta attiecīgā punkta (panta) galīgā redakcija</w:t>
            </w:r>
          </w:p>
        </w:tc>
      </w:tr>
      <w:tr w:rsidR="00CC6591" w:rsidRPr="00C970A8" w14:paraId="72498EB4" w14:textId="77777777" w:rsidTr="00E83461">
        <w:trPr>
          <w:gridBefore w:val="1"/>
          <w:wBefore w:w="8" w:type="dxa"/>
        </w:trPr>
        <w:tc>
          <w:tcPr>
            <w:tcW w:w="708" w:type="dxa"/>
            <w:tcBorders>
              <w:top w:val="single" w:sz="6" w:space="0" w:color="000000"/>
              <w:left w:val="single" w:sz="6" w:space="0" w:color="000000"/>
              <w:bottom w:val="single" w:sz="6" w:space="0" w:color="000000"/>
              <w:right w:val="single" w:sz="6" w:space="0" w:color="000000"/>
            </w:tcBorders>
          </w:tcPr>
          <w:p w14:paraId="2CCC2EF3" w14:textId="77777777" w:rsidR="00CC6591" w:rsidRPr="00C970A8" w:rsidRDefault="00CC6591" w:rsidP="00C970A8">
            <w:pPr>
              <w:pStyle w:val="naisc"/>
              <w:spacing w:before="0" w:after="0"/>
              <w:jc w:val="both"/>
            </w:pPr>
            <w:r w:rsidRPr="00C970A8">
              <w:t>1</w:t>
            </w:r>
          </w:p>
        </w:tc>
        <w:tc>
          <w:tcPr>
            <w:tcW w:w="3086" w:type="dxa"/>
            <w:tcBorders>
              <w:top w:val="single" w:sz="6" w:space="0" w:color="000000"/>
              <w:left w:val="single" w:sz="6" w:space="0" w:color="000000"/>
              <w:bottom w:val="single" w:sz="6" w:space="0" w:color="000000"/>
              <w:right w:val="single" w:sz="6" w:space="0" w:color="000000"/>
            </w:tcBorders>
          </w:tcPr>
          <w:p w14:paraId="3031F21A" w14:textId="77777777" w:rsidR="00CC6591" w:rsidRPr="00C970A8" w:rsidRDefault="00CC6591" w:rsidP="00C970A8">
            <w:pPr>
              <w:pStyle w:val="naisc"/>
              <w:spacing w:before="0" w:after="0"/>
              <w:ind w:firstLine="720"/>
              <w:jc w:val="both"/>
            </w:pPr>
            <w:r w:rsidRPr="00C970A8">
              <w:t>2</w:t>
            </w:r>
          </w:p>
        </w:tc>
        <w:tc>
          <w:tcPr>
            <w:tcW w:w="4394" w:type="dxa"/>
            <w:gridSpan w:val="2"/>
            <w:tcBorders>
              <w:top w:val="single" w:sz="6" w:space="0" w:color="000000"/>
              <w:left w:val="single" w:sz="6" w:space="0" w:color="000000"/>
              <w:bottom w:val="single" w:sz="6" w:space="0" w:color="000000"/>
              <w:right w:val="single" w:sz="6" w:space="0" w:color="000000"/>
            </w:tcBorders>
          </w:tcPr>
          <w:p w14:paraId="07219069" w14:textId="77777777" w:rsidR="00CC6591" w:rsidRPr="00C970A8" w:rsidRDefault="00CC6591" w:rsidP="00C970A8">
            <w:pPr>
              <w:pStyle w:val="naisc"/>
              <w:spacing w:before="0" w:after="0"/>
              <w:ind w:firstLine="720"/>
              <w:jc w:val="both"/>
            </w:pPr>
            <w:r w:rsidRPr="00C970A8">
              <w:t>3</w:t>
            </w:r>
          </w:p>
        </w:tc>
        <w:tc>
          <w:tcPr>
            <w:tcW w:w="3995" w:type="dxa"/>
            <w:tcBorders>
              <w:top w:val="single" w:sz="6" w:space="0" w:color="000000"/>
              <w:left w:val="single" w:sz="6" w:space="0" w:color="000000"/>
              <w:bottom w:val="single" w:sz="6" w:space="0" w:color="000000"/>
              <w:right w:val="single" w:sz="6" w:space="0" w:color="000000"/>
            </w:tcBorders>
          </w:tcPr>
          <w:p w14:paraId="2DADD221" w14:textId="77777777" w:rsidR="00CC6591" w:rsidRPr="00C970A8" w:rsidRDefault="00CC6591" w:rsidP="00C970A8">
            <w:pPr>
              <w:pStyle w:val="naisc"/>
              <w:spacing w:before="0" w:after="0"/>
              <w:ind w:firstLine="720"/>
              <w:jc w:val="both"/>
            </w:pPr>
            <w:r w:rsidRPr="00C970A8">
              <w:t>4</w:t>
            </w:r>
          </w:p>
        </w:tc>
        <w:tc>
          <w:tcPr>
            <w:tcW w:w="2809" w:type="dxa"/>
            <w:gridSpan w:val="2"/>
            <w:tcBorders>
              <w:top w:val="single" w:sz="4" w:space="0" w:color="auto"/>
              <w:left w:val="single" w:sz="4" w:space="0" w:color="auto"/>
              <w:bottom w:val="single" w:sz="4" w:space="0" w:color="auto"/>
            </w:tcBorders>
          </w:tcPr>
          <w:p w14:paraId="0063087F" w14:textId="77777777" w:rsidR="00CC6591" w:rsidRPr="00C970A8" w:rsidRDefault="00CC6591" w:rsidP="00C970A8">
            <w:pPr>
              <w:jc w:val="both"/>
            </w:pPr>
            <w:r w:rsidRPr="00C970A8">
              <w:t>5</w:t>
            </w:r>
          </w:p>
        </w:tc>
      </w:tr>
      <w:tr w:rsidR="001F513C" w:rsidRPr="00C970A8" w14:paraId="2C391C0D" w14:textId="77777777" w:rsidTr="00E83461">
        <w:trPr>
          <w:gridBefore w:val="1"/>
          <w:wBefore w:w="8" w:type="dxa"/>
        </w:trPr>
        <w:tc>
          <w:tcPr>
            <w:tcW w:w="14992" w:type="dxa"/>
            <w:gridSpan w:val="7"/>
            <w:tcBorders>
              <w:top w:val="single" w:sz="6" w:space="0" w:color="000000"/>
              <w:left w:val="single" w:sz="6" w:space="0" w:color="000000"/>
              <w:bottom w:val="single" w:sz="6" w:space="0" w:color="000000"/>
            </w:tcBorders>
          </w:tcPr>
          <w:p w14:paraId="303AA674" w14:textId="2CCC5A2B" w:rsidR="00DF2064" w:rsidRPr="00C970A8" w:rsidRDefault="001F513C" w:rsidP="00C970A8">
            <w:pPr>
              <w:jc w:val="both"/>
              <w:rPr>
                <w:b/>
                <w:bCs/>
              </w:rPr>
            </w:pPr>
            <w:r w:rsidRPr="00C970A8">
              <w:rPr>
                <w:b/>
                <w:bCs/>
              </w:rPr>
              <w:t>Tieslietu ministrija</w:t>
            </w:r>
          </w:p>
          <w:p w14:paraId="0515B122" w14:textId="2BE94CF9" w:rsidR="00DF2064" w:rsidRPr="00C970A8" w:rsidRDefault="00DF2064" w:rsidP="00C970A8">
            <w:pPr>
              <w:jc w:val="both"/>
              <w:rPr>
                <w:b/>
                <w:bCs/>
              </w:rPr>
            </w:pPr>
          </w:p>
        </w:tc>
      </w:tr>
      <w:tr w:rsidR="00CE3490" w:rsidRPr="00CE3490" w14:paraId="253DCB91" w14:textId="77777777" w:rsidTr="00E83461">
        <w:trPr>
          <w:gridBefore w:val="1"/>
          <w:wBefore w:w="8" w:type="dxa"/>
        </w:trPr>
        <w:tc>
          <w:tcPr>
            <w:tcW w:w="708" w:type="dxa"/>
            <w:tcBorders>
              <w:top w:val="single" w:sz="6" w:space="0" w:color="000000"/>
              <w:left w:val="single" w:sz="6" w:space="0" w:color="000000"/>
              <w:bottom w:val="single" w:sz="6" w:space="0" w:color="000000"/>
              <w:right w:val="single" w:sz="6" w:space="0" w:color="000000"/>
            </w:tcBorders>
          </w:tcPr>
          <w:p w14:paraId="3A9956AA" w14:textId="4F46C218" w:rsidR="00100C0B" w:rsidRPr="00CE3490" w:rsidRDefault="00100C0B" w:rsidP="00100C0B">
            <w:pPr>
              <w:pStyle w:val="naisc"/>
              <w:spacing w:before="0" w:after="0"/>
              <w:jc w:val="both"/>
            </w:pPr>
            <w:r w:rsidRPr="00CE3490">
              <w:t>1.</w:t>
            </w:r>
          </w:p>
        </w:tc>
        <w:tc>
          <w:tcPr>
            <w:tcW w:w="3086" w:type="dxa"/>
            <w:tcBorders>
              <w:top w:val="single" w:sz="6" w:space="0" w:color="000000"/>
              <w:left w:val="single" w:sz="6" w:space="0" w:color="000000"/>
              <w:bottom w:val="single" w:sz="6" w:space="0" w:color="000000"/>
              <w:right w:val="single" w:sz="6" w:space="0" w:color="000000"/>
            </w:tcBorders>
          </w:tcPr>
          <w:p w14:paraId="0C9DE5D9" w14:textId="6CD4A4F6" w:rsidR="00100C0B" w:rsidRPr="00CE3490" w:rsidRDefault="00100C0B" w:rsidP="00100C0B">
            <w:pPr>
              <w:jc w:val="both"/>
            </w:pPr>
            <w:r w:rsidRPr="00CE3490">
              <w:t>2. Papildināt noteikumus ar  2.</w:t>
            </w:r>
            <w:r w:rsidRPr="00CE3490">
              <w:rPr>
                <w:vertAlign w:val="superscript"/>
              </w:rPr>
              <w:t>1</w:t>
            </w:r>
            <w:r w:rsidRPr="00CE3490">
              <w:t xml:space="preserve"> un 2.</w:t>
            </w:r>
            <w:r w:rsidRPr="00CE3490">
              <w:rPr>
                <w:vertAlign w:val="superscript"/>
              </w:rPr>
              <w:t>2</w:t>
            </w:r>
            <w:r w:rsidRPr="00CE3490">
              <w:t xml:space="preserve"> punktu šādā redakcijā:</w:t>
            </w:r>
          </w:p>
          <w:p w14:paraId="20876471" w14:textId="77777777" w:rsidR="00100C0B" w:rsidRPr="00CE3490" w:rsidRDefault="00100C0B" w:rsidP="00100C0B">
            <w:pPr>
              <w:jc w:val="both"/>
            </w:pPr>
            <w:r w:rsidRPr="00CE3490">
              <w:t>“2.</w:t>
            </w:r>
            <w:r w:rsidRPr="00CE3490">
              <w:rPr>
                <w:vertAlign w:val="superscript"/>
              </w:rPr>
              <w:t>1</w:t>
            </w:r>
            <w:r w:rsidRPr="00CE3490">
              <w:t xml:space="preserve"> Birojā ir aizliegts nodarbināt personas, kurām ir noteikts pagaidu aizliegums vai noteikta diskvalifikācija par antidopinga noteikumu pārkāpumu.</w:t>
            </w:r>
          </w:p>
          <w:p w14:paraId="04BB48F7" w14:textId="77777777" w:rsidR="00100C0B" w:rsidRPr="00CE3490" w:rsidRDefault="00100C0B" w:rsidP="00100C0B">
            <w:pPr>
              <w:jc w:val="both"/>
            </w:pPr>
            <w:r w:rsidRPr="00CE3490">
              <w:t>2.</w:t>
            </w:r>
            <w:r w:rsidRPr="00CE3490">
              <w:rPr>
                <w:vertAlign w:val="superscript"/>
              </w:rPr>
              <w:t>2</w:t>
            </w:r>
            <w:r w:rsidRPr="00CE3490">
              <w:t xml:space="preserve"> Birojā ir aizliegts nodarbināt personas, kuras ir disciplināri, administratīvi vai krimināli sodītas par pārkāpumiem, kas līdzvērtīgi Pasaules Antidopinga kodeksā ir uzskatāmi par antidopinga noteikumu pārkāpumiem. Šāds aizliegums ir spēkā sešus gadus no lēmuma spēkā stāšanās dienas disciplinārlietā, </w:t>
            </w:r>
            <w:r w:rsidRPr="00CE3490">
              <w:lastRenderedPageBreak/>
              <w:t>administratīvajā lietā vai krimināllietā.”.</w:t>
            </w:r>
          </w:p>
          <w:p w14:paraId="279E8BE7" w14:textId="65B8FC7E" w:rsidR="00100C0B" w:rsidRPr="00CE3490" w:rsidRDefault="00100C0B" w:rsidP="00100C0B">
            <w:pPr>
              <w:jc w:val="both"/>
            </w:pPr>
          </w:p>
        </w:tc>
        <w:tc>
          <w:tcPr>
            <w:tcW w:w="4394" w:type="dxa"/>
            <w:gridSpan w:val="2"/>
            <w:tcBorders>
              <w:top w:val="single" w:sz="6" w:space="0" w:color="000000"/>
              <w:left w:val="single" w:sz="6" w:space="0" w:color="000000"/>
              <w:bottom w:val="single" w:sz="6" w:space="0" w:color="000000"/>
              <w:right w:val="single" w:sz="6" w:space="0" w:color="000000"/>
            </w:tcBorders>
          </w:tcPr>
          <w:p w14:paraId="7FA303F9" w14:textId="2B63A3AB" w:rsidR="00100C0B" w:rsidRPr="00CE3490" w:rsidRDefault="00100C0B" w:rsidP="00100C0B">
            <w:pPr>
              <w:ind w:right="12"/>
              <w:jc w:val="both"/>
              <w:rPr>
                <w:b/>
                <w:bCs/>
              </w:rPr>
            </w:pPr>
            <w:r w:rsidRPr="00CE3490">
              <w:rPr>
                <w:b/>
                <w:bCs/>
              </w:rPr>
              <w:lastRenderedPageBreak/>
              <w:t>27.08.2021 atzinums Nr. 1-9.1/929</w:t>
            </w:r>
          </w:p>
          <w:p w14:paraId="13E1446F" w14:textId="36AC00AF" w:rsidR="00100C0B" w:rsidRPr="00CE3490" w:rsidRDefault="00100C0B" w:rsidP="00100C0B">
            <w:pPr>
              <w:ind w:right="12"/>
              <w:jc w:val="both"/>
            </w:pPr>
            <w:r w:rsidRPr="00CE3490">
              <w:t xml:space="preserve">Norādām, ka </w:t>
            </w:r>
            <w:proofErr w:type="spellStart"/>
            <w:r w:rsidRPr="00CE3490">
              <w:t>pirmšķietami</w:t>
            </w:r>
            <w:proofErr w:type="spellEnd"/>
            <w:r w:rsidRPr="00CE3490">
              <w:t xml:space="preserve"> projekta 2. punktā izteiktais noteikumu 2.</w:t>
            </w:r>
            <w:r w:rsidRPr="00CE3490">
              <w:rPr>
                <w:vertAlign w:val="superscript"/>
              </w:rPr>
              <w:t>1</w:t>
            </w:r>
            <w:r w:rsidRPr="00CE3490">
              <w:t xml:space="preserve"> un 2.</w:t>
            </w:r>
            <w:r w:rsidRPr="00CE3490">
              <w:rPr>
                <w:vertAlign w:val="superscript"/>
              </w:rPr>
              <w:t>2</w:t>
            </w:r>
            <w:r w:rsidRPr="00CE3490">
              <w:t> punkts daļēji dublē viens otru, jo pēc būtības abās vienībās ietverts, ka Latvijas Antidopinga birojā aizliegts nodarbināt personas, kuras sodītas par antidopinga noteikumu pārkāpumu. Norādām, ka saskaņā ar Ministru kabineta 2009. gada 3. februāra noteikumu Nr. 108 “Normatīvo aktu projektu sagatavošanas noteikumi” 3.3. apakšpunktu normatīvā akta projektā neietver normas, kas dublē pašā normatīvā akta projektā ietverto normatīvo regulējumu. Attiecīgi lūdzam skaidrot minēto projekta vienību regulējuma atšķirības vai precizēt projektu.</w:t>
            </w:r>
          </w:p>
          <w:p w14:paraId="1E855C95" w14:textId="77777777" w:rsidR="00100C0B" w:rsidRPr="00CE3490" w:rsidRDefault="00100C0B" w:rsidP="00100C0B">
            <w:pPr>
              <w:ind w:right="12" w:firstLine="567"/>
              <w:jc w:val="both"/>
            </w:pPr>
          </w:p>
          <w:p w14:paraId="0869F616" w14:textId="4D49AD2C" w:rsidR="00100C0B" w:rsidRPr="00CE3490" w:rsidRDefault="00100C0B" w:rsidP="00100C0B">
            <w:pPr>
              <w:ind w:right="12" w:firstLine="567"/>
              <w:jc w:val="both"/>
            </w:pPr>
          </w:p>
        </w:tc>
        <w:tc>
          <w:tcPr>
            <w:tcW w:w="3995" w:type="dxa"/>
            <w:tcBorders>
              <w:top w:val="single" w:sz="6" w:space="0" w:color="000000"/>
              <w:left w:val="single" w:sz="6" w:space="0" w:color="000000"/>
              <w:bottom w:val="single" w:sz="6" w:space="0" w:color="000000"/>
              <w:right w:val="single" w:sz="6" w:space="0" w:color="000000"/>
            </w:tcBorders>
          </w:tcPr>
          <w:p w14:paraId="03122E02" w14:textId="7283940A" w:rsidR="00100C0B" w:rsidRPr="00CE3490" w:rsidRDefault="00100C0B" w:rsidP="00100C0B">
            <w:pPr>
              <w:pStyle w:val="naisc"/>
              <w:spacing w:before="0" w:after="0"/>
              <w:jc w:val="both"/>
              <w:rPr>
                <w:b/>
                <w:bCs/>
              </w:rPr>
            </w:pPr>
            <w:r w:rsidRPr="00CE3490">
              <w:rPr>
                <w:b/>
                <w:bCs/>
              </w:rPr>
              <w:t>Ņemts vērā.</w:t>
            </w:r>
          </w:p>
          <w:p w14:paraId="6412634F" w14:textId="50353AC3" w:rsidR="00100C0B" w:rsidRPr="00CE3490" w:rsidRDefault="00100C0B" w:rsidP="00100C0B">
            <w:pPr>
              <w:pStyle w:val="naisc"/>
              <w:spacing w:before="0" w:after="0"/>
              <w:jc w:val="both"/>
            </w:pPr>
            <w:r w:rsidRPr="00CE3490">
              <w:t>Papildināta noteikumu projekta anotācija. Skaidrojam, ka noteikumu projekta 2.</w:t>
            </w:r>
            <w:r w:rsidRPr="00CE3490">
              <w:rPr>
                <w:vertAlign w:val="superscript"/>
              </w:rPr>
              <w:t>1</w:t>
            </w:r>
            <w:r w:rsidRPr="00CE3490">
              <w:t xml:space="preserve"> un 2.</w:t>
            </w:r>
            <w:r w:rsidRPr="00CE3490">
              <w:rPr>
                <w:vertAlign w:val="superscript"/>
              </w:rPr>
              <w:t>2</w:t>
            </w:r>
            <w:r w:rsidRPr="00CE3490">
              <w:t>  punkti nedublē viens otru, jo 2.</w:t>
            </w:r>
            <w:r w:rsidRPr="00CE3490">
              <w:rPr>
                <w:vertAlign w:val="superscript"/>
              </w:rPr>
              <w:t>1</w:t>
            </w:r>
            <w:r w:rsidRPr="00CE3490">
              <w:t xml:space="preserve"> punkts attiecas uz sportistiem vai sporta darbiniekiem, kuriem ir noteikts pagaidu aizliegums vai noteikta diskvalifikācija par antidopinga noteikumu pārkāpumu un kas vēlētos strādāt Latvijas Antidopinga birojā. Savukārt noteikumu projekta 2.</w:t>
            </w:r>
            <w:r w:rsidRPr="00CE3490">
              <w:rPr>
                <w:vertAlign w:val="superscript"/>
              </w:rPr>
              <w:t>2</w:t>
            </w:r>
            <w:r w:rsidRPr="00CE3490">
              <w:t xml:space="preserve"> punkts ir attiecināms arī uz citām personām, kas nav sportisti un sporta darbinieki, kuri ir disciplināri, administratīvi vai krimināli sodītas par pārkāpumiem, kas līdzvērtīgi Pasaules Antidopinga kodeksā ir uzskatāmi par antidopinga noteikumu pārkāpumiem (piemēram nereģistrētu medikamentu vai uztura bagātinātāju izplatīšana, narkotisko un </w:t>
            </w:r>
            <w:r w:rsidRPr="00CE3490">
              <w:lastRenderedPageBreak/>
              <w:t xml:space="preserve">psihotropo vielu lietošana, izplatīšana </w:t>
            </w:r>
            <w:proofErr w:type="spellStart"/>
            <w:r w:rsidRPr="00CE3490">
              <w:t>utml</w:t>
            </w:r>
            <w:proofErr w:type="spellEnd"/>
            <w:r w:rsidRPr="00CE3490">
              <w:t>.).</w:t>
            </w:r>
          </w:p>
        </w:tc>
        <w:tc>
          <w:tcPr>
            <w:tcW w:w="2809" w:type="dxa"/>
            <w:gridSpan w:val="2"/>
            <w:tcBorders>
              <w:top w:val="single" w:sz="4" w:space="0" w:color="auto"/>
              <w:left w:val="single" w:sz="4" w:space="0" w:color="auto"/>
              <w:bottom w:val="single" w:sz="4" w:space="0" w:color="auto"/>
            </w:tcBorders>
          </w:tcPr>
          <w:p w14:paraId="3EA25C3C" w14:textId="3C1957B1" w:rsidR="006D55F2" w:rsidRPr="00CE3490" w:rsidRDefault="006D55F2" w:rsidP="006D55F2">
            <w:pPr>
              <w:spacing w:after="160" w:line="259" w:lineRule="auto"/>
              <w:contextualSpacing/>
              <w:jc w:val="both"/>
              <w:rPr>
                <w:lang w:eastAsia="en-US"/>
              </w:rPr>
            </w:pPr>
            <w:r w:rsidRPr="00CE3490">
              <w:rPr>
                <w:lang w:eastAsia="en-US"/>
              </w:rPr>
              <w:lastRenderedPageBreak/>
              <w:t>2.Papildināt noteikumus ar  2.</w:t>
            </w:r>
            <w:r w:rsidRPr="00CE3490">
              <w:rPr>
                <w:vertAlign w:val="superscript"/>
                <w:lang w:eastAsia="en-US"/>
              </w:rPr>
              <w:t>1</w:t>
            </w:r>
            <w:r w:rsidRPr="00CE3490">
              <w:rPr>
                <w:lang w:eastAsia="en-US"/>
              </w:rPr>
              <w:t xml:space="preserve"> un 2.</w:t>
            </w:r>
            <w:r w:rsidRPr="00CE3490">
              <w:rPr>
                <w:vertAlign w:val="superscript"/>
                <w:lang w:eastAsia="en-US"/>
              </w:rPr>
              <w:t>2</w:t>
            </w:r>
            <w:r w:rsidRPr="00CE3490">
              <w:rPr>
                <w:lang w:eastAsia="en-US"/>
              </w:rPr>
              <w:t xml:space="preserve"> punktu šādā redakcijā:</w:t>
            </w:r>
          </w:p>
          <w:p w14:paraId="75B92E5A" w14:textId="77777777" w:rsidR="006D55F2" w:rsidRPr="00CE3490" w:rsidRDefault="006D55F2" w:rsidP="006D55F2">
            <w:pPr>
              <w:spacing w:after="160" w:line="259" w:lineRule="auto"/>
              <w:jc w:val="both"/>
              <w:rPr>
                <w:rFonts w:eastAsiaTheme="minorHAnsi"/>
                <w:shd w:val="clear" w:color="auto" w:fill="FFFFFF"/>
                <w:lang w:eastAsia="en-US"/>
              </w:rPr>
            </w:pPr>
            <w:r w:rsidRPr="00CE3490">
              <w:rPr>
                <w:rFonts w:eastAsiaTheme="minorHAnsi"/>
                <w:shd w:val="clear" w:color="auto" w:fill="FFFFFF"/>
                <w:lang w:eastAsia="en-US"/>
              </w:rPr>
              <w:t>“2.</w:t>
            </w:r>
            <w:r w:rsidRPr="00CE3490">
              <w:rPr>
                <w:rFonts w:eastAsiaTheme="minorHAnsi"/>
                <w:shd w:val="clear" w:color="auto" w:fill="FFFFFF"/>
                <w:vertAlign w:val="superscript"/>
                <w:lang w:eastAsia="en-US"/>
              </w:rPr>
              <w:t>1</w:t>
            </w:r>
            <w:r w:rsidRPr="00CE3490">
              <w:rPr>
                <w:rFonts w:eastAsiaTheme="minorHAnsi"/>
                <w:shd w:val="clear" w:color="auto" w:fill="FFFFFF"/>
                <w:lang w:eastAsia="en-US"/>
              </w:rPr>
              <w:t xml:space="preserve"> Birojā ir aizliegts nodarbināt personu, kura ir sportists vai sporta darbinieks un kurai ir noteikts pagaidu aizliegums vai noteikta diskvalifikācija par antidopinga noteikumu pārkāpumu.</w:t>
            </w:r>
          </w:p>
          <w:p w14:paraId="3078CC2E" w14:textId="321F718E" w:rsidR="00100C0B" w:rsidRPr="00CE3490" w:rsidRDefault="006D55F2" w:rsidP="006D55F2">
            <w:pPr>
              <w:spacing w:after="160" w:line="259" w:lineRule="auto"/>
              <w:jc w:val="both"/>
              <w:rPr>
                <w:rFonts w:eastAsiaTheme="minorHAnsi"/>
                <w:shd w:val="clear" w:color="auto" w:fill="FFFFFF"/>
                <w:lang w:eastAsia="en-US"/>
              </w:rPr>
            </w:pPr>
            <w:r w:rsidRPr="00CE3490">
              <w:rPr>
                <w:rFonts w:eastAsiaTheme="minorHAnsi"/>
                <w:lang w:eastAsia="en-US"/>
              </w:rPr>
              <w:t>2.</w:t>
            </w:r>
            <w:r w:rsidRPr="00CE3490">
              <w:rPr>
                <w:rFonts w:eastAsiaTheme="minorHAnsi"/>
                <w:vertAlign w:val="superscript"/>
                <w:lang w:eastAsia="en-US"/>
              </w:rPr>
              <w:t>2</w:t>
            </w:r>
            <w:r w:rsidRPr="00CE3490">
              <w:rPr>
                <w:rFonts w:eastAsiaTheme="minorHAnsi"/>
                <w:lang w:eastAsia="en-US"/>
              </w:rPr>
              <w:t xml:space="preserve"> </w:t>
            </w:r>
            <w:r w:rsidRPr="00CE3490">
              <w:rPr>
                <w:rFonts w:eastAsiaTheme="minorHAnsi"/>
                <w:shd w:val="clear" w:color="auto" w:fill="FFFFFF"/>
                <w:lang w:eastAsia="en-US"/>
              </w:rPr>
              <w:t>Birojā ir aizliegts nodarbināt arī citas personas, kuras nav minētas šo noteikumu 2.</w:t>
            </w:r>
            <w:r w:rsidRPr="00CE3490">
              <w:rPr>
                <w:rFonts w:eastAsiaTheme="minorHAnsi"/>
                <w:shd w:val="clear" w:color="auto" w:fill="FFFFFF"/>
                <w:vertAlign w:val="superscript"/>
                <w:lang w:eastAsia="en-US"/>
              </w:rPr>
              <w:t>1</w:t>
            </w:r>
            <w:r w:rsidRPr="00CE3490">
              <w:rPr>
                <w:rFonts w:eastAsiaTheme="minorHAnsi"/>
                <w:shd w:val="clear" w:color="auto" w:fill="FFFFFF"/>
                <w:lang w:eastAsia="en-US"/>
              </w:rPr>
              <w:t xml:space="preserve"> punktā un kuras ir disciplināri, administratīvi vai krimināli sodītas par pārkāpumiem, kas </w:t>
            </w:r>
            <w:r w:rsidRPr="00CE3490">
              <w:rPr>
                <w:rFonts w:eastAsiaTheme="minorHAnsi"/>
                <w:shd w:val="clear" w:color="auto" w:fill="FFFFFF"/>
                <w:lang w:eastAsia="en-US"/>
              </w:rPr>
              <w:lastRenderedPageBreak/>
              <w:t>līdzvērtīgi Pasaules Antidopinga kodeksā ir uzskatāmi par antidopinga noteikumu pārkāpumiem. Šāds aizliegums ir spēkā sešus gadus no lēmuma spēkā stāšanās dienas disciplinārlietā, administratīvajā lietā vai krimināllietā.</w:t>
            </w:r>
            <w:r w:rsidRPr="00CE3490">
              <w:rPr>
                <w:rFonts w:eastAsiaTheme="minorHAnsi"/>
                <w:lang w:eastAsia="en-US"/>
              </w:rPr>
              <w:t>”.</w:t>
            </w:r>
          </w:p>
        </w:tc>
      </w:tr>
      <w:tr w:rsidR="00100C0B" w:rsidRPr="00C970A8" w14:paraId="5689F515" w14:textId="77777777" w:rsidTr="004A6A0A">
        <w:trPr>
          <w:gridBefore w:val="1"/>
          <w:wBefore w:w="8" w:type="dxa"/>
        </w:trPr>
        <w:tc>
          <w:tcPr>
            <w:tcW w:w="14992" w:type="dxa"/>
            <w:gridSpan w:val="7"/>
            <w:tcBorders>
              <w:top w:val="single" w:sz="6" w:space="0" w:color="000000"/>
              <w:left w:val="single" w:sz="6" w:space="0" w:color="000000"/>
              <w:bottom w:val="single" w:sz="6" w:space="0" w:color="000000"/>
            </w:tcBorders>
          </w:tcPr>
          <w:p w14:paraId="21C77B78" w14:textId="77777777" w:rsidR="00100C0B" w:rsidRDefault="00100C0B" w:rsidP="00100C0B">
            <w:pPr>
              <w:jc w:val="center"/>
              <w:rPr>
                <w:b/>
                <w:bCs/>
              </w:rPr>
            </w:pPr>
            <w:proofErr w:type="spellStart"/>
            <w:r w:rsidRPr="00C970A8">
              <w:rPr>
                <w:b/>
                <w:bCs/>
              </w:rPr>
              <w:lastRenderedPageBreak/>
              <w:t>Iekšlietu</w:t>
            </w:r>
            <w:proofErr w:type="spellEnd"/>
            <w:r w:rsidRPr="00C970A8">
              <w:rPr>
                <w:b/>
                <w:bCs/>
              </w:rPr>
              <w:t xml:space="preserve"> ministrija</w:t>
            </w:r>
          </w:p>
          <w:p w14:paraId="58913ACF" w14:textId="3AC48FA5" w:rsidR="00100C0B" w:rsidRPr="00C970A8" w:rsidRDefault="00100C0B" w:rsidP="00100C0B">
            <w:pPr>
              <w:jc w:val="center"/>
              <w:rPr>
                <w:b/>
                <w:bCs/>
              </w:rPr>
            </w:pPr>
          </w:p>
        </w:tc>
      </w:tr>
      <w:tr w:rsidR="00CE3490" w:rsidRPr="00CE3490" w14:paraId="31EB8947" w14:textId="77777777" w:rsidTr="00A20799">
        <w:trPr>
          <w:gridBefore w:val="1"/>
          <w:wBefore w:w="8" w:type="dxa"/>
          <w:trHeight w:val="4663"/>
        </w:trPr>
        <w:tc>
          <w:tcPr>
            <w:tcW w:w="708" w:type="dxa"/>
            <w:tcBorders>
              <w:top w:val="single" w:sz="6" w:space="0" w:color="000000"/>
              <w:left w:val="single" w:sz="6" w:space="0" w:color="000000"/>
              <w:bottom w:val="single" w:sz="6" w:space="0" w:color="000000"/>
              <w:right w:val="single" w:sz="6" w:space="0" w:color="000000"/>
            </w:tcBorders>
          </w:tcPr>
          <w:p w14:paraId="4F7AD120" w14:textId="1B4FE5D5" w:rsidR="00100C0B" w:rsidRPr="00CE3490" w:rsidRDefault="00100C0B" w:rsidP="00100C0B">
            <w:pPr>
              <w:pStyle w:val="naisc"/>
              <w:spacing w:before="0" w:after="0"/>
              <w:jc w:val="both"/>
            </w:pPr>
            <w:r w:rsidRPr="00CE3490">
              <w:t>2.</w:t>
            </w:r>
          </w:p>
        </w:tc>
        <w:tc>
          <w:tcPr>
            <w:tcW w:w="3086" w:type="dxa"/>
            <w:tcBorders>
              <w:top w:val="single" w:sz="6" w:space="0" w:color="000000"/>
              <w:left w:val="single" w:sz="6" w:space="0" w:color="000000"/>
              <w:bottom w:val="single" w:sz="6" w:space="0" w:color="000000"/>
              <w:right w:val="single" w:sz="6" w:space="0" w:color="000000"/>
            </w:tcBorders>
          </w:tcPr>
          <w:p w14:paraId="1F23EE41" w14:textId="77777777" w:rsidR="00100C0B" w:rsidRPr="00CE3490" w:rsidRDefault="00100C0B" w:rsidP="00100C0B">
            <w:pPr>
              <w:jc w:val="both"/>
            </w:pPr>
            <w:r w:rsidRPr="00CE3490">
              <w:t>2. Papildināt noteikumus ar  2.1 un 2.2 punktu šādā redakcijā:</w:t>
            </w:r>
          </w:p>
          <w:p w14:paraId="40780297" w14:textId="77777777" w:rsidR="00100C0B" w:rsidRPr="00CE3490" w:rsidRDefault="00100C0B" w:rsidP="00100C0B">
            <w:pPr>
              <w:jc w:val="both"/>
            </w:pPr>
            <w:r w:rsidRPr="00CE3490">
              <w:t>“2.</w:t>
            </w:r>
            <w:r w:rsidRPr="00CE3490">
              <w:rPr>
                <w:vertAlign w:val="superscript"/>
              </w:rPr>
              <w:t>1</w:t>
            </w:r>
            <w:r w:rsidRPr="00CE3490">
              <w:t xml:space="preserve"> Birojā ir aizliegts nodarbināt personas, kurām ir noteikts pagaidu aizliegums vai noteikta diskvalifikācija par antidopinga noteikumu pārkāpumu.</w:t>
            </w:r>
          </w:p>
          <w:p w14:paraId="57081F90" w14:textId="77777777" w:rsidR="00100C0B" w:rsidRPr="00CE3490" w:rsidRDefault="00100C0B" w:rsidP="00100C0B">
            <w:pPr>
              <w:jc w:val="both"/>
            </w:pPr>
            <w:r w:rsidRPr="00CE3490">
              <w:t>2.</w:t>
            </w:r>
            <w:r w:rsidRPr="00CE3490">
              <w:rPr>
                <w:vertAlign w:val="superscript"/>
              </w:rPr>
              <w:t>2</w:t>
            </w:r>
            <w:r w:rsidRPr="00CE3490">
              <w:t xml:space="preserve"> Birojā ir aizliegts nodarbināt personas, kuras ir disciplināri, administratīvi vai krimināli sodītas par pārkāpumiem, kas līdzvērtīgi Pasaules Antidopinga kodeksā ir uzskatāmi par antidopinga noteikumu pārkāpumiem. Šāds aizliegums ir spēkā sešus </w:t>
            </w:r>
            <w:r w:rsidRPr="00CE3490">
              <w:lastRenderedPageBreak/>
              <w:t>gadus no lēmuma spēkā stāšanās dienas disciplinārlietā, administratīvajā lietā vai krimināllietā.”.</w:t>
            </w:r>
          </w:p>
          <w:p w14:paraId="35B5855A" w14:textId="77777777" w:rsidR="00100C0B" w:rsidRPr="00CE3490" w:rsidRDefault="00100C0B" w:rsidP="00100C0B">
            <w:pPr>
              <w:jc w:val="both"/>
            </w:pPr>
          </w:p>
        </w:tc>
        <w:tc>
          <w:tcPr>
            <w:tcW w:w="4394" w:type="dxa"/>
            <w:gridSpan w:val="2"/>
            <w:tcBorders>
              <w:top w:val="single" w:sz="6" w:space="0" w:color="000000"/>
              <w:left w:val="single" w:sz="6" w:space="0" w:color="000000"/>
              <w:bottom w:val="single" w:sz="6" w:space="0" w:color="000000"/>
              <w:right w:val="single" w:sz="6" w:space="0" w:color="000000"/>
            </w:tcBorders>
          </w:tcPr>
          <w:p w14:paraId="675C00B4" w14:textId="77777777" w:rsidR="00100C0B" w:rsidRPr="00CE3490" w:rsidRDefault="00100C0B" w:rsidP="00100C0B">
            <w:pPr>
              <w:widowControl w:val="0"/>
              <w:jc w:val="both"/>
              <w:rPr>
                <w:rFonts w:eastAsia="Calibri"/>
                <w:b/>
                <w:bCs/>
                <w:noProof/>
                <w:lang w:eastAsia="en-US"/>
              </w:rPr>
            </w:pPr>
            <w:r w:rsidRPr="00CE3490">
              <w:rPr>
                <w:rFonts w:eastAsia="Calibri"/>
                <w:b/>
                <w:bCs/>
                <w:lang w:eastAsia="en-US"/>
              </w:rPr>
              <w:lastRenderedPageBreak/>
              <w:t xml:space="preserve">23.08.2021 atzinums Nr. </w:t>
            </w:r>
            <w:r w:rsidRPr="00CE3490">
              <w:rPr>
                <w:rFonts w:eastAsia="Calibri"/>
                <w:b/>
                <w:bCs/>
                <w:noProof/>
                <w:lang w:eastAsia="en-US"/>
              </w:rPr>
              <w:t>1-57/2282</w:t>
            </w:r>
          </w:p>
          <w:p w14:paraId="67A74EE3" w14:textId="73EBAEB2" w:rsidR="00100C0B" w:rsidRPr="00CE3490" w:rsidRDefault="00100C0B" w:rsidP="00100C0B">
            <w:pPr>
              <w:widowControl w:val="0"/>
              <w:jc w:val="both"/>
              <w:rPr>
                <w:rFonts w:eastAsia="Calibri"/>
                <w:lang w:eastAsia="en-US"/>
              </w:rPr>
            </w:pPr>
            <w:r w:rsidRPr="00CE3490">
              <w:rPr>
                <w:rFonts w:eastAsia="Calibri"/>
                <w:lang w:eastAsia="en-US"/>
              </w:rPr>
              <w:t>1.Precizēt projektu vai tā sākotnējās ietekmes novērtējuma ziņojumu (anotāciju) ar norādi par konkrētiem Latvijas Republikas normatīvajiem aktiem un attiecīgajiem nodarījumiem, kuros ietverti tie pārkāpumi, kas uzskatāmi par antidopinga noteikumu pārkāpumiem līdzvērtīgiem Pasaules Antidopinga aģentūras 2021. gada Pasaules Antidopinga kodeksā noteiktajiem pārkāpumiem.</w:t>
            </w:r>
          </w:p>
          <w:p w14:paraId="188A373B" w14:textId="77777777" w:rsidR="00100C0B" w:rsidRPr="00CE3490" w:rsidRDefault="00100C0B" w:rsidP="00100C0B">
            <w:pPr>
              <w:widowControl w:val="0"/>
              <w:jc w:val="both"/>
              <w:rPr>
                <w:rFonts w:eastAsia="Calibri"/>
                <w:lang w:eastAsia="en-US"/>
              </w:rPr>
            </w:pPr>
            <w:r w:rsidRPr="00CE3490">
              <w:rPr>
                <w:rFonts w:eastAsia="Calibri"/>
                <w:lang w:eastAsia="en-US"/>
              </w:rPr>
              <w:t>Proti, projekta 2.</w:t>
            </w:r>
            <w:r w:rsidRPr="00CE3490">
              <w:rPr>
                <w:rFonts w:eastAsia="Calibri"/>
                <w:vertAlign w:val="superscript"/>
                <w:lang w:eastAsia="en-US"/>
              </w:rPr>
              <w:t>2</w:t>
            </w:r>
            <w:r w:rsidRPr="00CE3490">
              <w:rPr>
                <w:rFonts w:eastAsia="Calibri"/>
                <w:lang w:eastAsia="en-US"/>
              </w:rPr>
              <w:t xml:space="preserve"> punkts nosaka, ka Latvijas Antidopinga b</w:t>
            </w:r>
            <w:r w:rsidRPr="00CE3490">
              <w:rPr>
                <w:rFonts w:eastAsia="Calibri"/>
                <w:shd w:val="clear" w:color="auto" w:fill="FFFFFF"/>
                <w:lang w:eastAsia="en-US"/>
              </w:rPr>
              <w:t xml:space="preserve">irojā ir aizliegts nodarbināt personas, kuras ir disciplināri, administratīvi vai krimināli sodītas par pārkāpumiem, kas līdzvērtīgi Pasaules Antidopinga kodeksā ir uzskatāmi par antidopinga noteikumu pārkāpumiem. Šāds aizliegums ir spēkā sešus gadus no lēmuma </w:t>
            </w:r>
            <w:r w:rsidRPr="00CE3490">
              <w:rPr>
                <w:rFonts w:eastAsia="Calibri"/>
                <w:shd w:val="clear" w:color="auto" w:fill="FFFFFF"/>
                <w:lang w:eastAsia="en-US"/>
              </w:rPr>
              <w:lastRenderedPageBreak/>
              <w:t>spēkā stāšanās dienas disciplinārlietā, administratīvajā lietā vai krimināllietā.</w:t>
            </w:r>
          </w:p>
          <w:p w14:paraId="097580F8" w14:textId="77777777" w:rsidR="00100C0B" w:rsidRPr="00CE3490" w:rsidRDefault="00100C0B" w:rsidP="00100C0B">
            <w:pPr>
              <w:widowControl w:val="0"/>
              <w:jc w:val="both"/>
              <w:rPr>
                <w:rFonts w:eastAsia="Calibri"/>
                <w:lang w:eastAsia="en-US"/>
              </w:rPr>
            </w:pPr>
            <w:r w:rsidRPr="00CE3490">
              <w:rPr>
                <w:rFonts w:eastAsia="Calibri"/>
                <w:lang w:eastAsia="en-US"/>
              </w:rPr>
              <w:t>Vēršama uzmanība, ka atbilstoši Sodu reģistra likuma 1. pantam Latvijas Republikā ziņas par noziedzīgus nodarījumus vai administratīvos pārkāpumus izdarījušām personām tiek uzkrātas valsts informācijas sistēmā “Sodu reģistrs”. Minētās informācijas sistēmas apakšsistēmās “Noziedzīgus nodarījumus izdarījušas personas” un “Administratīvos pārkāpumus izdarījušas personas” tiek uzkrātas ziņas par Latvijas Republikas normatīvajos aktos paredzētu noziedzīgu nodarījumu vai administratīvo pārkāpumu izdarījušām personām. Attiecīgi, piemēram, apakšsistēma “Noziedzīgus nodarījumus izdarījušas personas” nesatur vārdisko tvērumu “antidopinga noteikumu pārkāpumi”, bet satur, piemēram, atsauci uz Krimināllikuma nodaļu “Noziedzīgi nodarījumi tautsaimniecībā” un uzskaitītajiem noziedzīgajiem nodarījumiem par darbībām ar narkotiskajām vielām u.c.</w:t>
            </w:r>
          </w:p>
          <w:p w14:paraId="7BE155D9" w14:textId="77777777" w:rsidR="00100C0B" w:rsidRPr="00CE3490" w:rsidRDefault="00100C0B" w:rsidP="00100C0B">
            <w:pPr>
              <w:widowControl w:val="0"/>
              <w:ind w:firstLine="709"/>
              <w:jc w:val="both"/>
              <w:rPr>
                <w:rFonts w:eastAsia="Calibri"/>
                <w:lang w:eastAsia="en-US"/>
              </w:rPr>
            </w:pPr>
            <w:r w:rsidRPr="00CE3490">
              <w:rPr>
                <w:rFonts w:eastAsia="Calibri"/>
                <w:lang w:eastAsia="en-US"/>
              </w:rPr>
              <w:t xml:space="preserve">Attiecīgi Sodu reģistra likuma 19. panta pirmā daļa paredz personu loku, kā arī mērķu uzskaitījumu, kuru sasniegšanai tām ir tiesības pieprasīt noteikta apjoma ziņas no Sodu reģistra. Tādējādi, lai no Sodu reģistra tiktu izsniegtas tikai atbilstošas ziņas, nepieciešams attiecīgi precizēt projektu vai </w:t>
            </w:r>
            <w:r w:rsidRPr="00CE3490">
              <w:rPr>
                <w:rFonts w:eastAsia="Calibri"/>
                <w:lang w:eastAsia="en-US"/>
              </w:rPr>
              <w:lastRenderedPageBreak/>
              <w:t>tā sākotnējās ietekmes novērtējuma ziņojumu (anotāciju).</w:t>
            </w:r>
          </w:p>
          <w:p w14:paraId="0FC9A78A" w14:textId="77777777" w:rsidR="00100C0B" w:rsidRPr="00CE3490" w:rsidRDefault="00100C0B" w:rsidP="00100C0B">
            <w:pPr>
              <w:ind w:right="12"/>
              <w:jc w:val="both"/>
            </w:pPr>
          </w:p>
        </w:tc>
        <w:tc>
          <w:tcPr>
            <w:tcW w:w="3995" w:type="dxa"/>
            <w:tcBorders>
              <w:top w:val="single" w:sz="6" w:space="0" w:color="000000"/>
              <w:left w:val="single" w:sz="6" w:space="0" w:color="000000"/>
              <w:bottom w:val="single" w:sz="6" w:space="0" w:color="000000"/>
              <w:right w:val="single" w:sz="6" w:space="0" w:color="000000"/>
            </w:tcBorders>
          </w:tcPr>
          <w:p w14:paraId="2404578A" w14:textId="215FCDCD" w:rsidR="00100C0B" w:rsidRPr="00CE3490" w:rsidRDefault="00100C0B" w:rsidP="00100C0B">
            <w:pPr>
              <w:pStyle w:val="naisc"/>
              <w:spacing w:before="0" w:after="0"/>
              <w:jc w:val="both"/>
              <w:rPr>
                <w:b/>
                <w:bCs/>
              </w:rPr>
            </w:pPr>
            <w:r w:rsidRPr="00CE3490">
              <w:rPr>
                <w:b/>
                <w:bCs/>
              </w:rPr>
              <w:lastRenderedPageBreak/>
              <w:t xml:space="preserve">Ņemts vērā </w:t>
            </w:r>
          </w:p>
          <w:p w14:paraId="52CF9675" w14:textId="7EE77D7B" w:rsidR="00100C0B" w:rsidRPr="00CE3490" w:rsidRDefault="00100C0B" w:rsidP="00100C0B">
            <w:pPr>
              <w:widowControl w:val="0"/>
              <w:jc w:val="both"/>
            </w:pPr>
            <w:r w:rsidRPr="00CE3490">
              <w:t>Precizēta noteikumu projekta anotācija. Skaidrojam, ka noteikumu projekta 2.</w:t>
            </w:r>
            <w:r w:rsidRPr="00CE3490">
              <w:rPr>
                <w:vertAlign w:val="superscript"/>
              </w:rPr>
              <w:t>2</w:t>
            </w:r>
            <w:r w:rsidRPr="00CE3490">
              <w:t xml:space="preserve"> punkts  minētie </w:t>
            </w:r>
            <w:r w:rsidRPr="00CE3490">
              <w:rPr>
                <w:rFonts w:eastAsia="Calibri"/>
                <w:lang w:eastAsia="en-US"/>
              </w:rPr>
              <w:t xml:space="preserve">pārkāpumu piemēri, kas uzskatāmi par antidopinga noteikumu pārkāpumiem līdzvērtīgi Pasaules Antidopinga aģentūras 2021. gada Pasaules Antidopinga kodeksā noteiktajiem pārkāpumiem, varētu būt </w:t>
            </w:r>
            <w:r w:rsidRPr="00CE3490">
              <w:t xml:space="preserve">nereģistrētu medikamentu vai uztura bagātinātāju izplatīšana, narkotisko un psihotropo vielu lietošana un izplatīšana,  un par minētajiem pārkāpumiem tiek piemērota administratīvā vai disciplinārā atbildība. Minētā prasība ir attiecināma uz personām, kas nav sportists vai sporta darbinieks, bet kas vēlas pretendēt uz Latvijas Antidopinga </w:t>
            </w:r>
            <w:r w:rsidRPr="00CE3490">
              <w:lastRenderedPageBreak/>
              <w:t xml:space="preserve">biroja (turpmāk -Birojs) vakanto vietu. Vienlaikus vēršam uzmanību, ka  uz minētās normas iekļaušanas nepieciešamību Biroja nolikumā norādīja Pasaules Antidopinga aģentūra. Minētā norma ir vispārēja prasība ar kuru tiek noteiktas ētikas normas un principi darbiniekiem, kas vēlas strādāt Latvijas Antidopinga birojā. Minētie principi ir būtiski, lai mazinātu riskus, ka Birojā varētu tikt nodarbinātas personas, kas varētu atstātu negatīvu ietekmi uz antidopinga jomu un nenodrošinātu atbilstību starptautiskajiem ētikas principiem, kas ir jāievēro visām valstīm ieviešot antidopinga programmas. Minēto prasības īstenošanai Birojs neplāno pieprasīt informāciju no Soda reģistra, bet gan lūgt potenciālajam darbiniekam parakstīt pašapliecinājumu, ka viņš atbilst visām prasībām un ka nav disciplināri, administratīvi vai krimināli sodītas par pārkāpumiem, kas līdzvērtīgi Pasaules Antidopinga kodeksā ir uzskatāmi par antidopinga noteikumu pārkāpumiem un par kuriem  atbilstošo Latvijā spēkā esošajiem normatīvajiem aktiem tiek piemērota administratīvā, kriminālā  vai disciplinārā atbildība. Vienlaikus vēršam uzmanību, ka šobrīd arī </w:t>
            </w:r>
            <w:r w:rsidRPr="00CE3490">
              <w:lastRenderedPageBreak/>
              <w:t xml:space="preserve">civildienestā strādājošiem ierēdņiem saskaņā ar Civildienesta likumu stājoties amatā ir jāapliecina ar savu parakstu, ka tie nav disciplināri, administratīvi vai krimināli sodīti un var ieņemt noteikto amatu. </w:t>
            </w:r>
          </w:p>
          <w:p w14:paraId="462D0471" w14:textId="19F3CD85" w:rsidR="00100C0B" w:rsidRPr="00CE3490" w:rsidRDefault="00100C0B" w:rsidP="00100C0B">
            <w:pPr>
              <w:pStyle w:val="naisc"/>
              <w:spacing w:before="0" w:after="0"/>
              <w:jc w:val="both"/>
            </w:pPr>
          </w:p>
        </w:tc>
        <w:tc>
          <w:tcPr>
            <w:tcW w:w="2809" w:type="dxa"/>
            <w:gridSpan w:val="2"/>
            <w:tcBorders>
              <w:top w:val="single" w:sz="4" w:space="0" w:color="auto"/>
              <w:left w:val="single" w:sz="4" w:space="0" w:color="auto"/>
              <w:bottom w:val="single" w:sz="4" w:space="0" w:color="auto"/>
            </w:tcBorders>
          </w:tcPr>
          <w:p w14:paraId="3DD2D125" w14:textId="1C64C0E9" w:rsidR="006D55F2" w:rsidRPr="00CE3490" w:rsidRDefault="006D55F2" w:rsidP="006D55F2">
            <w:pPr>
              <w:jc w:val="both"/>
            </w:pPr>
            <w:r w:rsidRPr="00CE3490">
              <w:lastRenderedPageBreak/>
              <w:t>2.Papildināt noteikumus ar  2.1 un 2.2 punktu šādā redakcijā:</w:t>
            </w:r>
          </w:p>
          <w:p w14:paraId="5BAE4577" w14:textId="77777777" w:rsidR="006D55F2" w:rsidRPr="00CE3490" w:rsidRDefault="006D55F2" w:rsidP="006D55F2">
            <w:pPr>
              <w:jc w:val="both"/>
            </w:pPr>
            <w:r w:rsidRPr="00CE3490">
              <w:t>“2.1 Birojā ir aizliegts nodarbināt personu, kura ir sportists vai sporta darbinieks un kurai ir noteikts pagaidu aizliegums vai noteikta diskvalifikācija par antidopinga noteikumu pārkāpumu.</w:t>
            </w:r>
          </w:p>
          <w:p w14:paraId="48103C71" w14:textId="47ABDBF1" w:rsidR="00100C0B" w:rsidRPr="00CE3490" w:rsidRDefault="006D55F2" w:rsidP="006D55F2">
            <w:pPr>
              <w:jc w:val="both"/>
            </w:pPr>
            <w:r w:rsidRPr="00CE3490">
              <w:t xml:space="preserve">2.2 Birojā ir aizliegts nodarbināt arī citas personas, kuras nav minētas šo noteikumu 2.1 punktā un kuras ir disciplināri, administratīvi vai krimināli sodītas par </w:t>
            </w:r>
            <w:r w:rsidRPr="00CE3490">
              <w:lastRenderedPageBreak/>
              <w:t>pārkāpumiem, kas līdzvērtīgi Pasaules Antidopinga kodeksā ir uzskatāmi par antidopinga noteikumu pārkāpumiem. Šāds aizliegums ir spēkā sešus gadus no lēmuma spēkā stāšanās dienas disciplinārlietā, administratīvajā lietā vai krimināllietā.”.</w:t>
            </w:r>
          </w:p>
        </w:tc>
      </w:tr>
      <w:tr w:rsidR="00CE3490" w:rsidRPr="00CE3490" w14:paraId="24670BA4" w14:textId="77777777" w:rsidTr="00E83461">
        <w:trPr>
          <w:gridBefore w:val="1"/>
          <w:wBefore w:w="8" w:type="dxa"/>
          <w:trHeight w:val="1119"/>
        </w:trPr>
        <w:tc>
          <w:tcPr>
            <w:tcW w:w="708" w:type="dxa"/>
            <w:tcBorders>
              <w:top w:val="single" w:sz="6" w:space="0" w:color="000000"/>
              <w:left w:val="single" w:sz="6" w:space="0" w:color="000000"/>
              <w:bottom w:val="single" w:sz="6" w:space="0" w:color="000000"/>
              <w:right w:val="single" w:sz="6" w:space="0" w:color="000000"/>
            </w:tcBorders>
          </w:tcPr>
          <w:p w14:paraId="647C686C" w14:textId="2A6A3941" w:rsidR="00100C0B" w:rsidRPr="00CE3490" w:rsidRDefault="00100C0B" w:rsidP="00100C0B">
            <w:pPr>
              <w:pStyle w:val="naisc"/>
              <w:spacing w:before="0" w:after="0"/>
              <w:jc w:val="both"/>
            </w:pPr>
            <w:r w:rsidRPr="00CE3490">
              <w:lastRenderedPageBreak/>
              <w:t>3.</w:t>
            </w:r>
          </w:p>
        </w:tc>
        <w:tc>
          <w:tcPr>
            <w:tcW w:w="3086" w:type="dxa"/>
            <w:tcBorders>
              <w:top w:val="single" w:sz="6" w:space="0" w:color="000000"/>
              <w:left w:val="single" w:sz="6" w:space="0" w:color="000000"/>
              <w:bottom w:val="single" w:sz="6" w:space="0" w:color="000000"/>
              <w:right w:val="single" w:sz="6" w:space="0" w:color="000000"/>
            </w:tcBorders>
          </w:tcPr>
          <w:p w14:paraId="20B17378" w14:textId="77777777" w:rsidR="00100C0B" w:rsidRPr="00CE3490" w:rsidRDefault="00100C0B" w:rsidP="00100C0B">
            <w:pPr>
              <w:jc w:val="both"/>
            </w:pPr>
            <w:r w:rsidRPr="00CE3490">
              <w:t>2. Papildināt noteikumus ar  2.1 un 2.2 punktu šādā redakcijā:</w:t>
            </w:r>
          </w:p>
          <w:p w14:paraId="52A794B7" w14:textId="77777777" w:rsidR="00100C0B" w:rsidRPr="00CE3490" w:rsidRDefault="00100C0B" w:rsidP="00100C0B">
            <w:pPr>
              <w:jc w:val="both"/>
            </w:pPr>
            <w:r w:rsidRPr="00CE3490">
              <w:t>“2.1 Birojā ir aizliegts nodarbināt personas, kurām ir noteikts pagaidu aizliegums vai noteikta diskvalifikācija par antidopinga noteikumu pārkāpumu.</w:t>
            </w:r>
          </w:p>
          <w:p w14:paraId="02010D52" w14:textId="77777777" w:rsidR="00100C0B" w:rsidRPr="00CE3490" w:rsidRDefault="00100C0B" w:rsidP="00100C0B">
            <w:pPr>
              <w:jc w:val="both"/>
            </w:pPr>
            <w:r w:rsidRPr="00CE3490">
              <w:t xml:space="preserve">2.2 Birojā ir aizliegts nodarbināt personas, kuras ir disciplināri, administratīvi vai krimināli sodītas par pārkāpumiem, kas līdzvērtīgi Pasaules Antidopinga </w:t>
            </w:r>
            <w:r w:rsidRPr="00CE3490">
              <w:lastRenderedPageBreak/>
              <w:t>kodeksā ir uzskatāmi par antidopinga noteikumu pārkāpumiem. Šāds aizliegums ir spēkā sešus gadus no lēmuma spēkā stāšanās dienas disciplinārlietā, administratīvajā lietā vai krimināllietā.”.</w:t>
            </w:r>
          </w:p>
          <w:p w14:paraId="13BEF44B" w14:textId="77777777" w:rsidR="00100C0B" w:rsidRPr="00CE3490" w:rsidRDefault="00100C0B" w:rsidP="00100C0B">
            <w:pPr>
              <w:jc w:val="both"/>
            </w:pPr>
          </w:p>
        </w:tc>
        <w:tc>
          <w:tcPr>
            <w:tcW w:w="4394" w:type="dxa"/>
            <w:gridSpan w:val="2"/>
            <w:tcBorders>
              <w:top w:val="single" w:sz="6" w:space="0" w:color="000000"/>
              <w:left w:val="single" w:sz="6" w:space="0" w:color="000000"/>
              <w:bottom w:val="single" w:sz="6" w:space="0" w:color="000000"/>
              <w:right w:val="single" w:sz="6" w:space="0" w:color="000000"/>
            </w:tcBorders>
          </w:tcPr>
          <w:p w14:paraId="1FAE9ACB" w14:textId="2D5721CD" w:rsidR="00100C0B" w:rsidRPr="00CE3490" w:rsidRDefault="00100C0B" w:rsidP="00100C0B">
            <w:pPr>
              <w:widowControl w:val="0"/>
              <w:jc w:val="both"/>
              <w:rPr>
                <w:rFonts w:eastAsia="Calibri"/>
                <w:lang w:eastAsia="en-US"/>
              </w:rPr>
            </w:pPr>
            <w:r w:rsidRPr="00CE3490">
              <w:lastRenderedPageBreak/>
              <w:t xml:space="preserve">2.Precizēt projektu vai tā sākotnējās ietekmes novērtējuma ziņojumu (anotāciju) ar norādi par veidu, kādā Latvijas Antidopinga birojs piekļūs Sodu reģistrā iekļautajām ziņām, proti (Sodu reģistra likuma 21. panta pirmā daļa):    a) izmantojot datu pārraidi tiešsaistes režīmā vai citus elektronisko sakaru līdzekļus, ja ziņu saņēmēju identificē (slēdzot rakstveida vienošanos ar </w:t>
            </w:r>
            <w:proofErr w:type="spellStart"/>
            <w:r w:rsidRPr="00CE3490">
              <w:t>Iekšlietu</w:t>
            </w:r>
            <w:proofErr w:type="spellEnd"/>
            <w:r w:rsidRPr="00CE3490">
              <w:t xml:space="preserve"> ministrijas Informācijas centru par piekļuvi Sodu reģistram patstāvīgi);             b) </w:t>
            </w:r>
            <w:proofErr w:type="spellStart"/>
            <w:r w:rsidRPr="00CE3490">
              <w:t>rakstveidā</w:t>
            </w:r>
            <w:proofErr w:type="spellEnd"/>
            <w:r w:rsidRPr="00CE3490">
              <w:t xml:space="preserve"> (vēstule vai izziņa) (pieprasījums </w:t>
            </w:r>
            <w:proofErr w:type="spellStart"/>
            <w:r w:rsidRPr="00CE3490">
              <w:t>Iekšlietu</w:t>
            </w:r>
            <w:proofErr w:type="spellEnd"/>
            <w:r w:rsidRPr="00CE3490">
              <w:t xml:space="preserve"> ministrijas Informācijas centram par ziņu izsniegšanu no Sodu reģistra katrā </w:t>
            </w:r>
            <w:r w:rsidRPr="00CE3490">
              <w:lastRenderedPageBreak/>
              <w:t>individuālajā gadījumā).</w:t>
            </w:r>
          </w:p>
        </w:tc>
        <w:tc>
          <w:tcPr>
            <w:tcW w:w="3995" w:type="dxa"/>
            <w:tcBorders>
              <w:top w:val="single" w:sz="6" w:space="0" w:color="000000"/>
              <w:left w:val="single" w:sz="6" w:space="0" w:color="000000"/>
              <w:bottom w:val="single" w:sz="6" w:space="0" w:color="000000"/>
              <w:right w:val="single" w:sz="6" w:space="0" w:color="000000"/>
            </w:tcBorders>
          </w:tcPr>
          <w:p w14:paraId="35B4F7FB" w14:textId="77777777" w:rsidR="00100C0B" w:rsidRPr="00CE3490" w:rsidRDefault="00100C0B" w:rsidP="00100C0B">
            <w:pPr>
              <w:pStyle w:val="CommentText"/>
              <w:rPr>
                <w:rFonts w:eastAsia="Times New Roman"/>
                <w:b/>
                <w:bCs/>
                <w:sz w:val="24"/>
                <w:szCs w:val="24"/>
                <w:lang w:eastAsia="lv-LV"/>
              </w:rPr>
            </w:pPr>
            <w:r w:rsidRPr="00CE3490">
              <w:rPr>
                <w:rFonts w:eastAsia="Times New Roman"/>
                <w:b/>
                <w:bCs/>
                <w:sz w:val="24"/>
                <w:szCs w:val="24"/>
                <w:lang w:eastAsia="lv-LV"/>
              </w:rPr>
              <w:lastRenderedPageBreak/>
              <w:t xml:space="preserve">Ņemts vērā </w:t>
            </w:r>
          </w:p>
          <w:p w14:paraId="604510E3" w14:textId="4CDD59C0" w:rsidR="00100C0B" w:rsidRPr="00CE3490" w:rsidRDefault="00100C0B" w:rsidP="00100C0B">
            <w:pPr>
              <w:widowControl w:val="0"/>
              <w:jc w:val="both"/>
            </w:pPr>
            <w:r w:rsidRPr="00CE3490">
              <w:t>Precizēta noteikumu projekta anotācija. Skaidrojam, ka noteikumu projekta 2.</w:t>
            </w:r>
            <w:r w:rsidRPr="00CE3490">
              <w:rPr>
                <w:vertAlign w:val="superscript"/>
              </w:rPr>
              <w:t>2</w:t>
            </w:r>
            <w:r w:rsidRPr="00CE3490">
              <w:t xml:space="preserve"> punkts  minētie </w:t>
            </w:r>
            <w:r w:rsidRPr="00CE3490">
              <w:rPr>
                <w:rFonts w:eastAsia="Calibri"/>
                <w:lang w:eastAsia="en-US"/>
              </w:rPr>
              <w:t xml:space="preserve">pārkāpumu piemēri, kas uzskatāmi par antidopinga noteikumu pārkāpumiem līdzvērtīgi Pasaules Antidopinga aģentūras 2021. gada Pasaules Antidopinga kodeksā noteiktajiem pārkāpumiem, varētu būt </w:t>
            </w:r>
            <w:r w:rsidRPr="00CE3490">
              <w:t xml:space="preserve">nereģistrētu medikamentu vai uztura bagātinātāju izplatīšana, narkotisko un psihotropo vielu lietošana un izplatīšana,  un par minētajiem pārkāpumiem tiek piemērota administratīvā vai disciplinārā </w:t>
            </w:r>
            <w:r w:rsidRPr="00CE3490">
              <w:lastRenderedPageBreak/>
              <w:t xml:space="preserve">atbildība. Minētā prasība ir attiecināma uz personām, kas nav sportists vai sporta darbinieks, bet kas vēlas pretendēt uz Birojs vakanto vietu. Vienlaikus vēršam uzmanību, ka  uz minētās normas iekļaušanas nepieciešamību Biroja nolikumā norādīja Pasaules Antidopinga aģentūra. Minētā norma ir vispārēja prasība ar kuru tiek noteiktas ētikas normas un principi darbiniekiem, kas vēlas strādāt Latvijas Antidopinga birojā. Minētie principi ir būtiski, lai mazinātu riskus, ka Birojā varētu tikt nodarbinātas personas, kas varētu atstātu negatīvu ietekmi uz antidopinga jomu un nenodrošinātu atbilstību starptautiskajiem ētikas principiem, kas ir jāievēro visām valstīm ieviešot antidopinga programmas. Minēto prasības īstenošanai Birojs neplāno pieprasīt informāciju no Soda reģistra, bet gan lūgt potenciālajam darbiniekam parakstīt pašapliecinājumu, ka viņš atbilst visām prasībām un ka nav disciplināri, administratīvi vai krimināli sodītas par pārkāpumiem, kas līdzvērtīgi Pasaules Antidopinga kodeksā ir uzskatāmi par antidopinga noteikumu pārkāpumiem un par kuriem  atbilstošo Latvijā spēkā esošajiem normatīvajiem aktiem tiek piemērota </w:t>
            </w:r>
            <w:r w:rsidRPr="00CE3490">
              <w:lastRenderedPageBreak/>
              <w:t>administratīvā, kriminālā  vai disciplinārā atbildība. Vienlaikus vēršam uzmanību, ka šobrīd arī civildienestā strādājošiem ierēdņiem saskaņā ar Civildienesta likumu stājoties amatā ir jāapliecina ar savu parakstu, ka tie nav disciplināri, administratīvi vai krimināli sodīti un var ieņemt noteikto amatu. VM ieskatā būtu nesamērīgi un arī lieks slogs Birojam par katru potenciālo darbinieku pieprasīt ziņas no Sodu reģistra, ņemot vērā, ka lielākoties valsts pārvaldes iestādēs pietiek ar darbinieka aizpildītu un parakstītu pašapliecinājumu.</w:t>
            </w:r>
          </w:p>
          <w:p w14:paraId="08752468" w14:textId="6AC2293D" w:rsidR="00100C0B" w:rsidRPr="00CE3490" w:rsidRDefault="00100C0B" w:rsidP="00100C0B">
            <w:pPr>
              <w:pStyle w:val="CommentText"/>
              <w:rPr>
                <w:rFonts w:eastAsia="Times New Roman"/>
                <w:sz w:val="24"/>
                <w:szCs w:val="24"/>
                <w:lang w:eastAsia="lv-LV"/>
              </w:rPr>
            </w:pPr>
          </w:p>
        </w:tc>
        <w:tc>
          <w:tcPr>
            <w:tcW w:w="2809" w:type="dxa"/>
            <w:gridSpan w:val="2"/>
            <w:tcBorders>
              <w:top w:val="single" w:sz="4" w:space="0" w:color="auto"/>
              <w:left w:val="single" w:sz="4" w:space="0" w:color="auto"/>
              <w:bottom w:val="single" w:sz="4" w:space="0" w:color="auto"/>
            </w:tcBorders>
          </w:tcPr>
          <w:p w14:paraId="28FC6D27" w14:textId="7CD178B8" w:rsidR="006D55F2" w:rsidRPr="00CE3490" w:rsidRDefault="006D55F2" w:rsidP="006D55F2">
            <w:pPr>
              <w:jc w:val="both"/>
            </w:pPr>
            <w:r w:rsidRPr="00CE3490">
              <w:lastRenderedPageBreak/>
              <w:t>2.Papildināt noteikumus ar  2.1 un 2.2 punktu šādā redakcijā:</w:t>
            </w:r>
          </w:p>
          <w:p w14:paraId="76F446F5" w14:textId="77777777" w:rsidR="006D55F2" w:rsidRPr="00CE3490" w:rsidRDefault="006D55F2" w:rsidP="006D55F2">
            <w:pPr>
              <w:jc w:val="both"/>
            </w:pPr>
            <w:r w:rsidRPr="00CE3490">
              <w:t>“2.1 Birojā ir aizliegts nodarbināt personu, kura ir sportists vai sporta darbinieks un kurai ir noteikts pagaidu aizliegums vai noteikta diskvalifikācija par antidopinga noteikumu pārkāpumu.</w:t>
            </w:r>
          </w:p>
          <w:p w14:paraId="11026846" w14:textId="14532463" w:rsidR="00100C0B" w:rsidRPr="00CE3490" w:rsidRDefault="006D55F2" w:rsidP="006D55F2">
            <w:pPr>
              <w:jc w:val="both"/>
            </w:pPr>
            <w:r w:rsidRPr="00CE3490">
              <w:t xml:space="preserve">2.2 Birojā ir aizliegts nodarbināt arī citas personas, kuras nav </w:t>
            </w:r>
            <w:r w:rsidRPr="00CE3490">
              <w:lastRenderedPageBreak/>
              <w:t>minētas šo noteikumu 2.1 punktā un kuras ir disciplināri, administratīvi vai krimināli sodītas par pārkāpumiem, kas līdzvērtīgi Pasaules Antidopinga kodeksā ir uzskatāmi par antidopinga noteikumu pārkāpumiem. Šāds aizliegums ir spēkā sešus gadus no lēmuma spēkā stāšanās dienas disciplinārlietā, administratīvajā lietā vai krimināllietā.”.</w:t>
            </w:r>
          </w:p>
        </w:tc>
      </w:tr>
      <w:tr w:rsidR="00100C0B" w:rsidRPr="00C970A8" w14:paraId="33A4A0A3" w14:textId="77777777" w:rsidTr="00E83461">
        <w:trPr>
          <w:gridBefore w:val="1"/>
          <w:wBefore w:w="8" w:type="dxa"/>
          <w:trHeight w:val="1119"/>
        </w:trPr>
        <w:tc>
          <w:tcPr>
            <w:tcW w:w="708" w:type="dxa"/>
            <w:tcBorders>
              <w:top w:val="single" w:sz="6" w:space="0" w:color="000000"/>
              <w:left w:val="single" w:sz="6" w:space="0" w:color="000000"/>
              <w:bottom w:val="single" w:sz="6" w:space="0" w:color="000000"/>
              <w:right w:val="single" w:sz="6" w:space="0" w:color="000000"/>
            </w:tcBorders>
          </w:tcPr>
          <w:p w14:paraId="234DA67D" w14:textId="0B86C358" w:rsidR="00100C0B" w:rsidRPr="00C970A8" w:rsidRDefault="00100C0B" w:rsidP="00100C0B">
            <w:pPr>
              <w:pStyle w:val="naisc"/>
              <w:spacing w:before="0" w:after="0"/>
              <w:jc w:val="both"/>
            </w:pPr>
            <w:r>
              <w:lastRenderedPageBreak/>
              <w:t>4.</w:t>
            </w:r>
          </w:p>
        </w:tc>
        <w:tc>
          <w:tcPr>
            <w:tcW w:w="3086" w:type="dxa"/>
            <w:tcBorders>
              <w:top w:val="single" w:sz="6" w:space="0" w:color="000000"/>
              <w:left w:val="single" w:sz="6" w:space="0" w:color="000000"/>
              <w:bottom w:val="single" w:sz="6" w:space="0" w:color="000000"/>
              <w:right w:val="single" w:sz="6" w:space="0" w:color="000000"/>
            </w:tcBorders>
          </w:tcPr>
          <w:p w14:paraId="74F8C1E7" w14:textId="77777777" w:rsidR="00100C0B" w:rsidRPr="00C970A8" w:rsidRDefault="00100C0B" w:rsidP="00100C0B">
            <w:pPr>
              <w:jc w:val="both"/>
            </w:pPr>
          </w:p>
        </w:tc>
        <w:tc>
          <w:tcPr>
            <w:tcW w:w="4394" w:type="dxa"/>
            <w:gridSpan w:val="2"/>
            <w:tcBorders>
              <w:top w:val="single" w:sz="6" w:space="0" w:color="000000"/>
              <w:left w:val="single" w:sz="6" w:space="0" w:color="000000"/>
              <w:bottom w:val="single" w:sz="6" w:space="0" w:color="000000"/>
              <w:right w:val="single" w:sz="6" w:space="0" w:color="000000"/>
            </w:tcBorders>
          </w:tcPr>
          <w:p w14:paraId="485EFD5D" w14:textId="77777777" w:rsidR="00100C0B" w:rsidRPr="00C970A8" w:rsidRDefault="00100C0B" w:rsidP="00100C0B">
            <w:pPr>
              <w:widowControl w:val="0"/>
              <w:jc w:val="both"/>
              <w:rPr>
                <w:rFonts w:eastAsia="Calibri"/>
                <w:lang w:eastAsia="en-US"/>
              </w:rPr>
            </w:pPr>
            <w:r w:rsidRPr="00C970A8">
              <w:rPr>
                <w:rFonts w:eastAsia="Calibri"/>
                <w:lang w:eastAsia="en-US"/>
              </w:rPr>
              <w:t xml:space="preserve">Precizēt projekta sākotnējās ietekmes novērtējuma ziņojuma (anotācijas) VII. sadaļu ar norādi, ka projekta izpildē iesaistītā institūciju ir arī </w:t>
            </w:r>
            <w:proofErr w:type="spellStart"/>
            <w:r w:rsidRPr="00C970A8">
              <w:rPr>
                <w:rFonts w:eastAsia="Calibri"/>
                <w:lang w:eastAsia="en-US"/>
              </w:rPr>
              <w:t>Iekšlietu</w:t>
            </w:r>
            <w:proofErr w:type="spellEnd"/>
            <w:r w:rsidRPr="00C970A8">
              <w:rPr>
                <w:rFonts w:eastAsia="Calibri"/>
                <w:lang w:eastAsia="en-US"/>
              </w:rPr>
              <w:t xml:space="preserve"> ministrijas Informācijas centrs, ievērojot, ka atbilstoši Sodu reģistra likuma 2.pantam Sodu reģistra pārzinis un turētājs ir </w:t>
            </w:r>
            <w:proofErr w:type="spellStart"/>
            <w:r w:rsidRPr="00C970A8">
              <w:rPr>
                <w:rFonts w:eastAsia="Calibri"/>
                <w:lang w:eastAsia="en-US"/>
              </w:rPr>
              <w:t>Iekšlietu</w:t>
            </w:r>
            <w:proofErr w:type="spellEnd"/>
            <w:r w:rsidRPr="00C970A8">
              <w:rPr>
                <w:rFonts w:eastAsia="Calibri"/>
                <w:lang w:eastAsia="en-US"/>
              </w:rPr>
              <w:t xml:space="preserve"> ministrijas Informācijas centrs.</w:t>
            </w:r>
          </w:p>
          <w:p w14:paraId="0633B97A" w14:textId="7F2AA1D6" w:rsidR="00100C0B" w:rsidRPr="00C970A8" w:rsidRDefault="00100C0B" w:rsidP="00100C0B">
            <w:pPr>
              <w:widowControl w:val="0"/>
              <w:jc w:val="both"/>
              <w:rPr>
                <w:rFonts w:eastAsia="Calibri"/>
                <w:lang w:eastAsia="en-US"/>
              </w:rPr>
            </w:pPr>
          </w:p>
        </w:tc>
        <w:tc>
          <w:tcPr>
            <w:tcW w:w="3995" w:type="dxa"/>
            <w:tcBorders>
              <w:top w:val="single" w:sz="6" w:space="0" w:color="000000"/>
              <w:left w:val="single" w:sz="6" w:space="0" w:color="000000"/>
              <w:bottom w:val="single" w:sz="6" w:space="0" w:color="000000"/>
              <w:right w:val="single" w:sz="6" w:space="0" w:color="000000"/>
            </w:tcBorders>
          </w:tcPr>
          <w:p w14:paraId="13ABFB4B" w14:textId="77777777" w:rsidR="00100C0B" w:rsidRPr="00C970A8" w:rsidRDefault="00100C0B" w:rsidP="00100C0B">
            <w:pPr>
              <w:pStyle w:val="CommentText"/>
              <w:rPr>
                <w:rFonts w:eastAsia="Times New Roman"/>
                <w:b/>
                <w:bCs/>
                <w:sz w:val="24"/>
                <w:szCs w:val="24"/>
                <w:lang w:eastAsia="lv-LV"/>
              </w:rPr>
            </w:pPr>
            <w:r w:rsidRPr="00C970A8">
              <w:rPr>
                <w:rFonts w:eastAsia="Times New Roman"/>
                <w:b/>
                <w:bCs/>
                <w:sz w:val="24"/>
                <w:szCs w:val="24"/>
                <w:lang w:eastAsia="lv-LV"/>
              </w:rPr>
              <w:t xml:space="preserve">Ņemts vērā </w:t>
            </w:r>
          </w:p>
          <w:p w14:paraId="47D42079" w14:textId="17595B72" w:rsidR="00100C0B" w:rsidRPr="00C970A8" w:rsidRDefault="00100C0B" w:rsidP="00100C0B">
            <w:pPr>
              <w:pStyle w:val="CommentText"/>
              <w:rPr>
                <w:rFonts w:eastAsia="Times New Roman"/>
                <w:sz w:val="24"/>
                <w:szCs w:val="24"/>
                <w:lang w:eastAsia="lv-LV"/>
              </w:rPr>
            </w:pPr>
            <w:r>
              <w:rPr>
                <w:rFonts w:eastAsia="Times New Roman"/>
                <w:sz w:val="24"/>
                <w:szCs w:val="24"/>
                <w:lang w:eastAsia="lv-LV"/>
              </w:rPr>
              <w:t xml:space="preserve">Norādām, ka </w:t>
            </w:r>
            <w:r w:rsidRPr="00C970A8">
              <w:rPr>
                <w:rFonts w:eastAsia="Times New Roman"/>
                <w:sz w:val="24"/>
                <w:szCs w:val="24"/>
                <w:lang w:eastAsia="lv-LV"/>
              </w:rPr>
              <w:t>uz minētās normas iekļaušanas nepieciešamību norādīja Pasaules Antidopinga aģentūra</w:t>
            </w:r>
            <w:r>
              <w:rPr>
                <w:rFonts w:eastAsia="Times New Roman"/>
                <w:sz w:val="24"/>
                <w:szCs w:val="24"/>
                <w:lang w:eastAsia="lv-LV"/>
              </w:rPr>
              <w:t>. M</w:t>
            </w:r>
            <w:r w:rsidRPr="00C970A8">
              <w:rPr>
                <w:rFonts w:eastAsia="Times New Roman"/>
                <w:sz w:val="24"/>
                <w:szCs w:val="24"/>
                <w:lang w:eastAsia="lv-LV"/>
              </w:rPr>
              <w:t xml:space="preserve">inētā norma ir vispārēja </w:t>
            </w:r>
            <w:r>
              <w:rPr>
                <w:rFonts w:eastAsia="Times New Roman"/>
                <w:sz w:val="24"/>
                <w:szCs w:val="24"/>
                <w:lang w:eastAsia="lv-LV"/>
              </w:rPr>
              <w:t>prasība</w:t>
            </w:r>
            <w:r w:rsidRPr="00C970A8">
              <w:rPr>
                <w:rFonts w:eastAsia="Times New Roman"/>
                <w:sz w:val="24"/>
                <w:szCs w:val="24"/>
                <w:lang w:eastAsia="lv-LV"/>
              </w:rPr>
              <w:t xml:space="preserve"> ar kuru tiek noteiktas ētikas normas un principi darbiniekiem, kas vēlas strādāt </w:t>
            </w:r>
            <w:r>
              <w:rPr>
                <w:rFonts w:eastAsia="Times New Roman"/>
                <w:sz w:val="24"/>
                <w:szCs w:val="24"/>
                <w:lang w:eastAsia="lv-LV"/>
              </w:rPr>
              <w:t>B</w:t>
            </w:r>
            <w:r w:rsidRPr="00C970A8">
              <w:rPr>
                <w:rFonts w:eastAsia="Times New Roman"/>
                <w:sz w:val="24"/>
                <w:szCs w:val="24"/>
                <w:lang w:eastAsia="lv-LV"/>
              </w:rPr>
              <w:t>irojā. Minētie principi ir būtiski, lai mazinātu riskus, ka Birojā varētu tikt nodarbinātas personas, kas varētu atstātu negatīvu ietekmi uz antidopinga</w:t>
            </w:r>
            <w:r>
              <w:rPr>
                <w:rFonts w:eastAsia="Times New Roman"/>
                <w:sz w:val="24"/>
                <w:szCs w:val="24"/>
                <w:lang w:eastAsia="lv-LV"/>
              </w:rPr>
              <w:t xml:space="preserve"> uzraudzības</w:t>
            </w:r>
            <w:r w:rsidRPr="00C970A8">
              <w:rPr>
                <w:rFonts w:eastAsia="Times New Roman"/>
                <w:sz w:val="24"/>
                <w:szCs w:val="24"/>
                <w:lang w:eastAsia="lv-LV"/>
              </w:rPr>
              <w:t xml:space="preserve"> jomu un nenodrošinātu atbilstību starptautiskajiem ētikas principiem, kas ir jāievēro visām valstīm ieviešot antidopinga </w:t>
            </w:r>
            <w:r w:rsidRPr="00C970A8">
              <w:rPr>
                <w:rFonts w:eastAsia="Times New Roman"/>
                <w:sz w:val="24"/>
                <w:szCs w:val="24"/>
                <w:lang w:eastAsia="lv-LV"/>
              </w:rPr>
              <w:lastRenderedPageBreak/>
              <w:t>programmas.</w:t>
            </w:r>
            <w:r>
              <w:rPr>
                <w:rFonts w:eastAsia="Times New Roman"/>
                <w:sz w:val="24"/>
                <w:szCs w:val="24"/>
                <w:lang w:eastAsia="lv-LV"/>
              </w:rPr>
              <w:t xml:space="preserve"> Ņemot vērā ka šī ir vispārēja prasība, nav plānots pieprasīt informāciju no Sodu reģistra, minētā noteikumu projekta anotācijā netika pievienots </w:t>
            </w:r>
            <w:proofErr w:type="spellStart"/>
            <w:r>
              <w:rPr>
                <w:rFonts w:eastAsia="Times New Roman"/>
                <w:sz w:val="24"/>
                <w:szCs w:val="24"/>
                <w:lang w:eastAsia="lv-LV"/>
              </w:rPr>
              <w:t>Iekšlietu</w:t>
            </w:r>
            <w:proofErr w:type="spellEnd"/>
            <w:r>
              <w:rPr>
                <w:rFonts w:eastAsia="Times New Roman"/>
                <w:sz w:val="24"/>
                <w:szCs w:val="24"/>
                <w:lang w:eastAsia="lv-LV"/>
              </w:rPr>
              <w:t xml:space="preserve"> ministrija Informācijas centrs.</w:t>
            </w:r>
            <w:r w:rsidRPr="00C970A8">
              <w:rPr>
                <w:rFonts w:eastAsia="Times New Roman"/>
                <w:sz w:val="24"/>
                <w:szCs w:val="24"/>
                <w:lang w:eastAsia="lv-LV"/>
              </w:rPr>
              <w:t xml:space="preserve"> </w:t>
            </w:r>
          </w:p>
          <w:p w14:paraId="095F28DB" w14:textId="7466AE4D" w:rsidR="00100C0B" w:rsidRPr="00C970A8" w:rsidRDefault="00100C0B" w:rsidP="00100C0B">
            <w:pPr>
              <w:pStyle w:val="CommentText"/>
              <w:rPr>
                <w:rFonts w:eastAsia="Times New Roman"/>
                <w:b/>
                <w:bCs/>
                <w:sz w:val="24"/>
                <w:szCs w:val="24"/>
                <w:lang w:eastAsia="lv-LV"/>
              </w:rPr>
            </w:pPr>
          </w:p>
        </w:tc>
        <w:tc>
          <w:tcPr>
            <w:tcW w:w="2809" w:type="dxa"/>
            <w:gridSpan w:val="2"/>
            <w:tcBorders>
              <w:top w:val="single" w:sz="4" w:space="0" w:color="auto"/>
              <w:left w:val="single" w:sz="4" w:space="0" w:color="auto"/>
              <w:bottom w:val="single" w:sz="4" w:space="0" w:color="auto"/>
            </w:tcBorders>
          </w:tcPr>
          <w:p w14:paraId="22AF217E" w14:textId="77777777" w:rsidR="00100C0B" w:rsidRPr="00C970A8" w:rsidRDefault="00100C0B" w:rsidP="00100C0B">
            <w:pPr>
              <w:jc w:val="both"/>
            </w:pPr>
          </w:p>
        </w:tc>
      </w:tr>
      <w:tr w:rsidR="00100C0B" w:rsidRPr="00C970A8" w14:paraId="387BD90E" w14:textId="77777777" w:rsidTr="00E83461">
        <w:tblPrEx>
          <w:tblBorders>
            <w:top w:val="none" w:sz="0" w:space="0" w:color="auto"/>
            <w:left w:val="none" w:sz="0" w:space="0" w:color="auto"/>
            <w:bottom w:val="none" w:sz="0" w:space="0" w:color="auto"/>
            <w:right w:val="none" w:sz="0" w:space="0" w:color="auto"/>
          </w:tblBorders>
        </w:tblPrEx>
        <w:trPr>
          <w:gridAfter w:val="1"/>
          <w:wAfter w:w="8" w:type="dxa"/>
        </w:trPr>
        <w:tc>
          <w:tcPr>
            <w:tcW w:w="5017" w:type="dxa"/>
            <w:gridSpan w:val="4"/>
          </w:tcPr>
          <w:p w14:paraId="2AA81415" w14:textId="77777777" w:rsidR="00100C0B" w:rsidRPr="00C970A8" w:rsidRDefault="00100C0B" w:rsidP="00100C0B">
            <w:pPr>
              <w:jc w:val="both"/>
            </w:pPr>
          </w:p>
          <w:p w14:paraId="0D173636" w14:textId="77777777" w:rsidR="00100C0B" w:rsidRPr="00C970A8" w:rsidRDefault="00100C0B" w:rsidP="00100C0B">
            <w:pPr>
              <w:jc w:val="both"/>
            </w:pPr>
          </w:p>
          <w:p w14:paraId="4E875B28" w14:textId="77777777" w:rsidR="00100C0B" w:rsidRPr="00C970A8" w:rsidRDefault="00100C0B" w:rsidP="00100C0B">
            <w:pPr>
              <w:jc w:val="both"/>
            </w:pPr>
            <w:r w:rsidRPr="00C970A8">
              <w:t>Atbildīgā amatpersona</w:t>
            </w:r>
          </w:p>
        </w:tc>
        <w:tc>
          <w:tcPr>
            <w:tcW w:w="9975" w:type="dxa"/>
            <w:gridSpan w:val="3"/>
          </w:tcPr>
          <w:p w14:paraId="39C0E772" w14:textId="77777777" w:rsidR="00100C0B" w:rsidRPr="00C970A8" w:rsidRDefault="00100C0B" w:rsidP="00100C0B">
            <w:pPr>
              <w:ind w:firstLine="720"/>
              <w:jc w:val="both"/>
            </w:pPr>
            <w:r w:rsidRPr="00C970A8">
              <w:t>  </w:t>
            </w:r>
          </w:p>
        </w:tc>
      </w:tr>
      <w:tr w:rsidR="00100C0B" w:rsidRPr="00C970A8" w14:paraId="6DE943A0" w14:textId="77777777" w:rsidTr="00E83461">
        <w:tblPrEx>
          <w:tblBorders>
            <w:top w:val="none" w:sz="0" w:space="0" w:color="auto"/>
            <w:left w:val="none" w:sz="0" w:space="0" w:color="auto"/>
            <w:bottom w:val="none" w:sz="0" w:space="0" w:color="auto"/>
            <w:right w:val="none" w:sz="0" w:space="0" w:color="auto"/>
          </w:tblBorders>
        </w:tblPrEx>
        <w:trPr>
          <w:gridAfter w:val="1"/>
          <w:wAfter w:w="8" w:type="dxa"/>
        </w:trPr>
        <w:tc>
          <w:tcPr>
            <w:tcW w:w="5017" w:type="dxa"/>
            <w:gridSpan w:val="4"/>
          </w:tcPr>
          <w:p w14:paraId="0242C35C" w14:textId="77777777" w:rsidR="00100C0B" w:rsidRPr="00C970A8" w:rsidRDefault="00100C0B" w:rsidP="00100C0B">
            <w:pPr>
              <w:jc w:val="center"/>
            </w:pPr>
          </w:p>
        </w:tc>
        <w:tc>
          <w:tcPr>
            <w:tcW w:w="9975" w:type="dxa"/>
            <w:gridSpan w:val="3"/>
            <w:tcBorders>
              <w:top w:val="single" w:sz="6" w:space="0" w:color="000000"/>
            </w:tcBorders>
          </w:tcPr>
          <w:p w14:paraId="564D48A8" w14:textId="77777777" w:rsidR="00100C0B" w:rsidRPr="00C970A8" w:rsidRDefault="00100C0B" w:rsidP="00100C0B">
            <w:pPr>
              <w:ind w:firstLine="720"/>
              <w:jc w:val="center"/>
            </w:pPr>
            <w:r w:rsidRPr="00C970A8">
              <w:t>(paraksts*)</w:t>
            </w:r>
          </w:p>
        </w:tc>
      </w:tr>
    </w:tbl>
    <w:tbl>
      <w:tblPr>
        <w:tblpPr w:leftFromText="180" w:rightFromText="180" w:vertAnchor="text" w:horzAnchor="page" w:tblpX="2386" w:tblpY="702"/>
        <w:tblW w:w="0" w:type="auto"/>
        <w:tblLook w:val="00A0" w:firstRow="1" w:lastRow="0" w:firstColumn="1" w:lastColumn="0" w:noHBand="0" w:noVBand="0"/>
      </w:tblPr>
      <w:tblGrid>
        <w:gridCol w:w="8268"/>
      </w:tblGrid>
      <w:tr w:rsidR="00E83461" w:rsidRPr="00C970A8" w14:paraId="7289091F" w14:textId="77777777" w:rsidTr="00034D7D">
        <w:tc>
          <w:tcPr>
            <w:tcW w:w="8268" w:type="dxa"/>
            <w:tcBorders>
              <w:top w:val="single" w:sz="4" w:space="0" w:color="000000"/>
            </w:tcBorders>
          </w:tcPr>
          <w:p w14:paraId="28D445DD" w14:textId="77777777" w:rsidR="00E83461" w:rsidRPr="00C970A8" w:rsidRDefault="00E83461" w:rsidP="00100C0B">
            <w:pPr>
              <w:jc w:val="center"/>
            </w:pPr>
            <w:r w:rsidRPr="00C970A8">
              <w:t>(par projektu atbildīgās amatpersonas vārds un uzvārds)</w:t>
            </w:r>
          </w:p>
        </w:tc>
      </w:tr>
      <w:tr w:rsidR="00E83461" w:rsidRPr="00C970A8" w14:paraId="5E095726" w14:textId="77777777" w:rsidTr="00034D7D">
        <w:tc>
          <w:tcPr>
            <w:tcW w:w="8268" w:type="dxa"/>
            <w:tcBorders>
              <w:bottom w:val="single" w:sz="4" w:space="0" w:color="000000"/>
            </w:tcBorders>
          </w:tcPr>
          <w:p w14:paraId="0E2FE24D" w14:textId="55D92BD7" w:rsidR="00E83461" w:rsidRPr="00C970A8" w:rsidRDefault="00E83461" w:rsidP="00100C0B">
            <w:pPr>
              <w:jc w:val="center"/>
            </w:pPr>
            <w:r w:rsidRPr="00C970A8">
              <w:t>Vecākā eksperte</w:t>
            </w:r>
          </w:p>
        </w:tc>
      </w:tr>
      <w:tr w:rsidR="00E83461" w:rsidRPr="00C970A8" w14:paraId="556D759A" w14:textId="77777777" w:rsidTr="00034D7D">
        <w:tc>
          <w:tcPr>
            <w:tcW w:w="8268" w:type="dxa"/>
            <w:tcBorders>
              <w:top w:val="single" w:sz="4" w:space="0" w:color="000000"/>
            </w:tcBorders>
          </w:tcPr>
          <w:p w14:paraId="276128F8" w14:textId="77777777" w:rsidR="00E83461" w:rsidRPr="00C970A8" w:rsidRDefault="00E83461" w:rsidP="00100C0B">
            <w:pPr>
              <w:jc w:val="center"/>
            </w:pPr>
            <w:r w:rsidRPr="00C970A8">
              <w:t>(amats)</w:t>
            </w:r>
          </w:p>
        </w:tc>
      </w:tr>
      <w:tr w:rsidR="00E83461" w:rsidRPr="00C970A8" w14:paraId="7D809B1B" w14:textId="77777777" w:rsidTr="00034D7D">
        <w:tc>
          <w:tcPr>
            <w:tcW w:w="8268" w:type="dxa"/>
            <w:tcBorders>
              <w:bottom w:val="single" w:sz="4" w:space="0" w:color="000000"/>
            </w:tcBorders>
          </w:tcPr>
          <w:p w14:paraId="63458809" w14:textId="16975A19" w:rsidR="00E83461" w:rsidRPr="00C970A8" w:rsidRDefault="00E83461" w:rsidP="00F07A60">
            <w:pPr>
              <w:jc w:val="center"/>
            </w:pPr>
            <w:r w:rsidRPr="00C970A8">
              <w:rPr>
                <w:color w:val="000000"/>
                <w:shd w:val="clear" w:color="auto" w:fill="FFFFFF"/>
              </w:rPr>
              <w:t>+371 60005266</w:t>
            </w:r>
          </w:p>
        </w:tc>
      </w:tr>
      <w:tr w:rsidR="00E83461" w:rsidRPr="00C970A8" w14:paraId="18360203" w14:textId="77777777" w:rsidTr="00034D7D">
        <w:tc>
          <w:tcPr>
            <w:tcW w:w="8268" w:type="dxa"/>
            <w:tcBorders>
              <w:top w:val="single" w:sz="4" w:space="0" w:color="000000"/>
            </w:tcBorders>
          </w:tcPr>
          <w:p w14:paraId="49CB52D8" w14:textId="77777777" w:rsidR="00E83461" w:rsidRPr="00C970A8" w:rsidRDefault="00E83461" w:rsidP="00F07A60">
            <w:pPr>
              <w:jc w:val="center"/>
            </w:pPr>
            <w:r w:rsidRPr="00C970A8">
              <w:t>(tālruņa un faksa numurs)</w:t>
            </w:r>
          </w:p>
        </w:tc>
      </w:tr>
      <w:tr w:rsidR="00E83461" w:rsidRPr="00C970A8" w14:paraId="42C80857" w14:textId="77777777" w:rsidTr="00034D7D">
        <w:tc>
          <w:tcPr>
            <w:tcW w:w="8268" w:type="dxa"/>
            <w:tcBorders>
              <w:bottom w:val="single" w:sz="4" w:space="0" w:color="000000"/>
            </w:tcBorders>
          </w:tcPr>
          <w:p w14:paraId="6AF7E2E3" w14:textId="77777777" w:rsidR="00E83461" w:rsidRPr="00C970A8" w:rsidRDefault="00E83461" w:rsidP="00F07A60">
            <w:pPr>
              <w:jc w:val="center"/>
            </w:pPr>
            <w:r w:rsidRPr="00C970A8">
              <w:t>sanita.lazdina@vm.gov.lv</w:t>
            </w:r>
          </w:p>
        </w:tc>
      </w:tr>
      <w:tr w:rsidR="00E83461" w:rsidRPr="00C970A8" w14:paraId="5E397C96" w14:textId="77777777" w:rsidTr="00034D7D">
        <w:tc>
          <w:tcPr>
            <w:tcW w:w="8268" w:type="dxa"/>
            <w:tcBorders>
              <w:top w:val="single" w:sz="4" w:space="0" w:color="000000"/>
            </w:tcBorders>
          </w:tcPr>
          <w:p w14:paraId="0EF4BE69" w14:textId="77777777" w:rsidR="00E83461" w:rsidRPr="00C970A8" w:rsidRDefault="00E83461" w:rsidP="00F07A60">
            <w:pPr>
              <w:jc w:val="center"/>
            </w:pPr>
            <w:r w:rsidRPr="00C970A8">
              <w:t>(e-pasta adrese)</w:t>
            </w:r>
          </w:p>
        </w:tc>
      </w:tr>
    </w:tbl>
    <w:p w14:paraId="5E6D7A68" w14:textId="77777777" w:rsidR="00E83461" w:rsidRPr="00C970A8" w:rsidRDefault="00E83461" w:rsidP="00C970A8">
      <w:pPr>
        <w:jc w:val="both"/>
      </w:pPr>
    </w:p>
    <w:p w14:paraId="28FDC18C" w14:textId="77777777" w:rsidR="00E83461" w:rsidRPr="00C970A8" w:rsidRDefault="00E83461" w:rsidP="00C970A8">
      <w:pPr>
        <w:ind w:firstLine="720"/>
        <w:jc w:val="both"/>
      </w:pPr>
      <w:r w:rsidRPr="00C970A8">
        <w:t>Sanita Lazdiņa</w:t>
      </w:r>
    </w:p>
    <w:p w14:paraId="29F6E291" w14:textId="77777777" w:rsidR="00E83461" w:rsidRPr="00C970A8" w:rsidRDefault="00E83461" w:rsidP="00C970A8">
      <w:pPr>
        <w:ind w:firstLine="720"/>
        <w:jc w:val="both"/>
      </w:pPr>
    </w:p>
    <w:p w14:paraId="7F5E8BD2" w14:textId="77777777" w:rsidR="00E83461" w:rsidRPr="00C970A8" w:rsidRDefault="00E83461" w:rsidP="00C970A8">
      <w:pPr>
        <w:ind w:firstLine="720"/>
        <w:jc w:val="both"/>
      </w:pPr>
    </w:p>
    <w:p w14:paraId="6926EB80" w14:textId="77777777" w:rsidR="00E83461" w:rsidRPr="00C970A8" w:rsidRDefault="00E83461" w:rsidP="00C970A8">
      <w:pPr>
        <w:ind w:firstLine="720"/>
        <w:jc w:val="both"/>
      </w:pPr>
    </w:p>
    <w:p w14:paraId="15258337" w14:textId="77777777" w:rsidR="00E83461" w:rsidRPr="00C970A8" w:rsidRDefault="00E83461" w:rsidP="00C970A8">
      <w:pPr>
        <w:ind w:firstLine="720"/>
        <w:jc w:val="both"/>
      </w:pPr>
    </w:p>
    <w:p w14:paraId="5B27962B" w14:textId="77777777" w:rsidR="00E83461" w:rsidRPr="00C970A8" w:rsidRDefault="00E83461" w:rsidP="00C970A8">
      <w:pPr>
        <w:ind w:firstLine="720"/>
        <w:jc w:val="both"/>
      </w:pPr>
    </w:p>
    <w:p w14:paraId="7ECB0932" w14:textId="77777777" w:rsidR="00E83461" w:rsidRPr="00C970A8" w:rsidRDefault="00E83461" w:rsidP="00100C0B">
      <w:pPr>
        <w:jc w:val="both"/>
      </w:pPr>
    </w:p>
    <w:p w14:paraId="4E2CC803" w14:textId="77777777" w:rsidR="00E83461" w:rsidRPr="001A73BA" w:rsidRDefault="00E83461" w:rsidP="00C970A8">
      <w:pPr>
        <w:ind w:firstLine="720"/>
        <w:jc w:val="both"/>
      </w:pPr>
      <w:r w:rsidRPr="00C970A8">
        <w:t>Piezīme. * Dokumenta rekvizītu "paraksts" neaizpilda, ja elektroniskais dokuments ir sagatavots atbilstoši normatīvajiem aktiem par elektronisko dokumentu noformēšanu.</w:t>
      </w:r>
    </w:p>
    <w:p w14:paraId="61792D72" w14:textId="77777777" w:rsidR="00503DCF" w:rsidRPr="001A73BA" w:rsidRDefault="00503DCF" w:rsidP="00C970A8">
      <w:pPr>
        <w:jc w:val="both"/>
      </w:pPr>
    </w:p>
    <w:sectPr w:rsidR="00503DCF" w:rsidRPr="001A73BA" w:rsidSect="009A6DCD">
      <w:footerReference w:type="default" r:id="rId11"/>
      <w:footerReference w:type="first" r:id="rId12"/>
      <w:pgSz w:w="16838" w:h="11906"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50B25" w14:textId="77777777" w:rsidR="00141D62" w:rsidRDefault="00141D62" w:rsidP="00CC6591">
      <w:r>
        <w:separator/>
      </w:r>
    </w:p>
  </w:endnote>
  <w:endnote w:type="continuationSeparator" w:id="0">
    <w:p w14:paraId="0EF9B6EE" w14:textId="77777777" w:rsidR="00141D62" w:rsidRDefault="00141D62" w:rsidP="00CC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0EC0B" w14:textId="5F7DF35B" w:rsidR="009A6DCD" w:rsidRDefault="007E6C63" w:rsidP="007E6C63">
    <w:pPr>
      <w:pStyle w:val="Footer"/>
    </w:pPr>
    <w:r w:rsidRPr="007E6C63">
      <w:t>VMizz_</w:t>
    </w:r>
    <w:r w:rsidR="00CE3490">
      <w:t>16</w:t>
    </w:r>
    <w:r w:rsidR="00BC1632">
      <w:t>09</w:t>
    </w:r>
    <w:r w:rsidRPr="007E6C63">
      <w:t>21_grozLAB</w:t>
    </w:r>
  </w:p>
  <w:p w14:paraId="0AF22E44" w14:textId="77777777" w:rsidR="007E6C63" w:rsidRPr="007E6C63" w:rsidRDefault="007E6C63" w:rsidP="007E6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0BAF" w14:textId="2777D330" w:rsidR="009A6DCD" w:rsidRDefault="009A6DCD">
    <w:pPr>
      <w:pStyle w:val="Footer"/>
    </w:pPr>
    <w:r>
      <w:t>VMizz_</w:t>
    </w:r>
    <w:r w:rsidR="00CE3490">
      <w:t>16</w:t>
    </w:r>
    <w:r w:rsidR="00DE7DC8">
      <w:t>0921</w:t>
    </w:r>
    <w:r w:rsidR="007E6C63">
      <w:t>_grozLAB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6B06E" w14:textId="77777777" w:rsidR="00141D62" w:rsidRDefault="00141D62" w:rsidP="00CC6591">
      <w:r>
        <w:separator/>
      </w:r>
    </w:p>
  </w:footnote>
  <w:footnote w:type="continuationSeparator" w:id="0">
    <w:p w14:paraId="2FE7146C" w14:textId="77777777" w:rsidR="00141D62" w:rsidRDefault="00141D62" w:rsidP="00CC6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0738E"/>
    <w:multiLevelType w:val="hybridMultilevel"/>
    <w:tmpl w:val="C00AD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DE930EB"/>
    <w:multiLevelType w:val="hybridMultilevel"/>
    <w:tmpl w:val="A6A2261C"/>
    <w:lvl w:ilvl="0" w:tplc="C144FEE2">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2" w15:restartNumberingAfterBreak="0">
    <w:nsid w:val="2460392F"/>
    <w:multiLevelType w:val="hybridMultilevel"/>
    <w:tmpl w:val="8020E2E8"/>
    <w:lvl w:ilvl="0" w:tplc="C0DC5E5E">
      <w:start w:val="7"/>
      <w:numFmt w:val="decimal"/>
      <w:lvlText w:val="%1)"/>
      <w:lvlJc w:val="left"/>
      <w:pPr>
        <w:ind w:left="1080" w:hanging="360"/>
      </w:pPr>
      <w:rPr>
        <w:rFonts w:eastAsia="Times New Roman" w:hint="default"/>
        <w:color w:val="41414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85E5CB9"/>
    <w:multiLevelType w:val="hybridMultilevel"/>
    <w:tmpl w:val="A6A2261C"/>
    <w:lvl w:ilvl="0" w:tplc="C144FEE2">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4" w15:restartNumberingAfterBreak="0">
    <w:nsid w:val="421C7760"/>
    <w:multiLevelType w:val="hybridMultilevel"/>
    <w:tmpl w:val="53B853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54E7BA2"/>
    <w:multiLevelType w:val="multilevel"/>
    <w:tmpl w:val="C9126F1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1">
    <w:nsid w:val="4A4D25C3"/>
    <w:multiLevelType w:val="hybridMultilevel"/>
    <w:tmpl w:val="68F4D3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F8C70C6"/>
    <w:multiLevelType w:val="hybridMultilevel"/>
    <w:tmpl w:val="A6A2261C"/>
    <w:lvl w:ilvl="0" w:tplc="C144FEE2">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8" w15:restartNumberingAfterBreak="0">
    <w:nsid w:val="51945051"/>
    <w:multiLevelType w:val="hybridMultilevel"/>
    <w:tmpl w:val="638E994A"/>
    <w:lvl w:ilvl="0" w:tplc="C58E6872">
      <w:start w:val="9"/>
      <w:numFmt w:val="decimal"/>
      <w:lvlText w:val="%1)"/>
      <w:lvlJc w:val="left"/>
      <w:pPr>
        <w:ind w:left="720" w:hanging="360"/>
      </w:pPr>
      <w:rPr>
        <w:rFonts w:hint="default"/>
        <w:color w:val="41414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36E7760"/>
    <w:multiLevelType w:val="hybridMultilevel"/>
    <w:tmpl w:val="E412208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6CF13AD6"/>
    <w:multiLevelType w:val="hybridMultilevel"/>
    <w:tmpl w:val="80A84770"/>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7"/>
  </w:num>
  <w:num w:numId="5">
    <w:abstractNumId w:val="4"/>
  </w:num>
  <w:num w:numId="6">
    <w:abstractNumId w:val="10"/>
  </w:num>
  <w:num w:numId="7">
    <w:abstractNumId w:val="2"/>
  </w:num>
  <w:num w:numId="8">
    <w:abstractNumId w:val="8"/>
  </w:num>
  <w:num w:numId="9">
    <w:abstractNumId w:val="9"/>
  </w:num>
  <w:num w:numId="10">
    <w:abstractNumId w:val="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591"/>
    <w:rsid w:val="00022E9F"/>
    <w:rsid w:val="000861D1"/>
    <w:rsid w:val="00096DF7"/>
    <w:rsid w:val="000A63EF"/>
    <w:rsid w:val="000B2014"/>
    <w:rsid w:val="000B49D0"/>
    <w:rsid w:val="000C6F34"/>
    <w:rsid w:val="000E4B2D"/>
    <w:rsid w:val="000F1ECD"/>
    <w:rsid w:val="00100C0B"/>
    <w:rsid w:val="00105297"/>
    <w:rsid w:val="001145A5"/>
    <w:rsid w:val="00131CA1"/>
    <w:rsid w:val="00141D62"/>
    <w:rsid w:val="00151116"/>
    <w:rsid w:val="001A5741"/>
    <w:rsid w:val="001A73BA"/>
    <w:rsid w:val="001B117A"/>
    <w:rsid w:val="001C5107"/>
    <w:rsid w:val="001F513C"/>
    <w:rsid w:val="002251D4"/>
    <w:rsid w:val="002345DC"/>
    <w:rsid w:val="00255208"/>
    <w:rsid w:val="00295D51"/>
    <w:rsid w:val="002B6155"/>
    <w:rsid w:val="002D166B"/>
    <w:rsid w:val="002E7844"/>
    <w:rsid w:val="002F741E"/>
    <w:rsid w:val="00335594"/>
    <w:rsid w:val="003834C8"/>
    <w:rsid w:val="00386647"/>
    <w:rsid w:val="0039749C"/>
    <w:rsid w:val="003F2C40"/>
    <w:rsid w:val="003F6C62"/>
    <w:rsid w:val="00430DF1"/>
    <w:rsid w:val="00467657"/>
    <w:rsid w:val="00484AD5"/>
    <w:rsid w:val="00503DCF"/>
    <w:rsid w:val="00503E03"/>
    <w:rsid w:val="005211C6"/>
    <w:rsid w:val="005401DD"/>
    <w:rsid w:val="00551581"/>
    <w:rsid w:val="005529A8"/>
    <w:rsid w:val="005600CA"/>
    <w:rsid w:val="005909FE"/>
    <w:rsid w:val="005962EF"/>
    <w:rsid w:val="005A78BC"/>
    <w:rsid w:val="005B1F67"/>
    <w:rsid w:val="0061582F"/>
    <w:rsid w:val="00626A3C"/>
    <w:rsid w:val="00665897"/>
    <w:rsid w:val="00665AB5"/>
    <w:rsid w:val="006B5ED7"/>
    <w:rsid w:val="006D55F2"/>
    <w:rsid w:val="00766B95"/>
    <w:rsid w:val="00776F70"/>
    <w:rsid w:val="007A540E"/>
    <w:rsid w:val="007B1391"/>
    <w:rsid w:val="007C5D39"/>
    <w:rsid w:val="007E6C63"/>
    <w:rsid w:val="007F2B55"/>
    <w:rsid w:val="007F402A"/>
    <w:rsid w:val="0081280A"/>
    <w:rsid w:val="00846F42"/>
    <w:rsid w:val="008625B3"/>
    <w:rsid w:val="008F53FF"/>
    <w:rsid w:val="00933629"/>
    <w:rsid w:val="00971614"/>
    <w:rsid w:val="00985A9F"/>
    <w:rsid w:val="0099530F"/>
    <w:rsid w:val="009A6DCD"/>
    <w:rsid w:val="009B441B"/>
    <w:rsid w:val="009D7ACE"/>
    <w:rsid w:val="00A038D0"/>
    <w:rsid w:val="00A11615"/>
    <w:rsid w:val="00A20799"/>
    <w:rsid w:val="00A3143D"/>
    <w:rsid w:val="00A4135D"/>
    <w:rsid w:val="00A5317A"/>
    <w:rsid w:val="00A66754"/>
    <w:rsid w:val="00A8352D"/>
    <w:rsid w:val="00A9163C"/>
    <w:rsid w:val="00AB3C21"/>
    <w:rsid w:val="00AC1A31"/>
    <w:rsid w:val="00AE1C14"/>
    <w:rsid w:val="00B240D2"/>
    <w:rsid w:val="00B37C94"/>
    <w:rsid w:val="00B37E86"/>
    <w:rsid w:val="00B4088F"/>
    <w:rsid w:val="00B62701"/>
    <w:rsid w:val="00B71172"/>
    <w:rsid w:val="00B73D08"/>
    <w:rsid w:val="00BB28FA"/>
    <w:rsid w:val="00BC1632"/>
    <w:rsid w:val="00C01C35"/>
    <w:rsid w:val="00C330A6"/>
    <w:rsid w:val="00C42A0D"/>
    <w:rsid w:val="00C65BCA"/>
    <w:rsid w:val="00C72F2A"/>
    <w:rsid w:val="00C73651"/>
    <w:rsid w:val="00C970A8"/>
    <w:rsid w:val="00CB67EE"/>
    <w:rsid w:val="00CC08AF"/>
    <w:rsid w:val="00CC24C3"/>
    <w:rsid w:val="00CC3CFE"/>
    <w:rsid w:val="00CC6591"/>
    <w:rsid w:val="00CD1AB5"/>
    <w:rsid w:val="00CE3490"/>
    <w:rsid w:val="00CE484F"/>
    <w:rsid w:val="00D26E6D"/>
    <w:rsid w:val="00D6084F"/>
    <w:rsid w:val="00DE7DC8"/>
    <w:rsid w:val="00DF2064"/>
    <w:rsid w:val="00E02D23"/>
    <w:rsid w:val="00E068E3"/>
    <w:rsid w:val="00E258C7"/>
    <w:rsid w:val="00E74935"/>
    <w:rsid w:val="00E828AB"/>
    <w:rsid w:val="00E83461"/>
    <w:rsid w:val="00E862C6"/>
    <w:rsid w:val="00EF04BF"/>
    <w:rsid w:val="00F07A60"/>
    <w:rsid w:val="00F537DD"/>
    <w:rsid w:val="00F539BF"/>
    <w:rsid w:val="00F80B4D"/>
    <w:rsid w:val="00F8468F"/>
    <w:rsid w:val="00FA7045"/>
    <w:rsid w:val="00FC6223"/>
    <w:rsid w:val="00FF0295"/>
    <w:rsid w:val="00FF0E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C9D6B"/>
  <w15:chartTrackingRefBased/>
  <w15:docId w15:val="{0F4AF6F8-BF2A-408C-9037-AEB6CC5C7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66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C6591"/>
    <w:pPr>
      <w:spacing w:before="100" w:beforeAutospacing="1" w:after="100" w:afterAutospacing="1"/>
    </w:pPr>
  </w:style>
  <w:style w:type="paragraph" w:customStyle="1" w:styleId="naisf">
    <w:name w:val="naisf"/>
    <w:basedOn w:val="Normal"/>
    <w:rsid w:val="00CC6591"/>
    <w:pPr>
      <w:spacing w:before="75" w:after="75"/>
      <w:ind w:firstLine="375"/>
      <w:jc w:val="both"/>
    </w:pPr>
  </w:style>
  <w:style w:type="paragraph" w:customStyle="1" w:styleId="naisnod">
    <w:name w:val="naisnod"/>
    <w:basedOn w:val="Normal"/>
    <w:uiPriority w:val="99"/>
    <w:rsid w:val="00CC6591"/>
    <w:pPr>
      <w:spacing w:before="150" w:after="150"/>
      <w:jc w:val="center"/>
    </w:pPr>
    <w:rPr>
      <w:b/>
      <w:bCs/>
    </w:rPr>
  </w:style>
  <w:style w:type="paragraph" w:customStyle="1" w:styleId="naiskr">
    <w:name w:val="naiskr"/>
    <w:basedOn w:val="Normal"/>
    <w:rsid w:val="00CC6591"/>
    <w:pPr>
      <w:spacing w:before="75" w:after="75"/>
    </w:pPr>
  </w:style>
  <w:style w:type="paragraph" w:customStyle="1" w:styleId="naisc">
    <w:name w:val="naisc"/>
    <w:basedOn w:val="Normal"/>
    <w:rsid w:val="00CC6591"/>
    <w:pPr>
      <w:spacing w:before="75" w:after="75"/>
      <w:jc w:val="center"/>
    </w:pPr>
  </w:style>
  <w:style w:type="paragraph" w:styleId="BodyText">
    <w:name w:val="Body Text"/>
    <w:basedOn w:val="Normal"/>
    <w:link w:val="BodyTextChar"/>
    <w:rsid w:val="00CC6591"/>
    <w:pPr>
      <w:widowControl w:val="0"/>
      <w:suppressAutoHyphens/>
      <w:spacing w:after="120"/>
    </w:pPr>
    <w:rPr>
      <w:rFonts w:eastAsia="Arial"/>
      <w:kern w:val="1"/>
      <w:lang w:val="en"/>
    </w:rPr>
  </w:style>
  <w:style w:type="character" w:customStyle="1" w:styleId="BodyTextChar">
    <w:name w:val="Body Text Char"/>
    <w:basedOn w:val="DefaultParagraphFont"/>
    <w:link w:val="BodyText"/>
    <w:rsid w:val="00CC6591"/>
    <w:rPr>
      <w:rFonts w:ascii="Times New Roman" w:eastAsia="Arial" w:hAnsi="Times New Roman" w:cs="Times New Roman"/>
      <w:kern w:val="1"/>
      <w:sz w:val="24"/>
      <w:szCs w:val="24"/>
      <w:lang w:val="en" w:eastAsia="lv-LV"/>
    </w:rPr>
  </w:style>
  <w:style w:type="paragraph" w:styleId="ListParagraph">
    <w:name w:val="List Paragraph"/>
    <w:basedOn w:val="Normal"/>
    <w:uiPriority w:val="34"/>
    <w:qFormat/>
    <w:rsid w:val="000E4B2D"/>
    <w:pPr>
      <w:widowControl w:val="0"/>
      <w:suppressAutoHyphens/>
      <w:ind w:left="720"/>
      <w:contextualSpacing/>
    </w:pPr>
    <w:rPr>
      <w:rFonts w:eastAsia="Arial"/>
      <w:kern w:val="2"/>
      <w:lang w:val="en"/>
    </w:rPr>
  </w:style>
  <w:style w:type="paragraph" w:customStyle="1" w:styleId="form-control-plaintext">
    <w:name w:val="form-control-plaintext"/>
    <w:basedOn w:val="Normal"/>
    <w:rsid w:val="00DF2064"/>
    <w:pPr>
      <w:spacing w:before="100" w:beforeAutospacing="1" w:after="100" w:afterAutospacing="1"/>
    </w:pPr>
  </w:style>
  <w:style w:type="character" w:customStyle="1" w:styleId="normaltextrun">
    <w:name w:val="normaltextrun"/>
    <w:basedOn w:val="DefaultParagraphFont"/>
    <w:rsid w:val="00DF2064"/>
  </w:style>
  <w:style w:type="character" w:styleId="Hyperlink">
    <w:name w:val="Hyperlink"/>
    <w:basedOn w:val="DefaultParagraphFont"/>
    <w:uiPriority w:val="99"/>
    <w:semiHidden/>
    <w:unhideWhenUsed/>
    <w:rsid w:val="00A9163C"/>
    <w:rPr>
      <w:color w:val="0000FF"/>
      <w:u w:val="single"/>
    </w:rPr>
  </w:style>
  <w:style w:type="paragraph" w:styleId="Header">
    <w:name w:val="header"/>
    <w:basedOn w:val="Normal"/>
    <w:link w:val="HeaderChar"/>
    <w:uiPriority w:val="99"/>
    <w:unhideWhenUsed/>
    <w:rsid w:val="009A6DCD"/>
    <w:pPr>
      <w:tabs>
        <w:tab w:val="center" w:pos="4513"/>
        <w:tab w:val="right" w:pos="9026"/>
      </w:tabs>
    </w:pPr>
  </w:style>
  <w:style w:type="character" w:customStyle="1" w:styleId="HeaderChar">
    <w:name w:val="Header Char"/>
    <w:basedOn w:val="DefaultParagraphFont"/>
    <w:link w:val="Header"/>
    <w:uiPriority w:val="99"/>
    <w:rsid w:val="009A6DCD"/>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A6DCD"/>
    <w:pPr>
      <w:tabs>
        <w:tab w:val="center" w:pos="4513"/>
        <w:tab w:val="right" w:pos="9026"/>
      </w:tabs>
    </w:pPr>
  </w:style>
  <w:style w:type="character" w:customStyle="1" w:styleId="FooterChar">
    <w:name w:val="Footer Char"/>
    <w:basedOn w:val="DefaultParagraphFont"/>
    <w:link w:val="Footer"/>
    <w:uiPriority w:val="99"/>
    <w:rsid w:val="009A6DCD"/>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861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1D1"/>
    <w:rPr>
      <w:rFonts w:ascii="Segoe UI" w:eastAsia="Times New Roman" w:hAnsi="Segoe UI" w:cs="Segoe UI"/>
      <w:sz w:val="18"/>
      <w:szCs w:val="18"/>
      <w:lang w:eastAsia="lv-LV"/>
    </w:rPr>
  </w:style>
  <w:style w:type="character" w:customStyle="1" w:styleId="body1">
    <w:name w:val="body1"/>
    <w:rsid w:val="000861D1"/>
    <w:rPr>
      <w:rFonts w:ascii="Verdana" w:hAnsi="Verdana" w:hint="default"/>
      <w:color w:val="000000"/>
      <w:sz w:val="14"/>
      <w:szCs w:val="14"/>
    </w:rPr>
  </w:style>
  <w:style w:type="paragraph" w:styleId="CommentText">
    <w:name w:val="annotation text"/>
    <w:basedOn w:val="Normal"/>
    <w:link w:val="CommentTextChar"/>
    <w:uiPriority w:val="99"/>
    <w:unhideWhenUsed/>
    <w:rsid w:val="000861D1"/>
    <w:pPr>
      <w:widowControl w:val="0"/>
      <w:jc w:val="both"/>
    </w:pPr>
    <w:rPr>
      <w:rFonts w:eastAsia="Calibri"/>
      <w:sz w:val="20"/>
      <w:szCs w:val="20"/>
      <w:lang w:eastAsia="en-US"/>
    </w:rPr>
  </w:style>
  <w:style w:type="character" w:customStyle="1" w:styleId="CommentTextChar">
    <w:name w:val="Comment Text Char"/>
    <w:basedOn w:val="DefaultParagraphFont"/>
    <w:link w:val="CommentText"/>
    <w:uiPriority w:val="99"/>
    <w:rsid w:val="000861D1"/>
    <w:rPr>
      <w:rFonts w:ascii="Times New Roman" w:eastAsia="Calibri" w:hAnsi="Times New Roman" w:cs="Times New Roman"/>
      <w:sz w:val="20"/>
      <w:szCs w:val="20"/>
    </w:rPr>
  </w:style>
  <w:style w:type="paragraph" w:styleId="FootnoteText">
    <w:name w:val="footnote text"/>
    <w:basedOn w:val="Normal"/>
    <w:link w:val="FootnoteTextChar"/>
    <w:uiPriority w:val="99"/>
    <w:semiHidden/>
    <w:unhideWhenUsed/>
    <w:rsid w:val="0061582F"/>
    <w:rPr>
      <w:sz w:val="20"/>
      <w:szCs w:val="20"/>
    </w:rPr>
  </w:style>
  <w:style w:type="character" w:customStyle="1" w:styleId="FootnoteTextChar">
    <w:name w:val="Footnote Text Char"/>
    <w:basedOn w:val="DefaultParagraphFont"/>
    <w:link w:val="FootnoteText"/>
    <w:uiPriority w:val="99"/>
    <w:semiHidden/>
    <w:rsid w:val="0061582F"/>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61582F"/>
    <w:rPr>
      <w:vertAlign w:val="superscript"/>
    </w:rPr>
  </w:style>
  <w:style w:type="character" w:styleId="CommentReference">
    <w:name w:val="annotation reference"/>
    <w:basedOn w:val="DefaultParagraphFont"/>
    <w:uiPriority w:val="99"/>
    <w:semiHidden/>
    <w:unhideWhenUsed/>
    <w:rsid w:val="0061582F"/>
    <w:rPr>
      <w:sz w:val="16"/>
      <w:szCs w:val="16"/>
    </w:rPr>
  </w:style>
  <w:style w:type="paragraph" w:styleId="CommentSubject">
    <w:name w:val="annotation subject"/>
    <w:basedOn w:val="CommentText"/>
    <w:next w:val="CommentText"/>
    <w:link w:val="CommentSubjectChar"/>
    <w:uiPriority w:val="99"/>
    <w:semiHidden/>
    <w:unhideWhenUsed/>
    <w:rsid w:val="0061582F"/>
    <w:pPr>
      <w:widowControl/>
      <w:jc w:val="left"/>
    </w:pPr>
    <w:rPr>
      <w:rFonts w:eastAsia="Times New Roman"/>
      <w:b/>
      <w:bCs/>
      <w:lang w:eastAsia="lv-LV"/>
    </w:rPr>
  </w:style>
  <w:style w:type="character" w:customStyle="1" w:styleId="CommentSubjectChar">
    <w:name w:val="Comment Subject Char"/>
    <w:basedOn w:val="CommentTextChar"/>
    <w:link w:val="CommentSubject"/>
    <w:uiPriority w:val="99"/>
    <w:semiHidden/>
    <w:rsid w:val="0061582F"/>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4482">
      <w:bodyDiv w:val="1"/>
      <w:marLeft w:val="0"/>
      <w:marRight w:val="0"/>
      <w:marTop w:val="0"/>
      <w:marBottom w:val="0"/>
      <w:divBdr>
        <w:top w:val="none" w:sz="0" w:space="0" w:color="auto"/>
        <w:left w:val="none" w:sz="0" w:space="0" w:color="auto"/>
        <w:bottom w:val="none" w:sz="0" w:space="0" w:color="auto"/>
        <w:right w:val="none" w:sz="0" w:space="0" w:color="auto"/>
      </w:divBdr>
      <w:divsChild>
        <w:div w:id="1312951852">
          <w:marLeft w:val="-225"/>
          <w:marRight w:val="-225"/>
          <w:marTop w:val="0"/>
          <w:marBottom w:val="0"/>
          <w:divBdr>
            <w:top w:val="none" w:sz="0" w:space="0" w:color="auto"/>
            <w:left w:val="none" w:sz="0" w:space="0" w:color="auto"/>
            <w:bottom w:val="none" w:sz="0" w:space="0" w:color="auto"/>
            <w:right w:val="none" w:sz="0" w:space="0" w:color="auto"/>
          </w:divBdr>
          <w:divsChild>
            <w:div w:id="1950774789">
              <w:marLeft w:val="0"/>
              <w:marRight w:val="0"/>
              <w:marTop w:val="0"/>
              <w:marBottom w:val="0"/>
              <w:divBdr>
                <w:top w:val="none" w:sz="0" w:space="0" w:color="auto"/>
                <w:left w:val="none" w:sz="0" w:space="0" w:color="auto"/>
                <w:bottom w:val="none" w:sz="0" w:space="0" w:color="auto"/>
                <w:right w:val="none" w:sz="0" w:space="0" w:color="auto"/>
              </w:divBdr>
            </w:div>
          </w:divsChild>
        </w:div>
        <w:div w:id="297614720">
          <w:marLeft w:val="-225"/>
          <w:marRight w:val="-225"/>
          <w:marTop w:val="0"/>
          <w:marBottom w:val="0"/>
          <w:divBdr>
            <w:top w:val="none" w:sz="0" w:space="0" w:color="auto"/>
            <w:left w:val="none" w:sz="0" w:space="0" w:color="auto"/>
            <w:bottom w:val="none" w:sz="0" w:space="0" w:color="auto"/>
            <w:right w:val="none" w:sz="0" w:space="0" w:color="auto"/>
          </w:divBdr>
          <w:divsChild>
            <w:div w:id="10591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2358">
      <w:bodyDiv w:val="1"/>
      <w:marLeft w:val="0"/>
      <w:marRight w:val="0"/>
      <w:marTop w:val="0"/>
      <w:marBottom w:val="0"/>
      <w:divBdr>
        <w:top w:val="none" w:sz="0" w:space="0" w:color="auto"/>
        <w:left w:val="none" w:sz="0" w:space="0" w:color="auto"/>
        <w:bottom w:val="none" w:sz="0" w:space="0" w:color="auto"/>
        <w:right w:val="none" w:sz="0" w:space="0" w:color="auto"/>
      </w:divBdr>
    </w:div>
    <w:div w:id="520316714">
      <w:bodyDiv w:val="1"/>
      <w:marLeft w:val="0"/>
      <w:marRight w:val="0"/>
      <w:marTop w:val="0"/>
      <w:marBottom w:val="0"/>
      <w:divBdr>
        <w:top w:val="none" w:sz="0" w:space="0" w:color="auto"/>
        <w:left w:val="none" w:sz="0" w:space="0" w:color="auto"/>
        <w:bottom w:val="none" w:sz="0" w:space="0" w:color="auto"/>
        <w:right w:val="none" w:sz="0" w:space="0" w:color="auto"/>
      </w:divBdr>
      <w:divsChild>
        <w:div w:id="1422291495">
          <w:marLeft w:val="-225"/>
          <w:marRight w:val="-225"/>
          <w:marTop w:val="0"/>
          <w:marBottom w:val="0"/>
          <w:divBdr>
            <w:top w:val="none" w:sz="0" w:space="0" w:color="auto"/>
            <w:left w:val="none" w:sz="0" w:space="0" w:color="auto"/>
            <w:bottom w:val="none" w:sz="0" w:space="0" w:color="auto"/>
            <w:right w:val="none" w:sz="0" w:space="0" w:color="auto"/>
          </w:divBdr>
          <w:divsChild>
            <w:div w:id="1300570173">
              <w:marLeft w:val="0"/>
              <w:marRight w:val="0"/>
              <w:marTop w:val="0"/>
              <w:marBottom w:val="0"/>
              <w:divBdr>
                <w:top w:val="none" w:sz="0" w:space="0" w:color="auto"/>
                <w:left w:val="none" w:sz="0" w:space="0" w:color="auto"/>
                <w:bottom w:val="none" w:sz="0" w:space="0" w:color="auto"/>
                <w:right w:val="none" w:sz="0" w:space="0" w:color="auto"/>
              </w:divBdr>
            </w:div>
          </w:divsChild>
        </w:div>
        <w:div w:id="349647486">
          <w:marLeft w:val="-225"/>
          <w:marRight w:val="-225"/>
          <w:marTop w:val="0"/>
          <w:marBottom w:val="0"/>
          <w:divBdr>
            <w:top w:val="none" w:sz="0" w:space="0" w:color="auto"/>
            <w:left w:val="none" w:sz="0" w:space="0" w:color="auto"/>
            <w:bottom w:val="none" w:sz="0" w:space="0" w:color="auto"/>
            <w:right w:val="none" w:sz="0" w:space="0" w:color="auto"/>
          </w:divBdr>
          <w:divsChild>
            <w:div w:id="185992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8627">
      <w:bodyDiv w:val="1"/>
      <w:marLeft w:val="0"/>
      <w:marRight w:val="0"/>
      <w:marTop w:val="0"/>
      <w:marBottom w:val="0"/>
      <w:divBdr>
        <w:top w:val="none" w:sz="0" w:space="0" w:color="auto"/>
        <w:left w:val="none" w:sz="0" w:space="0" w:color="auto"/>
        <w:bottom w:val="none" w:sz="0" w:space="0" w:color="auto"/>
        <w:right w:val="none" w:sz="0" w:space="0" w:color="auto"/>
      </w:divBdr>
    </w:div>
    <w:div w:id="863905331">
      <w:bodyDiv w:val="1"/>
      <w:marLeft w:val="0"/>
      <w:marRight w:val="0"/>
      <w:marTop w:val="0"/>
      <w:marBottom w:val="0"/>
      <w:divBdr>
        <w:top w:val="none" w:sz="0" w:space="0" w:color="auto"/>
        <w:left w:val="none" w:sz="0" w:space="0" w:color="auto"/>
        <w:bottom w:val="none" w:sz="0" w:space="0" w:color="auto"/>
        <w:right w:val="none" w:sz="0" w:space="0" w:color="auto"/>
      </w:divBdr>
    </w:div>
    <w:div w:id="1190030192">
      <w:bodyDiv w:val="1"/>
      <w:marLeft w:val="0"/>
      <w:marRight w:val="0"/>
      <w:marTop w:val="0"/>
      <w:marBottom w:val="0"/>
      <w:divBdr>
        <w:top w:val="none" w:sz="0" w:space="0" w:color="auto"/>
        <w:left w:val="none" w:sz="0" w:space="0" w:color="auto"/>
        <w:bottom w:val="none" w:sz="0" w:space="0" w:color="auto"/>
        <w:right w:val="none" w:sz="0" w:space="0" w:color="auto"/>
      </w:divBdr>
      <w:divsChild>
        <w:div w:id="430324425">
          <w:marLeft w:val="0"/>
          <w:marRight w:val="0"/>
          <w:marTop w:val="0"/>
          <w:marBottom w:val="0"/>
          <w:divBdr>
            <w:top w:val="none" w:sz="0" w:space="0" w:color="auto"/>
            <w:left w:val="none" w:sz="0" w:space="0" w:color="auto"/>
            <w:bottom w:val="none" w:sz="0" w:space="0" w:color="auto"/>
            <w:right w:val="none" w:sz="0" w:space="0" w:color="auto"/>
          </w:divBdr>
        </w:div>
      </w:divsChild>
    </w:div>
    <w:div w:id="1449665393">
      <w:bodyDiv w:val="1"/>
      <w:marLeft w:val="0"/>
      <w:marRight w:val="0"/>
      <w:marTop w:val="0"/>
      <w:marBottom w:val="0"/>
      <w:divBdr>
        <w:top w:val="none" w:sz="0" w:space="0" w:color="auto"/>
        <w:left w:val="none" w:sz="0" w:space="0" w:color="auto"/>
        <w:bottom w:val="none" w:sz="0" w:space="0" w:color="auto"/>
        <w:right w:val="none" w:sz="0" w:space="0" w:color="auto"/>
      </w:divBdr>
      <w:divsChild>
        <w:div w:id="1813331363">
          <w:marLeft w:val="-225"/>
          <w:marRight w:val="-225"/>
          <w:marTop w:val="0"/>
          <w:marBottom w:val="0"/>
          <w:divBdr>
            <w:top w:val="none" w:sz="0" w:space="0" w:color="auto"/>
            <w:left w:val="none" w:sz="0" w:space="0" w:color="auto"/>
            <w:bottom w:val="none" w:sz="0" w:space="0" w:color="auto"/>
            <w:right w:val="none" w:sz="0" w:space="0" w:color="auto"/>
          </w:divBdr>
          <w:divsChild>
            <w:div w:id="1445802454">
              <w:marLeft w:val="0"/>
              <w:marRight w:val="0"/>
              <w:marTop w:val="0"/>
              <w:marBottom w:val="0"/>
              <w:divBdr>
                <w:top w:val="none" w:sz="0" w:space="0" w:color="auto"/>
                <w:left w:val="none" w:sz="0" w:space="0" w:color="auto"/>
                <w:bottom w:val="none" w:sz="0" w:space="0" w:color="auto"/>
                <w:right w:val="none" w:sz="0" w:space="0" w:color="auto"/>
              </w:divBdr>
            </w:div>
          </w:divsChild>
        </w:div>
        <w:div w:id="754327253">
          <w:marLeft w:val="-225"/>
          <w:marRight w:val="-225"/>
          <w:marTop w:val="0"/>
          <w:marBottom w:val="0"/>
          <w:divBdr>
            <w:top w:val="none" w:sz="0" w:space="0" w:color="auto"/>
            <w:left w:val="none" w:sz="0" w:space="0" w:color="auto"/>
            <w:bottom w:val="none" w:sz="0" w:space="0" w:color="auto"/>
            <w:right w:val="none" w:sz="0" w:space="0" w:color="auto"/>
          </w:divBdr>
          <w:divsChild>
            <w:div w:id="5427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6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A5349DA682D71459F65987774ADC839" ma:contentTypeVersion="13" ma:contentTypeDescription="Izveidot jaunu dokumentu." ma:contentTypeScope="" ma:versionID="899c46fc62b468de26860e22b5ff40fe">
  <xsd:schema xmlns:xsd="http://www.w3.org/2001/XMLSchema" xmlns:xs="http://www.w3.org/2001/XMLSchema" xmlns:p="http://schemas.microsoft.com/office/2006/metadata/properties" xmlns:ns2="cd72f480-ad49-4ca5-b9fb-b383de9c0d55" xmlns:ns3="fcc4b0d5-f93d-4bb2-8b48-0644f5855e83" targetNamespace="http://schemas.microsoft.com/office/2006/metadata/properties" ma:root="true" ma:fieldsID="5a0b2f081033fe5d07216d75c0d199fb" ns2:_="" ns3:_="">
    <xsd:import namespace="cd72f480-ad49-4ca5-b9fb-b383de9c0d55"/>
    <xsd:import namespace="fcc4b0d5-f93d-4bb2-8b48-0644f5855e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2f480-ad49-4ca5-b9fb-b383de9c0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c4b0d5-f93d-4bb2-8b48-0644f5855e83"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d72f480-ad49-4ca5-b9fb-b383de9c0d5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42B9E-FDF3-4D46-BC48-5B2EB8557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2f480-ad49-4ca5-b9fb-b383de9c0d55"/>
    <ds:schemaRef ds:uri="fcc4b0d5-f93d-4bb2-8b48-0644f5855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A99B6D-5994-406F-B6C5-B3F4F99C08E4}">
  <ds:schemaRefs>
    <ds:schemaRef ds:uri="http://schemas.microsoft.com/sharepoint/v3/contenttype/forms"/>
  </ds:schemaRefs>
</ds:datastoreItem>
</file>

<file path=customXml/itemProps3.xml><?xml version="1.0" encoding="utf-8"?>
<ds:datastoreItem xmlns:ds="http://schemas.openxmlformats.org/officeDocument/2006/customXml" ds:itemID="{CBBD39A3-F6E2-4C19-8E40-040FFA96EEB0}">
  <ds:schemaRefs>
    <ds:schemaRef ds:uri="http://schemas.microsoft.com/office/2006/metadata/properties"/>
    <ds:schemaRef ds:uri="http://schemas.microsoft.com/office/infopath/2007/PartnerControls"/>
    <ds:schemaRef ds:uri="cd72f480-ad49-4ca5-b9fb-b383de9c0d55"/>
  </ds:schemaRefs>
</ds:datastoreItem>
</file>

<file path=customXml/itemProps4.xml><?xml version="1.0" encoding="utf-8"?>
<ds:datastoreItem xmlns:ds="http://schemas.openxmlformats.org/officeDocument/2006/customXml" ds:itemID="{0709EF0A-3A4E-45B7-B3F2-259369D96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1991</TotalTime>
  <Pages>8</Pages>
  <Words>9725</Words>
  <Characters>5544</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Lazdiņa</dc:creator>
  <cp:keywords/>
  <dc:description/>
  <cp:lastModifiedBy>Sanita Lazdiņa</cp:lastModifiedBy>
  <cp:revision>67</cp:revision>
  <dcterms:created xsi:type="dcterms:W3CDTF">2021-04-20T12:27:00Z</dcterms:created>
  <dcterms:modified xsi:type="dcterms:W3CDTF">2021-09-16T13:50:00Z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0x0101007A5349DA682D71459F65987774ADC839</vt:lpwstr>
  </property>
</Properties>
</file>