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23-TA-628: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2. septembra noteikumos Nr. 560 "Noteikumi par elektroenerģijas ražošanu, izmantojot atjaunojamos energoresursus, kā arī par cenu noteikšanas kārtību un uzraudzību"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Satversmes tiesa savā 2022. gada 27.  jūnija spriedumā lietā Nr. 2021-31-0103 "Par Elektroenerģijas tirgus likuma 31.</w:t>
            </w:r>
            <w:r w:rsidR="00000000" w:rsidRPr="00000000" w:rsidDel="00000000">
              <w:rPr>
                <w:vertAlign w:val="superscript"/>
                <w:rtl w:val="0"/>
              </w:rPr>
              <w:t xml:space="preserve">3</w:t>
            </w:r>
            <w:r w:rsidR="00000000" w:rsidRPr="00000000" w:rsidDel="00000000">
              <w:rPr>
                <w:rtl w:val="0"/>
              </w:rPr>
              <w:t xml:space="preserve"> panta pirmās un trešās daļas, kā arī Ministru kabineta 2020. gada 2. septembra noteikumu Nr. 560 "Noteikumi par elektroenerģijas ražošanu, izmantojot atjaunojamos energoresursus, kā arī par cenu noteikšanas kārtību un uzraudzību" 21.3., 28., 30., 31., 48.4. punkta un 3. pielikuma atbilstību Latvijas Republikas Satversmes 1. pantam un 105. panta pirmajam teikumam" (turpmāk – spriedums) secina, ka </w:t>
            </w:r>
            <w:r w:rsidR="00000000" w:rsidRPr="00000000" w:rsidDel="00000000">
              <w:rPr>
                <w:u w:val="single"/>
                <w:rtl w:val="0"/>
              </w:rPr>
              <w:t xml:space="preserve">pastāv alternatīvi līdzekļi, kas ļautu ņemt vērā mainīgos apstākļus, kuri ietekmē enerģijas ražošanas lietderību, proti, sezonalitāti, kā arī biogāzes izejvielu un iegūtās biogāzes atšķirības. Konstatējot, ka ir kaut viens mazāk ierobežojošs līdzeklis, ir pamats atzīt, ka apstrīdētā norma nesamērīgi ierobežo pamattiesības</w:t>
            </w:r>
            <w:r w:rsidR="00000000" w:rsidRPr="00000000" w:rsidDel="00000000">
              <w:rPr>
                <w:rtl w:val="0"/>
              </w:rPr>
              <w:t xml:space="preserve"> </w:t>
            </w:r>
            <w:r w:rsidR="00000000" w:rsidRPr="00000000" w:rsidDel="00000000">
              <w:rPr>
                <w:i w:val="1"/>
                <w:rtl w:val="0"/>
              </w:rPr>
              <w:t xml:space="preserve">(sk. Satversmes tiesas 2009. gada 23. aprīļa sprieduma lietā Nr. 2008-42-01 17.2. apakšpunktu)</w:t>
            </w:r>
            <w:r w:rsidR="00000000" w:rsidRPr="00000000" w:rsidDel="00000000">
              <w:rPr>
                <w:rtl w:val="0"/>
              </w:rPr>
              <w:t xml:space="preserve">. </w:t>
            </w:r>
            <w:r w:rsidR="00000000" w:rsidRPr="00000000" w:rsidDel="00000000">
              <w:rPr>
                <w:u w:val="single"/>
                <w:rtl w:val="0"/>
              </w:rPr>
              <w:t xml:space="preserve">Tā kā pastāv alternatīvi līdzekļi Ministru kabineta 2020. gada 2. septembra noteikumu Nr. 560 "Noteikumi par elektroenerģijas ražošanu, izmantojot atjaunojamos energoresursus, kā arī par cenu noteikšanas kārtību un uzraudzību" (turpmāk – noteikumi) 21.6. apakšpunkta, 28., 30. un 31. punkta leģitīmā mērķa – sabiedrības labklājības aizsardzība – sasniegšanai, minētās normas neatbilst Latvijas Republikas Satversmes 105. panta pirmajam teikumam</w:t>
            </w:r>
            <w:r w:rsidR="00000000" w:rsidRPr="00000000" w:rsidDel="00000000">
              <w:rPr>
                <w:rtl w:val="0"/>
              </w:rPr>
              <w:t xml:space="preserve"> </w:t>
            </w:r>
            <w:r w:rsidR="00000000" w:rsidRPr="00000000" w:rsidDel="00000000">
              <w:rPr>
                <w:i w:val="1"/>
                <w:rtl w:val="0"/>
              </w:rPr>
              <w:t xml:space="preserve">(sk. sprieduma 40.4.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Ministru kabineta noteikumu projekta "Grozījumi Ministru kabineta 2020. gada 2. septembra noteikumos Nr. 560 "Noteikumi par elektroenerģijas ražošanu, izmantojot atjaunojamos energoresursus, kā arī par cenu noteikšanas kārtību un uzraudzību""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ietvertās informācijas </w:t>
            </w:r>
            <w:r w:rsidR="00000000" w:rsidRPr="00000000" w:rsidDel="00000000">
              <w:rPr>
                <w:u w:val="single"/>
                <w:rtl w:val="0"/>
              </w:rPr>
              <w:t xml:space="preserve">nav skaidrs, kādēļ projektā paredzētajā noteikumu 21.6. apakšpunktā, 21.</w:t>
            </w:r>
            <w:r w:rsidR="00000000" w:rsidRPr="00000000" w:rsidDel="00000000">
              <w:rPr>
                <w:u w:val="single"/>
                <w:vertAlign w:val="superscript"/>
                <w:rtl w:val="0"/>
              </w:rPr>
              <w:t xml:space="preserve">1</w:t>
            </w:r>
            <w:r w:rsidR="00000000" w:rsidRPr="00000000" w:rsidDel="00000000">
              <w:rPr>
                <w:u w:val="single"/>
                <w:rtl w:val="0"/>
              </w:rPr>
              <w:t xml:space="preserve">, 28., 30., 31., 49.</w:t>
            </w:r>
            <w:r w:rsidR="00000000" w:rsidRPr="00000000" w:rsidDel="00000000">
              <w:rPr>
                <w:u w:val="single"/>
                <w:vertAlign w:val="superscript"/>
                <w:rtl w:val="0"/>
              </w:rPr>
              <w:t xml:space="preserve">6</w:t>
            </w:r>
            <w:r w:rsidR="00000000" w:rsidRPr="00000000" w:rsidDel="00000000">
              <w:rPr>
                <w:u w:val="single"/>
                <w:rtl w:val="0"/>
              </w:rPr>
              <w:t xml:space="preserve">, 56.</w:t>
            </w:r>
            <w:r w:rsidR="00000000" w:rsidRPr="00000000" w:rsidDel="00000000">
              <w:rPr>
                <w:u w:val="single"/>
                <w:vertAlign w:val="superscript"/>
                <w:rtl w:val="0"/>
              </w:rPr>
              <w:t xml:space="preserve">6</w:t>
            </w:r>
            <w:r w:rsidR="00000000" w:rsidRPr="00000000" w:rsidDel="00000000">
              <w:rPr>
                <w:u w:val="single"/>
                <w:rtl w:val="0"/>
              </w:rPr>
              <w:t xml:space="preserve">, 56.</w:t>
            </w:r>
            <w:r w:rsidR="00000000" w:rsidRPr="00000000" w:rsidDel="00000000">
              <w:rPr>
                <w:u w:val="single"/>
                <w:vertAlign w:val="superscript"/>
                <w:rtl w:val="0"/>
              </w:rPr>
              <w:t xml:space="preserve">7</w:t>
            </w:r>
            <w:r w:rsidR="00000000" w:rsidRPr="00000000" w:rsidDel="00000000">
              <w:rPr>
                <w:u w:val="single"/>
                <w:rtl w:val="0"/>
              </w:rPr>
              <w:t xml:space="preserve"> un 56.</w:t>
            </w:r>
            <w:r w:rsidR="00000000" w:rsidRPr="00000000" w:rsidDel="00000000">
              <w:rPr>
                <w:u w:val="single"/>
                <w:vertAlign w:val="superscript"/>
                <w:rtl w:val="0"/>
              </w:rPr>
              <w:t xml:space="preserve">8</w:t>
            </w:r>
            <w:r w:rsidR="00000000" w:rsidRPr="00000000" w:rsidDel="00000000">
              <w:rPr>
                <w:u w:val="single"/>
                <w:rtl w:val="0"/>
              </w:rPr>
              <w:t xml:space="preserve"> punktā ir ietverts attiecīgais regulējums, t.sk., vai ir izvērtēti visi alternatīvie līdzekļi leģitīmā mērķa – sabiedrības labklājības aizsardzība – sasniegšanai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projekta anotācijas 1.3. apakšsadaļā ietvertās informācijas neizriet, ka </w:t>
            </w:r>
            <w:r w:rsidR="00000000" w:rsidRPr="00000000" w:rsidDel="00000000">
              <w:rPr>
                <w:u w:val="single"/>
                <w:rtl w:val="0"/>
              </w:rPr>
              <w:t xml:space="preserve">vērtēta projektā paredzētā regulējuma atbilstība Latvijas Republikas Satversmes 105. panta pirmajam teikumam, proti, 1) vai pamattiesību ierobežojums ir noteikts ar normatīvajos aktos paredzētā kārtībā pieņemtu tiesību normu; 2) vai šim ierobežojumam ir leģitīms mērķis; 3) vai šis ierobežojums ir samērīgs ar tā leģitīmo mērķi</w:t>
            </w:r>
            <w:r w:rsidR="00000000" w:rsidRPr="00000000" w:rsidDel="00000000">
              <w:rPr>
                <w:rtl w:val="0"/>
              </w:rPr>
              <w:t xml:space="preserve"> </w:t>
            </w:r>
            <w:r w:rsidR="00000000" w:rsidRPr="00000000" w:rsidDel="00000000">
              <w:rPr>
                <w:i w:val="1"/>
                <w:rtl w:val="0"/>
              </w:rPr>
              <w:t xml:space="preserve">(sk., piemēram, Satversmes tiesas 2022. gada 10. marta sprieduma lietā Nr. 2021-24-03 22.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skaidrs projektā paredzētajā noteikumu 28. punktā ietvertā grozījuma mērķis, jo pēc būtības nekas netiek mainīts, salīdzinot ar šobrīd spēkā esošajā noteikumu 28.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anotācijas 1.3. apakšsadaļu ar izvērstu skaidrojumu par projektā paredzētajiem noteikumu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gaitā tika izvērtētas iespējamās alternatīvas Satversmes tiesas sprieduma izpildei, secinot, ka projektā ietvertais risinājums ir uzskatāms par optimālāko, jo tas nodrošina labvēlīgākos valsts atbalsta saņemšanas nosacījumus Satversmes tiesas spriedumā norādītajiem komersantiem, vienlaikus saglabājot normatīvajā regulējumā jau iestrādāto valsts atbalsta saņēmēju uzraudzības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projektu, tika vērtēta tā atbilstība Satversmes 105. panta pirmajam teikumam, tostarp, vai regulējumā paredzētais pamattiesību ierobežojums: 1) tiek noteikts ar normatīvajos aktos paredzētā kārtībā pieņemtu tiesību normu; 2) tam ir leģitīms mērķis; 3) atbilst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Ierobežojums noteikts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pamattiesību ierobežojums tiek noteikts ar likumu: ETL 31.</w:t>
            </w:r>
            <w:r w:rsidR="00000000" w:rsidRPr="00000000" w:rsidDel="00000000">
              <w:rPr>
                <w:vertAlign w:val="superscript"/>
                <w:rtl w:val="0"/>
              </w:rPr>
              <w:t xml:space="preserve">3</w:t>
            </w:r>
            <w:r w:rsidR="00000000" w:rsidRPr="00000000" w:rsidDel="00000000">
              <w:rPr>
                <w:rtl w:val="0"/>
              </w:rPr>
              <w:t xml:space="preserve"> panta pirmā daļa noteic, ka elektroenerģijas ražotājiem, kas izmanto ETL 28., 28.</w:t>
            </w:r>
            <w:r w:rsidR="00000000" w:rsidRPr="00000000" w:rsidDel="00000000">
              <w:rPr>
                <w:vertAlign w:val="superscript"/>
                <w:rtl w:val="0"/>
              </w:rPr>
              <w:t xml:space="preserve">1</w:t>
            </w:r>
            <w:r w:rsidR="00000000" w:rsidRPr="00000000" w:rsidDel="00000000">
              <w:rPr>
                <w:rtl w:val="0"/>
              </w:rPr>
              <w:t xml:space="preserve">, 29. vai 30. pantā minētās tiesības un koģenerācijas procesā ražo siltumenerģiju, ir pienākums nodrošināt siltumenerģijas lietderīgu izmantošanu (lietderīga siltumenerģija). Savukārt atbilstoši ETL 31.</w:t>
            </w:r>
            <w:r w:rsidR="00000000" w:rsidRPr="00000000" w:rsidDel="00000000">
              <w:rPr>
                <w:vertAlign w:val="superscript"/>
                <w:rtl w:val="0"/>
              </w:rPr>
              <w:t xml:space="preserve">2</w:t>
            </w:r>
            <w:r w:rsidR="00000000" w:rsidRPr="00000000" w:rsidDel="00000000">
              <w:rPr>
                <w:rtl w:val="0"/>
              </w:rPr>
              <w:t xml:space="preserve"> panta pirmajai daļai Ministru kabineta noteiktā atbildīgā iestāde organizē to elektroenerģijas ražotāju, kuri izmanto šā likuma 28., 28.</w:t>
            </w:r>
            <w:r w:rsidR="00000000" w:rsidRPr="00000000" w:rsidDel="00000000">
              <w:rPr>
                <w:vertAlign w:val="superscript"/>
                <w:rtl w:val="0"/>
              </w:rPr>
              <w:t xml:space="preserve">1</w:t>
            </w:r>
            <w:r w:rsidR="00000000" w:rsidRPr="00000000" w:rsidDel="00000000">
              <w:rPr>
                <w:rtl w:val="0"/>
              </w:rPr>
              <w:t xml:space="preserve">, 29. vai 30. pantā minētās tiesības, darbības uzraudzību un kontroli, nodrošinot pārkompensācijas novēršanu, pieņemot lēmumu par valsts atbalsta apturēšanu vai lēmumu par piešķirto tiesību atcelšanu, elektroenerģijas ražotāju nepamatoti vai nelikumīgi saņemtā valsts atbalsta atgūšanu, kā arī šā likuma 2. panta 2. punktā noteikto mērķu sasniegšanu. ETL 31.</w:t>
            </w:r>
            <w:r w:rsidR="00000000" w:rsidRPr="00000000" w:rsidDel="00000000">
              <w:rPr>
                <w:vertAlign w:val="superscript"/>
                <w:rtl w:val="0"/>
              </w:rPr>
              <w:t xml:space="preserve">2</w:t>
            </w:r>
            <w:r w:rsidR="00000000" w:rsidRPr="00000000" w:rsidDel="00000000">
              <w:rPr>
                <w:rtl w:val="0"/>
              </w:rPr>
              <w:t xml:space="preserve"> panta otrās daļas 5) punktā noteikts, ka, kontrolējot likumos un Ministru kabineta noteikumos elektroenerģijas ražotājiem noteikto prasību ievērošanu, atbildīgā iestāde veic pārbaudes, tostarp arī attiecībā uz koģenerācijas elektrostacijas saražotās siltumenerģijas lietderīgu izlietojumu. Vienlaikus ETL 31.</w:t>
            </w:r>
            <w:r w:rsidR="00000000" w:rsidRPr="00000000" w:rsidDel="00000000">
              <w:rPr>
                <w:vertAlign w:val="superscript"/>
                <w:rtl w:val="0"/>
              </w:rPr>
              <w:t xml:space="preserve">2</w:t>
            </w:r>
            <w:r w:rsidR="00000000" w:rsidRPr="00000000" w:rsidDel="00000000">
              <w:rPr>
                <w:rtl w:val="0"/>
              </w:rPr>
              <w:t xml:space="preserve"> panta trešā daļa paredz, ka pārkāpumus, par kuriem atceļamas saskaņā ar šā likuma 28., 28.</w:t>
            </w:r>
            <w:r w:rsidR="00000000" w:rsidRPr="00000000" w:rsidDel="00000000">
              <w:rPr>
                <w:vertAlign w:val="superscript"/>
                <w:rtl w:val="0"/>
              </w:rPr>
              <w:t xml:space="preserve">1</w:t>
            </w:r>
            <w:r w:rsidR="00000000" w:rsidRPr="00000000" w:rsidDel="00000000">
              <w:rPr>
                <w:rtl w:val="0"/>
              </w:rPr>
              <w:t xml:space="preserve">, 29. vai 30. pantu piešķirtās tiesības uz valsts atbalstu, kā arī kārtību, kādā tās atceļamas, nosaka Ministru kabinets. Lemjot par piešķirto tiesību atcelšanu, vienlaikus izlemjams jautājums par pienākuma uzlikšanu elektroenerģijas ražotājam atmaksāt nepamatoti vai nelikumīgi saņemto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Leģitīms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ražošanas no atjaunīgajiem energoresursiem atbalstam Latvijā ir ieviests ar Eiropas Komisiju saskaņotais valsts atbalsta mehānisms – elektroenerģijas obligātais iepirkums, kas vērsts uz vietējo energoresursu izmantošanas kāpināšanu. Kopš elektroenerģijas obligātā iepirkuma mehānisma uzsākšanas valsts sniegtā atbalsta papildu izmaksas sedza visi Latvijas elektroenerģijas gala lietotāji; savukārt līdz ar 2023. gada 16. februārī Saeimas pieņemto grozījumu ETL attiecīgo normu spēkā stāšanos elektroenerģijas obligātā iepirkuma izmaksas tiks segtas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leģitīmais mērķis ir ETL paredzētā deleģējuma ietvaros noteikt tādu normatīvo regulējumu, kas nodrošinātu elektroenerģijas ražotājiem sniegtā atbalsta atbilstību valsts atbalsta nosacījumiem, tostarp saražotās siltumenerģijas lietderīgu izmantošanu, kā arī kontroles un uzraudzības mehānismu, kas novērstu neatbilstoša valsts atbalsta izmaksu. Projektā ietverto ierobežojošo normu leģitīmais mērķis ir nodrošināt, ka elektroenerģijas obligātā iepirkuma ietvaros tiek finansētas tikai pamatotas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Samērīguma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samērīguma principam būtiski privātpersonas tiesību vai tiesisko interešu ierobežojumi ir attaisnojami tikai ar nozīmīgu sabiedrības labumu.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atbalsta mehānisma izmaksas, kas rodas publiskajam tirgotājam iepērkot elektroenerģiju obligātā iepirkuma ietvaros no atbalstu saņemošajiem ražotājiem, līdz šim sedza visi elektroenerģijas gala lietotāji, savukārt līdz ar 2023. gada 16. februārī Saeimas pieņemto grozījumu ETL attiecīgo normu spēkā stāšanos minētās izmaksas tiks segtas no  valsts budžeta. Jebkurš valsts atbalsta maksājums obligātā iepirkuma ietvaros palielina izmaksu slogu elektroenerģijas galalietotājiem vai attiecīgi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valsts atbalsta sniegšanu atbilstoši likumdevēja gribai un obligātā iepirkuma izmaksas būtu pamatotas un samērīgas, ir nosakāmi projektā iekļautie ierobežojumi ražotājiem. Minētie ierobežojumi ir sabiedrības interesēs, jo, nodrošinot ETL atbilstošas siltumenerģijas izmantošanas prasības ražotājiem, kā arī atbilstošu atbalsta saņēmēju uzraudzības un kontroles mehānismu, tiks mazināts nepamatota valsts atbalsta izmaksas risks, kā arī veicināta saražotās siltumenerģijas saimnieciski pamatota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norādījusi, ka personas interese gūt peļņu neietilpst Satversmes 105. panta tvērumā, jo šāda abstrakta iespējamība nav uzskatāma par īpašuma tiesību objektu.</w:t>
            </w:r>
            <w:r w:rsidR="00000000" w:rsidRPr="00000000" w:rsidDel="00000000">
              <w:rPr>
                <w:vertAlign w:val="superscript"/>
                <w:rtl w:val="0"/>
              </w:rPr>
              <w:t xml:space="preserve">[1]</w:t>
            </w:r>
            <w:r w:rsidR="00000000" w:rsidRPr="00000000" w:rsidDel="00000000">
              <w:rPr>
                <w:rtl w:val="0"/>
              </w:rPr>
              <w:t xml:space="preserve">  Satversmes 105. panta tvērumā tiesības uz īpašumu attiecas  uz nākotnes ienākumiem tikai tādā gadījumā,  ja tie jau ir nopelnīti vai pastāv prasība, kuru var apmierināt. Līdz ar to Satversmes tiesa ir nošķīrusi tiesības pārdot elektroenerģiju obligātā iepirkuma ietvaros no intereses gūt peļņu iecerētajā apmērā. Tādējādi secināms, ka  projekta normas, kas paredz Būvniecības valsts kontroles biroja pilnvaras uzraudzības un kontroles ietvaros ierobežot vai atņemt komersantiem piešķirtās obligātā iepirkuma tiesības, ir samērīgas, ņemot vērā, ka tās nodrošina citu sabiedrības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Satversmes tiesas 2011.gada 3. novembra sprieduma lietā nr. 2011-05-01 15.2.apakšpunkts un 2015.gada 3.jūlija sprieduma lietā Nr. 2014-12-01 21.3.apakšpunkts".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projektā ietvertā MK noteikumu Nr. 560 28. punkta grozījumu mērķis ir redakcionāli to precizēt, lai nodrošinātu regulējuma skaidrību un uzlabotu minētās normas uztveramību, nemainot tās būtību.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Komersants, kurš elektroenerģiju ražo šo noteikumu </w:t>
            </w:r>
            <w:r w:rsidR="00000000" w:rsidRPr="00000000" w:rsidDel="00000000">
              <w:rPr>
                <w:rtl w:val="0"/>
              </w:rPr>
              <w:t xml:space="preserve">3.2.</w:t>
            </w:r>
            <w:r w:rsidR="00000000" w:rsidRPr="00000000" w:rsidDel="00000000">
              <w:rPr>
                <w:rtl w:val="0"/>
              </w:rPr>
              <w:t xml:space="preserve"> apakšpunktā minētajā elektrostacijā, nodrošina, ka kalendāra gadā elektrostacijā saražotais siltumenerģijas daudzums, kas paliek pāri no tā izmantošanas elektrostacijas darbības nodrošināšanai, tiek izmantots lietderīgi vismaz 50 % apmērā. Elektrostacijas tehnoloģiskais siltumenerģijas pašpatēriņš kalendāra gadā nedrīkst pārsniegt 30 % no elektrostacijā saražotās siltumenerģijas.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paredzēto noteikumu 21.</w:t>
            </w:r>
            <w:r w:rsidR="00000000" w:rsidRPr="00000000" w:rsidDel="00000000">
              <w:rPr>
                <w:vertAlign w:val="superscript"/>
                <w:rtl w:val="0"/>
              </w:rPr>
              <w:t xml:space="preserve">1</w:t>
            </w:r>
            <w:r w:rsidR="00000000" w:rsidRPr="00000000" w:rsidDel="00000000">
              <w:rPr>
                <w:rtl w:val="0"/>
              </w:rPr>
              <w:t xml:space="preserve"> punktu, 49.6. apakšpunktu un 56.</w:t>
            </w:r>
            <w:r w:rsidR="00000000" w:rsidRPr="00000000" w:rsidDel="00000000">
              <w:rPr>
                <w:vertAlign w:val="superscript"/>
                <w:rtl w:val="0"/>
              </w:rPr>
              <w:t xml:space="preserve">8</w:t>
            </w:r>
            <w:r w:rsidR="00000000" w:rsidRPr="00000000" w:rsidDel="00000000">
              <w:rPr>
                <w:rtl w:val="0"/>
              </w:rPr>
              <w:t xml:space="preserve"> punktu, lietojot viena veida atsauci uz noteikumu 3.2. apakšpunktā minēto elektrostaciju.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projektā ietvertā 21.</w:t>
            </w:r>
            <w:r w:rsidR="00000000" w:rsidRPr="00000000" w:rsidDel="00000000">
              <w:rPr>
                <w:vertAlign w:val="superscript"/>
                <w:rtl w:val="0"/>
              </w:rPr>
              <w:t xml:space="preserve">1</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Komersants, kurš elektroenerģiju ražo šo noteikumu </w:t>
            </w:r>
            <w:r w:rsidR="00000000" w:rsidRPr="00000000" w:rsidDel="00000000">
              <w:rPr>
                <w:rtl w:val="0"/>
              </w:rPr>
              <w:t xml:space="preserve">3.2.</w:t>
            </w:r>
            <w:r w:rsidR="00000000" w:rsidRPr="00000000" w:rsidDel="00000000">
              <w:rPr>
                <w:rtl w:val="0"/>
              </w:rPr>
              <w:t xml:space="preserve"> apakšpunktā minētajā biogāzes elektrostacijā, nodrošina, ka kalendāra gadā elektrostacijā saražotais siltumenerģijas daudzums, kas paliek pāri no tā izmantošanas elektrostacijas darbības nodrošināšanai, tiek izmantots lietderīgi vismaz 50 % apmērā. Elektrostacijas tehnoloģiskais siltumenerģijas pašpatēriņš kalendāra gadā nedrīkst pārsniegt 30 % no elektrostacijā saražotās siltumenerģijas.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23-TA-628</w:t>
    </w:r>
    <w:r>
      <w:br/>
    </w:r>
    <w:r w:rsidR="00000000" w:rsidRPr="00000000" w:rsidDel="00000000">
      <w:rPr>
        <w:rtl w:val="0"/>
      </w:rPr>
      <w:t xml:space="preserve">02.05.2023. 08.17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23-TA-628</w:t>
    </w:r>
    <w:r>
      <w:br/>
    </w:r>
    <w:r w:rsidR="00000000" w:rsidRPr="00000000" w:rsidDel="00000000">
      <w:rPr>
        <w:rtl w:val="0"/>
      </w:rPr>
      <w:t xml:space="preserve">02.05.2023. 08.17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Izziņa_23-TA-628.docx</dc:title>
</cp:coreProperties>
</file>

<file path=docProps/custom.xml><?xml version="1.0" encoding="utf-8"?>
<Properties xmlns="http://schemas.openxmlformats.org/officeDocument/2006/custom-properties" xmlns:vt="http://schemas.openxmlformats.org/officeDocument/2006/docPropsVTypes"/>
</file>