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876FF" w14:textId="77777777" w:rsidR="00D55642" w:rsidRPr="00D55642" w:rsidRDefault="00D17B89" w:rsidP="00D55642">
      <w:pPr>
        <w:pStyle w:val="Galvene"/>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5" type="#_x0000_t32" style="width:396.85pt;height:0;margin-top:80.55pt;margin-left:0;mso-height-percent:0;mso-height-relative:page;mso-position-horizontal:center;mso-width-percent:0;mso-width-relative:page;mso-wrap-distance-bottom:0;mso-wrap-distance-left:9pt;mso-wrap-distance-right:9pt;mso-wrap-distance-top:0;mso-wrap-style:square;position:absolute;visibility:visible;z-index:251660288" strokeweight="0.25pt">
                <w10:wrap type="square"/>
              </v:shape>
            </w:pict>
          </mc:Fallback>
        </mc:AlternateContent>
      </w:r>
      <w:r>
        <w:rPr>
          <w:noProof/>
          <w:lang w:eastAsia="lv-LV"/>
        </w:rPr>
        <w:drawing>
          <wp:anchor distT="0" distB="0" distL="114300" distR="114300" simplePos="0" relativeHeight="251658240" behindDoc="1" locked="0" layoutInCell="1" allowOverlap="1" wp14:editId="263C4834">
            <wp:simplePos x="0" y="0"/>
            <wp:positionH relativeFrom="margin">
              <wp:align>center</wp:align>
            </wp:positionH>
            <wp:positionV relativeFrom="margin">
              <wp:posOffset>0</wp:posOffset>
            </wp:positionV>
            <wp:extent cx="5403850" cy="972185"/>
            <wp:effectExtent l="0" t="0" r="0" b="0"/>
            <wp:wrapTopAndBottom/>
            <wp:docPr id="8"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87700" w14:textId="77777777" w:rsidR="00D55642" w:rsidRDefault="00D17B89"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3B787701" w14:textId="77777777" w:rsidR="00D55642" w:rsidRPr="006B01C5" w:rsidRDefault="00D55642" w:rsidP="00D55642">
      <w:pPr>
        <w:pStyle w:val="Galvene"/>
        <w:jc w:val="center"/>
        <w:rPr>
          <w:rFonts w:ascii="Times New Roman" w:hAnsi="Times New Roman"/>
        </w:rPr>
      </w:pPr>
    </w:p>
    <w:p w14:paraId="3B787702" w14:textId="77777777" w:rsidR="00D55642" w:rsidRPr="006B01C5" w:rsidRDefault="00D55642" w:rsidP="00D55642">
      <w:pPr>
        <w:spacing w:after="0" w:line="240" w:lineRule="auto"/>
        <w:jc w:val="center"/>
        <w:rPr>
          <w:rFonts w:ascii="Times New Roman" w:hAnsi="Times New Roman"/>
        </w:rPr>
      </w:pPr>
    </w:p>
    <w:p w14:paraId="3B787703" w14:textId="77777777" w:rsidR="00D55642" w:rsidRPr="001D69F2" w:rsidRDefault="00D17B89"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3B787704"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765544" w14:paraId="3B78770A" w14:textId="77777777" w:rsidTr="00472AFF">
        <w:tc>
          <w:tcPr>
            <w:tcW w:w="3227" w:type="dxa"/>
            <w:hideMark/>
          </w:tcPr>
          <w:p w14:paraId="3B787705" w14:textId="77777777" w:rsidR="00735284" w:rsidRDefault="00D17B89">
            <w:pPr>
              <w:spacing w:after="0" w:line="240" w:lineRule="auto"/>
              <w:jc w:val="both"/>
              <w:rPr>
                <w:rFonts w:ascii="Times New Roman" w:hAnsi="Times New Roman"/>
                <w:sz w:val="28"/>
                <w:szCs w:val="24"/>
              </w:rPr>
            </w:pPr>
            <w:r>
              <w:rPr>
                <w:rFonts w:ascii="Times New Roman" w:hAnsi="Times New Roman"/>
                <w:noProof/>
                <w:sz w:val="28"/>
                <w:szCs w:val="24"/>
              </w:rPr>
              <w:t>29.02.2024</w:t>
            </w:r>
          </w:p>
        </w:tc>
        <w:tc>
          <w:tcPr>
            <w:tcW w:w="3260" w:type="dxa"/>
            <w:hideMark/>
          </w:tcPr>
          <w:p w14:paraId="3B787706" w14:textId="77777777" w:rsidR="00735284" w:rsidRDefault="00D17B89">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1-23/610</w:t>
            </w:r>
          </w:p>
        </w:tc>
        <w:tc>
          <w:tcPr>
            <w:tcW w:w="3260" w:type="dxa"/>
            <w:hideMark/>
          </w:tcPr>
          <w:p w14:paraId="3B787708" w14:textId="77777777" w:rsidR="00BD3CC7" w:rsidRDefault="00D17B89" w:rsidP="00556BAC">
            <w:pPr>
              <w:spacing w:after="0" w:line="240" w:lineRule="auto"/>
              <w:jc w:val="center"/>
              <w:rPr>
                <w:rFonts w:ascii="Times New Roman" w:hAnsi="Times New Roman"/>
                <w:sz w:val="28"/>
                <w:szCs w:val="24"/>
              </w:rPr>
            </w:pPr>
            <w:r>
              <w:rPr>
                <w:rFonts w:ascii="Times New Roman" w:hAnsi="Times New Roman"/>
                <w:noProof/>
                <w:sz w:val="28"/>
                <w:szCs w:val="24"/>
              </w:rPr>
              <w:t>Tieslietu ministrija</w:t>
            </w:r>
          </w:p>
          <w:p w14:paraId="3B787709" w14:textId="77777777" w:rsidR="00BD3CC7" w:rsidRDefault="00BD3CC7">
            <w:pPr>
              <w:spacing w:after="0" w:line="240" w:lineRule="auto"/>
              <w:jc w:val="both"/>
              <w:rPr>
                <w:rFonts w:ascii="Times New Roman" w:hAnsi="Times New Roman"/>
                <w:sz w:val="28"/>
                <w:szCs w:val="24"/>
              </w:rPr>
            </w:pPr>
          </w:p>
        </w:tc>
      </w:tr>
      <w:tr w:rsidR="00765544" w14:paraId="3B78770E" w14:textId="77777777" w:rsidTr="00472AFF">
        <w:tc>
          <w:tcPr>
            <w:tcW w:w="3227" w:type="dxa"/>
            <w:hideMark/>
          </w:tcPr>
          <w:p w14:paraId="3B78770B" w14:textId="77777777" w:rsidR="00735284" w:rsidRDefault="00D17B89">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01.02.2024</w:t>
            </w:r>
          </w:p>
        </w:tc>
        <w:tc>
          <w:tcPr>
            <w:tcW w:w="3260" w:type="dxa"/>
            <w:hideMark/>
          </w:tcPr>
          <w:p w14:paraId="3B78770C" w14:textId="77777777" w:rsidR="00735284" w:rsidRDefault="00D17B89">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1-12/355</w:t>
            </w:r>
          </w:p>
        </w:tc>
        <w:tc>
          <w:tcPr>
            <w:tcW w:w="3260" w:type="dxa"/>
          </w:tcPr>
          <w:p w14:paraId="3B78770D" w14:textId="77777777" w:rsidR="00735284" w:rsidRDefault="00735284">
            <w:pPr>
              <w:spacing w:after="0" w:line="240" w:lineRule="auto"/>
              <w:jc w:val="both"/>
              <w:rPr>
                <w:rFonts w:ascii="Times New Roman" w:hAnsi="Times New Roman"/>
                <w:sz w:val="28"/>
                <w:szCs w:val="24"/>
              </w:rPr>
            </w:pPr>
          </w:p>
        </w:tc>
      </w:tr>
    </w:tbl>
    <w:p w14:paraId="3B78770F" w14:textId="77777777" w:rsidR="00735284" w:rsidRDefault="00735284" w:rsidP="00735284">
      <w:pPr>
        <w:spacing w:after="0" w:line="240" w:lineRule="auto"/>
        <w:jc w:val="both"/>
        <w:rPr>
          <w:rFonts w:ascii="Times New Roman" w:hAnsi="Times New Roman"/>
          <w:sz w:val="24"/>
          <w:szCs w:val="24"/>
        </w:rPr>
      </w:pPr>
    </w:p>
    <w:p w14:paraId="3B787710" w14:textId="77777777" w:rsidR="00735284" w:rsidRDefault="00735284" w:rsidP="00735284">
      <w:pPr>
        <w:spacing w:after="0" w:line="240" w:lineRule="auto"/>
        <w:rPr>
          <w:rFonts w:ascii="Times New Roman" w:hAnsi="Times New Roman"/>
          <w:sz w:val="28"/>
          <w:szCs w:val="28"/>
        </w:rPr>
      </w:pPr>
    </w:p>
    <w:p w14:paraId="502E3F47" w14:textId="77777777" w:rsidR="000B1A9F" w:rsidRPr="000B1A9F" w:rsidRDefault="00D17B89" w:rsidP="00735284">
      <w:pPr>
        <w:widowControl/>
        <w:tabs>
          <w:tab w:val="left" w:pos="-1701"/>
        </w:tabs>
        <w:spacing w:after="0" w:line="240" w:lineRule="auto"/>
        <w:rPr>
          <w:rFonts w:ascii="Times New Roman" w:eastAsia="Times New Roman" w:hAnsi="Times New Roman"/>
          <w:b/>
          <w:noProof/>
          <w:sz w:val="28"/>
          <w:szCs w:val="28"/>
        </w:rPr>
      </w:pPr>
      <w:r w:rsidRPr="000B1A9F">
        <w:rPr>
          <w:rFonts w:ascii="Times New Roman" w:eastAsia="Times New Roman" w:hAnsi="Times New Roman"/>
          <w:b/>
          <w:noProof/>
          <w:sz w:val="28"/>
          <w:szCs w:val="28"/>
        </w:rPr>
        <w:t xml:space="preserve">Par VDK darbiniekiem un informatoriem </w:t>
      </w:r>
    </w:p>
    <w:p w14:paraId="3B787711" w14:textId="4DE2E701" w:rsidR="00735284" w:rsidRDefault="00D17B89" w:rsidP="00735284">
      <w:pPr>
        <w:widowControl/>
        <w:tabs>
          <w:tab w:val="left" w:pos="-1701"/>
        </w:tabs>
        <w:spacing w:after="0" w:line="240" w:lineRule="auto"/>
        <w:rPr>
          <w:rFonts w:ascii="Times New Roman" w:eastAsia="Times New Roman" w:hAnsi="Times New Roman"/>
          <w:b/>
          <w:noProof/>
          <w:sz w:val="28"/>
          <w:szCs w:val="28"/>
        </w:rPr>
      </w:pPr>
      <w:r w:rsidRPr="000B1A9F">
        <w:rPr>
          <w:rFonts w:ascii="Times New Roman" w:eastAsia="Times New Roman" w:hAnsi="Times New Roman"/>
          <w:b/>
          <w:noProof/>
          <w:sz w:val="28"/>
          <w:szCs w:val="28"/>
        </w:rPr>
        <w:t>likumos  noteiktajiem ierobežojumiem</w:t>
      </w:r>
    </w:p>
    <w:p w14:paraId="159C21F1" w14:textId="77777777" w:rsidR="006C59AB" w:rsidRDefault="006C59AB" w:rsidP="00735284">
      <w:pPr>
        <w:widowControl/>
        <w:tabs>
          <w:tab w:val="left" w:pos="-1701"/>
        </w:tabs>
        <w:spacing w:after="0" w:line="240" w:lineRule="auto"/>
        <w:rPr>
          <w:rFonts w:ascii="Times New Roman" w:eastAsia="Times New Roman" w:hAnsi="Times New Roman"/>
          <w:b/>
          <w:noProof/>
          <w:sz w:val="28"/>
          <w:szCs w:val="28"/>
        </w:rPr>
      </w:pPr>
    </w:p>
    <w:p w14:paraId="7BD27A20" w14:textId="19EA445E"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Iekšlietu ministrijā saņemts Tieslietu ministrijas lūgums likuma “Par bijušās Valsts drošības komitejas dokumentu saglabāšanu, izmantošanu un personu sadarbības fakta ar VDK konstatēšanu” 17.</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panta otrajā daļā minētā izvērtējuma par ierobežojumu turpmākas nepieciešamības saglabāšanu sagatavošanai sniegt izvērtējumu par ministrijas kompetencē esošajos tiesību aktos Valsts drošības komitejas (turpmāk – VDK) darbiniekiem un informatoriem noteikto ierobežojumu nepieciešamību un pamatotību, kā arī samērīgumu.</w:t>
      </w:r>
    </w:p>
    <w:p w14:paraId="54A41715" w14:textId="7EEC745C"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Atbildot uz vēstulē minēto, Iekšlietu ministrija informē, ka no tiesību aktiem, kuri minēti informatīvajā ziņojumā “Par bijušajiem VDK darbiniekiem un informatoriem likumos noteikto ierobežojumu nepieciešamību un pamatotību”, kas tika izskatīts Ministru kabineta 2019.</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gada 13.</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augusta sēdē (prot. Nr. 34, 50.</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 xml:space="preserve">§), Iekšlietu ministrijas kompetencē ietilpst Pilsonības likums un Repatriācijas likums, kā arī šajā ziņojumā </w:t>
      </w:r>
      <w:r w:rsidRPr="006C59AB">
        <w:rPr>
          <w:rFonts w:ascii="Times New Roman" w:eastAsia="Times New Roman" w:hAnsi="Times New Roman"/>
          <w:noProof/>
          <w:sz w:val="28"/>
          <w:szCs w:val="28"/>
        </w:rPr>
        <w:t>neminētais likums “Par Otrā pasaules kara dalībnieka statusu”.</w:t>
      </w:r>
    </w:p>
    <w:p w14:paraId="36166B67" w14:textId="2A590ACC"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1. Pilsonības likums.</w:t>
      </w:r>
    </w:p>
    <w:p w14:paraId="1523220A" w14:textId="34DB4689"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Saskaņā ar Pilsonības likuma 1.</w:t>
      </w:r>
      <w:r>
        <w:rPr>
          <w:rFonts w:ascii="Times New Roman" w:eastAsia="Times New Roman" w:hAnsi="Times New Roman"/>
          <w:noProof/>
          <w:sz w:val="28"/>
          <w:szCs w:val="28"/>
          <w:vertAlign w:val="superscript"/>
        </w:rPr>
        <w:t>1</w:t>
      </w:r>
      <w:r w:rsidRPr="006C59AB">
        <w:rPr>
          <w:rFonts w:ascii="Times New Roman" w:eastAsia="Times New Roman" w:hAnsi="Times New Roman"/>
          <w:noProof/>
          <w:sz w:val="28"/>
          <w:szCs w:val="28"/>
        </w:rPr>
        <w:t xml:space="preserve"> pantu Latvijas pilsonība ir personas noturīga saikne ar Latvijas valsti, un Latvijas pilsonības saturu veido pilsoņa un valsts savstarpēji saistīto tiesību un pienākumu kopums.</w:t>
      </w:r>
    </w:p>
    <w:p w14:paraId="7FDDA861" w14:textId="08769C50"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Atbilstoši Latvijas Republikas Satversmes tiesas (turpmāk – Satversmes tiesa) atziņām, Latvijas Republikas Satversmes (turpmāk – Satversme) ievadā un 2. pantā lietotais jēdziens “Latvijas tauta” aptver visus indivīdus - neatkarīgi no to tautības. Tādējādi ar pilsonības institūtu tiek noteiktas tās personas, kuras veido suverēnās varas nesēju jeb Latvijas tautu (</w:t>
      </w:r>
      <w:r w:rsidRPr="006C59AB">
        <w:rPr>
          <w:rFonts w:ascii="Times New Roman" w:eastAsia="Times New Roman" w:hAnsi="Times New Roman"/>
          <w:i/>
          <w:noProof/>
          <w:sz w:val="28"/>
          <w:szCs w:val="28"/>
        </w:rPr>
        <w:t>sk. Satversmes tiesas 2023. gada 30.</w:t>
      </w:r>
      <w:r w:rsidR="00EA18D0">
        <w:rPr>
          <w:rFonts w:ascii="Times New Roman" w:eastAsia="Times New Roman" w:hAnsi="Times New Roman"/>
          <w:i/>
          <w:noProof/>
          <w:sz w:val="28"/>
          <w:szCs w:val="28"/>
        </w:rPr>
        <w:t> </w:t>
      </w:r>
      <w:r w:rsidRPr="006C59AB">
        <w:rPr>
          <w:rFonts w:ascii="Times New Roman" w:eastAsia="Times New Roman" w:hAnsi="Times New Roman"/>
          <w:i/>
          <w:noProof/>
          <w:sz w:val="28"/>
          <w:szCs w:val="28"/>
        </w:rPr>
        <w:t>novembra sprieduma lietā Nr. 2022-36-01 12.1.</w:t>
      </w:r>
      <w:r w:rsidR="00EA18D0">
        <w:rPr>
          <w:rFonts w:ascii="Times New Roman" w:eastAsia="Times New Roman" w:hAnsi="Times New Roman"/>
          <w:i/>
          <w:noProof/>
          <w:sz w:val="28"/>
          <w:szCs w:val="28"/>
        </w:rPr>
        <w:t> </w:t>
      </w:r>
      <w:r w:rsidRPr="006C59AB">
        <w:rPr>
          <w:rFonts w:ascii="Times New Roman" w:eastAsia="Times New Roman" w:hAnsi="Times New Roman"/>
          <w:i/>
          <w:noProof/>
          <w:sz w:val="28"/>
          <w:szCs w:val="28"/>
        </w:rPr>
        <w:t>apakšpunktu</w:t>
      </w:r>
      <w:r w:rsidRPr="006C59AB">
        <w:rPr>
          <w:rFonts w:ascii="Times New Roman" w:eastAsia="Times New Roman" w:hAnsi="Times New Roman"/>
          <w:noProof/>
          <w:sz w:val="28"/>
          <w:szCs w:val="28"/>
        </w:rPr>
        <w:t>). Tāpat Satversmes tiesa atzinusi, ka tam, kuras pers</w:t>
      </w:r>
      <w:r w:rsidRPr="006C59AB">
        <w:rPr>
          <w:rFonts w:ascii="Times New Roman" w:eastAsia="Times New Roman" w:hAnsi="Times New Roman"/>
          <w:noProof/>
          <w:sz w:val="28"/>
          <w:szCs w:val="28"/>
        </w:rPr>
        <w:t>onas veido suverēnās varas avotu - Latvijas tautu -, ir būtiska nozīme ikvienā tiesiskā demokrātiskā valstī. Tieši pilsoņi, aktīvi līdzdarbojoties, veido un nosaka valsts dzīvi, citstarp arī Satversmē noteiktajā kārtībā piedaloties konstitucionālo institūciju veidošanā (</w:t>
      </w:r>
      <w:r w:rsidRPr="006C59AB">
        <w:rPr>
          <w:rFonts w:ascii="Times New Roman" w:eastAsia="Times New Roman" w:hAnsi="Times New Roman"/>
          <w:i/>
          <w:noProof/>
          <w:sz w:val="28"/>
          <w:szCs w:val="28"/>
        </w:rPr>
        <w:t>sk. Satversmes tiesa</w:t>
      </w:r>
      <w:r w:rsidR="007828AA">
        <w:rPr>
          <w:rFonts w:ascii="Times New Roman" w:eastAsia="Times New Roman" w:hAnsi="Times New Roman"/>
          <w:i/>
          <w:noProof/>
          <w:sz w:val="28"/>
          <w:szCs w:val="28"/>
        </w:rPr>
        <w:t>s</w:t>
      </w:r>
      <w:r w:rsidRPr="006C59AB">
        <w:rPr>
          <w:rFonts w:ascii="Times New Roman" w:eastAsia="Times New Roman" w:hAnsi="Times New Roman"/>
          <w:i/>
          <w:noProof/>
          <w:sz w:val="28"/>
          <w:szCs w:val="28"/>
        </w:rPr>
        <w:t xml:space="preserve"> 2023. gada 30. novembra sprieduma lietā Nr. 2022-36-11 18. punktu</w:t>
      </w:r>
      <w:r w:rsidRPr="006C59AB">
        <w:rPr>
          <w:rFonts w:ascii="Times New Roman" w:eastAsia="Times New Roman" w:hAnsi="Times New Roman"/>
          <w:noProof/>
          <w:sz w:val="28"/>
          <w:szCs w:val="28"/>
        </w:rPr>
        <w:t xml:space="preserve">). </w:t>
      </w:r>
    </w:p>
    <w:p w14:paraId="75918DC4" w14:textId="5A9996C3"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lastRenderedPageBreak/>
        <w:tab/>
      </w:r>
      <w:r w:rsidRPr="006C59AB">
        <w:rPr>
          <w:rFonts w:ascii="Times New Roman" w:eastAsia="Times New Roman" w:hAnsi="Times New Roman"/>
          <w:noProof/>
          <w:sz w:val="28"/>
          <w:szCs w:val="28"/>
        </w:rPr>
        <w:t xml:space="preserve">Līdz ar </w:t>
      </w:r>
      <w:r w:rsidR="007828AA">
        <w:rPr>
          <w:rFonts w:ascii="Times New Roman" w:eastAsia="Times New Roman" w:hAnsi="Times New Roman"/>
          <w:noProof/>
          <w:sz w:val="28"/>
          <w:szCs w:val="28"/>
        </w:rPr>
        <w:t xml:space="preserve">to </w:t>
      </w:r>
      <w:r w:rsidRPr="006C59AB">
        <w:rPr>
          <w:rFonts w:ascii="Times New Roman" w:eastAsia="Times New Roman" w:hAnsi="Times New Roman"/>
          <w:noProof/>
          <w:sz w:val="28"/>
          <w:szCs w:val="28"/>
        </w:rPr>
        <w:t>pilsoņu loka noteikšana ir valstiski svarīgs jautājums.</w:t>
      </w:r>
      <w:r>
        <w:rPr>
          <w:rFonts w:ascii="Times New Roman" w:eastAsia="Times New Roman" w:hAnsi="Times New Roman"/>
          <w:noProof/>
          <w:sz w:val="28"/>
          <w:szCs w:val="28"/>
        </w:rPr>
        <w:t xml:space="preserve"> Arī</w:t>
      </w:r>
      <w:r w:rsidRPr="006C59AB">
        <w:rPr>
          <w:rFonts w:ascii="Times New Roman" w:eastAsia="Times New Roman" w:hAnsi="Times New Roman"/>
          <w:noProof/>
          <w:sz w:val="28"/>
          <w:szCs w:val="28"/>
        </w:rPr>
        <w:t xml:space="preserve"> Eiropas Savienības Tiesas judikatūrā</w:t>
      </w:r>
      <w:r>
        <w:rPr>
          <w:rFonts w:ascii="Times New Roman" w:eastAsia="Times New Roman" w:hAnsi="Times New Roman"/>
          <w:noProof/>
          <w:sz w:val="28"/>
          <w:szCs w:val="28"/>
        </w:rPr>
        <w:t xml:space="preserve"> norādīts</w:t>
      </w:r>
      <w:r w:rsidRPr="006C59AB">
        <w:rPr>
          <w:rFonts w:ascii="Times New Roman" w:eastAsia="Times New Roman" w:hAnsi="Times New Roman"/>
          <w:noProof/>
          <w:sz w:val="28"/>
          <w:szCs w:val="28"/>
        </w:rPr>
        <w:t>,</w:t>
      </w:r>
      <w:r>
        <w:rPr>
          <w:rFonts w:ascii="Times New Roman" w:eastAsia="Times New Roman" w:hAnsi="Times New Roman"/>
          <w:noProof/>
          <w:sz w:val="28"/>
          <w:szCs w:val="28"/>
        </w:rPr>
        <w:t xml:space="preserve"> ka</w:t>
      </w:r>
      <w:r w:rsidRPr="006C59AB">
        <w:rPr>
          <w:rFonts w:ascii="Times New Roman" w:eastAsia="Times New Roman" w:hAnsi="Times New Roman"/>
          <w:noProof/>
          <w:sz w:val="28"/>
          <w:szCs w:val="28"/>
        </w:rPr>
        <w:t xml:space="preserve"> pilsonība ir valstiskuma būtisks elements un līdz ar to no tās izriet vispārēju interešu apsvērumi, aizsargājot īpašās solidaritātes un lojalitātes attiecības ar saviem pilsoņiem un, ņemot vērā pilsonības saiknes pamatā esošo tiesību un pienākumu savstarpējību (</w:t>
      </w:r>
      <w:r w:rsidRPr="006C59AB">
        <w:rPr>
          <w:rFonts w:ascii="Times New Roman" w:eastAsia="Times New Roman" w:hAnsi="Times New Roman"/>
          <w:i/>
          <w:noProof/>
          <w:sz w:val="28"/>
          <w:szCs w:val="28"/>
        </w:rPr>
        <w:t>sk. Eiropas Savienības Tiesas 2010.</w:t>
      </w:r>
      <w:r>
        <w:rPr>
          <w:rFonts w:ascii="Times New Roman" w:eastAsia="Times New Roman" w:hAnsi="Times New Roman"/>
          <w:i/>
          <w:noProof/>
          <w:sz w:val="28"/>
          <w:szCs w:val="28"/>
        </w:rPr>
        <w:t> </w:t>
      </w:r>
      <w:r w:rsidRPr="006C59AB">
        <w:rPr>
          <w:rFonts w:ascii="Times New Roman" w:eastAsia="Times New Roman" w:hAnsi="Times New Roman"/>
          <w:i/>
          <w:noProof/>
          <w:sz w:val="28"/>
          <w:szCs w:val="28"/>
        </w:rPr>
        <w:t>gada 2.</w:t>
      </w:r>
      <w:r>
        <w:rPr>
          <w:rFonts w:ascii="Times New Roman" w:eastAsia="Times New Roman" w:hAnsi="Times New Roman"/>
          <w:i/>
          <w:noProof/>
          <w:sz w:val="28"/>
          <w:szCs w:val="28"/>
        </w:rPr>
        <w:t> </w:t>
      </w:r>
      <w:r w:rsidRPr="006C59AB">
        <w:rPr>
          <w:rFonts w:ascii="Times New Roman" w:eastAsia="Times New Roman" w:hAnsi="Times New Roman"/>
          <w:i/>
          <w:noProof/>
          <w:sz w:val="28"/>
          <w:szCs w:val="28"/>
        </w:rPr>
        <w:t>maija sprieduma lietā Nr. C-135/08 Janko Rottman pret Freistaat Bayern 51. punktu</w:t>
      </w:r>
      <w:r w:rsidRPr="006C59AB">
        <w:rPr>
          <w:rFonts w:ascii="Times New Roman" w:eastAsia="Times New Roman" w:hAnsi="Times New Roman"/>
          <w:noProof/>
          <w:sz w:val="28"/>
          <w:szCs w:val="28"/>
        </w:rPr>
        <w:t>). T</w:t>
      </w:r>
      <w:r w:rsidRPr="006C59AB">
        <w:rPr>
          <w:rFonts w:ascii="Times New Roman" w:eastAsia="Times New Roman" w:hAnsi="Times New Roman"/>
          <w:noProof/>
          <w:sz w:val="28"/>
          <w:szCs w:val="28"/>
        </w:rPr>
        <w:t>ādējādi naturalizācijas (</w:t>
      </w:r>
      <w:r w:rsidRPr="006C59AB">
        <w:rPr>
          <w:rFonts w:ascii="Times New Roman" w:eastAsia="Times New Roman" w:hAnsi="Times New Roman"/>
          <w:i/>
          <w:noProof/>
          <w:sz w:val="28"/>
          <w:szCs w:val="28"/>
        </w:rPr>
        <w:t>kas atbilstoši Pilsonības likumam ir viens no veidiem, kā persona var iegūt pilsonību</w:t>
      </w:r>
      <w:r w:rsidRPr="006C59AB">
        <w:rPr>
          <w:rFonts w:ascii="Times New Roman" w:eastAsia="Times New Roman" w:hAnsi="Times New Roman"/>
          <w:noProof/>
          <w:sz w:val="28"/>
          <w:szCs w:val="28"/>
        </w:rPr>
        <w:t>) noteikumi ir saistīti ar demokrātiskā valstī nepieciešamo sabiedrības uzticību personām, kuras kļūst par pilsoņiem un iegūst no pilsoņa statusa izrietošās būtiskās tiesības un pienākumus un kurām jāapliecina zināms politiskās lojalitātes un arī demokrātiskās  ētikas minimums. Tāpat norādāms, ka atbilstoši starptautiskajās tiesībās nostiprinātajam principam, pilsonības jautājumu regulēšana ir katra</w:t>
      </w:r>
      <w:r w:rsidRPr="006C59AB">
        <w:rPr>
          <w:rFonts w:ascii="Times New Roman" w:eastAsia="Times New Roman" w:hAnsi="Times New Roman"/>
          <w:noProof/>
          <w:sz w:val="28"/>
          <w:szCs w:val="28"/>
        </w:rPr>
        <w:t>s valsts ekskluzīvā kompetencē, tas ir, valstīm ir suverēnas tiesības pašām pēc saviem likumiem noteikt savu pilsoņu loku.</w:t>
      </w:r>
    </w:p>
    <w:p w14:paraId="6BF89435" w14:textId="563D3218"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Lai persona varētu tikt uzņemta Latvijas pilsonībā naturalizācija kārtībā, Pilsonības likumā ir izvirzītas konkrētas prasības personai, piemēram, noteikts dzīvošanas ilgums Latvijā, integrācija Latvijas sabiedrībā (</w:t>
      </w:r>
      <w:r w:rsidRPr="006C59AB">
        <w:rPr>
          <w:rFonts w:ascii="Times New Roman" w:eastAsia="Times New Roman" w:hAnsi="Times New Roman"/>
          <w:i/>
          <w:noProof/>
          <w:sz w:val="28"/>
          <w:szCs w:val="28"/>
        </w:rPr>
        <w:t xml:space="preserve">valsts valodas, </w:t>
      </w:r>
      <w:r w:rsidRPr="006C59AB">
        <w:rPr>
          <w:rFonts w:ascii="Times New Roman" w:eastAsia="Times New Roman" w:hAnsi="Times New Roman"/>
          <w:i/>
          <w:noProof/>
          <w:sz w:val="28"/>
          <w:szCs w:val="28"/>
        </w:rPr>
        <w:t>valsts himnas, kā arī Latvijas vēstures un kultūras pamatu zināšanas</w:t>
      </w:r>
      <w:r w:rsidRPr="006C59AB">
        <w:rPr>
          <w:rFonts w:ascii="Times New Roman" w:eastAsia="Times New Roman" w:hAnsi="Times New Roman"/>
          <w:noProof/>
          <w:sz w:val="28"/>
          <w:szCs w:val="28"/>
        </w:rPr>
        <w:t>), lojalitātes prasība, kura atbilstoši Satversmes tiesā atzītajam ir viens no pilsonības centrālajiem elementiem (</w:t>
      </w:r>
      <w:r w:rsidRPr="006C59AB">
        <w:rPr>
          <w:rFonts w:ascii="Times New Roman" w:eastAsia="Times New Roman" w:hAnsi="Times New Roman"/>
          <w:i/>
          <w:noProof/>
          <w:sz w:val="28"/>
          <w:szCs w:val="28"/>
        </w:rPr>
        <w:t>sk. Satversmes tiesas 2023.</w:t>
      </w:r>
      <w:r w:rsidR="00EA18D0">
        <w:rPr>
          <w:rFonts w:ascii="Times New Roman" w:eastAsia="Times New Roman" w:hAnsi="Times New Roman"/>
          <w:i/>
          <w:noProof/>
          <w:sz w:val="28"/>
          <w:szCs w:val="28"/>
        </w:rPr>
        <w:t> </w:t>
      </w:r>
      <w:r w:rsidRPr="006C59AB">
        <w:rPr>
          <w:rFonts w:ascii="Times New Roman" w:eastAsia="Times New Roman" w:hAnsi="Times New Roman"/>
          <w:i/>
          <w:noProof/>
          <w:sz w:val="28"/>
          <w:szCs w:val="28"/>
        </w:rPr>
        <w:t>gada 30.</w:t>
      </w:r>
      <w:r w:rsidR="00EA18D0">
        <w:rPr>
          <w:rFonts w:ascii="Times New Roman" w:eastAsia="Times New Roman" w:hAnsi="Times New Roman"/>
          <w:i/>
          <w:noProof/>
          <w:sz w:val="28"/>
          <w:szCs w:val="28"/>
        </w:rPr>
        <w:t> </w:t>
      </w:r>
      <w:r w:rsidRPr="006C59AB">
        <w:rPr>
          <w:rFonts w:ascii="Times New Roman" w:eastAsia="Times New Roman" w:hAnsi="Times New Roman"/>
          <w:i/>
          <w:noProof/>
          <w:sz w:val="28"/>
          <w:szCs w:val="28"/>
        </w:rPr>
        <w:t>novembra sprieduma lietā Nr. 2022-36-01 12.1. apakšpunktu</w:t>
      </w:r>
      <w:r w:rsidRPr="006C59AB">
        <w:rPr>
          <w:rFonts w:ascii="Times New Roman" w:eastAsia="Times New Roman" w:hAnsi="Times New Roman"/>
          <w:noProof/>
          <w:sz w:val="28"/>
          <w:szCs w:val="28"/>
        </w:rPr>
        <w:t>), kā arī prasības</w:t>
      </w:r>
      <w:r w:rsidR="00614C67">
        <w:rPr>
          <w:rFonts w:ascii="Times New Roman" w:eastAsia="Times New Roman" w:hAnsi="Times New Roman"/>
          <w:noProof/>
          <w:sz w:val="28"/>
          <w:szCs w:val="28"/>
        </w:rPr>
        <w:t>,</w:t>
      </w:r>
      <w:r w:rsidRPr="006C59AB">
        <w:rPr>
          <w:rFonts w:ascii="Times New Roman" w:eastAsia="Times New Roman" w:hAnsi="Times New Roman"/>
          <w:noProof/>
          <w:sz w:val="28"/>
          <w:szCs w:val="28"/>
        </w:rPr>
        <w:t xml:space="preserve"> atbilstoši kur</w:t>
      </w:r>
      <w:r w:rsidR="00614C67">
        <w:rPr>
          <w:rFonts w:ascii="Times New Roman" w:eastAsia="Times New Roman" w:hAnsi="Times New Roman"/>
          <w:noProof/>
          <w:sz w:val="28"/>
          <w:szCs w:val="28"/>
        </w:rPr>
        <w:t>ām</w:t>
      </w:r>
      <w:r w:rsidRPr="006C59AB">
        <w:rPr>
          <w:rFonts w:ascii="Times New Roman" w:eastAsia="Times New Roman" w:hAnsi="Times New Roman"/>
          <w:noProof/>
          <w:sz w:val="28"/>
          <w:szCs w:val="28"/>
        </w:rPr>
        <w:t xml:space="preserve"> personai ir jābūt tādai, kura nerada draudus valsts drošībai. </w:t>
      </w:r>
    </w:p>
    <w:p w14:paraId="3A5AA6C5" w14:textId="0F0E479E"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Viens no ierobežojumiem, kas saistīts ar valsts drošības aspektu, ir ietverts Pilsonības likuma 11.</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panta pirmās daļas 4.</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punktā un paredz, ka Latvijas pilsonībā neuzņem personu, kura ir bijusi PSRS vai Latvijas PSR valsts drošības dienesta, izlūkdienesta vai pretizlūkošanas dienesta štata darbinieks, izņemot personu, kura bijusi tikai PSRS vai Latvijas PSR Valsts drošības komitejas plānošanas un finanšu vai administratīvi saimnieciskās struktūrvienības darbinieks.</w:t>
      </w:r>
    </w:p>
    <w:p w14:paraId="42BCB499" w14:textId="7554020D"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 xml:space="preserve">Norādāms, ka Satversmes tiesa ir vairakkārt vērtējusi ierobežojumus, kas noteikti bijušajiem VDK darbiniekiem un informatoriem, un atzinusi, ka tiem ir leģitīms mērķis, </w:t>
      </w:r>
      <w:r w:rsidRPr="006C59AB">
        <w:rPr>
          <w:rFonts w:ascii="Times New Roman" w:eastAsia="Times New Roman" w:hAnsi="Times New Roman"/>
          <w:noProof/>
          <w:sz w:val="28"/>
          <w:szCs w:val="28"/>
        </w:rPr>
        <w:t>proti, demokrātiskas valsts iekārtas, nacionālās drošības un Latvijas teritoriālās vienotības aizsardzība (</w:t>
      </w:r>
      <w:r w:rsidRPr="006C59AB">
        <w:rPr>
          <w:rFonts w:ascii="Times New Roman" w:eastAsia="Times New Roman" w:hAnsi="Times New Roman"/>
          <w:i/>
          <w:noProof/>
          <w:sz w:val="28"/>
          <w:szCs w:val="28"/>
        </w:rPr>
        <w:t>sk., piemēram, Satversmes tiesas 2000. gada 30. augusta sprieduma lietā Nr. 2000-03-01 6. punktu un Satversmes tiesas 2006. gada 15. jūnija sprieduma lietā Nr. 2005-13-0106 16.3. apakšpunktu</w:t>
      </w:r>
      <w:r w:rsidRPr="006C59AB">
        <w:rPr>
          <w:rFonts w:ascii="Times New Roman" w:eastAsia="Times New Roman" w:hAnsi="Times New Roman"/>
          <w:noProof/>
          <w:sz w:val="28"/>
          <w:szCs w:val="28"/>
        </w:rPr>
        <w:t>). Tāpat Satversmes tiesa ir atzinusi, ka nacionālās drošības garantēšana ir valsts pamatpienākums (</w:t>
      </w:r>
      <w:r w:rsidRPr="006C59AB">
        <w:rPr>
          <w:rFonts w:ascii="Times New Roman" w:eastAsia="Times New Roman" w:hAnsi="Times New Roman"/>
          <w:i/>
          <w:noProof/>
          <w:sz w:val="28"/>
          <w:szCs w:val="28"/>
        </w:rPr>
        <w:t>sk. Satversmes tiesas 2003. gada 23. aprīļa sprieduma lietā Nr. 2002-20-0103 secinājumu daļas 2. punktu</w:t>
      </w:r>
      <w:r w:rsidRPr="006C59AB">
        <w:rPr>
          <w:rFonts w:ascii="Times New Roman" w:eastAsia="Times New Roman" w:hAnsi="Times New Roman"/>
          <w:noProof/>
          <w:sz w:val="28"/>
          <w:szCs w:val="28"/>
        </w:rPr>
        <w:t>).</w:t>
      </w:r>
    </w:p>
    <w:p w14:paraId="5C693409" w14:textId="32DFB578"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 xml:space="preserve">Lai gan nav noliedzama Latvijas valsts demokrātiskās iekārtas un tās institūtu attīstība, kā arī tiesiskuma attīstība un nostiprināšanās laika periodā kopš Latvijas valstiskuma atjaunošanas, būtiska daļa sabiedrības joprojām ir atvērta totalitārām idejām un pozitīvi vērtē PSRS okupācijas periodu. Līdz ar to, demokrātiskām un tiesiskām valstīm nepieciešams piemērot pašaizsargājošās </w:t>
      </w:r>
      <w:r w:rsidRPr="006C59AB">
        <w:rPr>
          <w:rFonts w:ascii="Times New Roman" w:eastAsia="Times New Roman" w:hAnsi="Times New Roman"/>
          <w:noProof/>
          <w:sz w:val="28"/>
          <w:szCs w:val="28"/>
        </w:rPr>
        <w:lastRenderedPageBreak/>
        <w:t>demokrātijas instrumentus, ar kuru palīdzību demokrātiska tiesiska valsts aizsargā tās konstitucionālos orgānus un valsts drošīb</w:t>
      </w:r>
      <w:r w:rsidRPr="006C59AB">
        <w:rPr>
          <w:rFonts w:ascii="Times New Roman" w:eastAsia="Times New Roman" w:hAnsi="Times New Roman"/>
          <w:noProof/>
          <w:sz w:val="28"/>
          <w:szCs w:val="28"/>
        </w:rPr>
        <w:t>as iestādes no personām, kuras ar savu rīcību apdraud Latvijas valsts neatkarību un demokrātiskas tiesiskas valsts principus (</w:t>
      </w:r>
      <w:r w:rsidRPr="006C59AB">
        <w:rPr>
          <w:rFonts w:ascii="Times New Roman" w:eastAsia="Times New Roman" w:hAnsi="Times New Roman"/>
          <w:i/>
          <w:noProof/>
          <w:sz w:val="28"/>
          <w:szCs w:val="28"/>
        </w:rPr>
        <w:t>sk. Satversmes tiesas 2018. gada 29. jūnija sprieduma lietā Nr. 2017-25-01 13.3. un 20.2. apakšpunktu</w:t>
      </w:r>
      <w:r w:rsidRPr="006C59AB">
        <w:rPr>
          <w:rFonts w:ascii="Times New Roman" w:eastAsia="Times New Roman" w:hAnsi="Times New Roman"/>
          <w:noProof/>
          <w:sz w:val="28"/>
          <w:szCs w:val="28"/>
        </w:rPr>
        <w:t xml:space="preserve">). </w:t>
      </w:r>
    </w:p>
    <w:p w14:paraId="4AFE3109" w14:textId="67941E01"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 xml:space="preserve">Vienlaikus ir arī konstatējams, ka izraudzītais līdzeklis mērķa sasniegšanai ir piemērots, liedzot iegūt Latvijas pilsonību naturalizācijas kārtībā, personas neiegūst ar pilsonību saistītās tiesības un līdz ar to </w:t>
      </w:r>
      <w:r w:rsidR="00614C67">
        <w:rPr>
          <w:rFonts w:ascii="Times New Roman" w:eastAsia="Times New Roman" w:hAnsi="Times New Roman"/>
          <w:noProof/>
          <w:sz w:val="28"/>
          <w:szCs w:val="28"/>
        </w:rPr>
        <w:t xml:space="preserve">arī </w:t>
      </w:r>
      <w:r w:rsidRPr="006C59AB">
        <w:rPr>
          <w:rFonts w:ascii="Times New Roman" w:eastAsia="Times New Roman" w:hAnsi="Times New Roman"/>
          <w:noProof/>
          <w:sz w:val="28"/>
          <w:szCs w:val="28"/>
        </w:rPr>
        <w:t>iespējas ietekmēt demokrātisko valsts iekārtu, nacionālās intereses un teritoriālo integritāti. Tādējādi attiecībā uz pilsonības institūtu nav konstatējams cits līdzeklis ierobežojuma leģitīmā mērķa sasniegšanai.</w:t>
      </w:r>
    </w:p>
    <w:p w14:paraId="14ABF21A" w14:textId="2B4F535D"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Tāpat, lai konstatētu, vai ierobežojums ir samērīgs, ir izvērtējams jautājums, vai atteikums iegūt pilsonību nesamērīgi neierobežo cilvēka pamattiesības (</w:t>
      </w:r>
      <w:r w:rsidRPr="006C59AB">
        <w:rPr>
          <w:rFonts w:ascii="Times New Roman" w:eastAsia="Times New Roman" w:hAnsi="Times New Roman"/>
          <w:i/>
          <w:noProof/>
          <w:sz w:val="28"/>
          <w:szCs w:val="28"/>
        </w:rPr>
        <w:t>sk. Satversmes tiesas 2010. gada 13. maija spriedumā lietā Nr. 2009-94-01 16.1. un 16.2. apakšpunktu</w:t>
      </w:r>
      <w:r w:rsidRPr="006C59AB">
        <w:rPr>
          <w:rFonts w:ascii="Times New Roman" w:eastAsia="Times New Roman" w:hAnsi="Times New Roman"/>
          <w:noProof/>
          <w:sz w:val="28"/>
          <w:szCs w:val="28"/>
        </w:rPr>
        <w:t>).</w:t>
      </w:r>
    </w:p>
    <w:p w14:paraId="23737C08" w14:textId="31DE2DF9"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Lai gan Pilsonības likuma 11. panta pirmās daļas 4. punkta norma ir imperatīva, kas nozīmē, ka, konstatējot faktu, ka uz personu attiecas Pilsonības likuma 11. panta pirmās daļas 4. punktā noteiktais naturalizācijas ierobežojums, Pilsonības un migrācijas lietu pārvaldei jāpieņem obligātais administratīvais akts par atteikumu iekļaut ziņas par personu Ministru kabineta rīkojuma projektā par personu uzņemšanu Latvijas pilsonībā naturalizācijas kārtībā, tomēr arī obligātā administratīvā akta gadījumā, ņemot vē</w:t>
      </w:r>
      <w:r w:rsidRPr="006C59AB">
        <w:rPr>
          <w:rFonts w:ascii="Times New Roman" w:eastAsia="Times New Roman" w:hAnsi="Times New Roman"/>
          <w:noProof/>
          <w:sz w:val="28"/>
          <w:szCs w:val="28"/>
        </w:rPr>
        <w:t>rā judikatūrā norādīto, iestādei ir pienākums izvērtēt ar atteikumu radīto tiesību ierobežojuma samērīgums, lai konstatētu, vai tomēr nepastāv tiesisks pamats atkāpties no normā noteiktā regulējuma.</w:t>
      </w:r>
    </w:p>
    <w:p w14:paraId="2069F54E" w14:textId="565A5C4E"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 xml:space="preserve">Atbilstoši Pilsonības likumā un uz tā pamata izdotajos Ministru kabineta </w:t>
      </w:r>
      <w:r w:rsidR="00614C67">
        <w:rPr>
          <w:rFonts w:ascii="Times New Roman" w:eastAsia="Times New Roman" w:hAnsi="Times New Roman"/>
          <w:noProof/>
          <w:sz w:val="28"/>
          <w:szCs w:val="28"/>
        </w:rPr>
        <w:t>noteikumos</w:t>
      </w:r>
      <w:r w:rsidRPr="006C59AB">
        <w:rPr>
          <w:rFonts w:ascii="Times New Roman" w:eastAsia="Times New Roman" w:hAnsi="Times New Roman"/>
          <w:noProof/>
          <w:sz w:val="28"/>
          <w:szCs w:val="28"/>
        </w:rPr>
        <w:t xml:space="preserve"> ietvertajam regulējumam</w:t>
      </w:r>
      <w:r w:rsidR="00614C67">
        <w:rPr>
          <w:rFonts w:ascii="Times New Roman" w:eastAsia="Times New Roman" w:hAnsi="Times New Roman"/>
          <w:noProof/>
          <w:sz w:val="28"/>
          <w:szCs w:val="28"/>
        </w:rPr>
        <w:t>,</w:t>
      </w:r>
      <w:r w:rsidRPr="006C59AB">
        <w:rPr>
          <w:rFonts w:ascii="Times New Roman" w:eastAsia="Times New Roman" w:hAnsi="Times New Roman"/>
          <w:noProof/>
          <w:sz w:val="28"/>
          <w:szCs w:val="28"/>
        </w:rPr>
        <w:t xml:space="preserve"> katrs personas pieteikums par uzņemšanu pilsonībā naturalizācijas kārtībā ir individuāli izvērtējams. </w:t>
      </w:r>
      <w:r>
        <w:rPr>
          <w:rFonts w:ascii="Times New Roman" w:eastAsia="Times New Roman" w:hAnsi="Times New Roman"/>
          <w:noProof/>
          <w:sz w:val="28"/>
          <w:szCs w:val="28"/>
        </w:rPr>
        <w:t>Saskaņā ar</w:t>
      </w:r>
      <w:r w:rsidRPr="006C59AB">
        <w:rPr>
          <w:rFonts w:ascii="Times New Roman" w:eastAsia="Times New Roman" w:hAnsi="Times New Roman"/>
          <w:noProof/>
          <w:sz w:val="28"/>
          <w:szCs w:val="28"/>
        </w:rPr>
        <w:t xml:space="preserve"> Ministru kabineta 2013. gada 24. septembra noteikumu Nr. 1001 “Naturalizācijas iesnieguma pieņemšanas un izskatīšanas kārtība” 15.3.</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apakšpunkt</w:t>
      </w:r>
      <w:r>
        <w:rPr>
          <w:rFonts w:ascii="Times New Roman" w:eastAsia="Times New Roman" w:hAnsi="Times New Roman"/>
          <w:noProof/>
          <w:sz w:val="28"/>
          <w:szCs w:val="28"/>
        </w:rPr>
        <w:t>u</w:t>
      </w:r>
      <w:r w:rsidRPr="006C59AB">
        <w:rPr>
          <w:rFonts w:ascii="Times New Roman" w:eastAsia="Times New Roman" w:hAnsi="Times New Roman"/>
          <w:noProof/>
          <w:sz w:val="28"/>
          <w:szCs w:val="28"/>
        </w:rPr>
        <w:t>, lai pārbaudītu personas atbilstību Pilsonības likuma 11.</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panta pirmās daļas 4.</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 xml:space="preserve">punktam, Pilsonības un migrācijas lietu pārvalde rakstiski pieprasa un saņem informāciju no Totalitārisma seku dokumentēšanas centra. Personai atbilstoši Administratīvā procesa likumā noteiktajam ir paredzēta iespēja sniegt mutvārdu un rakstveida paskaidrojumus. Turklāt saskaņā ar Pilsonības likuma 17. pantā ietverto tiesisko regulējumu naturalizācijas atteikums ir apstrīdams un pārsūdzams Administratīvā procesa likuma noteiktajā kārtībā. </w:t>
      </w:r>
    </w:p>
    <w:p w14:paraId="1BF4863B" w14:textId="7725CB33"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Līdz ar to, neskatoties uz Pilsonības likuma 11. panta pirmās daļas 4. punkta imperatīvo jeb obligātā administratīvā akta formulējumu, individuāls vērtējums tiek īstenots katrā lietā, izvērtējot ar naturalizācijas atteikumu radīto tiesību ierobežojuma samērīgumu, lai konstatētu, vai tomēr nepastāv tiesisks pamats atkāpties no normā noteiktā regulējuma (</w:t>
      </w:r>
      <w:r w:rsidRPr="006C59AB">
        <w:rPr>
          <w:rFonts w:ascii="Times New Roman" w:eastAsia="Times New Roman" w:hAnsi="Times New Roman"/>
          <w:i/>
          <w:noProof/>
          <w:sz w:val="28"/>
          <w:szCs w:val="28"/>
        </w:rPr>
        <w:t>sk. Latvijas Republikas Augstākās tiesas Senāta Administratīvo lietu departamenta 2007. gada 8. marta sprieduma lietā Nr. SKA-89/2007 11.1. apakšpunktu</w:t>
      </w:r>
      <w:r w:rsidRPr="006C59AB">
        <w:rPr>
          <w:rFonts w:ascii="Times New Roman" w:eastAsia="Times New Roman" w:hAnsi="Times New Roman"/>
          <w:noProof/>
          <w:sz w:val="28"/>
          <w:szCs w:val="28"/>
        </w:rPr>
        <w:t>). Tād</w:t>
      </w:r>
      <w:r w:rsidRPr="006C59AB">
        <w:rPr>
          <w:rFonts w:ascii="Times New Roman" w:eastAsia="Times New Roman" w:hAnsi="Times New Roman"/>
          <w:noProof/>
          <w:sz w:val="28"/>
          <w:szCs w:val="28"/>
        </w:rPr>
        <w:t xml:space="preserve">ējādi secināms, ka Pilsonības likuma </w:t>
      </w:r>
      <w:r w:rsidRPr="006C59AB">
        <w:rPr>
          <w:rFonts w:ascii="Times New Roman" w:eastAsia="Times New Roman" w:hAnsi="Times New Roman"/>
          <w:noProof/>
          <w:sz w:val="28"/>
          <w:szCs w:val="28"/>
        </w:rPr>
        <w:lastRenderedPageBreak/>
        <w:t>11. panta pirmās daļas 4. punktā noteiktais naturalizācijas ierobežojums ir samērīgs.</w:t>
      </w:r>
    </w:p>
    <w:p w14:paraId="0ECE578F" w14:textId="080FD8A8" w:rsidR="006C59AB" w:rsidRPr="006C59AB" w:rsidRDefault="00D17B89" w:rsidP="006C59AB">
      <w:pPr>
        <w:widowControl/>
        <w:tabs>
          <w:tab w:val="left" w:pos="-1701"/>
        </w:tabs>
        <w:spacing w:after="0" w:line="240" w:lineRule="auto"/>
        <w:ind w:firstLine="720"/>
        <w:jc w:val="both"/>
        <w:rPr>
          <w:rFonts w:ascii="Times New Roman" w:eastAsia="Times New Roman" w:hAnsi="Times New Roman"/>
          <w:noProof/>
          <w:sz w:val="28"/>
          <w:szCs w:val="28"/>
        </w:rPr>
      </w:pPr>
      <w:r w:rsidRPr="006C59AB">
        <w:rPr>
          <w:rFonts w:ascii="Times New Roman" w:eastAsia="Times New Roman" w:hAnsi="Times New Roman"/>
          <w:noProof/>
          <w:sz w:val="28"/>
          <w:szCs w:val="28"/>
        </w:rPr>
        <w:t xml:space="preserve">Atbildot uz jautājumu par attiecīgā ierobežojuma saglabāšanu, norādāms, ka Latvijas sabiedrības </w:t>
      </w:r>
      <w:r w:rsidR="006524A2" w:rsidRPr="006C59AB">
        <w:rPr>
          <w:rFonts w:ascii="Times New Roman" w:eastAsia="Times New Roman" w:hAnsi="Times New Roman"/>
          <w:noProof/>
          <w:sz w:val="28"/>
          <w:szCs w:val="28"/>
        </w:rPr>
        <w:t xml:space="preserve">daļas </w:t>
      </w:r>
      <w:r w:rsidRPr="006C59AB">
        <w:rPr>
          <w:rFonts w:ascii="Times New Roman" w:eastAsia="Times New Roman" w:hAnsi="Times New Roman"/>
          <w:noProof/>
          <w:sz w:val="28"/>
          <w:szCs w:val="28"/>
        </w:rPr>
        <w:t>simpatizēšana totalitārajām idejām un pozitīvās atmiņas par PSRS okupācijas periodu rada sevišķus riskus Latvijas valsts demokrātiskajai  valsts  iekārtai,  nacionālai drošībai  un  Latvijas  teritoriālajai  integritātei, īpaši pēc 2022. gada 24. februāra, kad Krievijas Federācija uzsāka plaša mēroga agresīvu karu pret neatkarīgu, starptautiski atzītu valsti.</w:t>
      </w:r>
      <w:r>
        <w:rPr>
          <w:rFonts w:ascii="Times New Roman" w:eastAsia="Times New Roman" w:hAnsi="Times New Roman"/>
          <w:noProof/>
          <w:sz w:val="28"/>
          <w:szCs w:val="28"/>
        </w:rPr>
        <w:t xml:space="preserve"> </w:t>
      </w:r>
      <w:r w:rsidRPr="006C59AB">
        <w:rPr>
          <w:rFonts w:ascii="Times New Roman" w:eastAsia="Times New Roman" w:hAnsi="Times New Roman"/>
          <w:noProof/>
          <w:sz w:val="28"/>
          <w:szCs w:val="28"/>
        </w:rPr>
        <w:t>Tādējādi, ņemot vērā valsts drošības nodrošināšanas aspektu, šobrīd pastāvošos ģeopolitiskos apstākļus</w:t>
      </w:r>
      <w:r w:rsidR="006524A2">
        <w:rPr>
          <w:rFonts w:ascii="Times New Roman" w:eastAsia="Times New Roman" w:hAnsi="Times New Roman"/>
          <w:noProof/>
          <w:sz w:val="28"/>
          <w:szCs w:val="28"/>
        </w:rPr>
        <w:t xml:space="preserve"> un</w:t>
      </w:r>
      <w:r w:rsidRPr="006C59AB">
        <w:rPr>
          <w:rFonts w:ascii="Times New Roman" w:eastAsia="Times New Roman" w:hAnsi="Times New Roman"/>
          <w:noProof/>
          <w:sz w:val="28"/>
          <w:szCs w:val="28"/>
        </w:rPr>
        <w:t xml:space="preserve"> to, ka personas darbošanās VDK uzskatā</w:t>
      </w:r>
      <w:r w:rsidRPr="006C59AB">
        <w:rPr>
          <w:rFonts w:ascii="Times New Roman" w:eastAsia="Times New Roman" w:hAnsi="Times New Roman"/>
          <w:noProof/>
          <w:sz w:val="28"/>
          <w:szCs w:val="28"/>
        </w:rPr>
        <w:t>ma par darbību, kas rada šaubas par personas lojalitāti valstij, individuālās vērtēšanas procedūras esību, kā arī faktu, ka lustrācijas pasākumi pastāvēs ierobežotu laika posmu savas specifikas dēļ, jo tiem ir pagaidu raksturs un ar laiku objektīvā nepieciešamība pēc no tiem izrietošu individuālo tiesību ierobežojumiem samazinās (</w:t>
      </w:r>
      <w:r w:rsidRPr="006C59AB">
        <w:rPr>
          <w:rFonts w:ascii="Times New Roman" w:eastAsia="Times New Roman" w:hAnsi="Times New Roman"/>
          <w:i/>
          <w:noProof/>
          <w:sz w:val="28"/>
          <w:szCs w:val="28"/>
        </w:rPr>
        <w:t xml:space="preserve">sk. Eiropas Cilvēktiesību tiesas 2008. gada 24. jūlija sprieduma lietā Nr. 3669/03 Ādamsons </w:t>
      </w:r>
      <w:r>
        <w:rPr>
          <w:rFonts w:ascii="Times New Roman" w:eastAsia="Times New Roman" w:hAnsi="Times New Roman"/>
          <w:i/>
          <w:noProof/>
          <w:sz w:val="28"/>
          <w:szCs w:val="28"/>
        </w:rPr>
        <w:t>pret</w:t>
      </w:r>
      <w:r w:rsidRPr="006C59AB">
        <w:rPr>
          <w:rFonts w:ascii="Times New Roman" w:eastAsia="Times New Roman" w:hAnsi="Times New Roman"/>
          <w:i/>
          <w:noProof/>
          <w:sz w:val="28"/>
          <w:szCs w:val="28"/>
        </w:rPr>
        <w:t xml:space="preserve"> Latvi</w:t>
      </w:r>
      <w:r>
        <w:rPr>
          <w:rFonts w:ascii="Times New Roman" w:eastAsia="Times New Roman" w:hAnsi="Times New Roman"/>
          <w:i/>
          <w:noProof/>
          <w:sz w:val="28"/>
          <w:szCs w:val="28"/>
        </w:rPr>
        <w:t>ju</w:t>
      </w:r>
      <w:r w:rsidRPr="006C59AB">
        <w:rPr>
          <w:rFonts w:ascii="Times New Roman" w:eastAsia="Times New Roman" w:hAnsi="Times New Roman"/>
          <w:i/>
          <w:noProof/>
          <w:sz w:val="28"/>
          <w:szCs w:val="28"/>
        </w:rPr>
        <w:t xml:space="preserve"> 116.</w:t>
      </w:r>
      <w:r>
        <w:rPr>
          <w:rFonts w:ascii="Times New Roman" w:eastAsia="Times New Roman" w:hAnsi="Times New Roman"/>
          <w:i/>
          <w:noProof/>
          <w:sz w:val="28"/>
          <w:szCs w:val="28"/>
        </w:rPr>
        <w:t> </w:t>
      </w:r>
      <w:r w:rsidRPr="006C59AB">
        <w:rPr>
          <w:rFonts w:ascii="Times New Roman" w:eastAsia="Times New Roman" w:hAnsi="Times New Roman"/>
          <w:i/>
          <w:noProof/>
          <w:sz w:val="28"/>
          <w:szCs w:val="28"/>
        </w:rPr>
        <w:t>punktu</w:t>
      </w:r>
      <w:r w:rsidRPr="006C59AB">
        <w:rPr>
          <w:rFonts w:ascii="Times New Roman" w:eastAsia="Times New Roman" w:hAnsi="Times New Roman"/>
          <w:noProof/>
          <w:sz w:val="28"/>
          <w:szCs w:val="28"/>
        </w:rPr>
        <w:t>), Iekšlietu ministrijas ieskatā ir saskatāma nepieciešamība Pil</w:t>
      </w:r>
      <w:r w:rsidRPr="006C59AB">
        <w:rPr>
          <w:rFonts w:ascii="Times New Roman" w:eastAsia="Times New Roman" w:hAnsi="Times New Roman"/>
          <w:noProof/>
          <w:sz w:val="28"/>
          <w:szCs w:val="28"/>
        </w:rPr>
        <w:t>sonības likumā paredzētajam ierobežojumam VDK darbiniekiem pastāvēt vēl kādu ierobežotu laika posmu.</w:t>
      </w:r>
    </w:p>
    <w:p w14:paraId="1D01BF6D" w14:textId="2303196C"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2. Repatriācijas likums.</w:t>
      </w:r>
    </w:p>
    <w:p w14:paraId="67196E18" w14:textId="66E654B3"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Repatriācijas likuma 10.</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panta pirmās daļas 5.</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 xml:space="preserve">punktā paredzēts ierobežojums piešķirt personai repatrianta statusu, ja persona ir bijusi PSRS VDK, izlūkdienesta vai drošības dienesta darbinieks, informators, aģents vai arī konspiratīvo dzīvokļu turētājs, ja šis fakts konstatēts likumā noteiktajā kārtībā. </w:t>
      </w:r>
    </w:p>
    <w:p w14:paraId="55A18315" w14:textId="7E4A131F"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Ievērojot, ka repatrianta statusa saņemšana personai rada uzturēšanās tiesības Latvijā un pamatu noteiktam repatriācijas subjektu lokam vēlāk atbilstoši Pilsonības likumā noteiktajiem nosacījumiem iegūt Latvijas pilsonību, arī uz Repatriācijas likumā ietverto ierobežojumu ir attiecināmi iepriekš izklāstītie valsts drošības, kā arī ģeopolitiskie apsvērumi.</w:t>
      </w:r>
    </w:p>
    <w:p w14:paraId="302E99D7" w14:textId="3688D473"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Vienlaikus vēršama uzmanība, ka atbilstoši grozījumiem Repatriācijas likumā, kas stājās spēkā 2023. gada 1. jūlijā, iesniegumi par repatrianta statusa un repatrianta ģimenes locekļa statusa piešķiršanu no 2024. gada 1. janvāra netiek pieņemti. Proti, saskaņā ar Repatriācijas likuma pārejas noteikumu 9. punktu šā likuma 9., 9.</w:t>
      </w:r>
      <w:r>
        <w:rPr>
          <w:rFonts w:ascii="Times New Roman" w:eastAsia="Times New Roman" w:hAnsi="Times New Roman"/>
          <w:noProof/>
          <w:sz w:val="28"/>
          <w:szCs w:val="28"/>
          <w:vertAlign w:val="superscript"/>
        </w:rPr>
        <w:t>1</w:t>
      </w:r>
      <w:r w:rsidRPr="006C59AB">
        <w:rPr>
          <w:rFonts w:ascii="Times New Roman" w:eastAsia="Times New Roman" w:hAnsi="Times New Roman"/>
          <w:noProof/>
          <w:sz w:val="28"/>
          <w:szCs w:val="28"/>
        </w:rPr>
        <w:t xml:space="preserve"> un 9.</w:t>
      </w:r>
      <w:r>
        <w:rPr>
          <w:rFonts w:ascii="Times New Roman" w:eastAsia="Times New Roman" w:hAnsi="Times New Roman"/>
          <w:noProof/>
          <w:sz w:val="28"/>
          <w:szCs w:val="28"/>
          <w:vertAlign w:val="superscript"/>
        </w:rPr>
        <w:t>2</w:t>
      </w:r>
      <w:r w:rsidRPr="006C59AB">
        <w:rPr>
          <w:rFonts w:ascii="Times New Roman" w:eastAsia="Times New Roman" w:hAnsi="Times New Roman"/>
          <w:noProof/>
          <w:sz w:val="28"/>
          <w:szCs w:val="28"/>
        </w:rPr>
        <w:t xml:space="preserve"> pants (</w:t>
      </w:r>
      <w:r w:rsidRPr="006C59AB">
        <w:rPr>
          <w:rFonts w:ascii="Times New Roman" w:eastAsia="Times New Roman" w:hAnsi="Times New Roman"/>
          <w:i/>
          <w:noProof/>
          <w:sz w:val="28"/>
          <w:szCs w:val="28"/>
        </w:rPr>
        <w:t>dokumentu iesniegšana repatrianta statusa iegūšanai, lēmuma pieņemšana un uzturēšanās atļaujas izsniegšana</w:t>
      </w:r>
      <w:r w:rsidRPr="006C59AB">
        <w:rPr>
          <w:rFonts w:ascii="Times New Roman" w:eastAsia="Times New Roman" w:hAnsi="Times New Roman"/>
          <w:noProof/>
          <w:sz w:val="28"/>
          <w:szCs w:val="28"/>
        </w:rPr>
        <w:t>) zaudē spēku 2024. gada 1. janvārī. Savukārt saskaņā ar Repatr</w:t>
      </w:r>
      <w:r w:rsidRPr="006C59AB">
        <w:rPr>
          <w:rFonts w:ascii="Times New Roman" w:eastAsia="Times New Roman" w:hAnsi="Times New Roman"/>
          <w:noProof/>
          <w:sz w:val="28"/>
          <w:szCs w:val="28"/>
        </w:rPr>
        <w:t>iācijas likuma pārejas noteikumu 10. un 11.</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punktu iesniegumus par repatrianta statusa un repatrianta ģimenes locekļa statusa piešķiršanu, kas iesniegti līdz 2023.</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gada 30.</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 xml:space="preserve">jūnijam, un iesniegumus materiālās palīdzības saņemšanai, kas iesniegti līdz 2023. gada 30. jūnijam, izskata saskaņā ar šā likuma noteikumiem, kādi bija </w:t>
      </w:r>
      <w:r w:rsidRPr="006C59AB">
        <w:rPr>
          <w:rFonts w:ascii="Times New Roman" w:eastAsia="Times New Roman" w:hAnsi="Times New Roman"/>
          <w:noProof/>
          <w:sz w:val="28"/>
          <w:szCs w:val="28"/>
        </w:rPr>
        <w:t>spēkā 2023.</w:t>
      </w:r>
      <w:r>
        <w:rPr>
          <w:rFonts w:ascii="Times New Roman" w:eastAsia="Times New Roman" w:hAnsi="Times New Roman"/>
          <w:noProof/>
          <w:sz w:val="28"/>
          <w:szCs w:val="28"/>
        </w:rPr>
        <w:t> </w:t>
      </w:r>
      <w:r w:rsidRPr="006C59AB">
        <w:rPr>
          <w:rFonts w:ascii="Times New Roman" w:eastAsia="Times New Roman" w:hAnsi="Times New Roman"/>
          <w:noProof/>
          <w:sz w:val="28"/>
          <w:szCs w:val="28"/>
        </w:rPr>
        <w:t>gada 30. jūnijā, arī iesniegumus par repatrianta statusa un repatrianta ģimenes locekļa statusa piešķiršanu, kas iesniegti laikposmā no 2023. gada 1. jūlija līdz 2023. gada 31.</w:t>
      </w:r>
      <w:r w:rsidR="00EA18D0">
        <w:rPr>
          <w:rFonts w:ascii="Times New Roman" w:eastAsia="Times New Roman" w:hAnsi="Times New Roman"/>
          <w:noProof/>
          <w:sz w:val="28"/>
          <w:szCs w:val="28"/>
        </w:rPr>
        <w:t> </w:t>
      </w:r>
      <w:r w:rsidRPr="006C59AB">
        <w:rPr>
          <w:rFonts w:ascii="Times New Roman" w:eastAsia="Times New Roman" w:hAnsi="Times New Roman"/>
          <w:noProof/>
          <w:sz w:val="28"/>
          <w:szCs w:val="28"/>
        </w:rPr>
        <w:t>decembrim, izskata saskaņā ar šā likuma noteikumiem, kādi bija spēkā 2023.</w:t>
      </w:r>
      <w:r w:rsidR="00EA18D0">
        <w:rPr>
          <w:rFonts w:ascii="Times New Roman" w:eastAsia="Times New Roman" w:hAnsi="Times New Roman"/>
          <w:noProof/>
          <w:sz w:val="28"/>
          <w:szCs w:val="28"/>
        </w:rPr>
        <w:t> </w:t>
      </w:r>
      <w:r w:rsidRPr="006C59AB">
        <w:rPr>
          <w:rFonts w:ascii="Times New Roman" w:eastAsia="Times New Roman" w:hAnsi="Times New Roman"/>
          <w:noProof/>
          <w:sz w:val="28"/>
          <w:szCs w:val="28"/>
        </w:rPr>
        <w:t>gada 1.</w:t>
      </w:r>
      <w:r w:rsidR="00EA18D0">
        <w:rPr>
          <w:rFonts w:ascii="Times New Roman" w:eastAsia="Times New Roman" w:hAnsi="Times New Roman"/>
          <w:noProof/>
          <w:sz w:val="28"/>
          <w:szCs w:val="28"/>
        </w:rPr>
        <w:t> </w:t>
      </w:r>
      <w:r w:rsidRPr="006C59AB">
        <w:rPr>
          <w:rFonts w:ascii="Times New Roman" w:eastAsia="Times New Roman" w:hAnsi="Times New Roman"/>
          <w:noProof/>
          <w:sz w:val="28"/>
          <w:szCs w:val="28"/>
        </w:rPr>
        <w:t xml:space="preserve">jūlijā. Savukārt saskaņā ar likumu “Par Repatriācijas likuma atzīšanu par spēku zaudējušu” Repatriācijas likums 2028. gada 1. jūlijā zaudēs </w:t>
      </w:r>
      <w:r w:rsidRPr="006C59AB">
        <w:rPr>
          <w:rFonts w:ascii="Times New Roman" w:eastAsia="Times New Roman" w:hAnsi="Times New Roman"/>
          <w:noProof/>
          <w:sz w:val="28"/>
          <w:szCs w:val="28"/>
        </w:rPr>
        <w:lastRenderedPageBreak/>
        <w:t>spēku. Līdz ar to Repatriācijas likuma 10. panta pirmās daļas 5. punkta normas darbības laiks ir ier</w:t>
      </w:r>
      <w:r w:rsidRPr="006C59AB">
        <w:rPr>
          <w:rFonts w:ascii="Times New Roman" w:eastAsia="Times New Roman" w:hAnsi="Times New Roman"/>
          <w:noProof/>
          <w:sz w:val="28"/>
          <w:szCs w:val="28"/>
        </w:rPr>
        <w:t>obežots līdz brīdim, kad noslēgsies administratīvais process par pēdējo Repatriācijas likumā noteiktajā termiņā iesniegto personas iesniegumu par repatrianta statusa iegūšanu.</w:t>
      </w:r>
    </w:p>
    <w:p w14:paraId="06D0A573" w14:textId="5FCAE363"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3. Likums “Par Otrā pasaules kara dalībnieka statusu”.</w:t>
      </w:r>
    </w:p>
    <w:p w14:paraId="0D67E62D" w14:textId="6A376134"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Saskaņā ar likuma “</w:t>
      </w:r>
      <w:r w:rsidR="00AD34C9">
        <w:rPr>
          <w:rFonts w:ascii="Times New Roman" w:eastAsia="Times New Roman" w:hAnsi="Times New Roman"/>
          <w:noProof/>
          <w:sz w:val="28"/>
          <w:szCs w:val="28"/>
        </w:rPr>
        <w:t>P</w:t>
      </w:r>
      <w:r w:rsidRPr="006C59AB">
        <w:rPr>
          <w:rFonts w:ascii="Times New Roman" w:eastAsia="Times New Roman" w:hAnsi="Times New Roman"/>
          <w:noProof/>
          <w:sz w:val="28"/>
          <w:szCs w:val="28"/>
        </w:rPr>
        <w:t>ar Otrā pasaules kara dalībnieka statusu” 3.</w:t>
      </w:r>
      <w:r w:rsidR="00EA18D0">
        <w:rPr>
          <w:rFonts w:ascii="Times New Roman" w:eastAsia="Times New Roman" w:hAnsi="Times New Roman"/>
          <w:noProof/>
          <w:sz w:val="28"/>
          <w:szCs w:val="28"/>
        </w:rPr>
        <w:t> </w:t>
      </w:r>
      <w:r w:rsidRPr="006C59AB">
        <w:rPr>
          <w:rFonts w:ascii="Times New Roman" w:eastAsia="Times New Roman" w:hAnsi="Times New Roman"/>
          <w:noProof/>
          <w:sz w:val="28"/>
          <w:szCs w:val="28"/>
        </w:rPr>
        <w:t>panta 3.</w:t>
      </w:r>
      <w:r w:rsidR="00EA18D0">
        <w:rPr>
          <w:rFonts w:ascii="Times New Roman" w:eastAsia="Times New Roman" w:hAnsi="Times New Roman"/>
          <w:noProof/>
          <w:sz w:val="28"/>
          <w:szCs w:val="28"/>
        </w:rPr>
        <w:t> </w:t>
      </w:r>
      <w:r w:rsidRPr="006C59AB">
        <w:rPr>
          <w:rFonts w:ascii="Times New Roman" w:eastAsia="Times New Roman" w:hAnsi="Times New Roman"/>
          <w:noProof/>
          <w:sz w:val="28"/>
          <w:szCs w:val="28"/>
        </w:rPr>
        <w:t>punktu par Otrā pasaules kara dalībnieku nav atzīstama persona, ja tā ir bijusi PSRS vai LPSR VDK vai tās priekšteču (Iekšlietu tautas komisariāta, Valsts drošības tautas komisariāta, Valsts drošības ministrijas, Iekšlietu ministrijas Drošības pārvaldes) darbinieks vai VDK vai tās priekšteču iznīcinātāju bataljonu kaujinieks, izņemot personu, kura bijusi tikai PSRS vai LPSR VDK plānošanas un finanšu, kā arī administratīvi saimniecisko</w:t>
      </w:r>
      <w:r w:rsidRPr="006C59AB">
        <w:rPr>
          <w:rFonts w:ascii="Times New Roman" w:eastAsia="Times New Roman" w:hAnsi="Times New Roman"/>
          <w:noProof/>
          <w:sz w:val="28"/>
          <w:szCs w:val="28"/>
        </w:rPr>
        <w:t xml:space="preserve"> struktūrvienību darbinieks.</w:t>
      </w:r>
    </w:p>
    <w:p w14:paraId="73D33BE9" w14:textId="77777777" w:rsidR="00EA18D0"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 xml:space="preserve">Minētais ierobežojums ir saglabājams, ievērojot tā leģitīmo mērķi, kas izriet no Satversmes ievadā ietvertās konstitucionālās identitātes nesaderības ar komunistisko un nacistisko totalitāro režīmu un to noziegumiem. </w:t>
      </w:r>
    </w:p>
    <w:p w14:paraId="65F60511" w14:textId="643F5BA5"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Tāpat šā ierobežojuma leģitīmais mērķis ietverts likuma “Par Otrā pasaules kara dalībnieka statusu” 1. pantā, k</w:t>
      </w:r>
      <w:r w:rsidR="006C4FAC">
        <w:rPr>
          <w:rFonts w:ascii="Times New Roman" w:eastAsia="Times New Roman" w:hAnsi="Times New Roman"/>
          <w:noProof/>
          <w:sz w:val="28"/>
          <w:szCs w:val="28"/>
        </w:rPr>
        <w:t>as</w:t>
      </w:r>
      <w:r w:rsidRPr="006C59AB">
        <w:rPr>
          <w:rFonts w:ascii="Times New Roman" w:eastAsia="Times New Roman" w:hAnsi="Times New Roman"/>
          <w:noProof/>
          <w:sz w:val="28"/>
          <w:szCs w:val="28"/>
        </w:rPr>
        <w:t xml:space="preserve"> no</w:t>
      </w:r>
      <w:r w:rsidR="006C4FAC">
        <w:rPr>
          <w:rFonts w:ascii="Times New Roman" w:eastAsia="Times New Roman" w:hAnsi="Times New Roman"/>
          <w:noProof/>
          <w:sz w:val="28"/>
          <w:szCs w:val="28"/>
        </w:rPr>
        <w:t>saka</w:t>
      </w:r>
      <w:r w:rsidRPr="006C59AB">
        <w:rPr>
          <w:rFonts w:ascii="Times New Roman" w:eastAsia="Times New Roman" w:hAnsi="Times New Roman"/>
          <w:noProof/>
          <w:sz w:val="28"/>
          <w:szCs w:val="28"/>
        </w:rPr>
        <w:t>, ka, apzinoties, ka Latvijas Republika nav juridiski atbildīga par okupācijas varu nodarījumiem Latvijas Republikas teritorijā tās okupācijas laikā un kā okupēta valsts Otrā pasaules kara laikā karadarbībā nepiedalījās, šā likuma mērķis ir noteikt Otrā pasaules kara dalībnieka statusu Latvijas pilsoņiem, kuri šā kara laikā citu valstu regulāro militāro vienību sastāvā piedalījās bruņotā c</w:t>
      </w:r>
      <w:r w:rsidRPr="006C59AB">
        <w:rPr>
          <w:rFonts w:ascii="Times New Roman" w:eastAsia="Times New Roman" w:hAnsi="Times New Roman"/>
          <w:noProof/>
          <w:sz w:val="28"/>
          <w:szCs w:val="28"/>
        </w:rPr>
        <w:t>īņā pret PSRS, nacistiskās Vācijas vai tās sabiedroto militārajiem formējumiem, kā arī veicināt vienotu sabiedrības izpratni par Otro pasaules karu un vienlīdzīgu attieksmi pret tā dalībniekiem.</w:t>
      </w:r>
    </w:p>
    <w:p w14:paraId="2A2D4A46" w14:textId="3485271F" w:rsidR="006C59AB" w:rsidRPr="006C59AB" w:rsidRDefault="00D17B89" w:rsidP="006C59AB">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Pr="006C59AB">
        <w:rPr>
          <w:rFonts w:ascii="Times New Roman" w:eastAsia="Times New Roman" w:hAnsi="Times New Roman"/>
          <w:noProof/>
          <w:sz w:val="28"/>
          <w:szCs w:val="28"/>
        </w:rPr>
        <w:t xml:space="preserve">Tādējādi, veicinot vienlīdzīgu attieksmi pret Otrā pasaules kara dalībniekiem, neatkarīgi no tā, kurā pusē persona piedalījās bruņotajā cīņā, likumdevējs skaidri paudis gribu nenoteikt </w:t>
      </w:r>
      <w:r w:rsidR="001370AC">
        <w:rPr>
          <w:rFonts w:ascii="Times New Roman" w:eastAsia="Times New Roman" w:hAnsi="Times New Roman"/>
          <w:noProof/>
          <w:sz w:val="28"/>
          <w:szCs w:val="28"/>
        </w:rPr>
        <w:t xml:space="preserve">attiecīgo </w:t>
      </w:r>
      <w:r w:rsidRPr="006C59AB">
        <w:rPr>
          <w:rFonts w:ascii="Times New Roman" w:eastAsia="Times New Roman" w:hAnsi="Times New Roman"/>
          <w:noProof/>
          <w:sz w:val="28"/>
          <w:szCs w:val="28"/>
        </w:rPr>
        <w:t>statusu personai, kura ir bijusi dalībnieks jebkurā no kāda noziedzīgā režīma represīvajām (vai par noziedzīgu atzītajām) organizācijām vai vienībām, neatkarīgi no tā, kuras valsts organizācija vai vienība tā ir bijusi.</w:t>
      </w:r>
    </w:p>
    <w:p w14:paraId="3B78771C" w14:textId="62CB48EE" w:rsidR="00735284" w:rsidRPr="00EA18D0" w:rsidRDefault="00D17B89" w:rsidP="00EA18D0">
      <w:pPr>
        <w:widowControl/>
        <w:tabs>
          <w:tab w:val="left" w:pos="-1701"/>
        </w:tabs>
        <w:spacing w:after="0" w:line="240" w:lineRule="auto"/>
        <w:rPr>
          <w:rFonts w:ascii="Times New Roman" w:eastAsia="Times New Roman" w:hAnsi="Times New Roman"/>
          <w:b/>
          <w:noProof/>
          <w:sz w:val="28"/>
          <w:szCs w:val="28"/>
        </w:rPr>
      </w:pPr>
      <w:r w:rsidRPr="006C59AB">
        <w:rPr>
          <w:rFonts w:ascii="Times New Roman" w:eastAsia="Times New Roman" w:hAnsi="Times New Roman"/>
          <w:b/>
          <w:noProof/>
          <w:sz w:val="28"/>
          <w:szCs w:val="28"/>
        </w:rPr>
        <w:t xml:space="preserve">   </w:t>
      </w:r>
      <w:r w:rsidRPr="006C59AB">
        <w:rPr>
          <w:rFonts w:ascii="Times New Roman" w:eastAsia="Times New Roman" w:hAnsi="Times New Roman"/>
          <w:b/>
          <w:noProof/>
          <w:sz w:val="28"/>
          <w:szCs w:val="28"/>
        </w:rPr>
        <w:tab/>
      </w:r>
    </w:p>
    <w:tbl>
      <w:tblPr>
        <w:tblW w:w="0" w:type="auto"/>
        <w:tblLook w:val="04A0" w:firstRow="1" w:lastRow="0" w:firstColumn="1" w:lastColumn="0" w:noHBand="0" w:noVBand="1"/>
      </w:tblPr>
      <w:tblGrid>
        <w:gridCol w:w="4539"/>
        <w:gridCol w:w="4546"/>
      </w:tblGrid>
      <w:tr w:rsidR="00765544" w14:paraId="3B78771F" w14:textId="77777777" w:rsidTr="00735284">
        <w:tc>
          <w:tcPr>
            <w:tcW w:w="4650" w:type="dxa"/>
            <w:hideMark/>
          </w:tcPr>
          <w:p w14:paraId="6D42DC4F" w14:textId="77777777" w:rsidR="006C4FAC" w:rsidRDefault="006C4FAC">
            <w:pPr>
              <w:spacing w:after="0" w:line="240" w:lineRule="auto"/>
              <w:rPr>
                <w:rFonts w:ascii="Times New Roman" w:hAnsi="Times New Roman"/>
                <w:noProof/>
                <w:sz w:val="28"/>
                <w:szCs w:val="28"/>
              </w:rPr>
            </w:pPr>
          </w:p>
          <w:p w14:paraId="3B78771D" w14:textId="6DABA76C" w:rsidR="00735284" w:rsidRDefault="00D17B89">
            <w:pPr>
              <w:spacing w:after="0" w:line="240" w:lineRule="auto"/>
              <w:rPr>
                <w:rFonts w:ascii="Times New Roman" w:hAnsi="Times New Roman"/>
                <w:sz w:val="28"/>
                <w:szCs w:val="28"/>
              </w:rPr>
            </w:pPr>
            <w:r>
              <w:rPr>
                <w:rFonts w:ascii="Times New Roman" w:hAnsi="Times New Roman"/>
                <w:noProof/>
                <w:sz w:val="28"/>
                <w:szCs w:val="28"/>
              </w:rPr>
              <w:t>Valsts sekretārs</w:t>
            </w:r>
          </w:p>
        </w:tc>
        <w:tc>
          <w:tcPr>
            <w:tcW w:w="4651" w:type="dxa"/>
            <w:hideMark/>
          </w:tcPr>
          <w:p w14:paraId="69071627" w14:textId="77777777" w:rsidR="006C4FAC" w:rsidRDefault="006C4FAC">
            <w:pPr>
              <w:spacing w:after="0" w:line="240" w:lineRule="auto"/>
              <w:jc w:val="right"/>
              <w:rPr>
                <w:rFonts w:ascii="Times New Roman" w:hAnsi="Times New Roman"/>
                <w:noProof/>
                <w:sz w:val="28"/>
                <w:szCs w:val="28"/>
              </w:rPr>
            </w:pPr>
          </w:p>
          <w:p w14:paraId="3B78771E" w14:textId="390AA920" w:rsidR="00735284" w:rsidRDefault="00D17B89">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3B787720" w14:textId="77777777" w:rsidR="00735284" w:rsidRDefault="00735284" w:rsidP="00735284">
      <w:pPr>
        <w:spacing w:after="0" w:line="240" w:lineRule="auto"/>
        <w:rPr>
          <w:rFonts w:ascii="Times New Roman" w:hAnsi="Times New Roman"/>
          <w:sz w:val="28"/>
          <w:szCs w:val="28"/>
        </w:rPr>
      </w:pPr>
    </w:p>
    <w:p w14:paraId="3B787721" w14:textId="77777777" w:rsidR="00735284" w:rsidRDefault="00735284" w:rsidP="00735284">
      <w:pPr>
        <w:spacing w:after="0" w:line="240" w:lineRule="auto"/>
        <w:rPr>
          <w:rFonts w:ascii="Times New Roman" w:hAnsi="Times New Roman"/>
          <w:sz w:val="28"/>
          <w:szCs w:val="28"/>
        </w:rPr>
      </w:pPr>
    </w:p>
    <w:p w14:paraId="3B787724" w14:textId="77777777" w:rsidR="00EF39F9" w:rsidRPr="00EA18D0" w:rsidRDefault="00D17B89" w:rsidP="00EF39F9">
      <w:pPr>
        <w:spacing w:after="0" w:line="240" w:lineRule="auto"/>
        <w:rPr>
          <w:rFonts w:ascii="Times New Roman" w:hAnsi="Times New Roman"/>
          <w:sz w:val="20"/>
          <w:szCs w:val="20"/>
        </w:rPr>
      </w:pPr>
      <w:r w:rsidRPr="00EA18D0">
        <w:rPr>
          <w:rFonts w:ascii="Times New Roman" w:hAnsi="Times New Roman"/>
          <w:noProof/>
          <w:sz w:val="20"/>
          <w:szCs w:val="20"/>
        </w:rPr>
        <w:t>Ieva Miķelsone</w:t>
      </w:r>
      <w:r w:rsidRPr="00EA18D0">
        <w:rPr>
          <w:rFonts w:ascii="Times New Roman" w:hAnsi="Times New Roman"/>
          <w:sz w:val="20"/>
          <w:szCs w:val="20"/>
        </w:rPr>
        <w:t xml:space="preserve">, </w:t>
      </w:r>
      <w:r w:rsidRPr="00EA18D0">
        <w:rPr>
          <w:rFonts w:ascii="Times New Roman" w:hAnsi="Times New Roman"/>
          <w:noProof/>
          <w:sz w:val="20"/>
          <w:szCs w:val="20"/>
        </w:rPr>
        <w:t>67219417</w:t>
      </w:r>
    </w:p>
    <w:p w14:paraId="3B787725" w14:textId="77777777" w:rsidR="00EF39F9" w:rsidRPr="00EA18D0" w:rsidRDefault="00D17B89" w:rsidP="00EF39F9">
      <w:pPr>
        <w:spacing w:after="0" w:line="240" w:lineRule="auto"/>
        <w:rPr>
          <w:rFonts w:ascii="Times New Roman" w:hAnsi="Times New Roman"/>
          <w:sz w:val="20"/>
          <w:szCs w:val="20"/>
        </w:rPr>
      </w:pPr>
      <w:r w:rsidRPr="00EA18D0">
        <w:rPr>
          <w:rFonts w:ascii="Times New Roman" w:hAnsi="Times New Roman"/>
          <w:noProof/>
          <w:sz w:val="20"/>
          <w:szCs w:val="20"/>
        </w:rPr>
        <w:t>ieva.mikelsone@iem.gov.lv</w:t>
      </w:r>
    </w:p>
    <w:p w14:paraId="3B787726" w14:textId="77777777" w:rsidR="00EF39F9" w:rsidRDefault="00EF39F9" w:rsidP="00EF39F9">
      <w:pPr>
        <w:spacing w:after="0" w:line="240" w:lineRule="auto"/>
        <w:rPr>
          <w:rFonts w:ascii="Times New Roman" w:hAnsi="Times New Roman"/>
          <w:sz w:val="28"/>
          <w:szCs w:val="28"/>
        </w:rPr>
      </w:pPr>
    </w:p>
    <w:p w14:paraId="2CAEBCF0" w14:textId="77777777" w:rsidR="00EA18D0" w:rsidRDefault="00EA18D0" w:rsidP="00735284">
      <w:pPr>
        <w:spacing w:after="0" w:line="240" w:lineRule="auto"/>
        <w:rPr>
          <w:rFonts w:ascii="Times New Roman" w:hAnsi="Times New Roman"/>
          <w:sz w:val="28"/>
          <w:szCs w:val="28"/>
        </w:rPr>
      </w:pPr>
    </w:p>
    <w:p w14:paraId="3B787729" w14:textId="77777777" w:rsidR="00735284" w:rsidRDefault="00D17B89"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3B78772B"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01179" w14:textId="77777777" w:rsidR="00D17B89" w:rsidRDefault="00D17B89">
      <w:pPr>
        <w:spacing w:after="0" w:line="240" w:lineRule="auto"/>
      </w:pPr>
      <w:r>
        <w:separator/>
      </w:r>
    </w:p>
  </w:endnote>
  <w:endnote w:type="continuationSeparator" w:id="0">
    <w:p w14:paraId="0E6FC347" w14:textId="77777777" w:rsidR="00D17B89" w:rsidRDefault="00D1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7732" w14:textId="77777777" w:rsidR="004367B9" w:rsidRPr="004367B9" w:rsidRDefault="004367B9" w:rsidP="004367B9">
    <w:pPr>
      <w:pStyle w:val="Kjene"/>
      <w:jc w:val="center"/>
      <w:rPr>
        <w:rFonts w:ascii="Times New Roman" w:hAnsi="Times New Roman"/>
      </w:rPr>
    </w:pPr>
  </w:p>
  <w:p w14:paraId="3B787733" w14:textId="77777777" w:rsidR="004367B9" w:rsidRDefault="004367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7736" w14:textId="77777777" w:rsidR="004367B9" w:rsidRPr="004367B9" w:rsidRDefault="004367B9" w:rsidP="004367B9">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94B3F" w14:textId="77777777" w:rsidR="00D17B89" w:rsidRDefault="00D17B89">
      <w:pPr>
        <w:spacing w:after="0" w:line="240" w:lineRule="auto"/>
      </w:pPr>
      <w:r>
        <w:separator/>
      </w:r>
    </w:p>
  </w:footnote>
  <w:footnote w:type="continuationSeparator" w:id="0">
    <w:p w14:paraId="5ED231D2" w14:textId="77777777" w:rsidR="00D17B89" w:rsidRDefault="00D17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88759"/>
      <w:docPartObj>
        <w:docPartGallery w:val="Page Numbers (Top of Page)"/>
        <w:docPartUnique/>
      </w:docPartObj>
    </w:sdtPr>
    <w:sdtEndPr>
      <w:rPr>
        <w:noProof/>
      </w:rPr>
    </w:sdtEndPr>
    <w:sdtContent>
      <w:p w14:paraId="2FA49685" w14:textId="23E914A7" w:rsidR="00EA18D0" w:rsidRDefault="00D17B89">
        <w:pPr>
          <w:pStyle w:val="Galvene"/>
          <w:jc w:val="center"/>
        </w:pPr>
        <w:r>
          <w:fldChar w:fldCharType="begin"/>
        </w:r>
        <w:r>
          <w:instrText xml:space="preserve"> PAGE   \* MERGEFORMAT </w:instrText>
        </w:r>
        <w:r>
          <w:fldChar w:fldCharType="separate"/>
        </w:r>
        <w:r w:rsidR="00556BAC">
          <w:rPr>
            <w:noProof/>
          </w:rPr>
          <w:t>5</w:t>
        </w:r>
        <w:r>
          <w:rPr>
            <w:noProof/>
          </w:rPr>
          <w:fldChar w:fldCharType="end"/>
        </w:r>
      </w:p>
    </w:sdtContent>
  </w:sdt>
  <w:p w14:paraId="3B787731" w14:textId="77777777" w:rsidR="004367B9" w:rsidRDefault="004367B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87734" w14:textId="77777777" w:rsidR="004367B9" w:rsidRPr="004367B9" w:rsidRDefault="004367B9" w:rsidP="004367B9">
    <w:pPr>
      <w:pStyle w:val="Galvene"/>
      <w:jc w:val="center"/>
      <w:rPr>
        <w:rFonts w:ascii="Times New Roman" w:hAnsi="Times New Roman"/>
      </w:rPr>
    </w:pPr>
  </w:p>
  <w:p w14:paraId="3B787735" w14:textId="77777777" w:rsidR="00BD6774" w:rsidRPr="00BD6774" w:rsidRDefault="00BD6774" w:rsidP="00BD6774">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868130206">
    <w:abstractNumId w:val="10"/>
  </w:num>
  <w:num w:numId="2" w16cid:durableId="573053632">
    <w:abstractNumId w:val="8"/>
  </w:num>
  <w:num w:numId="3" w16cid:durableId="1615987805">
    <w:abstractNumId w:val="7"/>
  </w:num>
  <w:num w:numId="4" w16cid:durableId="364524877">
    <w:abstractNumId w:val="6"/>
  </w:num>
  <w:num w:numId="5" w16cid:durableId="780539210">
    <w:abstractNumId w:val="5"/>
  </w:num>
  <w:num w:numId="6" w16cid:durableId="1162236886">
    <w:abstractNumId w:val="9"/>
  </w:num>
  <w:num w:numId="7" w16cid:durableId="2095396889">
    <w:abstractNumId w:val="4"/>
  </w:num>
  <w:num w:numId="8" w16cid:durableId="345642537">
    <w:abstractNumId w:val="3"/>
  </w:num>
  <w:num w:numId="9" w16cid:durableId="2064520976">
    <w:abstractNumId w:val="2"/>
  </w:num>
  <w:num w:numId="10" w16cid:durableId="2110926424">
    <w:abstractNumId w:val="1"/>
  </w:num>
  <w:num w:numId="11" w16cid:durableId="406146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6577"/>
    <w:rsid w:val="000169CE"/>
    <w:rsid w:val="00030349"/>
    <w:rsid w:val="000466E7"/>
    <w:rsid w:val="00053C57"/>
    <w:rsid w:val="00092CB0"/>
    <w:rsid w:val="000B1A9F"/>
    <w:rsid w:val="000D541A"/>
    <w:rsid w:val="00121F6E"/>
    <w:rsid w:val="00124173"/>
    <w:rsid w:val="00127E58"/>
    <w:rsid w:val="00132130"/>
    <w:rsid w:val="001370AC"/>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3235"/>
    <w:rsid w:val="004367B9"/>
    <w:rsid w:val="00444EF8"/>
    <w:rsid w:val="00472AFF"/>
    <w:rsid w:val="00482A77"/>
    <w:rsid w:val="00493308"/>
    <w:rsid w:val="0051400B"/>
    <w:rsid w:val="00520A93"/>
    <w:rsid w:val="00535564"/>
    <w:rsid w:val="00556BAC"/>
    <w:rsid w:val="00581BB0"/>
    <w:rsid w:val="005A1BCB"/>
    <w:rsid w:val="005C346B"/>
    <w:rsid w:val="00606767"/>
    <w:rsid w:val="00612BE7"/>
    <w:rsid w:val="00614C67"/>
    <w:rsid w:val="00651581"/>
    <w:rsid w:val="006524A2"/>
    <w:rsid w:val="006616D2"/>
    <w:rsid w:val="00663C3A"/>
    <w:rsid w:val="00670E89"/>
    <w:rsid w:val="006B01C5"/>
    <w:rsid w:val="006C1639"/>
    <w:rsid w:val="006C4FAC"/>
    <w:rsid w:val="006C59AB"/>
    <w:rsid w:val="006D7CB6"/>
    <w:rsid w:val="006E7CDB"/>
    <w:rsid w:val="006F1F22"/>
    <w:rsid w:val="00735284"/>
    <w:rsid w:val="0074324D"/>
    <w:rsid w:val="00765544"/>
    <w:rsid w:val="007704BD"/>
    <w:rsid w:val="007828AA"/>
    <w:rsid w:val="007A47FD"/>
    <w:rsid w:val="007B3BA5"/>
    <w:rsid w:val="007B482B"/>
    <w:rsid w:val="007B48EC"/>
    <w:rsid w:val="007E4D1F"/>
    <w:rsid w:val="00815277"/>
    <w:rsid w:val="00876177"/>
    <w:rsid w:val="00876C21"/>
    <w:rsid w:val="0088699D"/>
    <w:rsid w:val="00887D85"/>
    <w:rsid w:val="008B0755"/>
    <w:rsid w:val="008D13B4"/>
    <w:rsid w:val="0095403B"/>
    <w:rsid w:val="00954D5A"/>
    <w:rsid w:val="00996108"/>
    <w:rsid w:val="009B0210"/>
    <w:rsid w:val="009F01EE"/>
    <w:rsid w:val="00A27A9F"/>
    <w:rsid w:val="00A44201"/>
    <w:rsid w:val="00A9424B"/>
    <w:rsid w:val="00AD34C9"/>
    <w:rsid w:val="00AD474F"/>
    <w:rsid w:val="00B04502"/>
    <w:rsid w:val="00B72FB2"/>
    <w:rsid w:val="00B91CD1"/>
    <w:rsid w:val="00BD3CC7"/>
    <w:rsid w:val="00BD6774"/>
    <w:rsid w:val="00C47F57"/>
    <w:rsid w:val="00C80A36"/>
    <w:rsid w:val="00C9108F"/>
    <w:rsid w:val="00C95BBC"/>
    <w:rsid w:val="00CE17EE"/>
    <w:rsid w:val="00CE607C"/>
    <w:rsid w:val="00CF3A42"/>
    <w:rsid w:val="00D17B89"/>
    <w:rsid w:val="00D21FA6"/>
    <w:rsid w:val="00D442EB"/>
    <w:rsid w:val="00D55642"/>
    <w:rsid w:val="00D55B4B"/>
    <w:rsid w:val="00D703DE"/>
    <w:rsid w:val="00DB76AE"/>
    <w:rsid w:val="00DC2F13"/>
    <w:rsid w:val="00DD194F"/>
    <w:rsid w:val="00DD656A"/>
    <w:rsid w:val="00DF6135"/>
    <w:rsid w:val="00E365CE"/>
    <w:rsid w:val="00E40CFB"/>
    <w:rsid w:val="00E436D8"/>
    <w:rsid w:val="00E84CE3"/>
    <w:rsid w:val="00E86986"/>
    <w:rsid w:val="00EA18D0"/>
    <w:rsid w:val="00EC3999"/>
    <w:rsid w:val="00EE1DAE"/>
    <w:rsid w:val="00EF3368"/>
    <w:rsid w:val="00EF39F9"/>
    <w:rsid w:val="00F05AE8"/>
    <w:rsid w:val="00F14C3F"/>
    <w:rsid w:val="00F45E39"/>
    <w:rsid w:val="00F52301"/>
    <w:rsid w:val="00F60586"/>
    <w:rsid w:val="00FA2E22"/>
    <w:rsid w:val="00FA7179"/>
    <w:rsid w:val="00FC4D81"/>
    <w:rsid w:val="00FF69B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76FF"/>
  <w15:chartTrackingRefBased/>
  <w15:docId w15:val="{1BF229BE-D7EB-4219-BD83-885E4C25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703E9-5A30-49FC-A580-72E3BFF7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9236</Words>
  <Characters>5265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Liene Zariņa</cp:lastModifiedBy>
  <cp:revision>2</cp:revision>
  <cp:lastPrinted>2021-01-22T08:28:00Z</cp:lastPrinted>
  <dcterms:created xsi:type="dcterms:W3CDTF">2024-03-19T12:20:00Z</dcterms:created>
  <dcterms:modified xsi:type="dcterms:W3CDTF">2024-03-19T12:20:00Z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