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24-TA-1030: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var piesaistīt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sabiedrība ar ierobežotu atbildību "Slimnīca "Ģintermuiža""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paredz iespēju nepiesaistīt un neiesaistīt  VSIA “Piejūras slimnīca”, VSIA "Daugavpils psihoneiroloģiskā slimnīca", VSIA “Slimnīca “Ģintermuiža””, VSIA "Strenču psihoneiroloģiskā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piesaista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Noteikumu 11. punktā kopējais pieejamais finansējums sadalās šādā proporcijā: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VSIA “Piejūras slimnīca”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VSIA "Daugavpils psihoneiroloģiskā slimnīca - 25%;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VSIA “Slimnīca “Ģintermuiža””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 VSIA "Strenču psihoneiroloģiskā slimnīca"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23.1.5. VSIA “Rīgas psihiatrijas un narkoloģijas centrs” - 25%.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iesniedzējs un sadarbības partneris var slēgt vienošanos un vienoties par lielāku vai mazāku proporcijas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VSIA “Rīgas psihiatrijas un narkoloģijas centrs”, būdams atbildīgs par metodiskās vadības nodrošināšanu valsts sniegtajiem pakalpojumiem psihiskās veselības jomā, izstrādās plānu un kartējumu šīs funkcijas efektīvai nodrošināšanai. Attiecīgi, sagatavojot projekta iesniegumu, VSIA “Rīgas psihiatrijas un narkoloģijas centrs” tiekoties ar potenciālajiem sadarbības partneriem, izvērtēs, kuras no minētajām ārstniecības iestādēm projektā ir iesaistāmas sadarbības partneru statusā. Tāpat, ņemot vērā pieejamā finansējuma apjomu, tiks izvērtētas prioritārās īstenojamās būvniecības un medicīnas tehnoloģiju vajadzības.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var piesaistīt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un īstenošanas personāla izmaksas, kas radušās uz darba līguma vai uzņēmuma līguma pamata, tai skaitā normatīvajos aktos nodarbinātības jomā noteiktās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projekta vadības un īstenošanas personāla atlīdzības izmaksām piemērot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ņemot vērā, ka tas samazinās administratīvo slogu visiem iesaistītajiem. Gadījumā, ja vienotās likmes piemērošana nav iespējama, lūdzam piemērot citu vienkāršoto izmaksu veidu, attiecīgi izstrādājot metodiku un saskaņojot to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12. lapā - Tāpat, ja projekta ietvaros tiks attiecinātas projekta vadības nodrošināšanas izmaksas, to dati tiks izmantoti vienotās likmes noteikšanai vadības personāla atlīdzības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personāla izmaksas, kas radušās uz darba līguma vai uzņēmuma līguma pamata, tai skaitā normatīvajos aktos nodarbinātības jomā noteiktās piemaksas un nodokļi: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nodrošina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2021/1060 47. un 50. pantu un normatīvajiem aktiem par kārtību, kādā Eiropas Savienības fondu vadībā iesaistītās institūcijas nodrošina šo fondu ieviešanu 2021. – 2027. gada plānošanas periodā, kā arī ievēro Eiropas Savienības fondu 2021. – 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46.1. apakšpunktā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šo noteikumu </w:t>
            </w:r>
            <w:r w:rsidR="00000000" w:rsidRPr="00000000" w:rsidDel="00000000">
              <w:rPr>
                <w:rtl w:val="0"/>
              </w:rPr>
              <w:t xml:space="preserve">30.4.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2021/1060 47. un 50. pantu un normatīvajiem aktiem par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nodrošina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2021/1060 47. un 50. pantu un normatīvajiem aktiem par kārtību, kādā Eiropas Savienības fondu vadībā iesaistītās institūcijas nodrošina šo fondu ieviešanu 2021. – 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noteikumu Nr. 205 "Valsts budžeta līdzekļu plānošanas kārtība Eiropas Savienības fondu projektu īstenošanai un maksājumu veikšanai 2021.–2027. gada plānošanas periodā" 10. punkts paredz, ka avansa apmērs nepārsniedz 30 % no projektam piešķirtā Eiropas Savienības fonda finansējuma un, ja tas ir paredzēts projektā, </w:t>
            </w:r>
            <w:r w:rsidR="00000000" w:rsidRPr="00000000" w:rsidDel="00000000">
              <w:rPr>
                <w:u w:val="single"/>
                <w:rtl w:val="0"/>
              </w:rPr>
              <w:t xml:space="preserve">valsts budžeta līdzfinansējuma kopsummas</w:t>
            </w:r>
            <w:r w:rsidR="00000000" w:rsidRPr="00000000" w:rsidDel="00000000">
              <w:rPr>
                <w:rtl w:val="0"/>
              </w:rPr>
              <w:t xml:space="preserve">. Ņemot vērā, ka noteikumu projekts paredz arī valsts budžeta līdzfinansējumu, lūdzam atbilstoši papildināt noteikumu projekta 47. punktu.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TAP portālā (pieejamas Ministru kabineta tīmekļvietnē - https://www.mk.gov.lv/lv/media/16905/download?attachment) noteikt projekta saturam atbilstošu projekta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par vienkāršoto izmaksu izstrādes iespējām personāla izmaksām, lūdzam papildināt anotāciju ar informāciju, ka projekta īstenošanas laikā, kad būs uzkrāti pietiekami daudz datu par projekta darbību izmaksām, Veselības ministrija atkārtoti izvērtēs iespējas vienkāršoto izmaksu piemērošanai šai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tai skaitā pasākuma ietvaros – 199 794 personas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punktā, ka trešās kārtas ietvaros uzlabotās veselības aprūpes iestādes vismaz vienu reizi gada laikā apmeklēs 199 794 personas gadā, ņemot vērā, ka 4.1.1.1.pasākuma ietvaros tās būs 3 687 497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tai skaitā pasākuma ietvaros – 199 794 personas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sabiedrība ar ierobežotu atbildību "Strenču psihoneiroloģiskā slimnīca"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kādās proporcijās būs pieejams finansējums pārējām specializētām slimnīcām, kas nodrošina valsts apmaksātus stacionāros psihiskās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un sadarbības partneri slēdz vienošanos par proporcionālu kopējā pieejamā finansējuma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norādīts finansējuma proporcionālais sadalījums, jo  VSIA “Rīgas psihiatrijas un narkoloģijas centrs”, būdams atbildīgs par metodiskās vadības nodrošināšanu valsts sniegtajiem pakalpojumiem psihiskās veselības jomā, izstrādās plānu un kartējumu, kā arī noteiks projekta  finansējuma sadalījumu šīs funkcijas efektīvai nodrošināšanai. Tāpat, ņemot vērā pieejamā finansējuma apjomu, tiks izvērtētas prioritārās īstenojamās būvniecības un medicīnas tehnoloģiju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attiecināmais Eiropas Reģionālās attīstības fonda finansējums nepārsniedz 85 procentus, nacionālais līdzfinansējums, kas iekļauj valsts budžeta un privāto līdzfinansējumu, ir ne mazāks par 15 procentiem no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pasākumam pieejamā kopējā finansējuma. Attiecināmais nacionālais privātais finansējuma saņēmēja un sadarbības partneru līdzfinansējums tiek noteikts saskaņā ar šo noteikumu </w:t>
            </w:r>
            <w:r w:rsidR="00000000" w:rsidRPr="00000000" w:rsidDel="00000000">
              <w:rPr>
                <w:rtl w:val="0"/>
              </w:rPr>
              <w:t xml:space="preserve">41.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12.punktu, nosakot, ka valsts budžeta finansējuma apmērs nedrīkst pārsniegt 15 procentus no pasākumam pieejamā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nesaskatām iespēju papildināt noteikumu projektu ar teikumu “Valsts budžeta finansējuma apmērs nedrīkst pārsniegt 15 procentus no pasākumam pieejamā kopējā finansējuma.” – ņemot vērā, ka Eiropas Reģionālās attīstības fonda (turpmāk – ERAF) finansējums nedrīkst pārsniegt 85 procentus, bieži matemātiski nav iespējams nodrošināt, ka nacionālā līdzfinansējuma daļa (kas iekļauj valsts budžeta un privāto līdzfinansējumu) nepārsniedz 15 procentus. Šis pārsniegums ir neliels, tikai noapaļošanas dēļ, tomēr tas ir iespējams.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attiecināmais Eiropas Reģionālās attīstības fonda finansējums nepārsniedz 85 procentus, nacionālais līdzfinansējums, kas iekļauj valsts budžeta un privāto līdzfinansējumu, nav mazāks par 15 procentiem no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pasākumam pieejamā kopējā finansējuma. Attiecināmais nacionālais privātais finansējuma saņēmēja un sadarbības partneru līdzfinansējums tiek noteikts saskaņā ar šo noteikumu </w:t>
            </w:r>
            <w:r w:rsidR="00000000" w:rsidRPr="00000000" w:rsidDel="00000000">
              <w:rPr>
                <w:rtl w:val="0"/>
              </w:rPr>
              <w:t xml:space="preserve">40.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var piesaistīt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sabiedrība ar ierobežotu atbildību "Strenču psihoneiroloģiskā slimnīca"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noteikumu formulējums diskriminē pārējos pakalpojumu sniedzējus, neparedzot iespēju pretendēt uz finansējumu jebkurai citai specializētai ārstniecības iestādei, kas nodrošina valsts apmaksātus stacionāros psihiskās veselības aprūpes pakalpojumus, izņemot VSIA "Rīgas psihiatrijas un narkoloģijas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23.Projekta iesniedzējs sadarbības partneru statusā pasākumā </w:t>
            </w:r>
            <w:r w:rsidR="00000000" w:rsidRPr="00000000" w:rsidDel="00000000">
              <w:rPr>
                <w:b w:val="1"/>
                <w:rtl w:val="0"/>
              </w:rPr>
              <w:t xml:space="preserve">piesaista</w:t>
            </w:r>
            <w:r w:rsidR="00000000" w:rsidRPr="00000000" w:rsidDel="00000000">
              <w:rPr>
                <w:rtl w:val="0"/>
              </w:rPr>
              <w:t xml:space="preserve">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"Slimnīca"Ģintermuiža"", VSIA "Strenču psihoneiroloģiskā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VSIA “Rīgas psihiatrijas un narkoloģijas centrs”, būdams atbildīgs par metodiskās vadības nodrošināšanu valsts sniegtajiem pakalpojumiem psihiskās veselības jomā, izstrādās plānu un kartējumu šīs funkcijas efektīvai nodrošināšanai. Attiecīgi, sagatavojot projekta iesniegumu, VSIA “Rīgas psihiatrijas un narkoloģijas centrs” tiekoties ar potenciālajiem sadarbības partneriem, izvērtēs, kuras no minētajām ārstniecības iestādēm projektā ir iesaistāmas sadarbības partneru statusā. Tāpat, ņemot vērā pieejamā finansējuma apjomu, tiks izvērtētas prioritārās īstenojamās būvniecības un medicīnas tehnoloģiju vajadzības.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var piesaistīt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26.punktu, ja nepieciešams iekļaujot šo informāciju anotācijā, lai nedublētu Ministru kabineta 2023. gada 13. jūlija noteikumos Nr. 408 "Kārtība, kādā Eiropas Savienības fondu vadībā iesaistītās institūcijas nodrošina šo fondu ieviešanu 2021.–2027. gada plānošanas periodā"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26. punkts, informācija norādīta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un īstenošanas personāla izmaksas, kas radušās uz darba līguma vai uzņēmuma līguma pamata, tai skaitā normatīvajos aktos nodarbinātības jomā noteiktās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dzēst informāciju par projekta īstenošanas personālu, jo projekta īstenošanā tiek iesaistīts tikai projekta vadības personāls. Saskaņot informāciju arī MK noteikumu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īstenošanas personālu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personāla izmaksas, kas radušās uz darba līguma vai uzņēmuma līguma pamata, tai skaitā normatīvajos aktos nodarbinātības jomā noteiktās piemaksas un nodokļi: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tiešās projekta vadības personāla izmaksas Eiropas Reģionālās attīstības fonda daļai nepārsniedz 84 787 </w:t>
            </w:r>
            <w:r w:rsidR="00000000" w:rsidRPr="00000000" w:rsidDel="00000000">
              <w:rPr>
                <w:i w:val="1"/>
                <w:rtl w:val="0"/>
              </w:rPr>
              <w:t xml:space="preserve">euro</w:t>
            </w:r>
            <w:r w:rsidR="00000000" w:rsidRPr="00000000" w:rsidDel="00000000">
              <w:rPr>
                <w:rtl w:val="0"/>
              </w:rPr>
              <w:t xml:space="preserve">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30.1.apakšpunktu un anotācijā iekļauto informāciju par projekta vadības personāla izmaksu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projekta vadības personāla izmaksas Eiropas Reģionālās attīstības fonda daļai nepārsniedz 84 787 euro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tiešās attiecināmās projekta vadības personāla izmaksas Eiropas Reģionālās attīstības fonda daļai nepārsniedz 84 787 </w:t>
            </w:r>
            <w:r w:rsidR="00000000" w:rsidRPr="00000000" w:rsidDel="00000000">
              <w:rPr>
                <w:i w:val="1"/>
                <w:rtl w:val="0"/>
              </w:rPr>
              <w:t xml:space="preserve">euro</w:t>
            </w:r>
            <w:r w:rsidR="00000000" w:rsidRPr="00000000" w:rsidDel="00000000">
              <w:rPr>
                <w:rtl w:val="0"/>
              </w:rPr>
              <w:t xml:space="preserve"> kalendārajā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izmaksu apmērs nepārsniedz 84 787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personāla izmaksas plānots projektā segt kā faktiskās izmaksas, aicinām precizēt redakciju atbilstoši attiecināmības vadlīnijām "Vadlīnijas attiecināmo izmaksu noteikšanai Eiropas Savienības kohēzijas politikas programmas 2021.-2027. gada plānošanas periodā", kas paredz, ka "projektiem ar tiešām attiecināmām izmaksām virs 5 milj. EUR, jāparedz maksimālais ierobežojums ES fondu daļai tiešajām projekta vadības personāla izmaksām līdz 84 787 EUR kalendārajā gadā". Lūdzam veikt precizējumus gan noteikumu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31.1.tiešās projekta vadības personāla izmaksas Eiropas Reģionālās attīstības fonda daļai nepārsniedz 84 787 EUR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tiešās attiecināmās projekta vadības personāla izmaksas Eiropas Reģionālās attīstības fonda daļai nepārsniedz 84 787 </w:t>
            </w:r>
            <w:r w:rsidR="00000000" w:rsidRPr="00000000" w:rsidDel="00000000">
              <w:rPr>
                <w:i w:val="1"/>
                <w:rtl w:val="0"/>
              </w:rPr>
              <w:t xml:space="preserve">euro</w:t>
            </w:r>
            <w:r w:rsidR="00000000" w:rsidRPr="00000000" w:rsidDel="00000000">
              <w:rPr>
                <w:rtl w:val="0"/>
              </w:rPr>
              <w:t xml:space="preserve"> kalendārajā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finansējuma saņēmējs projektu plānošanai un īstenošanas kontrolei izveido vadības un kontroles komisiju un reizi ceturksnī organizē pārskata sanāksmes par projektu progresu, uz kurām uzaicina atbildīgās iestādes un sadarbības iestādes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un finansējuma saņemšanas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atbilstoši Regulas Nr. 2021/1060 9. panta 4. punktam un Eiropas Parlamenta un Padomes 2020. gada 18. jūnija Regulas (ES) 2020/852 par regulējuma izveidi ilgtspējīgu ieguldījumu veicināšanai un ar kuru groza Regulu (ES) 2019/2088, 17. pantam nodrošina, ka tiek ievēroti šādi principa "Nenodarīt būtisku kaitējumu" vides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svītrojams noteikumu projekta 46.7. apakšpunkts, par principa "Nenodarīt būtisku kaitējumu" vides mērķu ievērošanu, ņemot vērā, ka principa “Nenodarīt būtisku kaitējumu” novērtējums tiešā veidā neattiecas uz 4.1.1.1.pasākuma 3.kārtā atbalstāmajām darbībām, un Veselības ministrija nav plānojusi noteikt nosacījumus, kas pārsniedz nacionālajā horizontālajā regulējumā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lūdzam atstāt anotācijā aprakstu, par principa “Nenodarīt būtisku kaitējumu”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nav plānojusi noteikt nosacījumus, kas pārsniedz nacionālajā horizontālajā regulējumā noteikto prasību ievērošanu attiecībā uz zaļo publisko iepirkumu, lūdzam izvērtēt, vai noteikumu projekta 46.9. apakšpunktā nav jāsvītro teksts, par zaļo publisko iepirkumu, atstājot tikai aprakstu anotācijā, ka zaļais publiskais iepirkums tiks piemērots atbilstoši nacionālajai horizontālajam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stratēģijas Baltijas jūras reģionam (ESSBJR) intervences kodu, t.i., ka investīcijām piemērojams Makroreģionālā un jūras baseinu stratēģija kods 03 - Baltijas jūras reģiona stratēģija.a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informācija par sinerģiju, papildinātību ar ES un citiem atbalsta instrumentiem, piemēram, Atveseļošanas un noturības mehānisma investīcijām, vai citiem ES kohēzijas politikas programmas 2021. – 2027. gadam SAM vai pasākumiem,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pie principa “Nenodarīt būtisku kaitējumu”, ka Veselības ministrija nav plānojusi noteikt nosacījumus, kas pārsniedz nacionālajā horizontālajā regulējumā noteikto prasību ievērošanu attiecībā uz zaļo publisko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problēmas un risinājumi" informāciju, ka projekta iesniegumā neiekļauj un finansējumu nepiešķir darbībām, kas pabeigtas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risinājumu apraksta sadaļā vārdu “pieejamība” aizstāt ar vārdu “piekļūstamība”. Paskaidrojam,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sadaļas pirmo teikumu ar vārdiem "informācijas piekļūstamība". Paskaidrojam, ka, lai nodrošinātu cilvēku ar dažāda veida funkcionāliem traucējumiem, tai skaitā cilvēkiem ar psihiskās veselības traucējumiem, drošību un ērtu pakalpojumu saņemšanu, ir nepieciešama arī informācijas piekļūstamība (norādes, piktogrammas, apzīmējumi, kontrastējoši marķējumi u.c.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un </w:t>
            </w:r>
            <w:r w:rsidR="00000000" w:rsidRPr="00000000" w:rsidDel="00000000">
              <w:rPr>
                <w:b w:val="1"/>
                <w:rtl w:val="0"/>
              </w:rPr>
              <w:t xml:space="preserve">informācijas piekļūstamības</w:t>
            </w:r>
            <w:r w:rsidR="00000000" w:rsidRPr="00000000" w:rsidDel="00000000">
              <w:rPr>
                <w:rtl w:val="0"/>
              </w:rPr>
              <w:t xml:space="preserve"> (tajā skaitā, lai nodrošinātu piekļuvi personām ar </w:t>
            </w:r>
            <w:r w:rsidR="00000000" w:rsidRPr="00000000" w:rsidDel="00000000">
              <w:rPr>
                <w:b w:val="1"/>
                <w:rtl w:val="0"/>
              </w:rPr>
              <w:t xml:space="preserve">dažādiem</w:t>
            </w:r>
            <w:r w:rsidR="00000000" w:rsidRPr="00000000" w:rsidDel="00000000">
              <w:rPr>
                <w:rtl w:val="0"/>
              </w:rPr>
              <w:t xml:space="preserve"> funkcionāliem traucējumiem)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veikt tehniskus precizējumus atbilstoši HP VINPI [1]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HP VINPI rādītāja redakciju atbilstoši tai, kas ir definēta MK noteikumu 46.2.2.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HP VINPI vērtēšanas kritērija veidu - 4.1.1.1. pasākuma projektu atlasē tiks piemērots specifiskais atbilstības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pasākuma projektu atlasē tiks piemērots specifiskais atbilstības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24-TA-1030</w:t>
    </w:r>
    <w:r>
      <w:br/>
    </w:r>
    <w:r w:rsidR="00000000" w:rsidRPr="00000000" w:rsidDel="00000000">
      <w:rPr>
        <w:rtl w:val="0"/>
      </w:rPr>
      <w:t xml:space="preserve">11.07.2024. 15.41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24-TA-1030</w:t>
    </w:r>
    <w:r>
      <w:br/>
    </w:r>
    <w:r w:rsidR="00000000" w:rsidRPr="00000000" w:rsidDel="00000000">
      <w:rPr>
        <w:rtl w:val="0"/>
      </w:rPr>
      <w:t xml:space="preserve">11.07.2024. 15.41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Izziņa_24-TA-1030.docx</dc:title>
</cp:coreProperties>
</file>

<file path=docProps/custom.xml><?xml version="1.0" encoding="utf-8"?>
<Properties xmlns="http://schemas.openxmlformats.org/officeDocument/2006/custom-properties" xmlns:vt="http://schemas.openxmlformats.org/officeDocument/2006/docPropsVTypes"/>
</file>