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25-TA-128: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28. jūlija noteikumos Nr. 423 "Prasības ar jonizējošo starojumu apstrādātai pārtikai un tās papildu marķējumam"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(30.11.2015.)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19.09.2025. 15:15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skaidrota ziņojuma pienākuma noteikšana saskaņā ar </w:t>
            </w:r>
            <w:r w:rsidR="00000000" w:rsidRPr="00000000" w:rsidDel="00000000">
              <w:rPr>
                <w:i w:val="1"/>
                <w:rtl w:val="0"/>
              </w:rPr>
              <w:t xml:space="preserve">Eiropas Parlamenta un Padomes 2017. gada 15. marta Regulas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w:t>
            </w:r>
            <w:r w:rsidR="00000000" w:rsidRPr="00000000" w:rsidDel="00000000">
              <w:rPr>
                <w:rtl w:val="0"/>
              </w:rPr>
              <w:t xml:space="preserve">113.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regulas saskaņā ar Līguma par Eiropas Savienības darbību 288.panta otro daļu ir vispārpiemērojamas, tās uzliek saistības kopumā un ir tieši piemērojamas visās dalībvalstīs, lūdzam to prasību ievērošana un nacionālo tiesību aktu sasaisti atspoguļot anotācijas 5.4. sadaļas 1. tabulā. Minētās tabulas mērķis ir parādīt, kā nacionālais tiesību akts atbilst attiecīgajam Eiropas Savienības tiesību aktam un nodrošina tā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5.4.sadaļa un 7.4.sadaļa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25-TA-128</w:t>
    </w:r>
    <w:r>
      <w:br/>
    </w:r>
    <w:r w:rsidR="00000000" w:rsidRPr="00000000" w:rsidDel="00000000">
      <w:rPr>
        <w:rtl w:val="0"/>
      </w:rPr>
      <w:t xml:space="preserve">13.11.2025. 17.06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25-TA-128</w:t>
    </w:r>
    <w:r>
      <w:br/>
    </w:r>
    <w:r w:rsidR="00000000" w:rsidRPr="00000000" w:rsidDel="00000000">
      <w:rPr>
        <w:rtl w:val="0"/>
      </w:rPr>
      <w:t xml:space="preserve">13.11.2025. 17.06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Izziņa_25-TA-128.docx</dc:title>
</cp:coreProperties>
</file>

<file path=docProps/custom.xml><?xml version="1.0" encoding="utf-8"?>
<Properties xmlns="http://schemas.openxmlformats.org/officeDocument/2006/custom-properties" xmlns:vt="http://schemas.openxmlformats.org/officeDocument/2006/docPropsVTypes"/>
</file>