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9979" w14:textId="66C5894E" w:rsidR="00B24523" w:rsidRPr="008807A9" w:rsidRDefault="00B24523" w:rsidP="008B4196">
      <w:pPr>
        <w:spacing w:after="120" w:line="240" w:lineRule="auto"/>
        <w:jc w:val="center"/>
        <w:rPr>
          <w:rFonts w:ascii="Gotham Pro LT" w:eastAsia="Times New Roman" w:hAnsi="Gotham Pro LT" w:cs="Gotham Pro LT"/>
        </w:rPr>
      </w:pPr>
      <w:r w:rsidRPr="008807A9">
        <w:rPr>
          <w:rFonts w:ascii="Gotham Pro LT" w:eastAsia="Times New Roman" w:hAnsi="Gotham Pro LT" w:cs="Gotham Pro LT"/>
        </w:rPr>
        <w:t>Rīgā</w:t>
      </w:r>
    </w:p>
    <w:p w14:paraId="43315385" w14:textId="77777777" w:rsidR="00185F05" w:rsidRPr="008807A9" w:rsidRDefault="00185F05" w:rsidP="008B4196">
      <w:pPr>
        <w:spacing w:after="120" w:line="240" w:lineRule="auto"/>
        <w:jc w:val="center"/>
        <w:rPr>
          <w:rFonts w:ascii="Gotham Pro LT" w:eastAsia="Times New Roman" w:hAnsi="Gotham Pro LT" w:cs="Gotham Pro LT"/>
        </w:rPr>
      </w:pPr>
    </w:p>
    <w:tbl>
      <w:tblPr>
        <w:tblW w:w="9464" w:type="dxa"/>
        <w:tblLayout w:type="fixed"/>
        <w:tblLook w:val="0000" w:firstRow="0" w:lastRow="0" w:firstColumn="0" w:lastColumn="0" w:noHBand="0" w:noVBand="0"/>
      </w:tblPr>
      <w:tblGrid>
        <w:gridCol w:w="4928"/>
        <w:gridCol w:w="4536"/>
      </w:tblGrid>
      <w:tr w:rsidR="00A2429F" w:rsidRPr="008807A9" w14:paraId="08F3997E" w14:textId="77777777" w:rsidTr="00D07E80">
        <w:trPr>
          <w:cantSplit/>
          <w:trHeight w:val="971"/>
        </w:trPr>
        <w:tc>
          <w:tcPr>
            <w:tcW w:w="4928" w:type="dxa"/>
          </w:tcPr>
          <w:p w14:paraId="08F3997A" w14:textId="5B245C51" w:rsidR="00D07E80" w:rsidRPr="008807A9" w:rsidRDefault="00000000" w:rsidP="008B4196">
            <w:pPr>
              <w:spacing w:after="120" w:line="240" w:lineRule="auto"/>
              <w:jc w:val="both"/>
              <w:rPr>
                <w:rFonts w:ascii="Gotham Pro LT" w:eastAsia="Times New Roman" w:hAnsi="Gotham Pro LT" w:cs="Gotham Pro LT"/>
              </w:rPr>
            </w:pPr>
            <w:sdt>
              <w:sdtPr>
                <w:rPr>
                  <w:rFonts w:ascii="Gotham Pro LT" w:eastAsia="Times New Roman" w:hAnsi="Gotham Pro LT" w:cs="Gotham Pro LT"/>
                </w:rPr>
                <w:alias w:val="Reģistrēšanas datums"/>
                <w:tag w:val="DokRegDatums"/>
                <w:id w:val="-134111700"/>
                <w:placeholder>
                  <w:docPart w:val="A834D5A16F4C44F29DA4359B433FD429"/>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RegDatums[1]" w:storeItemID="{2DFF2E7C-4C4B-44D9-AB99-D3D6EA390431}"/>
                <w:date w:fullDate="2021-01-11T17:03:00Z">
                  <w:dateFormat w:val="dd.MM.yyyy"/>
                  <w:lid w:val="lv-LV"/>
                  <w:storeMappedDataAs w:val="dateTime"/>
                  <w:calendar w:val="gregorian"/>
                </w:date>
              </w:sdtPr>
              <w:sdtContent>
                <w:r w:rsidR="0092573E">
                  <w:rPr>
                    <w:rFonts w:ascii="Gotham Pro LT" w:eastAsia="Times New Roman" w:hAnsi="Gotham Pro LT" w:cs="Gotham Pro LT"/>
                  </w:rPr>
                  <w:t>11.01.2021</w:t>
                </w:r>
              </w:sdtContent>
            </w:sdt>
            <w:r w:rsidR="00D07E80" w:rsidRPr="008807A9">
              <w:rPr>
                <w:rFonts w:ascii="Gotham Pro LT" w:eastAsia="Times New Roman" w:hAnsi="Gotham Pro LT" w:cs="Gotham Pro LT"/>
              </w:rPr>
              <w:t xml:space="preserve"> </w:t>
            </w:r>
            <w:r w:rsidR="0092573E">
              <w:rPr>
                <w:rFonts w:ascii="Gotham Pro LT" w:eastAsia="Times New Roman" w:hAnsi="Gotham Pro LT" w:cs="Gotham Pro LT"/>
              </w:rPr>
              <w:t xml:space="preserve"> </w:t>
            </w:r>
            <w:r w:rsidR="00D07E80" w:rsidRPr="008807A9">
              <w:rPr>
                <w:rFonts w:ascii="Gotham Pro LT" w:eastAsia="Times New Roman" w:hAnsi="Gotham Pro LT" w:cs="Gotham Pro LT"/>
              </w:rPr>
              <w:t xml:space="preserve">Nr. </w:t>
            </w:r>
            <w:sdt>
              <w:sdtPr>
                <w:rPr>
                  <w:rFonts w:ascii="Gotham Pro LT" w:eastAsia="Times New Roman" w:hAnsi="Gotham Pro LT" w:cs="Gotham Pro LT"/>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Content>
                <w:r w:rsidR="0092573E" w:rsidRPr="0092573E">
                  <w:rPr>
                    <w:rFonts w:ascii="Gotham Pro LT" w:eastAsia="Times New Roman" w:hAnsi="Gotham Pro LT" w:cs="Gotham Pro LT"/>
                  </w:rPr>
                  <w:t>07/02-16/8</w:t>
                </w:r>
              </w:sdtContent>
            </w:sdt>
          </w:p>
          <w:p w14:paraId="08F3997C" w14:textId="7F56D389" w:rsidR="00D07E80" w:rsidRPr="008807A9" w:rsidRDefault="00D07E80" w:rsidP="008B4196">
            <w:pPr>
              <w:spacing w:after="120" w:line="240" w:lineRule="auto"/>
              <w:jc w:val="both"/>
              <w:rPr>
                <w:rFonts w:ascii="Gotham Pro LT" w:eastAsia="Times New Roman" w:hAnsi="Gotham Pro LT" w:cs="Gotham Pro LT"/>
              </w:rPr>
            </w:pPr>
            <w:r w:rsidRPr="008807A9">
              <w:rPr>
                <w:rFonts w:ascii="Gotham Pro LT" w:eastAsia="Times New Roman" w:hAnsi="Gotham Pro LT" w:cs="Gotham Pro LT"/>
              </w:rPr>
              <w:t>Uz</w:t>
            </w:r>
            <w:r w:rsidR="00A14B24" w:rsidRPr="008807A9">
              <w:rPr>
                <w:rFonts w:ascii="Gotham Pro LT" w:eastAsia="Times New Roman" w:hAnsi="Gotham Pro LT" w:cs="Gotham Pro LT"/>
              </w:rPr>
              <w:t xml:space="preserve"> 04.01.2021.</w:t>
            </w:r>
            <w:r w:rsidRPr="008807A9">
              <w:rPr>
                <w:rFonts w:ascii="Gotham Pro LT" w:eastAsia="Times New Roman" w:hAnsi="Gotham Pro LT" w:cs="Gotham Pro LT"/>
              </w:rPr>
              <w:t xml:space="preserve"> Nr. __________</w:t>
            </w:r>
          </w:p>
        </w:tc>
        <w:tc>
          <w:tcPr>
            <w:tcW w:w="4536" w:type="dxa"/>
          </w:tcPr>
          <w:p w14:paraId="32AAEF05" w14:textId="78B685E0" w:rsidR="004C171F" w:rsidRPr="008807A9" w:rsidRDefault="004C171F" w:rsidP="008B4196">
            <w:pPr>
              <w:spacing w:after="120" w:line="240" w:lineRule="auto"/>
              <w:jc w:val="right"/>
              <w:rPr>
                <w:rFonts w:ascii="Gotham Pro LT" w:hAnsi="Gotham Pro LT" w:cs="Gotham Pro LT"/>
                <w:b/>
                <w:bCs/>
                <w:lang w:eastAsia="lv-LV"/>
              </w:rPr>
            </w:pPr>
          </w:p>
          <w:p w14:paraId="4B5C79F9" w14:textId="3792300F" w:rsidR="00851B97" w:rsidRPr="008807A9" w:rsidRDefault="003D4AA2" w:rsidP="008B4196">
            <w:pPr>
              <w:spacing w:after="120" w:line="240" w:lineRule="auto"/>
              <w:jc w:val="right"/>
              <w:rPr>
                <w:rFonts w:ascii="Gotham Pro LT" w:hAnsi="Gotham Pro LT" w:cs="Gotham Pro LT"/>
              </w:rPr>
            </w:pPr>
            <w:r w:rsidRPr="008807A9">
              <w:rPr>
                <w:rFonts w:ascii="Gotham Pro LT" w:hAnsi="Gotham Pro LT" w:cs="Gotham Pro LT"/>
              </w:rPr>
              <w:t xml:space="preserve"> </w:t>
            </w:r>
          </w:p>
          <w:p w14:paraId="072100DC" w14:textId="77777777" w:rsidR="00350145" w:rsidRPr="008807A9" w:rsidRDefault="00350145" w:rsidP="008B4196">
            <w:pPr>
              <w:spacing w:after="120" w:line="240" w:lineRule="auto"/>
              <w:jc w:val="right"/>
              <w:rPr>
                <w:rStyle w:val="Hyperlink"/>
                <w:rFonts w:ascii="Gotham Pro LT" w:hAnsi="Gotham Pro LT" w:cs="Gotham Pro LT"/>
                <w:b/>
                <w:bCs/>
                <w:color w:val="auto"/>
                <w:u w:val="none"/>
              </w:rPr>
            </w:pPr>
            <w:r w:rsidRPr="008807A9">
              <w:rPr>
                <w:rStyle w:val="Hyperlink"/>
                <w:rFonts w:ascii="Gotham Pro LT" w:hAnsi="Gotham Pro LT" w:cs="Gotham Pro LT"/>
                <w:b/>
                <w:bCs/>
                <w:color w:val="auto"/>
                <w:u w:val="none"/>
              </w:rPr>
              <w:t>Finanšu ministrijai</w:t>
            </w:r>
          </w:p>
          <w:p w14:paraId="38697A6C" w14:textId="79935CD0" w:rsidR="00A14B24" w:rsidRPr="008807A9" w:rsidRDefault="0092573E" w:rsidP="008B4196">
            <w:pPr>
              <w:spacing w:after="0" w:line="240" w:lineRule="auto"/>
              <w:jc w:val="right"/>
              <w:rPr>
                <w:rStyle w:val="Hyperlink"/>
                <w:rFonts w:ascii="Gotham Pro LT" w:hAnsi="Gotham Pro LT" w:cs="Gotham Pro LT"/>
                <w:color w:val="auto"/>
              </w:rPr>
            </w:pPr>
            <w:r>
              <w:t xml:space="preserve">     </w:t>
            </w:r>
            <w:hyperlink r:id="rId11" w:history="1">
              <w:r w:rsidRPr="00644F44">
                <w:rPr>
                  <w:rStyle w:val="Hyperlink"/>
                  <w:rFonts w:ascii="Gotham Pro LT" w:hAnsi="Gotham Pro LT" w:cs="Gotham Pro LT"/>
                </w:rPr>
                <w:t>pasts@fm.gov.lv</w:t>
              </w:r>
            </w:hyperlink>
          </w:p>
          <w:p w14:paraId="05FC7188" w14:textId="400655B2" w:rsidR="00A14B24" w:rsidRPr="008807A9" w:rsidRDefault="00000000" w:rsidP="008B4196">
            <w:pPr>
              <w:spacing w:after="0" w:line="240" w:lineRule="auto"/>
              <w:jc w:val="right"/>
              <w:rPr>
                <w:rStyle w:val="Hyperlink"/>
                <w:rFonts w:ascii="Gotham Pro LT" w:hAnsi="Gotham Pro LT" w:cs="Gotham Pro LT"/>
                <w:bCs/>
              </w:rPr>
            </w:pPr>
            <w:hyperlink r:id="rId12" w:history="1">
              <w:r w:rsidR="00A14B24" w:rsidRPr="008807A9">
                <w:rPr>
                  <w:rStyle w:val="Hyperlink"/>
                  <w:rFonts w:ascii="Gotham Pro LT" w:hAnsi="Gotham Pro LT" w:cs="Gotham Pro LT"/>
                  <w:bCs/>
                </w:rPr>
                <w:t>Aija.Zitcere@fm.gov.lv</w:t>
              </w:r>
            </w:hyperlink>
          </w:p>
          <w:p w14:paraId="4E1276DD" w14:textId="2FD01D55" w:rsidR="00A14B24" w:rsidRPr="008807A9" w:rsidRDefault="00A14B24" w:rsidP="008B4196">
            <w:pPr>
              <w:spacing w:after="0" w:line="240" w:lineRule="auto"/>
              <w:jc w:val="right"/>
              <w:rPr>
                <w:rStyle w:val="Hyperlink"/>
                <w:rFonts w:ascii="Gotham Pro LT" w:hAnsi="Gotham Pro LT" w:cs="Gotham Pro LT"/>
                <w:bCs/>
              </w:rPr>
            </w:pPr>
            <w:r w:rsidRPr="008807A9">
              <w:rPr>
                <w:rStyle w:val="Hyperlink"/>
                <w:rFonts w:ascii="Gotham Pro LT" w:hAnsi="Gotham Pro LT" w:cs="Gotham Pro LT"/>
                <w:bCs/>
              </w:rPr>
              <w:t>Egita.Skibele@fm.gov.lv</w:t>
            </w:r>
          </w:p>
          <w:p w14:paraId="409C1CB6" w14:textId="77777777" w:rsidR="00A14B24" w:rsidRPr="008807A9" w:rsidRDefault="00000000" w:rsidP="008B4196">
            <w:pPr>
              <w:spacing w:after="0" w:line="240" w:lineRule="auto"/>
              <w:jc w:val="right"/>
              <w:rPr>
                <w:rStyle w:val="Hyperlink"/>
                <w:rFonts w:ascii="Gotham Pro LT" w:hAnsi="Gotham Pro LT" w:cs="Gotham Pro LT"/>
                <w:bCs/>
              </w:rPr>
            </w:pPr>
            <w:hyperlink r:id="rId13" w:history="1">
              <w:r w:rsidR="00A14B24" w:rsidRPr="008807A9">
                <w:rPr>
                  <w:rStyle w:val="Hyperlink"/>
                  <w:rFonts w:ascii="Gotham Pro LT" w:hAnsi="Gotham Pro LT" w:cs="Gotham Pro LT"/>
                  <w:bCs/>
                </w:rPr>
                <w:t>Inese.Albova@fm.gov.lv</w:t>
              </w:r>
            </w:hyperlink>
          </w:p>
          <w:p w14:paraId="122A751D" w14:textId="3BC1F1D2" w:rsidR="00350145" w:rsidRPr="008807A9" w:rsidRDefault="00350145" w:rsidP="008B4196">
            <w:pPr>
              <w:spacing w:after="120" w:line="240" w:lineRule="auto"/>
              <w:jc w:val="right"/>
              <w:rPr>
                <w:rFonts w:ascii="Gotham Pro LT" w:eastAsia="Times New Roman" w:hAnsi="Gotham Pro LT" w:cs="Gotham Pro LT"/>
                <w:u w:val="single"/>
                <w:lang w:eastAsia="lv-LV"/>
              </w:rPr>
            </w:pPr>
          </w:p>
          <w:p w14:paraId="4E4A4615" w14:textId="44103487" w:rsidR="00D07E80" w:rsidRPr="008807A9" w:rsidRDefault="00D07E80" w:rsidP="008B4196">
            <w:pPr>
              <w:spacing w:after="120" w:line="240" w:lineRule="auto"/>
              <w:jc w:val="right"/>
              <w:rPr>
                <w:rFonts w:ascii="Gotham Pro LT" w:eastAsia="Times New Roman" w:hAnsi="Gotham Pro LT" w:cs="Gotham Pro LT"/>
                <w:b/>
              </w:rPr>
            </w:pPr>
          </w:p>
        </w:tc>
      </w:tr>
    </w:tbl>
    <w:p w14:paraId="40E4EF8B" w14:textId="2D7062C3" w:rsidR="008111DB" w:rsidRPr="008807A9" w:rsidRDefault="008111DB" w:rsidP="008B4196">
      <w:pPr>
        <w:autoSpaceDE w:val="0"/>
        <w:autoSpaceDN w:val="0"/>
        <w:adjustRightInd w:val="0"/>
        <w:spacing w:after="0" w:line="240" w:lineRule="auto"/>
        <w:rPr>
          <w:rFonts w:ascii="Gotham Pro LT" w:hAnsi="Gotham Pro LT" w:cs="Gotham Pro LT"/>
          <w:b/>
          <w:bCs/>
          <w:i/>
          <w:iCs/>
        </w:rPr>
      </w:pPr>
      <w:r w:rsidRPr="008807A9">
        <w:rPr>
          <w:rFonts w:ascii="Gotham Pro LT" w:hAnsi="Gotham Pro LT" w:cs="Gotham Pro LT"/>
          <w:b/>
          <w:bCs/>
          <w:i/>
          <w:iCs/>
        </w:rPr>
        <w:t>Par likumprojekt</w:t>
      </w:r>
      <w:r w:rsidR="004C171F" w:rsidRPr="008807A9">
        <w:rPr>
          <w:rFonts w:ascii="Gotham Pro LT" w:hAnsi="Gotham Pro LT" w:cs="Gotham Pro LT"/>
          <w:b/>
          <w:bCs/>
          <w:i/>
          <w:iCs/>
        </w:rPr>
        <w:t>u</w:t>
      </w:r>
    </w:p>
    <w:p w14:paraId="29C67187" w14:textId="77777777" w:rsidR="008111DB" w:rsidRPr="008807A9" w:rsidRDefault="008111DB" w:rsidP="008B4196">
      <w:pPr>
        <w:autoSpaceDE w:val="0"/>
        <w:autoSpaceDN w:val="0"/>
        <w:adjustRightInd w:val="0"/>
        <w:spacing w:after="0" w:line="240" w:lineRule="auto"/>
        <w:rPr>
          <w:rFonts w:ascii="Gotham Pro LT" w:hAnsi="Gotham Pro LT" w:cs="Gotham Pro LT"/>
          <w:b/>
          <w:bCs/>
          <w:i/>
          <w:iCs/>
        </w:rPr>
      </w:pPr>
      <w:r w:rsidRPr="008807A9">
        <w:rPr>
          <w:rFonts w:ascii="Gotham Pro LT" w:hAnsi="Gotham Pro LT" w:cs="Gotham Pro LT"/>
          <w:b/>
          <w:bCs/>
          <w:i/>
          <w:iCs/>
        </w:rPr>
        <w:t xml:space="preserve">“Grozījumi Sauszemes transportlīdzekļu īpašnieku </w:t>
      </w:r>
    </w:p>
    <w:p w14:paraId="3CFE0D34" w14:textId="77777777" w:rsidR="008111DB" w:rsidRPr="008807A9" w:rsidRDefault="008111DB" w:rsidP="008B4196">
      <w:pPr>
        <w:autoSpaceDE w:val="0"/>
        <w:autoSpaceDN w:val="0"/>
        <w:adjustRightInd w:val="0"/>
        <w:spacing w:after="0" w:line="240" w:lineRule="auto"/>
        <w:rPr>
          <w:rFonts w:ascii="Gotham Pro LT" w:hAnsi="Gotham Pro LT" w:cs="Gotham Pro LT"/>
          <w:b/>
          <w:bCs/>
          <w:i/>
          <w:iCs/>
        </w:rPr>
      </w:pPr>
      <w:r w:rsidRPr="008807A9">
        <w:rPr>
          <w:rFonts w:ascii="Gotham Pro LT" w:hAnsi="Gotham Pro LT" w:cs="Gotham Pro LT"/>
          <w:b/>
          <w:bCs/>
          <w:i/>
          <w:iCs/>
        </w:rPr>
        <w:t xml:space="preserve">civiltiesiskās atbildības obligātās </w:t>
      </w:r>
    </w:p>
    <w:p w14:paraId="4EEC6DC2" w14:textId="7D678EF7" w:rsidR="008111DB" w:rsidRPr="008807A9" w:rsidRDefault="008111DB" w:rsidP="008B4196">
      <w:pPr>
        <w:autoSpaceDE w:val="0"/>
        <w:autoSpaceDN w:val="0"/>
        <w:adjustRightInd w:val="0"/>
        <w:spacing w:after="0" w:line="240" w:lineRule="auto"/>
        <w:rPr>
          <w:rFonts w:ascii="Gotham Pro LT" w:eastAsia="Times New Roman" w:hAnsi="Gotham Pro LT" w:cs="Gotham Pro LT"/>
          <w:i/>
          <w:iCs/>
        </w:rPr>
      </w:pPr>
      <w:r w:rsidRPr="008807A9">
        <w:rPr>
          <w:rFonts w:ascii="Gotham Pro LT" w:hAnsi="Gotham Pro LT" w:cs="Gotham Pro LT"/>
          <w:b/>
          <w:bCs/>
          <w:i/>
          <w:iCs/>
        </w:rPr>
        <w:t>apdrošināšanas likumā</w:t>
      </w:r>
      <w:r w:rsidR="00FC4B42" w:rsidRPr="008807A9">
        <w:rPr>
          <w:rFonts w:ascii="Gotham Pro LT" w:hAnsi="Gotham Pro LT" w:cs="Gotham Pro LT"/>
          <w:b/>
          <w:bCs/>
          <w:i/>
          <w:iCs/>
        </w:rPr>
        <w:t>”</w:t>
      </w:r>
      <w:r w:rsidRPr="008807A9">
        <w:rPr>
          <w:rFonts w:ascii="Gotham Pro LT" w:hAnsi="Gotham Pro LT" w:cs="Gotham Pro LT"/>
          <w:b/>
          <w:bCs/>
          <w:i/>
          <w:iCs/>
        </w:rPr>
        <w:t xml:space="preserve"> </w:t>
      </w:r>
      <w:r w:rsidR="00A14B24" w:rsidRPr="008807A9">
        <w:rPr>
          <w:rFonts w:ascii="Gotham Pro LT" w:hAnsi="Gotham Pro LT" w:cs="Gotham Pro LT"/>
          <w:b/>
          <w:bCs/>
          <w:i/>
        </w:rPr>
        <w:t>(VSS – 617)</w:t>
      </w:r>
    </w:p>
    <w:p w14:paraId="3B1F1B2B" w14:textId="77777777" w:rsidR="0046122B" w:rsidRPr="008807A9" w:rsidRDefault="0046122B" w:rsidP="008B4196">
      <w:pPr>
        <w:pStyle w:val="NoSpacing"/>
        <w:spacing w:after="120"/>
        <w:ind w:right="2975"/>
        <w:rPr>
          <w:rFonts w:ascii="Gotham Pro LT" w:hAnsi="Gotham Pro LT" w:cs="Gotham Pro LT"/>
          <w:b/>
          <w:bCs/>
          <w:i/>
          <w:iCs/>
          <w:sz w:val="22"/>
          <w:szCs w:val="22"/>
        </w:rPr>
      </w:pPr>
    </w:p>
    <w:p w14:paraId="5771FAB5" w14:textId="1F80872E" w:rsidR="00A14B24" w:rsidRPr="008807A9" w:rsidRDefault="0046122B" w:rsidP="008B4196">
      <w:pPr>
        <w:pStyle w:val="NoSpacing"/>
        <w:spacing w:after="120"/>
        <w:ind w:right="-1"/>
        <w:jc w:val="both"/>
        <w:rPr>
          <w:rFonts w:ascii="Gotham Pro LT" w:hAnsi="Gotham Pro LT" w:cs="Gotham Pro LT"/>
          <w:iCs/>
          <w:sz w:val="22"/>
          <w:szCs w:val="22"/>
          <w:u w:val="single"/>
        </w:rPr>
      </w:pPr>
      <w:r w:rsidRPr="008807A9">
        <w:rPr>
          <w:rFonts w:ascii="Gotham Pro LT" w:hAnsi="Gotham Pro LT" w:cs="Gotham Pro LT"/>
          <w:b/>
          <w:bCs/>
          <w:sz w:val="22"/>
          <w:szCs w:val="22"/>
        </w:rPr>
        <w:tab/>
      </w:r>
      <w:bookmarkStart w:id="0" w:name="x_Footref15"/>
      <w:bookmarkStart w:id="1" w:name="x_Footref17"/>
      <w:bookmarkEnd w:id="0"/>
      <w:bookmarkEnd w:id="1"/>
      <w:r w:rsidR="00A14B24" w:rsidRPr="008807A9">
        <w:rPr>
          <w:rFonts w:ascii="Gotham Pro LT" w:hAnsi="Gotham Pro LT" w:cs="Gotham Pro LT"/>
          <w:iCs/>
          <w:sz w:val="22"/>
          <w:szCs w:val="22"/>
        </w:rPr>
        <w:t>Atbildot uz Finanšu ministrijas 04.01.2021. e-pasta vēstuli “Par likumprojekta “Grozījumi Sauszemes transportlīdzekļu īpašnieku civiltiesiskās atbildības obligātās apdrošināšanas likumā” (VSS – 617) elektronisku saskaņošanu” un iepazīstoties ar</w:t>
      </w:r>
      <w:r w:rsidR="00A14B24" w:rsidRPr="008807A9">
        <w:rPr>
          <w:rFonts w:ascii="Gotham Pro LT" w:hAnsi="Gotham Pro LT" w:cs="Gotham Pro LT"/>
          <w:sz w:val="22"/>
          <w:szCs w:val="22"/>
        </w:rPr>
        <w:t xml:space="preserve"> precizēto likumprojektu "Grozījumi Sauszemes transportlīdzekļu īpašnieku civiltiesiskās atbildības obligātās apdrošināšanas likumā" (VSS-617) (turpmāk – likumprojekts), tā sākotnējās ietekmes novērtējuma ziņojumu (anotāciju) un izziņu</w:t>
      </w:r>
      <w:r w:rsidR="00A14B24" w:rsidRPr="008807A9">
        <w:rPr>
          <w:rFonts w:ascii="Gotham Pro LT" w:hAnsi="Gotham Pro LT" w:cs="Gotham Pro LT"/>
          <w:iCs/>
          <w:sz w:val="22"/>
          <w:szCs w:val="22"/>
        </w:rPr>
        <w:t xml:space="preserve">, biedrība “Latvijas Transportlīdzekļu apdrošinātāju birojs” (turpmāk – LTAB) informē, ka </w:t>
      </w:r>
      <w:r w:rsidR="00A14B24" w:rsidRPr="008807A9">
        <w:rPr>
          <w:rFonts w:ascii="Gotham Pro LT" w:hAnsi="Gotham Pro LT" w:cs="Gotham Pro LT"/>
          <w:iCs/>
          <w:sz w:val="22"/>
          <w:szCs w:val="22"/>
          <w:u w:val="single"/>
        </w:rPr>
        <w:t xml:space="preserve">LTAB atzinīgi novērtē </w:t>
      </w:r>
      <w:r w:rsidR="008B4196" w:rsidRPr="008807A9">
        <w:rPr>
          <w:rFonts w:ascii="Gotham Pro LT" w:hAnsi="Gotham Pro LT" w:cs="Gotham Pro LT"/>
          <w:iCs/>
          <w:sz w:val="22"/>
          <w:szCs w:val="22"/>
          <w:u w:val="single"/>
        </w:rPr>
        <w:t>veiktās izmaiņas likumprojektā, tomēr, lai LTAB pilnībā saskaņotu likumprojektu, tajā vēl veicami uzlabojumi. Līdz ar to LTAB sniedz šādus iebildumus:</w:t>
      </w:r>
    </w:p>
    <w:p w14:paraId="51A30B97" w14:textId="0102485D" w:rsidR="008B4196" w:rsidRPr="008807A9" w:rsidRDefault="008B4196" w:rsidP="008B4196">
      <w:pPr>
        <w:pStyle w:val="NoSpacing"/>
        <w:numPr>
          <w:ilvl w:val="0"/>
          <w:numId w:val="19"/>
        </w:numPr>
        <w:spacing w:after="120"/>
        <w:ind w:right="-1"/>
        <w:jc w:val="both"/>
        <w:rPr>
          <w:rFonts w:ascii="Gotham Pro LT" w:hAnsi="Gotham Pro LT" w:cs="Gotham Pro LT"/>
          <w:b/>
          <w:bCs/>
          <w:sz w:val="22"/>
          <w:szCs w:val="22"/>
        </w:rPr>
      </w:pPr>
      <w:r w:rsidRPr="008807A9">
        <w:rPr>
          <w:rFonts w:ascii="Gotham Pro LT" w:hAnsi="Gotham Pro LT" w:cs="Gotham Pro LT"/>
          <w:b/>
          <w:bCs/>
          <w:sz w:val="22"/>
          <w:szCs w:val="22"/>
        </w:rPr>
        <w:t>Likumprojekta 1.pantu (likuma 28.pantu) izteikt šādā redakcijā:</w:t>
      </w:r>
    </w:p>
    <w:p w14:paraId="476FAE47" w14:textId="17BAF41B" w:rsidR="008B4196" w:rsidRPr="008807A9" w:rsidRDefault="008B4196" w:rsidP="008B4196">
      <w:pPr>
        <w:spacing w:after="120" w:line="240" w:lineRule="auto"/>
        <w:rPr>
          <w:rFonts w:ascii="Gotham Pro LT" w:hAnsi="Gotham Pro LT" w:cs="Gotham Pro LT"/>
        </w:rPr>
      </w:pPr>
      <w:r w:rsidRPr="008807A9">
        <w:rPr>
          <w:rFonts w:ascii="Gotham Pro LT" w:eastAsia="Calibri" w:hAnsi="Gotham Pro LT" w:cs="Gotham Pro LT"/>
        </w:rPr>
        <w:t>“1. Izteikt likuma 28. pantu šādā redakcijā:</w:t>
      </w:r>
    </w:p>
    <w:p w14:paraId="23959FC1" w14:textId="7A336827" w:rsidR="008B4196" w:rsidRPr="008807A9" w:rsidRDefault="008B4196" w:rsidP="008B4196">
      <w:pPr>
        <w:pStyle w:val="ListParagraph"/>
        <w:spacing w:after="120"/>
        <w:ind w:left="0" w:firstLine="709"/>
        <w:rPr>
          <w:rFonts w:ascii="Gotham Pro LT" w:hAnsi="Gotham Pro LT" w:cs="Gotham Pro LT"/>
        </w:rPr>
      </w:pPr>
      <w:r w:rsidRPr="008807A9">
        <w:rPr>
          <w:rFonts w:ascii="Gotham Pro LT" w:hAnsi="Gotham Pro LT" w:cs="Gotham Pro LT"/>
          <w:shd w:val="clear" w:color="auto" w:fill="FFFFFF"/>
        </w:rPr>
        <w:t>“</w:t>
      </w:r>
      <w:r w:rsidRPr="008807A9">
        <w:rPr>
          <w:rFonts w:ascii="Gotham Pro LT" w:hAnsi="Gotham Pro LT" w:cs="Gotham Pro LT"/>
          <w:b/>
          <w:bCs/>
          <w:shd w:val="clear" w:color="auto" w:fill="FFFFFF"/>
        </w:rPr>
        <w:t>28.pants. Izdevumi sakarā ar transportlīdzekļa vai tā atlieku evakuāciju</w:t>
      </w:r>
    </w:p>
    <w:p w14:paraId="3E1E6789" w14:textId="68469DE0" w:rsidR="008B4196" w:rsidRPr="008807A9" w:rsidRDefault="008B4196" w:rsidP="008B4196">
      <w:pPr>
        <w:pStyle w:val="ListParagraph"/>
        <w:spacing w:after="120"/>
        <w:ind w:left="0" w:firstLine="709"/>
        <w:jc w:val="both"/>
        <w:rPr>
          <w:rFonts w:ascii="Gotham Pro LT" w:eastAsia="Calibri" w:hAnsi="Gotham Pro LT" w:cs="Gotham Pro LT"/>
        </w:rPr>
      </w:pPr>
      <w:r w:rsidRPr="008807A9">
        <w:rPr>
          <w:rFonts w:ascii="Gotham Pro LT" w:eastAsia="Calibri" w:hAnsi="Gotham Pro LT" w:cs="Gotham Pro LT"/>
        </w:rPr>
        <w:t xml:space="preserve">(1) Izdevumi sakarā ar transportlīdzekļa vai tā atlieku evakuāciju ir: </w:t>
      </w:r>
    </w:p>
    <w:p w14:paraId="3660758F" w14:textId="20CEC13C" w:rsidR="008B4196" w:rsidRPr="008807A9" w:rsidRDefault="008B4196" w:rsidP="008B4196">
      <w:pPr>
        <w:pStyle w:val="ListParagraph"/>
        <w:spacing w:after="120"/>
        <w:ind w:left="0" w:firstLine="709"/>
        <w:jc w:val="both"/>
        <w:rPr>
          <w:rFonts w:ascii="Gotham Pro LT" w:eastAsia="Calibri" w:hAnsi="Gotham Pro LT" w:cs="Gotham Pro LT"/>
        </w:rPr>
      </w:pPr>
      <w:r w:rsidRPr="008807A9">
        <w:rPr>
          <w:rFonts w:ascii="Gotham Pro LT" w:eastAsia="Calibri" w:hAnsi="Gotham Pro LT" w:cs="Gotham Pro LT"/>
        </w:rPr>
        <w:t>1) izdevumi par transportlīdzekļa vai tā atlieku evakuāciju no ceļu satiksmes negadījuma vietas līdz tā transportlīdzekļa īpašnieka vai 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negadījuma transportlīdzekli nav bijis iespējams uzreiz nogādāt līdz transportlīdzekļa remonta vietai)</w:t>
      </w:r>
      <w:r w:rsidR="00C75282">
        <w:rPr>
          <w:rFonts w:ascii="Gotham Pro LT" w:eastAsia="Calibri" w:hAnsi="Gotham Pro LT" w:cs="Gotham Pro LT"/>
        </w:rPr>
        <w:t>;</w:t>
      </w:r>
    </w:p>
    <w:p w14:paraId="30ABE8FE" w14:textId="77777777" w:rsidR="008B4196" w:rsidRPr="008807A9" w:rsidRDefault="008B4196" w:rsidP="008B4196">
      <w:pPr>
        <w:pStyle w:val="ListParagraph"/>
        <w:spacing w:after="120"/>
        <w:ind w:left="0" w:firstLine="709"/>
        <w:jc w:val="both"/>
        <w:rPr>
          <w:rFonts w:ascii="Gotham Pro LT" w:eastAsia="Calibri" w:hAnsi="Gotham Pro LT" w:cs="Gotham Pro LT"/>
        </w:rPr>
      </w:pPr>
      <w:r w:rsidRPr="008807A9">
        <w:rPr>
          <w:rFonts w:ascii="Gotham Pro LT" w:eastAsia="Calibri" w:hAnsi="Gotham Pro LT" w:cs="Gotham Pro LT"/>
        </w:rPr>
        <w:t> 2) maksa par stāvvietas pakalpojumiem, ja sakarā ar izmeklēšanu kriminālprocesā vai citu iemeslu dēļ transportlīdzekli vai tā atliekas nepieciešams novietot stāvvietā. Šajā punktā minētos izdevumus atlīdzina:</w:t>
      </w:r>
    </w:p>
    <w:p w14:paraId="6EAF6D78" w14:textId="7CBB33C6" w:rsidR="008B4196" w:rsidRPr="008807A9" w:rsidRDefault="008B4196" w:rsidP="008B4196">
      <w:pPr>
        <w:pStyle w:val="ListParagraph"/>
        <w:numPr>
          <w:ilvl w:val="0"/>
          <w:numId w:val="22"/>
        </w:numPr>
        <w:tabs>
          <w:tab w:val="left" w:pos="1134"/>
        </w:tabs>
        <w:spacing w:after="120"/>
        <w:ind w:left="0" w:firstLine="851"/>
        <w:jc w:val="both"/>
        <w:rPr>
          <w:rFonts w:ascii="Gotham Pro LT" w:eastAsia="Calibri" w:hAnsi="Gotham Pro LT" w:cs="Gotham Pro LT"/>
        </w:rPr>
      </w:pPr>
      <w:r w:rsidRPr="008807A9">
        <w:rPr>
          <w:rFonts w:ascii="Gotham Pro LT" w:eastAsia="Calibri" w:hAnsi="Gotham Pro LT" w:cs="Gotham Pro LT"/>
        </w:rPr>
        <w:t>līdz brīdim, kad sakarā ar izmeklēšanu kriminālprocesā tiek dota atļauja no stāvvietas izņemt ceļu satiksmes negadījumā bojāto transportlīdzekli vai tā atliekas,</w:t>
      </w:r>
    </w:p>
    <w:p w14:paraId="44510E37" w14:textId="7569A8F4" w:rsidR="008B4196" w:rsidRPr="008807A9" w:rsidRDefault="008B4196" w:rsidP="008B4196">
      <w:pPr>
        <w:pStyle w:val="ListParagraph"/>
        <w:numPr>
          <w:ilvl w:val="0"/>
          <w:numId w:val="22"/>
        </w:numPr>
        <w:tabs>
          <w:tab w:val="left" w:pos="1134"/>
        </w:tabs>
        <w:spacing w:after="120"/>
        <w:ind w:left="0" w:firstLine="851"/>
        <w:jc w:val="both"/>
        <w:rPr>
          <w:rFonts w:ascii="Gotham Pro LT" w:hAnsi="Gotham Pro LT" w:cs="Gotham Pro LT"/>
          <w:iCs/>
        </w:rPr>
      </w:pPr>
      <w:r w:rsidRPr="008807A9">
        <w:rPr>
          <w:rFonts w:ascii="Gotham Pro LT" w:eastAsia="Calibri" w:hAnsi="Gotham Pro LT" w:cs="Gotham Pro LT"/>
        </w:rPr>
        <w:t>līdz 10 dienām citos gadījumos, izņemot, ja transportlīdzekļa īpašniekam vai tiesīgajam lietotājam pastāv būtiski šķēršļi izņemt transportlīdzekli vai tā atliekas no stāvvietas, bet jebkurā gadījumā ne vēlāk kā līdz brīdim, kad tiek pieņemts lēmums par apdrošināšanas atlīdzības izmaksu.</w:t>
      </w:r>
    </w:p>
    <w:p w14:paraId="2F76C3FE" w14:textId="7F26F7D2" w:rsidR="008B4196" w:rsidRPr="008807A9" w:rsidRDefault="008B4196" w:rsidP="008B4196">
      <w:pPr>
        <w:pStyle w:val="ListParagraph"/>
        <w:tabs>
          <w:tab w:val="left" w:pos="1134"/>
        </w:tabs>
        <w:spacing w:after="120"/>
        <w:ind w:left="0" w:firstLine="851"/>
        <w:jc w:val="both"/>
        <w:rPr>
          <w:rFonts w:ascii="Gotham Pro LT" w:hAnsi="Gotham Pro LT" w:cs="Gotham Pro LT"/>
          <w:iCs/>
        </w:rPr>
      </w:pPr>
      <w:r w:rsidRPr="008807A9">
        <w:rPr>
          <w:rFonts w:ascii="Gotham Pro LT" w:eastAsia="Calibri" w:hAnsi="Gotham Pro LT" w:cs="Gotham Pro LT"/>
        </w:rPr>
        <w:lastRenderedPageBreak/>
        <w:t>(2) Šā panta pirmajā daļā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p>
    <w:p w14:paraId="3DBE6B17" w14:textId="5F971348" w:rsidR="008B4196" w:rsidRPr="006F78CE" w:rsidRDefault="008B4196" w:rsidP="00EB36CF">
      <w:pPr>
        <w:pStyle w:val="ListParagraph"/>
        <w:spacing w:after="120"/>
        <w:ind w:left="0" w:firstLine="851"/>
        <w:jc w:val="both"/>
        <w:rPr>
          <w:rFonts w:ascii="Gotham Pro LT" w:hAnsi="Gotham Pro LT" w:cs="Gotham Pro LT"/>
        </w:rPr>
      </w:pPr>
      <w:r w:rsidRPr="006F78CE">
        <w:rPr>
          <w:rFonts w:ascii="Gotham Pro LT" w:eastAsia="Calibri" w:hAnsi="Gotham Pro LT" w:cs="Gotham Pro LT"/>
          <w:u w:val="single"/>
        </w:rPr>
        <w:t>Pamatojums</w:t>
      </w:r>
      <w:r w:rsidRPr="006F78CE">
        <w:rPr>
          <w:rFonts w:ascii="Gotham Pro LT" w:eastAsia="Calibri" w:hAnsi="Gotham Pro LT" w:cs="Gotham Pro LT"/>
        </w:rPr>
        <w:t xml:space="preserve">  - lūdzu skatīt LTAB 14.08.2020. atzinuma Nr. </w:t>
      </w:r>
      <w:r w:rsidRPr="006F78CE">
        <w:rPr>
          <w:rFonts w:ascii="Gotham Pro LT" w:hAnsi="Gotham Pro LT" w:cs="Gotham Pro LT"/>
        </w:rPr>
        <w:t xml:space="preserve">07/02-16/126 VI sadaļu “OCTA likuma 28.panta interpretācija”. </w:t>
      </w:r>
      <w:r w:rsidR="006F78CE" w:rsidRPr="006F78CE">
        <w:rPr>
          <w:rFonts w:ascii="Gotham Pro LT" w:hAnsi="Gotham Pro LT" w:cs="Gotham Pro LT"/>
        </w:rPr>
        <w:t xml:space="preserve">Vienlaikus jāpiebilst, ka </w:t>
      </w:r>
      <w:r w:rsidR="00170922">
        <w:rPr>
          <w:rFonts w:ascii="Gotham Pro LT" w:hAnsi="Gotham Pro LT" w:cs="Gotham Pro LT"/>
        </w:rPr>
        <w:t>šobrīd likumprojektā</w:t>
      </w:r>
      <w:r w:rsidR="006F78CE" w:rsidRPr="006F78CE">
        <w:rPr>
          <w:rFonts w:ascii="Gotham Pro LT" w:hAnsi="Gotham Pro LT" w:cs="Gotham Pro LT"/>
        </w:rPr>
        <w:t xml:space="preserve"> piedāvātie </w:t>
      </w:r>
      <w:r w:rsidR="00170922">
        <w:rPr>
          <w:rFonts w:ascii="Gotham Pro LT" w:hAnsi="Gotham Pro LT" w:cs="Gotham Pro LT"/>
        </w:rPr>
        <w:t xml:space="preserve">28.panta </w:t>
      </w:r>
      <w:r w:rsidR="006F78CE" w:rsidRPr="006F78CE">
        <w:rPr>
          <w:rFonts w:ascii="Gotham Pro LT" w:hAnsi="Gotham Pro LT" w:cs="Gotham Pro LT"/>
        </w:rPr>
        <w:t xml:space="preserve">grozījumi, </w:t>
      </w:r>
      <w:r w:rsidR="006F78CE" w:rsidRPr="006F78CE">
        <w:rPr>
          <w:rFonts w:ascii="Gotham Pro LT" w:eastAsia="Calibri" w:hAnsi="Gotham Pro LT" w:cs="Gotham Pro LT"/>
        </w:rPr>
        <w:t>izslēdzot</w:t>
      </w:r>
      <w:r w:rsidR="00170922">
        <w:rPr>
          <w:rFonts w:ascii="Gotham Pro LT" w:eastAsia="Calibri" w:hAnsi="Gotham Pro LT" w:cs="Gotham Pro LT"/>
        </w:rPr>
        <w:t xml:space="preserve"> tikai</w:t>
      </w:r>
      <w:r w:rsidR="006F78CE" w:rsidRPr="006F78CE">
        <w:rPr>
          <w:rFonts w:ascii="Gotham Pro LT" w:eastAsia="Calibri" w:hAnsi="Gotham Pro LT" w:cs="Gotham Pro LT"/>
        </w:rPr>
        <w:t xml:space="preserve"> vārdus “Latvijas Republikas teritorijā”, neatrisinās</w:t>
      </w:r>
      <w:r w:rsidR="00170922">
        <w:rPr>
          <w:rFonts w:ascii="Gotham Pro LT" w:eastAsia="Calibri" w:hAnsi="Gotham Pro LT" w:cs="Gotham Pro LT"/>
        </w:rPr>
        <w:t xml:space="preserve"> visas</w:t>
      </w:r>
      <w:r w:rsidR="006F78CE" w:rsidRPr="006F78CE">
        <w:rPr>
          <w:rFonts w:ascii="Gotham Pro LT" w:eastAsia="Calibri" w:hAnsi="Gotham Pro LT" w:cs="Gotham Pro LT"/>
        </w:rPr>
        <w:t xml:space="preserve"> </w:t>
      </w:r>
      <w:r w:rsidR="006F78CE">
        <w:rPr>
          <w:rFonts w:ascii="Gotham Pro LT" w:eastAsia="Calibri" w:hAnsi="Gotham Pro LT" w:cs="Gotham Pro LT"/>
        </w:rPr>
        <w:t>praksē konstatētās problēmas saistībā ar likuma 28.panta interpretāciju</w:t>
      </w:r>
      <w:r w:rsidR="00170922">
        <w:rPr>
          <w:rFonts w:ascii="Gotham Pro LT" w:eastAsia="Calibri" w:hAnsi="Gotham Pro LT" w:cs="Gotham Pro LT"/>
        </w:rPr>
        <w:t xml:space="preserve"> un piemērošanu praksē</w:t>
      </w:r>
      <w:r w:rsidR="006F78CE">
        <w:rPr>
          <w:rFonts w:ascii="Gotham Pro LT" w:eastAsia="Calibri" w:hAnsi="Gotham Pro LT" w:cs="Gotham Pro LT"/>
        </w:rPr>
        <w:t>, proti,</w:t>
      </w:r>
      <w:r w:rsidR="00170922">
        <w:rPr>
          <w:rFonts w:ascii="Gotham Pro LT" w:eastAsia="Calibri" w:hAnsi="Gotham Pro LT" w:cs="Gotham Pro LT"/>
        </w:rPr>
        <w:t xml:space="preserve"> atrisinās tikai jautājumu par transportlīdzekļa evakuācijas izdevumu un stāvvietas izdevumu atlīdzināšanu ārpus Latvijas Republikas, bet neatrisināti paliks </w:t>
      </w:r>
      <w:r w:rsidR="00527DF3">
        <w:rPr>
          <w:rFonts w:ascii="Gotham Pro LT" w:eastAsia="Calibri" w:hAnsi="Gotham Pro LT" w:cs="Gotham Pro LT"/>
        </w:rPr>
        <w:t xml:space="preserve">vairāki </w:t>
      </w:r>
      <w:r w:rsidR="00170922">
        <w:rPr>
          <w:rFonts w:ascii="Gotham Pro LT" w:eastAsia="Calibri" w:hAnsi="Gotham Pro LT" w:cs="Gotham Pro LT"/>
        </w:rPr>
        <w:t xml:space="preserve">aspekti - </w:t>
      </w:r>
      <w:r w:rsidR="006F78CE">
        <w:rPr>
          <w:rFonts w:ascii="Gotham Pro LT" w:eastAsia="Calibri" w:hAnsi="Gotham Pro LT" w:cs="Gotham Pro LT"/>
        </w:rPr>
        <w:t>ja transportlīdzeklis no negadījuma vietas ir transportēts uz transportlīdzekļa īpašnieka dzīves vietu</w:t>
      </w:r>
      <w:r w:rsidR="00527DF3">
        <w:rPr>
          <w:rFonts w:ascii="Gotham Pro LT" w:eastAsia="Calibri" w:hAnsi="Gotham Pro LT" w:cs="Gotham Pro LT"/>
        </w:rPr>
        <w:t xml:space="preserve"> vai stāvvietu</w:t>
      </w:r>
      <w:r w:rsidR="006F78CE">
        <w:rPr>
          <w:rFonts w:ascii="Gotham Pro LT" w:eastAsia="Calibri" w:hAnsi="Gotham Pro LT" w:cs="Gotham Pro LT"/>
        </w:rPr>
        <w:t xml:space="preserve"> un pēc tam rodas nepieciešamība transportlīdzekli </w:t>
      </w:r>
      <w:r w:rsidR="00527DF3">
        <w:rPr>
          <w:rFonts w:ascii="Gotham Pro LT" w:eastAsia="Calibri" w:hAnsi="Gotham Pro LT" w:cs="Gotham Pro LT"/>
        </w:rPr>
        <w:t xml:space="preserve">tālāk </w:t>
      </w:r>
      <w:r w:rsidR="006F78CE">
        <w:rPr>
          <w:rFonts w:ascii="Gotham Pro LT" w:eastAsia="Calibri" w:hAnsi="Gotham Pro LT" w:cs="Gotham Pro LT"/>
        </w:rPr>
        <w:t>evakuēt uz transportlīdzekļa remonta vietu</w:t>
      </w:r>
      <w:r w:rsidR="00170922">
        <w:rPr>
          <w:rFonts w:ascii="Gotham Pro LT" w:eastAsia="Calibri" w:hAnsi="Gotham Pro LT" w:cs="Gotham Pro LT"/>
        </w:rPr>
        <w:t xml:space="preserve">, vai atlīdzināmi ir šie otrreizējie transportlīdzekļa evakuācijas izdevumi (spēkā esošā likuma 28.panta redakcija neparedz šādu izdevumu atlīdzināšanu), </w:t>
      </w:r>
      <w:r w:rsidR="00AD6C84">
        <w:rPr>
          <w:rFonts w:ascii="Gotham Pro LT" w:eastAsia="Calibri" w:hAnsi="Gotham Pro LT" w:cs="Gotham Pro LT"/>
        </w:rPr>
        <w:t xml:space="preserve"> </w:t>
      </w:r>
      <w:r w:rsidR="00527DF3">
        <w:rPr>
          <w:rFonts w:ascii="Gotham Pro LT" w:eastAsia="Calibri" w:hAnsi="Gotham Pro LT" w:cs="Gotham Pro LT"/>
        </w:rPr>
        <w:t xml:space="preserve">tāpat praksē nākas sastapties ar situācijām, kur negadījumā cietušās personas iesniedz apdrošinātājiem maksājumu apliecinošu dokumentu par transportlīdzekļa evakuācijas izdevumu apmaksu, kas ievērojami  (2 vai pat 3 reizes vairāk) pārsniedz </w:t>
      </w:r>
      <w:r w:rsidR="00CA55BB">
        <w:rPr>
          <w:rFonts w:ascii="Gotham Pro LT" w:eastAsia="Calibri" w:hAnsi="Gotham Pro LT" w:cs="Gotham Pro LT"/>
        </w:rPr>
        <w:t xml:space="preserve">vidējo </w:t>
      </w:r>
      <w:r w:rsidR="00527DF3">
        <w:rPr>
          <w:rFonts w:ascii="Gotham Pro LT" w:eastAsia="Calibri" w:hAnsi="Gotham Pro LT" w:cs="Gotham Pro LT"/>
        </w:rPr>
        <w:t xml:space="preserve">tirgus cenu par evakuācijas izdevumiem, tāpat neskaidras ir situācijas, vai pieļaujama transportlīdzekļu evakuācija  </w:t>
      </w:r>
      <w:r w:rsidR="00170922">
        <w:rPr>
          <w:rFonts w:ascii="Gotham Pro LT" w:eastAsia="Calibri" w:hAnsi="Gotham Pro LT" w:cs="Gotham Pro LT"/>
        </w:rPr>
        <w:t>maznozīmīgu transportlīdzekļu bojājumu gadījumā</w:t>
      </w:r>
      <w:r w:rsidR="006F78CE">
        <w:rPr>
          <w:rFonts w:ascii="Gotham Pro LT" w:eastAsia="Calibri" w:hAnsi="Gotham Pro LT" w:cs="Gotham Pro LT"/>
        </w:rPr>
        <w:t xml:space="preserve">. Šie un citi ar LTAB piedāvāto likuma 28.panta </w:t>
      </w:r>
      <w:r w:rsidR="00170922">
        <w:rPr>
          <w:rFonts w:ascii="Gotham Pro LT" w:eastAsia="Calibri" w:hAnsi="Gotham Pro LT" w:cs="Gotham Pro LT"/>
        </w:rPr>
        <w:t xml:space="preserve">redakciju atrisinātie jautājumi ir ļoti būtiski, lai nodrošinātu </w:t>
      </w:r>
      <w:r w:rsidR="00CA55BB">
        <w:rPr>
          <w:rFonts w:ascii="Gotham Pro LT" w:eastAsia="Calibri" w:hAnsi="Gotham Pro LT" w:cs="Gotham Pro LT"/>
        </w:rPr>
        <w:t xml:space="preserve">pilnīgu </w:t>
      </w:r>
      <w:r w:rsidR="00170922">
        <w:rPr>
          <w:rFonts w:ascii="Gotham Pro LT" w:eastAsia="Calibri" w:hAnsi="Gotham Pro LT" w:cs="Gotham Pro LT"/>
        </w:rPr>
        <w:t>zaudējumu atlīdzību negadījumā cietušajām personām saistībā ar transportlīdzekļa evakuāciju un stāvvietas izdevumu apmaksu</w:t>
      </w:r>
      <w:r w:rsidR="00CA55BB">
        <w:rPr>
          <w:rFonts w:ascii="Gotham Pro LT" w:eastAsia="Calibri" w:hAnsi="Gotham Pro LT" w:cs="Gotham Pro LT"/>
        </w:rPr>
        <w:t>, bet tajā pašā laikā mudinātu negadījumā iesaistītās personas ievērot likuma 36.panta pirmās daļas 1.punkta prasības, kas paredz, ka negadījumā iesaistītajām personām ir pienākums veikt visus iespējamos pasākumus, kas vērsti uz negadījuma apstākļu fiksēšanu, turpmāko zaudējumu novēršanu vai samazināšanu.</w:t>
      </w:r>
      <w:r w:rsidR="00170922">
        <w:rPr>
          <w:rFonts w:ascii="Gotham Pro LT" w:eastAsia="Calibri" w:hAnsi="Gotham Pro LT" w:cs="Gotham Pro LT"/>
        </w:rPr>
        <w:t xml:space="preserve"> </w:t>
      </w:r>
    </w:p>
    <w:p w14:paraId="2C4BC0CB" w14:textId="69DA4D11" w:rsidR="008B4196" w:rsidRPr="008807A9" w:rsidRDefault="00112E30" w:rsidP="008B4196">
      <w:pPr>
        <w:pStyle w:val="NoSpacing"/>
        <w:numPr>
          <w:ilvl w:val="0"/>
          <w:numId w:val="19"/>
        </w:numPr>
        <w:spacing w:after="120"/>
        <w:ind w:right="-1"/>
        <w:jc w:val="both"/>
        <w:rPr>
          <w:rFonts w:ascii="Gotham Pro LT" w:hAnsi="Gotham Pro LT" w:cs="Gotham Pro LT"/>
          <w:b/>
          <w:bCs/>
          <w:sz w:val="22"/>
          <w:szCs w:val="22"/>
        </w:rPr>
      </w:pPr>
      <w:bookmarkStart w:id="2" w:name="_Hlk60757383"/>
      <w:r w:rsidRPr="008807A9">
        <w:rPr>
          <w:rFonts w:ascii="Gotham Pro LT" w:hAnsi="Gotham Pro LT" w:cs="Gotham Pro LT"/>
          <w:b/>
          <w:bCs/>
          <w:sz w:val="22"/>
          <w:szCs w:val="22"/>
        </w:rPr>
        <w:t>Likumprojekta 2.pants (likuma 35.panta 8.punkta izslēgšana) precizējams vai izslēdzams.</w:t>
      </w:r>
    </w:p>
    <w:p w14:paraId="15A658C4" w14:textId="54CD8CD9" w:rsidR="007E7F38" w:rsidRPr="00915FDD" w:rsidRDefault="00112E30" w:rsidP="008807A9">
      <w:pPr>
        <w:spacing w:after="120" w:line="240" w:lineRule="auto"/>
        <w:ind w:firstLine="851"/>
        <w:jc w:val="both"/>
        <w:rPr>
          <w:rFonts w:ascii="Gotham Pro LT" w:eastAsia="Times New Roman" w:hAnsi="Gotham Pro LT" w:cs="Gotham Pro LT"/>
          <w:lang w:eastAsia="lv-LV"/>
        </w:rPr>
      </w:pPr>
      <w:r w:rsidRPr="008807A9">
        <w:rPr>
          <w:rFonts w:ascii="Gotham Pro LT" w:eastAsia="Calibri" w:hAnsi="Gotham Pro LT" w:cs="Gotham Pro LT"/>
          <w:u w:val="single"/>
        </w:rPr>
        <w:t>Pamatojums</w:t>
      </w:r>
      <w:r w:rsidR="007E7F38" w:rsidRPr="008807A9">
        <w:rPr>
          <w:rFonts w:ascii="Gotham Pro LT" w:eastAsia="Calibri" w:hAnsi="Gotham Pro LT" w:cs="Gotham Pro LT"/>
          <w:u w:val="single"/>
        </w:rPr>
        <w:t xml:space="preserve"> </w:t>
      </w:r>
      <w:r w:rsidRPr="008807A9">
        <w:rPr>
          <w:rFonts w:ascii="Gotham Pro LT" w:eastAsia="Calibri" w:hAnsi="Gotham Pro LT" w:cs="Gotham Pro LT"/>
        </w:rPr>
        <w:t>-</w:t>
      </w:r>
      <w:r w:rsidRPr="008807A9">
        <w:rPr>
          <w:rFonts w:ascii="Gotham Pro LT" w:hAnsi="Gotham Pro LT" w:cs="Gotham Pro LT"/>
        </w:rPr>
        <w:t xml:space="preserve"> izslēdzot OCTA likuma 35.panta 8.punktu, kas šobrīd paredz, ka OCTA ietvaros netiek atlīdzināta ceļu satiksmes negadījuma dēļ negūtā peļņa</w:t>
      </w:r>
      <w:r w:rsidR="00EB36CF" w:rsidRPr="008807A9">
        <w:rPr>
          <w:rFonts w:ascii="Gotham Pro LT" w:hAnsi="Gotham Pro LT" w:cs="Gotham Pro LT"/>
        </w:rPr>
        <w:t>, likuma piemērotājiem nebūs skaidrs, kādā veidā/pēc kādiem kritērijiem būs jāaprēķina atrautā peļņa.  Arī likumprojekta anotācija nesniedz atbildi uz šo jautājumu, tikai skaidro, kā definēt jēdzienu “atrautā</w:t>
      </w:r>
      <w:r w:rsidR="00CF0CD7">
        <w:rPr>
          <w:rFonts w:ascii="Gotham Pro LT" w:hAnsi="Gotham Pro LT" w:cs="Gotham Pro LT"/>
        </w:rPr>
        <w:t xml:space="preserve"> jeb negūtā</w:t>
      </w:r>
      <w:r w:rsidR="00EB36CF" w:rsidRPr="008807A9">
        <w:rPr>
          <w:rFonts w:ascii="Gotham Pro LT" w:hAnsi="Gotham Pro LT" w:cs="Gotham Pro LT"/>
        </w:rPr>
        <w:t xml:space="preserve"> peļņa”</w:t>
      </w:r>
      <w:r w:rsidR="001A685F">
        <w:rPr>
          <w:rFonts w:ascii="Gotham Pro LT" w:hAnsi="Gotham Pro LT" w:cs="Gotham Pro LT"/>
        </w:rPr>
        <w:t>, bet ar to ir par maz, lai grozījumus iedzīvinātu praksē</w:t>
      </w:r>
      <w:r w:rsidR="00EB36CF" w:rsidRPr="008807A9">
        <w:rPr>
          <w:rFonts w:ascii="Gotham Pro LT" w:hAnsi="Gotham Pro LT" w:cs="Gotham Pro LT"/>
        </w:rPr>
        <w:t xml:space="preserve">. </w:t>
      </w:r>
      <w:r w:rsidR="007E7F38" w:rsidRPr="008807A9">
        <w:rPr>
          <w:rFonts w:ascii="Gotham Pro LT" w:eastAsia="Times New Roman" w:hAnsi="Gotham Pro LT" w:cs="Gotham Pro LT"/>
          <w:lang w:eastAsia="lv-LV"/>
        </w:rPr>
        <w:t>Lai novērtētu apdrošināmo risku un noteiktu riskam atbilstošu apdrošināšanas prēmiju</w:t>
      </w:r>
      <w:r w:rsidR="00E7432E">
        <w:rPr>
          <w:rFonts w:ascii="Gotham Pro LT" w:eastAsia="Times New Roman" w:hAnsi="Gotham Pro LT" w:cs="Gotham Pro LT"/>
          <w:lang w:eastAsia="lv-LV"/>
        </w:rPr>
        <w:t xml:space="preserve"> atbilstoši likuma 12.panta otrajai daļai, kas paredz, ka apdrošināšanas prēmijas apmēram, kas noteikts apdrošināšanas līguma slēgšanas brīdī, jābūt tādam, lai nodrošinātu apdrošināšanas līgumā noteikto saistību izpildi, kā arī segtu izdevumus, kas nepieciešami apdrošināšanas veikšanai</w:t>
      </w:r>
      <w:r w:rsidR="007E7F38" w:rsidRPr="008807A9">
        <w:rPr>
          <w:rFonts w:ascii="Gotham Pro LT" w:eastAsia="Times New Roman" w:hAnsi="Gotham Pro LT" w:cs="Gotham Pro LT"/>
          <w:lang w:eastAsia="lv-LV"/>
        </w:rPr>
        <w:t xml:space="preserve">, apdrošinātajiem ir būtiski prognozēt apdrošinātā riska iestāšanās rezultātā radīto zaudējumu iespējamo apmēru. Likumprojektā paredzētā likuma 35. panta 8. punkta izslēgšana, vienlaikus </w:t>
      </w:r>
      <w:r w:rsidR="00CF0CD7" w:rsidRPr="008807A9">
        <w:rPr>
          <w:rFonts w:ascii="Gotham Pro LT" w:eastAsia="Times New Roman" w:hAnsi="Gotham Pro LT" w:cs="Gotham Pro LT"/>
          <w:lang w:eastAsia="lv-LV"/>
        </w:rPr>
        <w:t>ne</w:t>
      </w:r>
      <w:r w:rsidR="00CF0CD7">
        <w:rPr>
          <w:rFonts w:ascii="Gotham Pro LT" w:eastAsia="Times New Roman" w:hAnsi="Gotham Pro LT" w:cs="Gotham Pro LT"/>
          <w:lang w:eastAsia="lv-LV"/>
        </w:rPr>
        <w:t xml:space="preserve">paredzot </w:t>
      </w:r>
      <w:r w:rsidR="007E7F38" w:rsidRPr="008807A9">
        <w:rPr>
          <w:rFonts w:ascii="Gotham Pro LT" w:eastAsia="Times New Roman" w:hAnsi="Gotham Pro LT" w:cs="Gotham Pro LT"/>
          <w:lang w:eastAsia="lv-LV"/>
        </w:rPr>
        <w:t>atbilstošu regulējumu negūtās peļņas aprēķināšanai, neļau</w:t>
      </w:r>
      <w:r w:rsidR="00CF0CD7">
        <w:rPr>
          <w:rFonts w:ascii="Gotham Pro LT" w:eastAsia="Times New Roman" w:hAnsi="Gotham Pro LT" w:cs="Gotham Pro LT"/>
          <w:lang w:eastAsia="lv-LV"/>
        </w:rPr>
        <w:t>s</w:t>
      </w:r>
      <w:r w:rsidR="007E7F38" w:rsidRPr="008807A9">
        <w:rPr>
          <w:rFonts w:ascii="Gotham Pro LT" w:eastAsia="Times New Roman" w:hAnsi="Gotham Pro LT" w:cs="Gotham Pro LT"/>
          <w:lang w:eastAsia="lv-LV"/>
        </w:rPr>
        <w:t xml:space="preserve"> apdrošinātājiem veidot atbilstošu paredzamā zaudējuma riska prognozi</w:t>
      </w:r>
      <w:r w:rsidR="001A685F">
        <w:rPr>
          <w:rFonts w:ascii="Gotham Pro LT" w:eastAsia="Times New Roman" w:hAnsi="Gotham Pro LT" w:cs="Gotham Pro LT"/>
          <w:lang w:eastAsia="lv-LV"/>
        </w:rPr>
        <w:t>, kas vienlaikus ietekmē</w:t>
      </w:r>
      <w:r w:rsidR="00C75282">
        <w:rPr>
          <w:rFonts w:ascii="Gotham Pro LT" w:eastAsia="Times New Roman" w:hAnsi="Gotham Pro LT" w:cs="Gotham Pro LT"/>
          <w:lang w:eastAsia="lv-LV"/>
        </w:rPr>
        <w:t>s</w:t>
      </w:r>
      <w:r w:rsidR="001A685F">
        <w:rPr>
          <w:rFonts w:ascii="Gotham Pro LT" w:eastAsia="Times New Roman" w:hAnsi="Gotham Pro LT" w:cs="Gotham Pro LT"/>
          <w:lang w:eastAsia="lv-LV"/>
        </w:rPr>
        <w:t xml:space="preserve"> arī atskaitījuma apmēra veidošanas nosacījumus OCTA Garantijas fondam (likuma 51.panta sestā daļa).</w:t>
      </w:r>
      <w:r w:rsidR="006E122C" w:rsidRPr="008807A9">
        <w:rPr>
          <w:rFonts w:ascii="Gotham Pro LT" w:eastAsia="Times New Roman" w:hAnsi="Gotham Pro LT" w:cs="Gotham Pro LT"/>
          <w:lang w:eastAsia="lv-LV"/>
        </w:rPr>
        <w:t xml:space="preserve"> Tāpat būtu nepieciešams izvērtējums</w:t>
      </w:r>
      <w:r w:rsidR="001A685F">
        <w:rPr>
          <w:rFonts w:ascii="Gotham Pro LT" w:eastAsia="Times New Roman" w:hAnsi="Gotham Pro LT" w:cs="Gotham Pro LT"/>
          <w:lang w:eastAsia="lv-LV"/>
        </w:rPr>
        <w:t xml:space="preserve"> par to</w:t>
      </w:r>
      <w:r w:rsidR="006E122C" w:rsidRPr="008807A9">
        <w:rPr>
          <w:rFonts w:ascii="Gotham Pro LT" w:eastAsia="Times New Roman" w:hAnsi="Gotham Pro LT" w:cs="Gotham Pro LT"/>
          <w:lang w:eastAsia="lv-LV"/>
        </w:rPr>
        <w:t>, kādu finansiālo ietekmi šādi grozījumi atstā</w:t>
      </w:r>
      <w:r w:rsidR="001A685F">
        <w:rPr>
          <w:rFonts w:ascii="Gotham Pro LT" w:eastAsia="Times New Roman" w:hAnsi="Gotham Pro LT" w:cs="Gotham Pro LT"/>
          <w:lang w:eastAsia="lv-LV"/>
        </w:rPr>
        <w:t>s</w:t>
      </w:r>
      <w:r w:rsidR="006E122C" w:rsidRPr="008807A9">
        <w:rPr>
          <w:rFonts w:ascii="Gotham Pro LT" w:eastAsia="Times New Roman" w:hAnsi="Gotham Pro LT" w:cs="Gotham Pro LT"/>
          <w:lang w:eastAsia="lv-LV"/>
        </w:rPr>
        <w:t xml:space="preserve"> u</w:t>
      </w:r>
      <w:r w:rsidR="006F78CE">
        <w:rPr>
          <w:rFonts w:ascii="Gotham Pro LT" w:eastAsia="Times New Roman" w:hAnsi="Gotham Pro LT" w:cs="Gotham Pro LT"/>
          <w:lang w:eastAsia="lv-LV"/>
        </w:rPr>
        <w:t>z</w:t>
      </w:r>
      <w:r w:rsidR="006E122C" w:rsidRPr="008807A9">
        <w:rPr>
          <w:rFonts w:ascii="Gotham Pro LT" w:eastAsia="Times New Roman" w:hAnsi="Gotham Pro LT" w:cs="Gotham Pro LT"/>
          <w:lang w:eastAsia="lv-LV"/>
        </w:rPr>
        <w:t xml:space="preserve"> OCTA Garantijas fondu un OCTA nozari kopumā</w:t>
      </w:r>
      <w:r w:rsidR="001A685F">
        <w:rPr>
          <w:rFonts w:ascii="Gotham Pro LT" w:eastAsia="Times New Roman" w:hAnsi="Gotham Pro LT" w:cs="Gotham Pro LT"/>
          <w:lang w:eastAsia="lv-LV"/>
        </w:rPr>
        <w:t>, gan uz transportlīdzekļa īpašniekiem un tiesīgajiem lietotājiem</w:t>
      </w:r>
      <w:r w:rsidR="006E122C" w:rsidRPr="008807A9">
        <w:rPr>
          <w:rFonts w:ascii="Gotham Pro LT" w:eastAsia="Times New Roman" w:hAnsi="Gotham Pro LT" w:cs="Gotham Pro LT"/>
          <w:lang w:eastAsia="lv-LV"/>
        </w:rPr>
        <w:t>.</w:t>
      </w:r>
      <w:r w:rsidR="00CF0CD7">
        <w:rPr>
          <w:rFonts w:ascii="Gotham Pro LT" w:eastAsia="Times New Roman" w:hAnsi="Gotham Pro LT" w:cs="Gotham Pro LT"/>
          <w:lang w:eastAsia="lv-LV"/>
        </w:rPr>
        <w:t xml:space="preserve"> </w:t>
      </w:r>
      <w:r w:rsidR="001A685F">
        <w:rPr>
          <w:rFonts w:ascii="Gotham Pro LT" w:eastAsia="Times New Roman" w:hAnsi="Gotham Pro LT" w:cs="Gotham Pro LT"/>
          <w:lang w:eastAsia="lv-LV"/>
        </w:rPr>
        <w:t xml:space="preserve">Ja tālāk tiek virzīti </w:t>
      </w:r>
      <w:r w:rsidR="00CF0CD7">
        <w:rPr>
          <w:rFonts w:ascii="Gotham Pro LT" w:eastAsia="Times New Roman" w:hAnsi="Gotham Pro LT" w:cs="Gotham Pro LT"/>
          <w:lang w:eastAsia="lv-LV"/>
        </w:rPr>
        <w:t>šād</w:t>
      </w:r>
      <w:r w:rsidR="001A685F">
        <w:rPr>
          <w:rFonts w:ascii="Gotham Pro LT" w:eastAsia="Times New Roman" w:hAnsi="Gotham Pro LT" w:cs="Gotham Pro LT"/>
          <w:lang w:eastAsia="lv-LV"/>
        </w:rPr>
        <w:t>i</w:t>
      </w:r>
      <w:r w:rsidR="00CF0CD7">
        <w:rPr>
          <w:rFonts w:ascii="Gotham Pro LT" w:eastAsia="Times New Roman" w:hAnsi="Gotham Pro LT" w:cs="Gotham Pro LT"/>
          <w:lang w:eastAsia="lv-LV"/>
        </w:rPr>
        <w:t xml:space="preserve"> grozījum</w:t>
      </w:r>
      <w:r w:rsidR="001A685F">
        <w:rPr>
          <w:rFonts w:ascii="Gotham Pro LT" w:eastAsia="Times New Roman" w:hAnsi="Gotham Pro LT" w:cs="Gotham Pro LT"/>
          <w:lang w:eastAsia="lv-LV"/>
        </w:rPr>
        <w:t>i,  tad</w:t>
      </w:r>
      <w:r w:rsidR="00C75282">
        <w:rPr>
          <w:rFonts w:ascii="Gotham Pro LT" w:eastAsia="Times New Roman" w:hAnsi="Gotham Pro LT" w:cs="Gotham Pro LT"/>
          <w:lang w:eastAsia="lv-LV"/>
        </w:rPr>
        <w:t xml:space="preserve"> </w:t>
      </w:r>
      <w:r w:rsidR="001A685F">
        <w:rPr>
          <w:rFonts w:ascii="Gotham Pro LT" w:eastAsia="Times New Roman" w:hAnsi="Gotham Pro LT" w:cs="Gotham Pro LT"/>
          <w:lang w:eastAsia="lv-LV"/>
        </w:rPr>
        <w:t>vispirms ir jāatrisina iepriekš minētie jautājumi, un</w:t>
      </w:r>
      <w:r w:rsidR="00C75282">
        <w:rPr>
          <w:rFonts w:ascii="Gotham Pro LT" w:eastAsia="Times New Roman" w:hAnsi="Gotham Pro LT" w:cs="Gotham Pro LT"/>
          <w:lang w:eastAsia="lv-LV"/>
        </w:rPr>
        <w:t xml:space="preserve">, lai tiktu ievērots </w:t>
      </w:r>
      <w:r w:rsidR="00DF22AE">
        <w:rPr>
          <w:rFonts w:ascii="Gotham Pro LT" w:eastAsia="Times New Roman" w:hAnsi="Gotham Pro LT" w:cs="Gotham Pro LT"/>
          <w:lang w:eastAsia="lv-LV"/>
        </w:rPr>
        <w:t xml:space="preserve">tiesiskās drošības un </w:t>
      </w:r>
      <w:r w:rsidR="00C75282">
        <w:rPr>
          <w:rFonts w:ascii="Gotham Pro LT" w:eastAsia="Times New Roman" w:hAnsi="Gotham Pro LT" w:cs="Gotham Pro LT"/>
          <w:lang w:eastAsia="lv-LV"/>
        </w:rPr>
        <w:t xml:space="preserve">tiesiskās paļāvības princips,  </w:t>
      </w:r>
      <w:r w:rsidR="001A685F" w:rsidRPr="00C75282">
        <w:rPr>
          <w:rFonts w:ascii="Gotham Pro LT" w:eastAsia="Times New Roman" w:hAnsi="Gotham Pro LT" w:cs="Gotham Pro LT"/>
          <w:b/>
          <w:bCs/>
          <w:lang w:eastAsia="lv-LV"/>
        </w:rPr>
        <w:t>jā</w:t>
      </w:r>
      <w:r w:rsidR="00CF0CD7" w:rsidRPr="00C75282">
        <w:rPr>
          <w:rFonts w:ascii="Gotham Pro LT" w:eastAsia="Times New Roman" w:hAnsi="Gotham Pro LT" w:cs="Gotham Pro LT"/>
          <w:b/>
          <w:bCs/>
          <w:lang w:eastAsia="lv-LV"/>
        </w:rPr>
        <w:t>p</w:t>
      </w:r>
      <w:r w:rsidR="001A685F" w:rsidRPr="00C75282">
        <w:rPr>
          <w:rFonts w:ascii="Gotham Pro LT" w:eastAsia="Times New Roman" w:hAnsi="Gotham Pro LT" w:cs="Gotham Pro LT"/>
          <w:b/>
          <w:bCs/>
          <w:lang w:eastAsia="lv-LV"/>
        </w:rPr>
        <w:t xml:space="preserve">aredz pārejas </w:t>
      </w:r>
      <w:r w:rsidR="00CF0CD7" w:rsidRPr="00C75282">
        <w:rPr>
          <w:rFonts w:ascii="Gotham Pro LT" w:eastAsia="Times New Roman" w:hAnsi="Gotham Pro LT" w:cs="Gotham Pro LT"/>
          <w:b/>
          <w:bCs/>
          <w:lang w:eastAsia="lv-LV"/>
        </w:rPr>
        <w:t>noteikum</w:t>
      </w:r>
      <w:r w:rsidR="001A685F" w:rsidRPr="00C75282">
        <w:rPr>
          <w:rFonts w:ascii="Gotham Pro LT" w:eastAsia="Times New Roman" w:hAnsi="Gotham Pro LT" w:cs="Gotham Pro LT"/>
          <w:b/>
          <w:bCs/>
          <w:lang w:eastAsia="lv-LV"/>
        </w:rPr>
        <w:t>i</w:t>
      </w:r>
      <w:r w:rsidR="001A685F">
        <w:rPr>
          <w:rFonts w:ascii="Gotham Pro LT" w:eastAsia="Times New Roman" w:hAnsi="Gotham Pro LT" w:cs="Gotham Pro LT"/>
          <w:lang w:eastAsia="lv-LV"/>
        </w:rPr>
        <w:t xml:space="preserve">: 1) </w:t>
      </w:r>
      <w:r w:rsidR="00CF0CD7">
        <w:rPr>
          <w:rFonts w:ascii="Gotham Pro LT" w:eastAsia="Times New Roman" w:hAnsi="Gotham Pro LT" w:cs="Gotham Pro LT"/>
          <w:lang w:eastAsia="lv-LV"/>
        </w:rPr>
        <w:t xml:space="preserve">gan attiecībā uz pašu grozījumu spēkā stāšanos (vismaz </w:t>
      </w:r>
      <w:r w:rsidR="00C75282">
        <w:rPr>
          <w:rFonts w:ascii="Gotham Pro LT" w:eastAsia="Times New Roman" w:hAnsi="Gotham Pro LT" w:cs="Gotham Pro LT"/>
          <w:lang w:eastAsia="lv-LV"/>
        </w:rPr>
        <w:t xml:space="preserve">vienu gadu </w:t>
      </w:r>
      <w:r w:rsidR="00CF0CD7">
        <w:rPr>
          <w:rFonts w:ascii="Gotham Pro LT" w:eastAsia="Times New Roman" w:hAnsi="Gotham Pro LT" w:cs="Gotham Pro LT"/>
          <w:lang w:eastAsia="lv-LV"/>
        </w:rPr>
        <w:t xml:space="preserve">vēlāku spēkā stāšanos no grozījumu pieņemšanas Saeimā), lai nozarei būtu iespējams sagatavoties gaidāmajām izmaiņām, </w:t>
      </w:r>
      <w:r w:rsidR="001A685F">
        <w:rPr>
          <w:rFonts w:ascii="Gotham Pro LT" w:eastAsia="Times New Roman" w:hAnsi="Gotham Pro LT" w:cs="Gotham Pro LT"/>
          <w:lang w:eastAsia="lv-LV"/>
        </w:rPr>
        <w:t xml:space="preserve">2) </w:t>
      </w:r>
      <w:r w:rsidR="00CF0CD7">
        <w:rPr>
          <w:rFonts w:ascii="Gotham Pro LT" w:eastAsia="Times New Roman" w:hAnsi="Gotham Pro LT" w:cs="Gotham Pro LT"/>
          <w:lang w:eastAsia="lv-LV"/>
        </w:rPr>
        <w:t xml:space="preserve">gan attiecībā uz to, ka jaunās izmaiņas piemērojamas apdrošināšanas līgumiem, kas noslēgti pēc šo grozījumu spēkā stāšanās </w:t>
      </w:r>
      <w:r w:rsidR="00CF0CD7" w:rsidRPr="00CF0CD7">
        <w:rPr>
          <w:rFonts w:ascii="Gotham Pro LT" w:eastAsia="Times New Roman" w:hAnsi="Gotham Pro LT" w:cs="Gotham Pro LT"/>
          <w:lang w:eastAsia="lv-LV"/>
        </w:rPr>
        <w:t xml:space="preserve">atbilstoši tam, kā to paredz </w:t>
      </w:r>
      <w:r w:rsidR="007A4145">
        <w:rPr>
          <w:rFonts w:ascii="Gotham Pro LT" w:eastAsia="Times New Roman" w:hAnsi="Gotham Pro LT" w:cs="Gotham Pro LT"/>
          <w:lang w:eastAsia="lv-LV"/>
        </w:rPr>
        <w:t xml:space="preserve">arī </w:t>
      </w:r>
      <w:r w:rsidR="00CF0CD7" w:rsidRPr="00CF0CD7">
        <w:rPr>
          <w:rFonts w:ascii="Gotham Pro LT" w:eastAsia="Times New Roman" w:hAnsi="Gotham Pro LT" w:cs="Gotham Pro LT"/>
          <w:lang w:eastAsia="lv-LV"/>
        </w:rPr>
        <w:t xml:space="preserve">Civillikuma 3.pants, </w:t>
      </w:r>
      <w:r w:rsidR="00CF0CD7" w:rsidRPr="00915FDD">
        <w:rPr>
          <w:rFonts w:ascii="Gotham Pro LT" w:eastAsia="Times New Roman" w:hAnsi="Gotham Pro LT" w:cs="Gotham Pro LT"/>
          <w:lang w:eastAsia="lv-LV"/>
        </w:rPr>
        <w:t xml:space="preserve">ka </w:t>
      </w:r>
      <w:r w:rsidR="00CF0CD7" w:rsidRPr="00915FDD">
        <w:rPr>
          <w:rFonts w:ascii="Gotham Pro LT" w:hAnsi="Gotham Pro LT" w:cs="Gotham Pro LT"/>
          <w:shd w:val="clear" w:color="auto" w:fill="FFFFFF"/>
        </w:rPr>
        <w:t>katra civiltiesiska attiecība apspriežama pēc likumiem, kas bijuši spēkā tad, kad šī attiecība radusies, pārgrozījusies vai izbeigusies.</w:t>
      </w:r>
    </w:p>
    <w:bookmarkEnd w:id="2"/>
    <w:p w14:paraId="0C69F7E5" w14:textId="52FA2B19" w:rsidR="00112E30" w:rsidRPr="004C5B6A" w:rsidRDefault="006E122C" w:rsidP="008807A9">
      <w:pPr>
        <w:numPr>
          <w:ilvl w:val="0"/>
          <w:numId w:val="19"/>
        </w:numPr>
        <w:shd w:val="clear" w:color="auto" w:fill="FFFFFF"/>
        <w:spacing w:after="120" w:line="240" w:lineRule="auto"/>
        <w:jc w:val="both"/>
        <w:rPr>
          <w:rFonts w:ascii="Gotham Pro LT" w:eastAsia="Times New Roman" w:hAnsi="Gotham Pro LT" w:cs="Gotham Pro LT"/>
          <w:b/>
          <w:bCs/>
          <w:lang w:eastAsia="lv-LV"/>
        </w:rPr>
      </w:pPr>
      <w:r w:rsidRPr="004C5B6A">
        <w:rPr>
          <w:rFonts w:ascii="Gotham Pro LT" w:eastAsia="Times New Roman" w:hAnsi="Gotham Pro LT" w:cs="Gotham Pro LT"/>
          <w:b/>
          <w:bCs/>
          <w:lang w:eastAsia="lv-LV"/>
        </w:rPr>
        <w:t>Likumprojekta 3.pant</w:t>
      </w:r>
      <w:r w:rsidR="007D1628" w:rsidRPr="004C5B6A">
        <w:rPr>
          <w:rFonts w:ascii="Gotham Pro LT" w:eastAsia="Times New Roman" w:hAnsi="Gotham Pro LT" w:cs="Gotham Pro LT"/>
          <w:b/>
          <w:bCs/>
          <w:lang w:eastAsia="lv-LV"/>
        </w:rPr>
        <w:t>s (likuma 44.panta piektā daļa) precizējama.</w:t>
      </w:r>
    </w:p>
    <w:p w14:paraId="65F69DB7" w14:textId="4DDAF55F" w:rsidR="00A2645C" w:rsidRPr="008807A9" w:rsidRDefault="007D1628" w:rsidP="00A2645C">
      <w:pPr>
        <w:shd w:val="clear" w:color="auto" w:fill="FFFFFF"/>
        <w:spacing w:after="120" w:line="240" w:lineRule="auto"/>
        <w:ind w:firstLine="709"/>
        <w:jc w:val="both"/>
        <w:rPr>
          <w:rFonts w:ascii="Gotham Pro LT" w:eastAsia="Times New Roman" w:hAnsi="Gotham Pro LT" w:cs="Gotham Pro LT"/>
          <w:lang w:eastAsia="lv-LV"/>
        </w:rPr>
      </w:pPr>
      <w:r w:rsidRPr="008807A9">
        <w:rPr>
          <w:rFonts w:ascii="Gotham Pro LT" w:eastAsia="Calibri" w:hAnsi="Gotham Pro LT" w:cs="Gotham Pro LT"/>
          <w:u w:val="single"/>
        </w:rPr>
        <w:t xml:space="preserve">Pamatojums </w:t>
      </w:r>
      <w:r w:rsidRPr="008807A9">
        <w:rPr>
          <w:rFonts w:ascii="Gotham Pro LT" w:eastAsia="Calibri" w:hAnsi="Gotham Pro LT" w:cs="Gotham Pro LT"/>
        </w:rPr>
        <w:t xml:space="preserve">- šobrīd nav saprotams, par kāda veida sūdzībām ir runa likuma 44.panta piektajā daļā. Vai ar tām būtu saprotamas sūdzības, kas iesniegtas LTAB saskaņā ar OCTA likuma 39.panta piekto daļu, vai </w:t>
      </w:r>
      <w:r w:rsidR="008807A9">
        <w:rPr>
          <w:rFonts w:ascii="Gotham Pro LT" w:eastAsia="Calibri" w:hAnsi="Gotham Pro LT" w:cs="Gotham Pro LT"/>
        </w:rPr>
        <w:lastRenderedPageBreak/>
        <w:t xml:space="preserve">tomēr </w:t>
      </w:r>
      <w:r w:rsidRPr="008807A9">
        <w:rPr>
          <w:rFonts w:ascii="Gotham Pro LT" w:eastAsia="Calibri" w:hAnsi="Gotham Pro LT" w:cs="Gotham Pro LT"/>
        </w:rPr>
        <w:t>vēl kādas citas sūdzības. Tāpat nav skaidrs, kāpēc likuma 44.panta piektajā daļā ir ietverta frāze “</w:t>
      </w:r>
      <w:r w:rsidRPr="008807A9">
        <w:rPr>
          <w:rFonts w:ascii="Gotham Pro LT" w:hAnsi="Gotham Pro LT" w:cs="Gotham Pro LT"/>
        </w:rPr>
        <w:t>interešu konfliktu konstatēšanu un novēršanu</w:t>
      </w:r>
      <w:r w:rsidRPr="008807A9">
        <w:rPr>
          <w:rFonts w:ascii="Gotham Pro LT" w:eastAsia="Calibri" w:hAnsi="Gotham Pro LT" w:cs="Gotham Pro LT"/>
        </w:rPr>
        <w:t>”</w:t>
      </w:r>
      <w:r w:rsidR="00173A7C">
        <w:rPr>
          <w:rFonts w:ascii="Gotham Pro LT" w:eastAsia="Calibri" w:hAnsi="Gotham Pro LT" w:cs="Gotham Pro LT"/>
        </w:rPr>
        <w:t xml:space="preserve">, un vai šis papildinājums ir attiecināms uz </w:t>
      </w:r>
      <w:r w:rsidR="00915FDD">
        <w:rPr>
          <w:rFonts w:ascii="Gotham Pro LT" w:eastAsia="Calibri" w:hAnsi="Gotham Pro LT" w:cs="Gotham Pro LT"/>
        </w:rPr>
        <w:t xml:space="preserve">likuma </w:t>
      </w:r>
      <w:r w:rsidR="00173A7C">
        <w:rPr>
          <w:rFonts w:ascii="Gotham Pro LT" w:eastAsia="Calibri" w:hAnsi="Gotham Pro LT" w:cs="Gotham Pro LT"/>
        </w:rPr>
        <w:t>39. panta piektajā daļā regulēto sūdzību izskatīšanas procesu</w:t>
      </w:r>
      <w:r w:rsidRPr="008807A9">
        <w:rPr>
          <w:rFonts w:ascii="Gotham Pro LT" w:eastAsia="Calibri" w:hAnsi="Gotham Pro LT" w:cs="Gotham Pro LT"/>
        </w:rPr>
        <w:t>. Likumprojekta anotācija arī nesniedz detalizētāku skaidrojumu.</w:t>
      </w:r>
      <w:r w:rsidR="00E1565A">
        <w:rPr>
          <w:rFonts w:ascii="Gotham Pro LT" w:eastAsia="Calibri" w:hAnsi="Gotham Pro LT" w:cs="Gotham Pro LT"/>
        </w:rPr>
        <w:t xml:space="preserve"> Arī šiem grozījumiem nepieciešams paredzēt </w:t>
      </w:r>
      <w:r w:rsidR="00E1565A" w:rsidRPr="00FE3B35">
        <w:rPr>
          <w:rFonts w:ascii="Gotham Pro LT" w:eastAsia="Times New Roman" w:hAnsi="Gotham Pro LT" w:cs="Gotham Pro LT"/>
          <w:b/>
          <w:bCs/>
          <w:lang w:eastAsia="lv-LV"/>
        </w:rPr>
        <w:t>pārejas noteikum</w:t>
      </w:r>
      <w:r w:rsidR="00E1565A">
        <w:rPr>
          <w:rFonts w:ascii="Gotham Pro LT" w:eastAsia="Times New Roman" w:hAnsi="Gotham Pro LT" w:cs="Gotham Pro LT"/>
          <w:b/>
          <w:bCs/>
          <w:lang w:eastAsia="lv-LV"/>
        </w:rPr>
        <w:t>us</w:t>
      </w:r>
      <w:r w:rsidR="001C400C">
        <w:rPr>
          <w:rFonts w:ascii="Gotham Pro LT" w:eastAsia="Times New Roman" w:hAnsi="Gotham Pro LT" w:cs="Gotham Pro LT"/>
          <w:b/>
          <w:bCs/>
          <w:lang w:eastAsia="lv-LV"/>
        </w:rPr>
        <w:t xml:space="preserve"> </w:t>
      </w:r>
      <w:r w:rsidR="001C400C" w:rsidRPr="00E641A3">
        <w:rPr>
          <w:rFonts w:ascii="Gotham Pro LT" w:eastAsia="Times New Roman" w:hAnsi="Gotham Pro LT" w:cs="Gotham Pro LT"/>
          <w:lang w:eastAsia="lv-LV"/>
        </w:rPr>
        <w:t>– vēlāku spēkā stāšanās laiku</w:t>
      </w:r>
      <w:r w:rsidR="00A2645C">
        <w:rPr>
          <w:rFonts w:ascii="Gotham Pro LT" w:eastAsia="Times New Roman" w:hAnsi="Gotham Pro LT" w:cs="Gotham Pro LT"/>
          <w:lang w:eastAsia="lv-LV"/>
        </w:rPr>
        <w:t xml:space="preserve"> (vismaz 6 mēnešu vēlāku spēkā stāšanos pēc grozījumu pieņemšanas).</w:t>
      </w:r>
    </w:p>
    <w:p w14:paraId="1D84FB0F" w14:textId="184CC10C" w:rsidR="007D1628" w:rsidRPr="00904331" w:rsidRDefault="007D1628" w:rsidP="008807A9">
      <w:pPr>
        <w:numPr>
          <w:ilvl w:val="0"/>
          <w:numId w:val="19"/>
        </w:numPr>
        <w:shd w:val="clear" w:color="auto" w:fill="FFFFFF"/>
        <w:spacing w:after="120" w:line="240" w:lineRule="auto"/>
        <w:jc w:val="both"/>
        <w:rPr>
          <w:rFonts w:ascii="Gotham Pro LT" w:eastAsia="Times New Roman" w:hAnsi="Gotham Pro LT" w:cs="Gotham Pro LT"/>
          <w:b/>
          <w:bCs/>
          <w:lang w:eastAsia="lv-LV"/>
        </w:rPr>
      </w:pPr>
      <w:r w:rsidRPr="00904331">
        <w:rPr>
          <w:rFonts w:ascii="Gotham Pro LT" w:eastAsia="Times New Roman" w:hAnsi="Gotham Pro LT" w:cs="Gotham Pro LT"/>
          <w:b/>
          <w:bCs/>
          <w:lang w:eastAsia="lv-LV"/>
        </w:rPr>
        <w:t>Likumprojekta 5.panta (likuma 47.panta) redakcija precizējama:</w:t>
      </w:r>
    </w:p>
    <w:p w14:paraId="5396A42D" w14:textId="654A32CE" w:rsidR="007D1628" w:rsidRPr="00904331" w:rsidRDefault="008807A9" w:rsidP="008807A9">
      <w:pPr>
        <w:pStyle w:val="ListParagraph"/>
        <w:numPr>
          <w:ilvl w:val="0"/>
          <w:numId w:val="24"/>
        </w:numPr>
        <w:shd w:val="clear" w:color="auto" w:fill="FFFFFF"/>
        <w:spacing w:after="120"/>
        <w:jc w:val="both"/>
        <w:rPr>
          <w:rFonts w:ascii="Gotham Pro LT" w:eastAsia="Times New Roman" w:hAnsi="Gotham Pro LT" w:cs="Gotham Pro LT"/>
          <w:b/>
          <w:bCs/>
          <w:lang w:eastAsia="lv-LV"/>
        </w:rPr>
      </w:pPr>
      <w:r w:rsidRPr="00904331">
        <w:rPr>
          <w:rFonts w:ascii="Gotham Pro LT" w:eastAsia="Times New Roman" w:hAnsi="Gotham Pro LT" w:cs="Gotham Pro LT"/>
          <w:b/>
          <w:bCs/>
          <w:lang w:eastAsia="lv-LV"/>
        </w:rPr>
        <w:t>i</w:t>
      </w:r>
      <w:r w:rsidR="007D1628" w:rsidRPr="00904331">
        <w:rPr>
          <w:rFonts w:ascii="Gotham Pro LT" w:eastAsia="Times New Roman" w:hAnsi="Gotham Pro LT" w:cs="Gotham Pro LT"/>
          <w:b/>
          <w:bCs/>
          <w:lang w:eastAsia="lv-LV"/>
        </w:rPr>
        <w:t>zteikt likuma 47.panta ceturto daļu šādā redakcijā:</w:t>
      </w:r>
    </w:p>
    <w:p w14:paraId="35529D82" w14:textId="36934EB8" w:rsidR="008807A9" w:rsidRPr="008807A9" w:rsidRDefault="008807A9" w:rsidP="00904331">
      <w:pPr>
        <w:pStyle w:val="ListParagraph"/>
        <w:spacing w:after="120"/>
        <w:ind w:left="0" w:firstLine="709"/>
        <w:jc w:val="both"/>
        <w:rPr>
          <w:rFonts w:ascii="Gotham Pro LT" w:hAnsi="Gotham Pro LT" w:cs="Gotham Pro LT"/>
          <w:bCs/>
          <w:iCs/>
        </w:rPr>
      </w:pPr>
      <w:r>
        <w:rPr>
          <w:rFonts w:ascii="Gotham Pro LT" w:hAnsi="Gotham Pro LT" w:cs="Gotham Pro LT"/>
          <w:bCs/>
          <w:iCs/>
        </w:rPr>
        <w:t>“</w:t>
      </w:r>
      <w:r w:rsidRPr="008807A9">
        <w:rPr>
          <w:rFonts w:ascii="Gotham Pro LT" w:hAnsi="Gotham Pro LT" w:cs="Gotham Pro LT"/>
          <w:bCs/>
          <w:iCs/>
        </w:rPr>
        <w:t>(4) Šā panta otrajā daļā minētajai personai ir nevainojama reputācija, ja:</w:t>
      </w:r>
    </w:p>
    <w:p w14:paraId="3D715021" w14:textId="77777777" w:rsidR="008807A9" w:rsidRPr="008807A9" w:rsidRDefault="008807A9" w:rsidP="00904331">
      <w:pPr>
        <w:pStyle w:val="ListParagraph"/>
        <w:spacing w:after="120"/>
        <w:ind w:left="0" w:firstLine="709"/>
        <w:jc w:val="both"/>
        <w:rPr>
          <w:rFonts w:ascii="Gotham Pro LT" w:hAnsi="Gotham Pro LT" w:cs="Gotham Pro LT"/>
          <w:bCs/>
          <w:iCs/>
        </w:rPr>
      </w:pPr>
      <w:r w:rsidRPr="008807A9">
        <w:rPr>
          <w:rFonts w:ascii="Gotham Pro LT" w:hAnsi="Gotham Pro LT" w:cs="Gotham Pro LT"/>
          <w:bCs/>
          <w:iCs/>
        </w:rPr>
        <w:t xml:space="preserve">1) uz to neattiecas neviens no šā panta trešajā daļā minētajiem nosacījumiem, </w:t>
      </w:r>
    </w:p>
    <w:p w14:paraId="3F1BDBE7" w14:textId="1808F5F3" w:rsidR="008807A9" w:rsidRPr="00904331" w:rsidRDefault="008807A9" w:rsidP="00904331">
      <w:pPr>
        <w:pStyle w:val="ListParagraph"/>
        <w:tabs>
          <w:tab w:val="left" w:pos="993"/>
        </w:tabs>
        <w:spacing w:after="120"/>
        <w:ind w:left="0" w:firstLine="709"/>
        <w:jc w:val="both"/>
        <w:rPr>
          <w:rFonts w:ascii="Gotham Pro LT" w:hAnsi="Gotham Pro LT" w:cs="Gotham Pro LT"/>
          <w:bCs/>
          <w:iCs/>
        </w:rPr>
      </w:pPr>
      <w:r w:rsidRPr="008807A9">
        <w:rPr>
          <w:rFonts w:ascii="Gotham Pro LT" w:hAnsi="Gotham Pro LT" w:cs="Gotham Pro LT"/>
          <w:bCs/>
          <w:iCs/>
        </w:rPr>
        <w:t xml:space="preserve">2) nav konstatēti tādi apstākļi, kas, šai personai pildot Transportlīdzekļu apdrošināšanas biroja valdes locekļa amata pienākumus, var kaitēt Transportlīdzekļu apdrošināšanas biroja reputācijai </w:t>
      </w:r>
      <w:r w:rsidRPr="001C1C20">
        <w:rPr>
          <w:rFonts w:ascii="Gotham Pro LT" w:hAnsi="Gotham Pro LT" w:cs="Gotham Pro LT"/>
          <w:bCs/>
          <w:iCs/>
        </w:rPr>
        <w:t>vai noteiktā valsts pārvaldes uzdevuma izpildei, radīt</w:t>
      </w:r>
      <w:r w:rsidRPr="008807A9">
        <w:rPr>
          <w:rFonts w:ascii="Gotham Pro LT" w:hAnsi="Gotham Pro LT" w:cs="Gotham Pro LT"/>
          <w:bCs/>
          <w:iCs/>
        </w:rPr>
        <w:t xml:space="preserve"> risku, ka </w:t>
      </w:r>
      <w:r w:rsidRPr="00904331">
        <w:rPr>
          <w:rFonts w:ascii="Gotham Pro LT" w:hAnsi="Gotham Pro LT" w:cs="Gotham Pro LT"/>
          <w:bCs/>
          <w:iCs/>
        </w:rPr>
        <w:t>Transportlīdzekļu apdrošināšanas birojs tiek iesaistīts nelikumīgās darbībās, vai var apdraudēt ceļu satiksmes negadījumā cietušo trešo personu tiesības vai intereses</w:t>
      </w:r>
      <w:r w:rsidR="00805C10">
        <w:rPr>
          <w:rFonts w:ascii="Gotham Pro LT" w:hAnsi="Gotham Pro LT" w:cs="Gotham Pro LT"/>
          <w:bCs/>
          <w:iCs/>
        </w:rPr>
        <w:t>.</w:t>
      </w:r>
      <w:r w:rsidRPr="00904331">
        <w:rPr>
          <w:rFonts w:ascii="Gotham Pro LT" w:hAnsi="Gotham Pro LT" w:cs="Gotham Pro LT"/>
          <w:bCs/>
          <w:iCs/>
        </w:rPr>
        <w:t>”</w:t>
      </w:r>
    </w:p>
    <w:p w14:paraId="30B7EA2C" w14:textId="651BAC52" w:rsidR="008807A9" w:rsidRPr="00904331" w:rsidRDefault="008807A9" w:rsidP="00904331">
      <w:pPr>
        <w:pStyle w:val="ListParagraph"/>
        <w:numPr>
          <w:ilvl w:val="0"/>
          <w:numId w:val="24"/>
        </w:numPr>
        <w:shd w:val="clear" w:color="auto" w:fill="FFFFFF"/>
        <w:spacing w:after="120"/>
        <w:jc w:val="both"/>
        <w:rPr>
          <w:rFonts w:ascii="Gotham Pro LT" w:eastAsia="Times New Roman" w:hAnsi="Gotham Pro LT" w:cs="Gotham Pro LT"/>
          <w:b/>
          <w:bCs/>
          <w:lang w:eastAsia="lv-LV"/>
        </w:rPr>
      </w:pPr>
      <w:r w:rsidRPr="00904331">
        <w:rPr>
          <w:rFonts w:ascii="Gotham Pro LT" w:eastAsia="Times New Roman" w:hAnsi="Gotham Pro LT" w:cs="Gotham Pro LT"/>
          <w:b/>
          <w:bCs/>
          <w:lang w:eastAsia="lv-LV"/>
        </w:rPr>
        <w:t xml:space="preserve">izteikt likuma 47.panta </w:t>
      </w:r>
      <w:r w:rsidR="00904331" w:rsidRPr="00904331">
        <w:rPr>
          <w:rFonts w:ascii="Gotham Pro LT" w:eastAsia="Times New Roman" w:hAnsi="Gotham Pro LT" w:cs="Gotham Pro LT"/>
          <w:b/>
          <w:bCs/>
          <w:lang w:eastAsia="lv-LV"/>
        </w:rPr>
        <w:t xml:space="preserve">septīto </w:t>
      </w:r>
      <w:r w:rsidRPr="00904331">
        <w:rPr>
          <w:rFonts w:ascii="Gotham Pro LT" w:eastAsia="Times New Roman" w:hAnsi="Gotham Pro LT" w:cs="Gotham Pro LT"/>
          <w:b/>
          <w:bCs/>
          <w:lang w:eastAsia="lv-LV"/>
        </w:rPr>
        <w:t>daļu šādā redakcijā:</w:t>
      </w:r>
    </w:p>
    <w:p w14:paraId="2D0216E8" w14:textId="3E319AD5" w:rsidR="00904331" w:rsidRPr="00904331" w:rsidRDefault="00904331" w:rsidP="00904331">
      <w:pPr>
        <w:spacing w:after="120" w:line="240" w:lineRule="auto"/>
        <w:ind w:firstLine="709"/>
        <w:jc w:val="both"/>
        <w:rPr>
          <w:rFonts w:ascii="Gotham Pro LT" w:hAnsi="Gotham Pro LT" w:cs="Gotham Pro LT"/>
          <w:bCs/>
          <w:iCs/>
        </w:rPr>
      </w:pPr>
      <w:r w:rsidRPr="00904331">
        <w:rPr>
          <w:rFonts w:ascii="Gotham Pro LT" w:hAnsi="Gotham Pro LT" w:cs="Gotham Pro LT"/>
          <w:bCs/>
          <w:iCs/>
        </w:rPr>
        <w:t>“(7) Transportlīdzekļu apdrošinātāju biroja pienākums ir pašam vai pēc Finanšu ministrijas ierosinājuma nekavējoties atsaukt no amata šā panta pirmajā daļā minēto personu, ja tā neatbilst šā panta otrās daļas prasībām.”</w:t>
      </w:r>
    </w:p>
    <w:p w14:paraId="355AD08F" w14:textId="0CE054EF" w:rsidR="007D1628" w:rsidRPr="00904331" w:rsidRDefault="008807A9" w:rsidP="00904331">
      <w:pPr>
        <w:pStyle w:val="ListParagraph"/>
        <w:numPr>
          <w:ilvl w:val="0"/>
          <w:numId w:val="24"/>
        </w:numPr>
        <w:shd w:val="clear" w:color="auto" w:fill="FFFFFF"/>
        <w:spacing w:after="120"/>
        <w:jc w:val="both"/>
        <w:rPr>
          <w:rFonts w:ascii="Gotham Pro LT" w:eastAsia="Times New Roman" w:hAnsi="Gotham Pro LT" w:cs="Gotham Pro LT"/>
          <w:b/>
          <w:bCs/>
          <w:lang w:eastAsia="lv-LV"/>
        </w:rPr>
      </w:pPr>
      <w:r w:rsidRPr="00904331">
        <w:rPr>
          <w:rFonts w:ascii="Gotham Pro LT" w:eastAsia="Times New Roman" w:hAnsi="Gotham Pro LT" w:cs="Gotham Pro LT"/>
          <w:b/>
          <w:bCs/>
          <w:lang w:eastAsia="lv-LV"/>
        </w:rPr>
        <w:t>izslēgt likuma 47.panta astoto daļu.</w:t>
      </w:r>
    </w:p>
    <w:p w14:paraId="619E485D" w14:textId="28C15993" w:rsidR="007D1628" w:rsidRPr="005A2325" w:rsidRDefault="007D1628" w:rsidP="007637FA">
      <w:pPr>
        <w:shd w:val="clear" w:color="auto" w:fill="FFFFFF"/>
        <w:spacing w:after="120" w:line="240" w:lineRule="auto"/>
        <w:ind w:firstLine="851"/>
        <w:jc w:val="both"/>
        <w:rPr>
          <w:rFonts w:ascii="Gotham Pro LT" w:eastAsia="Calibri" w:hAnsi="Gotham Pro LT" w:cs="Gotham Pro LT"/>
        </w:rPr>
      </w:pPr>
      <w:r w:rsidRPr="008807A9">
        <w:rPr>
          <w:rFonts w:ascii="Gotham Pro LT" w:eastAsia="Calibri" w:hAnsi="Gotham Pro LT" w:cs="Gotham Pro LT"/>
          <w:u w:val="single"/>
        </w:rPr>
        <w:t xml:space="preserve">Pamatojums </w:t>
      </w:r>
      <w:r w:rsidR="008807A9">
        <w:rPr>
          <w:rFonts w:ascii="Gotham Pro LT" w:eastAsia="Calibri" w:hAnsi="Gotham Pro LT" w:cs="Gotham Pro LT"/>
        </w:rPr>
        <w:t>–</w:t>
      </w:r>
      <w:r w:rsidR="007637FA">
        <w:rPr>
          <w:rFonts w:ascii="Gotham Pro LT" w:eastAsia="Calibri" w:hAnsi="Gotham Pro LT" w:cs="Gotham Pro LT"/>
        </w:rPr>
        <w:t xml:space="preserve"> grozījumu mērķis </w:t>
      </w:r>
      <w:r w:rsidR="00805C10">
        <w:rPr>
          <w:rFonts w:ascii="Gotham Pro LT" w:eastAsia="Calibri" w:hAnsi="Gotham Pro LT" w:cs="Gotham Pro LT"/>
        </w:rPr>
        <w:t xml:space="preserve">ir </w:t>
      </w:r>
      <w:r w:rsidR="007637FA">
        <w:rPr>
          <w:rFonts w:ascii="Gotham Pro LT" w:eastAsia="Calibri" w:hAnsi="Gotham Pro LT" w:cs="Gotham Pro LT"/>
        </w:rPr>
        <w:t>vienkopus definēt valdes loceklim nevainīgai reputācijai izvirzāmos kritērijus, apvienojot likuma 47.panta ceturtās un septītās daļas prasības vienkopus, lai norma būtu pārskatāma un praksē viegli piemērojama, un vienlaikus divās normās nedublētos</w:t>
      </w:r>
      <w:r w:rsidR="004C5B6A">
        <w:rPr>
          <w:rFonts w:ascii="Gotham Pro LT" w:eastAsia="Calibri" w:hAnsi="Gotham Pro LT" w:cs="Gotham Pro LT"/>
        </w:rPr>
        <w:t xml:space="preserve"> </w:t>
      </w:r>
      <w:r w:rsidR="00173A7C">
        <w:rPr>
          <w:rFonts w:ascii="Gotham Pro LT" w:eastAsia="Calibri" w:hAnsi="Gotham Pro LT" w:cs="Gotham Pro LT"/>
        </w:rPr>
        <w:t xml:space="preserve">līdzīgs saturs, jo pēc būtības </w:t>
      </w:r>
      <w:r w:rsidR="004C5B6A">
        <w:rPr>
          <w:rFonts w:ascii="Gotham Pro LT" w:eastAsia="Calibri" w:hAnsi="Gotham Pro LT" w:cs="Gotham Pro LT"/>
        </w:rPr>
        <w:t xml:space="preserve">likuma </w:t>
      </w:r>
      <w:r w:rsidR="00173A7C">
        <w:rPr>
          <w:rFonts w:ascii="Gotham Pro LT" w:eastAsia="Calibri" w:hAnsi="Gotham Pro LT" w:cs="Gotham Pro LT"/>
        </w:rPr>
        <w:t xml:space="preserve">47. panta ceturtā daļā ietvertais </w:t>
      </w:r>
      <w:r w:rsidR="00173A7C" w:rsidRPr="005A2325">
        <w:rPr>
          <w:rFonts w:ascii="Gotham Pro LT" w:eastAsia="Calibri" w:hAnsi="Gotham Pro LT" w:cs="Gotham Pro LT"/>
        </w:rPr>
        <w:t>regulējums “</w:t>
      </w:r>
      <w:r w:rsidR="00173A7C" w:rsidRPr="00B85434">
        <w:rPr>
          <w:rFonts w:ascii="Gotham Pro LT" w:hAnsi="Gotham Pro LT" w:cs="Gotham Pro LT"/>
          <w:bCs/>
          <w:iCs/>
        </w:rPr>
        <w:t>radīt risku, ka Transportlīdzekļu apdrošināšanas birojs tiek iesaistīts nelikumīgās darbībās</w:t>
      </w:r>
      <w:r w:rsidR="00173A7C" w:rsidRPr="000476E2">
        <w:rPr>
          <w:rFonts w:ascii="Gotham Pro LT" w:hAnsi="Gotham Pro LT" w:cs="Gotham Pro LT"/>
          <w:bCs/>
          <w:iCs/>
        </w:rPr>
        <w:t>” saturiski atbilst formulējumam</w:t>
      </w:r>
      <w:r w:rsidR="004C5B6A" w:rsidRPr="00E1565A">
        <w:rPr>
          <w:rFonts w:ascii="Gotham Pro LT" w:hAnsi="Gotham Pro LT" w:cs="Gotham Pro LT"/>
          <w:bCs/>
          <w:iCs/>
        </w:rPr>
        <w:t xml:space="preserve"> likuma</w:t>
      </w:r>
      <w:r w:rsidR="00173A7C" w:rsidRPr="00A2645C">
        <w:rPr>
          <w:rFonts w:ascii="Gotham Pro LT" w:hAnsi="Gotham Pro LT" w:cs="Gotham Pro LT"/>
          <w:bCs/>
          <w:iCs/>
        </w:rPr>
        <w:t xml:space="preserve"> 47.panta septītās daļas 3.punk</w:t>
      </w:r>
      <w:r w:rsidR="00173A7C" w:rsidRPr="005A2325">
        <w:rPr>
          <w:rFonts w:ascii="Gotham Pro LT" w:hAnsi="Gotham Pro LT" w:cs="Gotham Pro LT"/>
          <w:bCs/>
          <w:iCs/>
        </w:rPr>
        <w:t>tā Finanšu ministrijas atsūtītajā redakcijā</w:t>
      </w:r>
      <w:r w:rsidR="007637FA" w:rsidRPr="005A2325">
        <w:rPr>
          <w:rFonts w:ascii="Gotham Pro LT" w:eastAsia="Calibri" w:hAnsi="Gotham Pro LT" w:cs="Gotham Pro LT"/>
        </w:rPr>
        <w:t>:</w:t>
      </w:r>
    </w:p>
    <w:p w14:paraId="1013099A" w14:textId="03EF9F0D" w:rsidR="008807A9" w:rsidRPr="005A2325" w:rsidRDefault="008807A9" w:rsidP="007637FA">
      <w:pPr>
        <w:pStyle w:val="ListParagraph"/>
        <w:numPr>
          <w:ilvl w:val="0"/>
          <w:numId w:val="25"/>
        </w:numPr>
        <w:shd w:val="clear" w:color="auto" w:fill="FFFFFF"/>
        <w:spacing w:after="120"/>
        <w:ind w:left="0" w:firstLine="851"/>
        <w:jc w:val="both"/>
        <w:rPr>
          <w:rFonts w:ascii="Gotham Pro LT" w:eastAsia="Times New Roman" w:hAnsi="Gotham Pro LT" w:cs="Gotham Pro LT"/>
          <w:lang w:eastAsia="lv-LV"/>
        </w:rPr>
      </w:pPr>
      <w:r w:rsidRPr="005A2325">
        <w:rPr>
          <w:rFonts w:ascii="Gotham Pro LT" w:eastAsia="Times New Roman" w:hAnsi="Gotham Pro LT" w:cs="Gotham Pro LT"/>
          <w:lang w:eastAsia="lv-LV"/>
        </w:rPr>
        <w:t>likuma 47.panta ceturtā daļa sadalīta 2 apakšpunktos, lai norma būtu vieglāk uztverama, un 47.panta ceturtās daļas 2.punkts papildināts ar atsauci uz citiem kritērijiem, kas saistīti ar LTAB valdes locekļa nevainojamu reputāciju, papild</w:t>
      </w:r>
      <w:r w:rsidR="00173A7C" w:rsidRPr="005A2325">
        <w:rPr>
          <w:rFonts w:ascii="Gotham Pro LT" w:eastAsia="Times New Roman" w:hAnsi="Gotham Pro LT" w:cs="Gotham Pro LT"/>
          <w:lang w:eastAsia="lv-LV"/>
        </w:rPr>
        <w:t>inot</w:t>
      </w:r>
      <w:r w:rsidRPr="005A2325">
        <w:rPr>
          <w:rFonts w:ascii="Gotham Pro LT" w:eastAsia="Times New Roman" w:hAnsi="Gotham Pro LT" w:cs="Gotham Pro LT"/>
          <w:lang w:eastAsia="lv-LV"/>
        </w:rPr>
        <w:t xml:space="preserve"> </w:t>
      </w:r>
      <w:r w:rsidR="00173A7C" w:rsidRPr="005A2325">
        <w:rPr>
          <w:rFonts w:ascii="Gotham Pro LT" w:eastAsia="Times New Roman" w:hAnsi="Gotham Pro LT" w:cs="Gotham Pro LT"/>
          <w:lang w:eastAsia="lv-LV"/>
        </w:rPr>
        <w:t xml:space="preserve">ar </w:t>
      </w:r>
      <w:r w:rsidRPr="005A2325">
        <w:rPr>
          <w:rFonts w:ascii="Gotham Pro LT" w:eastAsia="Times New Roman" w:hAnsi="Gotham Pro LT" w:cs="Gotham Pro LT"/>
          <w:lang w:eastAsia="lv-LV"/>
        </w:rPr>
        <w:t>frāzi “</w:t>
      </w:r>
      <w:r w:rsidRPr="005A2325">
        <w:rPr>
          <w:rFonts w:ascii="Gotham Pro LT" w:hAnsi="Gotham Pro LT" w:cs="Gotham Pro LT"/>
          <w:bCs/>
          <w:iCs/>
        </w:rPr>
        <w:t>var kaitēt noteiktā valsts pārvaldes uzdevuma izpildei” (</w:t>
      </w:r>
      <w:r w:rsidR="007637FA" w:rsidRPr="005A2325">
        <w:rPr>
          <w:rFonts w:ascii="Gotham Pro LT" w:hAnsi="Gotham Pro LT" w:cs="Gotham Pro LT"/>
          <w:bCs/>
          <w:iCs/>
        </w:rPr>
        <w:t xml:space="preserve">norma pārcelta no </w:t>
      </w:r>
      <w:r w:rsidRPr="005A2325">
        <w:rPr>
          <w:rFonts w:ascii="Gotham Pro LT" w:hAnsi="Gotham Pro LT" w:cs="Gotham Pro LT"/>
          <w:bCs/>
          <w:iCs/>
        </w:rPr>
        <w:t>likuma 47.panta septītās daļas 2.punkt</w:t>
      </w:r>
      <w:r w:rsidR="007637FA" w:rsidRPr="005A2325">
        <w:rPr>
          <w:rFonts w:ascii="Gotham Pro LT" w:hAnsi="Gotham Pro LT" w:cs="Gotham Pro LT"/>
          <w:bCs/>
          <w:iCs/>
        </w:rPr>
        <w:t>a</w:t>
      </w:r>
      <w:r w:rsidRPr="005A2325">
        <w:rPr>
          <w:rFonts w:ascii="Gotham Pro LT" w:hAnsi="Gotham Pro LT" w:cs="Gotham Pro LT"/>
          <w:bCs/>
          <w:iCs/>
        </w:rPr>
        <w:t xml:space="preserve"> Fina</w:t>
      </w:r>
      <w:r w:rsidR="00904331" w:rsidRPr="005A2325">
        <w:rPr>
          <w:rFonts w:ascii="Gotham Pro LT" w:hAnsi="Gotham Pro LT" w:cs="Gotham Pro LT"/>
          <w:bCs/>
          <w:iCs/>
        </w:rPr>
        <w:t>n</w:t>
      </w:r>
      <w:r w:rsidRPr="005A2325">
        <w:rPr>
          <w:rFonts w:ascii="Gotham Pro LT" w:hAnsi="Gotham Pro LT" w:cs="Gotham Pro LT"/>
          <w:bCs/>
          <w:iCs/>
        </w:rPr>
        <w:t>šu ministrijas atsūtītajā redakcijā)</w:t>
      </w:r>
      <w:r w:rsidR="007637FA" w:rsidRPr="005A2325">
        <w:rPr>
          <w:rFonts w:ascii="Gotham Pro LT" w:hAnsi="Gotham Pro LT" w:cs="Gotham Pro LT"/>
          <w:bCs/>
          <w:iCs/>
        </w:rPr>
        <w:t>,</w:t>
      </w:r>
    </w:p>
    <w:p w14:paraId="1477DFCC" w14:textId="7E7E772D" w:rsidR="00904331" w:rsidRPr="005A2325" w:rsidRDefault="007637FA" w:rsidP="007637FA">
      <w:pPr>
        <w:pStyle w:val="ListParagraph"/>
        <w:numPr>
          <w:ilvl w:val="0"/>
          <w:numId w:val="25"/>
        </w:numPr>
        <w:shd w:val="clear" w:color="auto" w:fill="FFFFFF"/>
        <w:spacing w:after="120"/>
        <w:ind w:left="0" w:firstLine="851"/>
        <w:jc w:val="both"/>
        <w:rPr>
          <w:rFonts w:ascii="Gotham Pro LT" w:eastAsia="Times New Roman" w:hAnsi="Gotham Pro LT" w:cs="Gotham Pro LT"/>
          <w:lang w:eastAsia="lv-LV"/>
        </w:rPr>
      </w:pPr>
      <w:r w:rsidRPr="005A2325">
        <w:rPr>
          <w:rFonts w:ascii="Gotham Pro LT" w:eastAsia="Times New Roman" w:hAnsi="Gotham Pro LT" w:cs="Gotham Pro LT"/>
          <w:lang w:eastAsia="lv-LV"/>
        </w:rPr>
        <w:t>likuma 47.panta septītā daļa precizēta, izslēdzot  likuma 47.panta septītās daļas 2. un 3.punktu, kas principā dublējās ar likuma 47.panta ceturto daļu (Finanšu ministrijas redakcijā) vai likuma 47.panta ceturtās daļas 2.punktu (LTAB piedāvātajā redakcijā),</w:t>
      </w:r>
    </w:p>
    <w:p w14:paraId="4357AD2F" w14:textId="749FF93D" w:rsidR="00904331" w:rsidRPr="003319E1" w:rsidRDefault="00904331" w:rsidP="004C5B6A">
      <w:pPr>
        <w:pStyle w:val="ListParagraph"/>
        <w:numPr>
          <w:ilvl w:val="0"/>
          <w:numId w:val="25"/>
        </w:numPr>
        <w:shd w:val="clear" w:color="auto" w:fill="FFFFFF"/>
        <w:spacing w:after="120"/>
        <w:ind w:left="0" w:firstLine="851"/>
        <w:jc w:val="both"/>
        <w:rPr>
          <w:rFonts w:ascii="Gotham Pro LT" w:eastAsia="Times New Roman" w:hAnsi="Gotham Pro LT" w:cs="Gotham Pro LT"/>
          <w:lang w:eastAsia="lv-LV"/>
        </w:rPr>
      </w:pPr>
      <w:r w:rsidRPr="005A2325">
        <w:rPr>
          <w:rFonts w:ascii="Gotham Pro LT" w:eastAsia="Times New Roman" w:hAnsi="Gotham Pro LT" w:cs="Gotham Pro LT"/>
          <w:lang w:eastAsia="lv-LV"/>
        </w:rPr>
        <w:t>likuma 47.panta astotā daļa izslēgta, jo zūd nepieciešamība pēc šādas 6 pārstāv</w:t>
      </w:r>
      <w:r w:rsidR="00173A7C" w:rsidRPr="005A2325">
        <w:rPr>
          <w:rFonts w:ascii="Gotham Pro LT" w:eastAsia="Times New Roman" w:hAnsi="Gotham Pro LT" w:cs="Gotham Pro LT"/>
          <w:lang w:eastAsia="lv-LV"/>
        </w:rPr>
        <w:t>j</w:t>
      </w:r>
      <w:r w:rsidRPr="005A2325">
        <w:rPr>
          <w:rFonts w:ascii="Gotham Pro LT" w:eastAsia="Times New Roman" w:hAnsi="Gotham Pro LT" w:cs="Gotham Pro LT"/>
          <w:lang w:eastAsia="lv-LV"/>
        </w:rPr>
        <w:t>u izveidotas komisijas Finanšu ministrijas vadībā</w:t>
      </w:r>
      <w:r w:rsidR="007637FA" w:rsidRPr="005A2325">
        <w:rPr>
          <w:rFonts w:ascii="Gotham Pro LT" w:eastAsia="Times New Roman" w:hAnsi="Gotham Pro LT" w:cs="Gotham Pro LT"/>
          <w:lang w:eastAsia="lv-LV"/>
        </w:rPr>
        <w:t xml:space="preserve"> (ja tiek izslēgts likuma 47.panta septītās daļas 2. un 3.punkts)</w:t>
      </w:r>
      <w:r w:rsidRPr="005A2325">
        <w:rPr>
          <w:rFonts w:ascii="Gotham Pro LT" w:eastAsia="Times New Roman" w:hAnsi="Gotham Pro LT" w:cs="Gotham Pro LT"/>
          <w:lang w:eastAsia="lv-LV"/>
        </w:rPr>
        <w:t xml:space="preserve">, jo </w:t>
      </w:r>
      <w:r w:rsidR="00173A7C" w:rsidRPr="005A2325">
        <w:rPr>
          <w:rFonts w:ascii="Gotham Pro LT" w:eastAsia="Times New Roman" w:hAnsi="Gotham Pro LT" w:cs="Gotham Pro LT"/>
          <w:lang w:eastAsia="lv-LV"/>
        </w:rPr>
        <w:t>tiesību</w:t>
      </w:r>
      <w:r w:rsidR="00173A7C" w:rsidRPr="00D2333B">
        <w:rPr>
          <w:rFonts w:ascii="Gotham Pro LT" w:eastAsia="Times New Roman" w:hAnsi="Gotham Pro LT" w:cs="Gotham Pro LT"/>
          <w:lang w:eastAsia="lv-LV"/>
        </w:rPr>
        <w:t xml:space="preserve"> akta pārkāpuma būtiskums tiks konstatēts administratīvās lietvedības vai kriminālprocesa ietvaros</w:t>
      </w:r>
      <w:r w:rsidR="00D2333B" w:rsidRPr="00D2333B">
        <w:rPr>
          <w:rFonts w:ascii="Gotham Pro LT" w:eastAsia="Times New Roman" w:hAnsi="Gotham Pro LT" w:cs="Gotham Pro LT"/>
          <w:lang w:eastAsia="lv-LV"/>
        </w:rPr>
        <w:t xml:space="preserve"> un par valdes locekļa atcelšanu no amata lems biedrības biedru sapulce statūtos un likumā noteiktajā kārtībā</w:t>
      </w:r>
      <w:r w:rsidR="004C5B6A">
        <w:rPr>
          <w:rFonts w:ascii="Gotham Pro LT" w:eastAsia="Times New Roman" w:hAnsi="Gotham Pro LT" w:cs="Gotham Pro LT"/>
          <w:lang w:eastAsia="lv-LV"/>
        </w:rPr>
        <w:t>.</w:t>
      </w:r>
      <w:r w:rsidR="003319E1">
        <w:rPr>
          <w:rFonts w:ascii="Gotham Pro LT" w:eastAsia="Times New Roman" w:hAnsi="Gotham Pro LT" w:cs="Gotham Pro LT"/>
          <w:lang w:eastAsia="lv-LV"/>
        </w:rPr>
        <w:t xml:space="preserve"> Nav akceptējams, ka Finanšu ministrijas </w:t>
      </w:r>
      <w:r w:rsidR="003319E1" w:rsidRPr="003319E1">
        <w:rPr>
          <w:rFonts w:ascii="Gotham Pro LT" w:hAnsi="Gotham Pro LT" w:cs="Gotham Pro LT"/>
          <w:color w:val="000000"/>
        </w:rPr>
        <w:t>piedāvātās komisijas darbību vadītu ministrijas pārstāvis. Tas nozīmē, ka ministrijai būtu ietekme pār biedrības darbu, pat ja tā attiektos tikai uz valdes locekļa radītā kaitējuma vai pārkāpuma novērtējumu. Komisijas pilnvaras tekstā nav skaidri norādītas. Ja ar tās lēmumu paredzēts uzlikt saistošu pienākumu kopsapulcei piemērot sodu vai nomainīt valdes locekli, tad šādas komisijas darbība pārņem biedrības institūciju pilnvaras. Tas nebūtu pieļaujams. Biedrība ir patstāvīga</w:t>
      </w:r>
      <w:r w:rsidR="003319E1">
        <w:rPr>
          <w:rFonts w:ascii="Gotham Pro LT" w:hAnsi="Gotham Pro LT" w:cs="Gotham Pro LT"/>
          <w:color w:val="000000"/>
        </w:rPr>
        <w:t>,</w:t>
      </w:r>
      <w:r w:rsidR="003319E1" w:rsidRPr="003319E1">
        <w:rPr>
          <w:rFonts w:ascii="Gotham Pro LT" w:hAnsi="Gotham Pro LT" w:cs="Gotham Pro LT"/>
          <w:color w:val="000000"/>
        </w:rPr>
        <w:t xml:space="preserve"> un tās valdes locekļa darbību, tai skaitā valdes locekļa pārkāpumu vērtē dalībnieku kopsapulce</w:t>
      </w:r>
      <w:r w:rsidR="003319E1">
        <w:rPr>
          <w:rFonts w:ascii="Gotham Pro LT" w:hAnsi="Gotham Pro LT" w:cs="Gotham Pro LT"/>
          <w:color w:val="000000"/>
        </w:rPr>
        <w:t>.</w:t>
      </w:r>
    </w:p>
    <w:p w14:paraId="0B7C458F" w14:textId="77777777" w:rsidR="000A7571" w:rsidRPr="00EC03E0" w:rsidRDefault="000A7571" w:rsidP="000A7571">
      <w:pPr>
        <w:pStyle w:val="NoSpacing"/>
        <w:numPr>
          <w:ilvl w:val="0"/>
          <w:numId w:val="19"/>
        </w:numPr>
        <w:spacing w:after="120"/>
        <w:ind w:right="-1"/>
        <w:jc w:val="both"/>
        <w:rPr>
          <w:rFonts w:ascii="Gotham Pro LT" w:hAnsi="Gotham Pro LT" w:cs="Gotham Pro LT"/>
          <w:b/>
          <w:bCs/>
          <w:sz w:val="22"/>
          <w:szCs w:val="22"/>
        </w:rPr>
      </w:pPr>
      <w:r w:rsidRPr="00EC03E0">
        <w:rPr>
          <w:rFonts w:ascii="Gotham Pro LT" w:hAnsi="Gotham Pro LT" w:cs="Gotham Pro LT"/>
          <w:b/>
          <w:bCs/>
          <w:sz w:val="22"/>
          <w:szCs w:val="22"/>
        </w:rPr>
        <w:t>Likumprojekts papildināms ar 8.pantu – grozījumiem likuma 10.pantā šādā redakcijā:</w:t>
      </w:r>
    </w:p>
    <w:p w14:paraId="398545C2" w14:textId="77777777" w:rsidR="000A7571" w:rsidRPr="00EC03E0" w:rsidRDefault="000A7571" w:rsidP="000A7571">
      <w:pPr>
        <w:ind w:firstLine="851"/>
        <w:jc w:val="both"/>
        <w:rPr>
          <w:rFonts w:ascii="Gotham Pro LT" w:hAnsi="Gotham Pro LT" w:cs="Gotham Pro LT"/>
          <w:b/>
          <w:bCs/>
        </w:rPr>
      </w:pPr>
      <w:r w:rsidRPr="00EC03E0">
        <w:rPr>
          <w:rFonts w:ascii="Gotham Pro LT" w:hAnsi="Gotham Pro LT" w:cs="Gotham Pro LT"/>
        </w:rPr>
        <w:t>“8. papildināt 10.pantu ar astoto daļu šādā redakcijā:</w:t>
      </w:r>
    </w:p>
    <w:p w14:paraId="48D1EFE7" w14:textId="77777777" w:rsidR="000A7571" w:rsidRPr="00EC03E0" w:rsidRDefault="000A7571" w:rsidP="004C5B6A">
      <w:pPr>
        <w:pStyle w:val="ListParagraph"/>
        <w:spacing w:after="120"/>
        <w:ind w:left="0" w:firstLine="851"/>
        <w:jc w:val="both"/>
        <w:rPr>
          <w:rFonts w:ascii="Gotham Pro LT" w:hAnsi="Gotham Pro LT" w:cs="Gotham Pro LT"/>
        </w:rPr>
      </w:pPr>
      <w:r w:rsidRPr="00EC03E0">
        <w:rPr>
          <w:rFonts w:ascii="Gotham Pro LT" w:hAnsi="Gotham Pro LT" w:cs="Gotham Pro LT"/>
        </w:rPr>
        <w:lastRenderedPageBreak/>
        <w:t>“(8) Ja apdrošināšanas līgums noslēgts, izmantojot distances saziņas līdzekļus, transportlīdzekļa īpašniekam vai — transportlīdzekļa līzinga gadījumā — transportlīdzekļa reģistrācijas apliecībā norādītajam transportlīdzekļa turētājam (ja tas noslēdzis attiecīgu apdrošināšanas līgumu) nav tiesību izmantot atteikuma tiesības un izbeigt apdrošināšanas līgumu, ja apdrošināšanas līgums ir stājies spēkā atbilstoši šā likuma 9.pantam.””</w:t>
      </w:r>
    </w:p>
    <w:p w14:paraId="03EC340C" w14:textId="77777777" w:rsidR="000A7571" w:rsidRPr="00EC03E0" w:rsidRDefault="000A7571" w:rsidP="004C5B6A">
      <w:pPr>
        <w:pStyle w:val="NoSpacing"/>
        <w:spacing w:after="120"/>
        <w:ind w:right="-1" w:firstLine="851"/>
        <w:jc w:val="both"/>
        <w:rPr>
          <w:rFonts w:ascii="Gotham Pro LT" w:hAnsi="Gotham Pro LT" w:cs="Gotham Pro LT"/>
          <w:sz w:val="22"/>
          <w:szCs w:val="22"/>
          <w:highlight w:val="yellow"/>
        </w:rPr>
      </w:pPr>
      <w:r w:rsidRPr="00EC03E0">
        <w:rPr>
          <w:rFonts w:ascii="Gotham Pro LT" w:hAnsi="Gotham Pro LT" w:cs="Gotham Pro LT"/>
          <w:sz w:val="22"/>
          <w:szCs w:val="22"/>
          <w:u w:val="single"/>
        </w:rPr>
        <w:t xml:space="preserve">Pamatojums </w:t>
      </w:r>
      <w:r w:rsidRPr="00EC03E0">
        <w:rPr>
          <w:rFonts w:ascii="Gotham Pro LT" w:hAnsi="Gotham Pro LT" w:cs="Gotham Pro LT"/>
          <w:sz w:val="22"/>
          <w:szCs w:val="22"/>
        </w:rPr>
        <w:t>–</w:t>
      </w:r>
    </w:p>
    <w:p w14:paraId="179561E4" w14:textId="77777777" w:rsidR="000A7571" w:rsidRPr="00EC03E0" w:rsidRDefault="000A7571" w:rsidP="004C5B6A">
      <w:pPr>
        <w:pStyle w:val="NoSpacing"/>
        <w:spacing w:after="120"/>
        <w:ind w:right="-1" w:firstLine="851"/>
        <w:jc w:val="both"/>
        <w:rPr>
          <w:rFonts w:ascii="Gotham Pro LT" w:hAnsi="Gotham Pro LT" w:cs="Gotham Pro LT"/>
          <w:sz w:val="22"/>
          <w:szCs w:val="22"/>
          <w:shd w:val="clear" w:color="auto" w:fill="FFFFFF"/>
        </w:rPr>
      </w:pPr>
      <w:r w:rsidRPr="00EC03E0">
        <w:rPr>
          <w:rFonts w:ascii="Gotham Pro LT" w:hAnsi="Gotham Pro LT" w:cs="Gotham Pro LT"/>
          <w:sz w:val="22"/>
          <w:szCs w:val="22"/>
        </w:rPr>
        <w:t xml:space="preserve">Jautājums par atteikuma tiesību piemērošanu distancē slēgtiem </w:t>
      </w:r>
      <w:r w:rsidRPr="00EC03E0">
        <w:rPr>
          <w:rFonts w:ascii="Gotham Pro LT" w:hAnsi="Gotham Pro LT" w:cs="Gotham Pro LT"/>
          <w:sz w:val="22"/>
          <w:szCs w:val="22"/>
          <w:shd w:val="clear" w:color="auto" w:fill="FFFFFF"/>
        </w:rPr>
        <w:t>sauszemes transportlīdzekļu īpašnieku civiltiesiskās atbildības obligātās apdrošināšanas (turpmāk – OCTA) līgumiem ik pa laikam ir bijis aktuāls arī OCTA jomā, bet, neskatoties uz to,</w:t>
      </w:r>
      <w:r w:rsidRPr="00EC03E0">
        <w:rPr>
          <w:rFonts w:ascii="Gotham Pro LT" w:hAnsi="Gotham Pro LT" w:cs="Gotham Pro LT"/>
          <w:sz w:val="22"/>
          <w:szCs w:val="22"/>
        </w:rPr>
        <w:t xml:space="preserve"> LTAB netiek saņemtas sūdzības par atteikuma tiesību īstenošanas problēmām.</w:t>
      </w:r>
    </w:p>
    <w:p w14:paraId="58D91DC6" w14:textId="77777777" w:rsidR="000A7571" w:rsidRPr="00EC03E0" w:rsidRDefault="000A7571" w:rsidP="004C5B6A">
      <w:pPr>
        <w:pStyle w:val="ListParagraph"/>
        <w:spacing w:after="120"/>
        <w:ind w:left="0" w:firstLine="851"/>
        <w:jc w:val="both"/>
        <w:rPr>
          <w:rFonts w:ascii="Gotham Pro LT" w:hAnsi="Gotham Pro LT" w:cs="Gotham Pro LT"/>
        </w:rPr>
      </w:pPr>
      <w:r w:rsidRPr="00EC03E0">
        <w:rPr>
          <w:rFonts w:ascii="Gotham Pro LT" w:hAnsi="Gotham Pro LT" w:cs="Gotham Pro LT"/>
        </w:rPr>
        <w:t>01.12.2008. notika P</w:t>
      </w:r>
      <w:r>
        <w:rPr>
          <w:rFonts w:ascii="Gotham Pro LT" w:hAnsi="Gotham Pro LT" w:cs="Gotham Pro LT"/>
        </w:rPr>
        <w:t>atērētāju tiesību aizsardzības centra (turpmāk – PTAC)</w:t>
      </w:r>
      <w:r w:rsidRPr="00EC03E0">
        <w:rPr>
          <w:rFonts w:ascii="Gotham Pro LT" w:hAnsi="Gotham Pro LT" w:cs="Gotham Pro LT"/>
        </w:rPr>
        <w:t xml:space="preserve"> rīkotā diskusija, kur piedalījās Ekonomikas ministrijas, PTAC un LTAB pārstāvji, apspriežot iespējamos risinājumus saistībā ar OCTA distances līgumu, atteikuma tiesībām un to piemērošanu. PTAC sākotnēji piedāvātais risinājums bija izmantot Ministru kabineta 21.12.2004. noteikumu Nr.1037 „Noteikumi par distances līgumu par finanšu pakalpojumu sniegšanu” (šobrīd nav spēkā) 21.3. punktā iekļauto atrunu, ka patērētājs nevar izmantot atteikuma tiesības attiecībā uz līgumiem, kuru izpildījums ir pilnībā pabeigts pēc patērētāja nepārprotama pieprasījuma, pirms patērētājs izmanto savas atteikuma tiesības. Sākotnēji PTAC pauda viedokli, ka OCTA jomā šādu nosacījumu varētu attiecināt uz OCTA līgumiem, kas stājas spēkā to noslēgšanas brīdī, bet nobeigumā izskanēja viedoklis, ka tomēr izmantot atteikuma tiesības šajā gadījumā ir stipri apgrūtinoši un tas ir katras apdrošināšanas sabiedrības ziņā, kā rīkoties. </w:t>
      </w:r>
    </w:p>
    <w:p w14:paraId="1C582CBE" w14:textId="3AD09113" w:rsidR="000A7571" w:rsidRPr="00A708EC" w:rsidRDefault="000A7571" w:rsidP="00B85434">
      <w:pPr>
        <w:pStyle w:val="ListParagraph"/>
        <w:spacing w:after="120"/>
        <w:ind w:left="0" w:firstLine="851"/>
        <w:jc w:val="both"/>
        <w:rPr>
          <w:rFonts w:ascii="Gotham Pro LT" w:hAnsi="Gotham Pro LT" w:cs="Gotham Pro LT"/>
        </w:rPr>
      </w:pPr>
      <w:r w:rsidRPr="00EC03E0">
        <w:rPr>
          <w:rFonts w:ascii="Gotham Pro LT" w:hAnsi="Gotham Pro LT" w:cs="Gotham Pro LT"/>
        </w:rPr>
        <w:t xml:space="preserve">Praksē ik pa laikam pašu OCTA apdrošinātāju starpā ir aktualizējies jautājums par atteikuma tiesību piemērošanu distancē slēgtiem OCTA līgumiem, ņemot vērā to, ka OCTA likuma 10.pants, kas paredz gadījumus, kad OCTA līgumus var izbeigt pirms termiņa, neparedz OCTA līguma izbeigšanos atteikuma tiesību piemērošanas gadījumā. Ir apdrošinātāji, kas praktizē atteikuma tiesību izmantošanu, ir apdrošinātāji, kas nepraktizē, un </w:t>
      </w:r>
      <w:r w:rsidRPr="00B85434">
        <w:rPr>
          <w:rFonts w:ascii="Gotham Pro LT" w:hAnsi="Gotham Pro LT" w:cs="Gotham Pro LT"/>
        </w:rPr>
        <w:t xml:space="preserve">ir tādi apdrošinātāji, kas atteikuma tiesības piemēro tikai tajos gadījumos, kad distancē slēgts </w:t>
      </w:r>
      <w:r w:rsidRPr="00A708EC">
        <w:rPr>
          <w:rFonts w:ascii="Gotham Pro LT" w:hAnsi="Gotham Pro LT" w:cs="Gotham Pro LT"/>
        </w:rPr>
        <w:t xml:space="preserve">OCTA līgums ir noslēgts, bet nav vēl stājies spēkā. </w:t>
      </w:r>
    </w:p>
    <w:p w14:paraId="0DA5FBAC" w14:textId="78F8CDDC" w:rsidR="00B85434" w:rsidRPr="00A2645C" w:rsidRDefault="00B85434" w:rsidP="001E16AB">
      <w:pPr>
        <w:pStyle w:val="tv213"/>
        <w:shd w:val="clear" w:color="auto" w:fill="FFFFFF"/>
        <w:spacing w:before="0" w:beforeAutospacing="0" w:after="120" w:afterAutospacing="0"/>
        <w:ind w:firstLine="851"/>
        <w:jc w:val="both"/>
        <w:rPr>
          <w:rFonts w:ascii="Gotham Pro LT" w:hAnsi="Gotham Pro LT" w:cs="Gotham Pro LT"/>
          <w:sz w:val="22"/>
          <w:szCs w:val="22"/>
        </w:rPr>
      </w:pPr>
      <w:r w:rsidRPr="003E720B">
        <w:rPr>
          <w:rFonts w:ascii="Gotham Pro LT" w:hAnsi="Gotham Pro LT" w:cs="Gotham Pro LT"/>
          <w:sz w:val="22"/>
          <w:szCs w:val="22"/>
        </w:rPr>
        <w:t xml:space="preserve">Likuma 52.pantā ir noteikts, ka Ceļu satiksmes drošības direkcija un Valsts tehniskās uzraudzības aģentūra pirms transportlīdzekļa tehniskās apskates pārbauda attiecīgā transportlīdzekļa īpašnieka civiltiesiskās atbildības obligātās apdrošināšanas līguma spēkā esamību. Transportlīdzekļa tehniskā apskate netiek veikta, ja transportlīdzekļa īpašnieka civiltiesiskā atbildība nav apdrošināta. </w:t>
      </w:r>
      <w:r w:rsidR="00A708EC">
        <w:rPr>
          <w:rFonts w:ascii="Gotham Pro LT" w:hAnsi="Gotham Pro LT" w:cs="Gotham Pro LT"/>
          <w:sz w:val="22"/>
          <w:szCs w:val="22"/>
        </w:rPr>
        <w:t>Praksē</w:t>
      </w:r>
      <w:r w:rsidRPr="003E720B">
        <w:rPr>
          <w:rFonts w:ascii="Gotham Pro LT" w:hAnsi="Gotham Pro LT" w:cs="Gotham Pro LT"/>
          <w:sz w:val="22"/>
          <w:szCs w:val="22"/>
        </w:rPr>
        <w:t xml:space="preserve"> </w:t>
      </w:r>
      <w:r w:rsidR="00BE1866" w:rsidRPr="003E720B">
        <w:rPr>
          <w:rFonts w:ascii="Gotham Pro LT" w:hAnsi="Gotham Pro LT" w:cs="Gotham Pro LT"/>
          <w:sz w:val="22"/>
          <w:szCs w:val="22"/>
        </w:rPr>
        <w:t xml:space="preserve">atteikuma tiesības </w:t>
      </w:r>
      <w:r w:rsidR="00A708EC">
        <w:rPr>
          <w:rFonts w:ascii="Gotham Pro LT" w:hAnsi="Gotham Pro LT" w:cs="Gotham Pro LT"/>
          <w:sz w:val="22"/>
          <w:szCs w:val="22"/>
        </w:rPr>
        <w:t>tiek izmantotas</w:t>
      </w:r>
      <w:r w:rsidR="0084611C">
        <w:rPr>
          <w:rFonts w:ascii="Gotham Pro LT" w:hAnsi="Gotham Pro LT" w:cs="Gotham Pro LT"/>
          <w:sz w:val="22"/>
          <w:szCs w:val="22"/>
        </w:rPr>
        <w:t xml:space="preserve"> arī šādās situācijās – tiek </w:t>
      </w:r>
      <w:r w:rsidR="00A708EC">
        <w:rPr>
          <w:rFonts w:ascii="Gotham Pro LT" w:hAnsi="Gotham Pro LT" w:cs="Gotham Pro LT"/>
          <w:sz w:val="22"/>
          <w:szCs w:val="22"/>
        </w:rPr>
        <w:t>noslēg</w:t>
      </w:r>
      <w:r w:rsidR="0084611C">
        <w:rPr>
          <w:rFonts w:ascii="Gotham Pro LT" w:hAnsi="Gotham Pro LT" w:cs="Gotham Pro LT"/>
          <w:sz w:val="22"/>
          <w:szCs w:val="22"/>
        </w:rPr>
        <w:t>ts</w:t>
      </w:r>
      <w:r w:rsidR="00A708EC">
        <w:rPr>
          <w:rFonts w:ascii="Gotham Pro LT" w:hAnsi="Gotham Pro LT" w:cs="Gotham Pro LT"/>
          <w:sz w:val="22"/>
          <w:szCs w:val="22"/>
        </w:rPr>
        <w:t xml:space="preserve"> </w:t>
      </w:r>
      <w:r w:rsidR="00BE1866" w:rsidRPr="0084611C">
        <w:rPr>
          <w:rFonts w:ascii="Gotham Pro LT" w:hAnsi="Gotham Pro LT" w:cs="Gotham Pro LT"/>
          <w:sz w:val="22"/>
          <w:szCs w:val="22"/>
        </w:rPr>
        <w:t>OCTA līgum</w:t>
      </w:r>
      <w:r w:rsidR="0084611C">
        <w:rPr>
          <w:rFonts w:ascii="Gotham Pro LT" w:hAnsi="Gotham Pro LT" w:cs="Gotham Pro LT"/>
          <w:sz w:val="22"/>
          <w:szCs w:val="22"/>
        </w:rPr>
        <w:t>s</w:t>
      </w:r>
      <w:r w:rsidR="00BE1866" w:rsidRPr="0084611C">
        <w:rPr>
          <w:rFonts w:ascii="Gotham Pro LT" w:hAnsi="Gotham Pro LT" w:cs="Gotham Pro LT"/>
          <w:sz w:val="22"/>
          <w:szCs w:val="22"/>
        </w:rPr>
        <w:t xml:space="preserve">, </w:t>
      </w:r>
      <w:r w:rsidR="0084611C">
        <w:rPr>
          <w:rFonts w:ascii="Gotham Pro LT" w:hAnsi="Gotham Pro LT" w:cs="Gotham Pro LT"/>
          <w:sz w:val="22"/>
          <w:szCs w:val="22"/>
        </w:rPr>
        <w:t xml:space="preserve">tiek </w:t>
      </w:r>
      <w:r w:rsidR="00BE1866" w:rsidRPr="0084611C">
        <w:rPr>
          <w:rFonts w:ascii="Gotham Pro LT" w:hAnsi="Gotham Pro LT" w:cs="Gotham Pro LT"/>
          <w:sz w:val="22"/>
          <w:szCs w:val="22"/>
        </w:rPr>
        <w:t>iziet</w:t>
      </w:r>
      <w:r w:rsidR="0084611C">
        <w:rPr>
          <w:rFonts w:ascii="Gotham Pro LT" w:hAnsi="Gotham Pro LT" w:cs="Gotham Pro LT"/>
          <w:sz w:val="22"/>
          <w:szCs w:val="22"/>
        </w:rPr>
        <w:t>a</w:t>
      </w:r>
      <w:r w:rsidR="00BE1866" w:rsidRPr="0084611C">
        <w:rPr>
          <w:rFonts w:ascii="Gotham Pro LT" w:hAnsi="Gotham Pro LT" w:cs="Gotham Pro LT"/>
          <w:sz w:val="22"/>
          <w:szCs w:val="22"/>
        </w:rPr>
        <w:t xml:space="preserve"> valsts tehnisko apskat</w:t>
      </w:r>
      <w:r w:rsidR="0084611C">
        <w:rPr>
          <w:rFonts w:ascii="Gotham Pro LT" w:hAnsi="Gotham Pro LT" w:cs="Gotham Pro LT"/>
          <w:sz w:val="22"/>
          <w:szCs w:val="22"/>
        </w:rPr>
        <w:t>e</w:t>
      </w:r>
      <w:r w:rsidR="00BE1866" w:rsidRPr="0084611C">
        <w:rPr>
          <w:rFonts w:ascii="Gotham Pro LT" w:hAnsi="Gotham Pro LT" w:cs="Gotham Pro LT"/>
          <w:sz w:val="22"/>
          <w:szCs w:val="22"/>
        </w:rPr>
        <w:t xml:space="preserve"> un tad </w:t>
      </w:r>
      <w:r w:rsidR="0084611C">
        <w:rPr>
          <w:rFonts w:ascii="Gotham Pro LT" w:hAnsi="Gotham Pro LT" w:cs="Gotham Pro LT"/>
          <w:sz w:val="22"/>
          <w:szCs w:val="22"/>
        </w:rPr>
        <w:t xml:space="preserve">attiecīgi </w:t>
      </w:r>
      <w:r w:rsidR="00A708EC">
        <w:rPr>
          <w:rFonts w:ascii="Gotham Pro LT" w:hAnsi="Gotham Pro LT" w:cs="Gotham Pro LT"/>
          <w:sz w:val="22"/>
          <w:szCs w:val="22"/>
        </w:rPr>
        <w:t>izbei</w:t>
      </w:r>
      <w:r w:rsidR="0084611C">
        <w:rPr>
          <w:rFonts w:ascii="Gotham Pro LT" w:hAnsi="Gotham Pro LT" w:cs="Gotham Pro LT"/>
          <w:sz w:val="22"/>
          <w:szCs w:val="22"/>
        </w:rPr>
        <w:t xml:space="preserve">dz </w:t>
      </w:r>
      <w:r w:rsidR="00A708EC">
        <w:rPr>
          <w:rFonts w:ascii="Gotham Pro LT" w:hAnsi="Gotham Pro LT" w:cs="Gotham Pro LT"/>
          <w:sz w:val="22"/>
          <w:szCs w:val="22"/>
        </w:rPr>
        <w:t>OCTA līgumu</w:t>
      </w:r>
      <w:r w:rsidR="0084611C">
        <w:rPr>
          <w:rFonts w:ascii="Gotham Pro LT" w:hAnsi="Gotham Pro LT" w:cs="Gotham Pro LT"/>
          <w:sz w:val="22"/>
          <w:szCs w:val="22"/>
        </w:rPr>
        <w:t>, izmantojot atteikuma tiesības</w:t>
      </w:r>
      <w:r w:rsidR="00A708EC">
        <w:rPr>
          <w:rFonts w:ascii="Gotham Pro LT" w:hAnsi="Gotham Pro LT" w:cs="Gotham Pro LT"/>
          <w:sz w:val="22"/>
          <w:szCs w:val="22"/>
        </w:rPr>
        <w:t xml:space="preserve">, tādā veidā </w:t>
      </w:r>
      <w:r w:rsidR="00A708EC" w:rsidRPr="001E16AB">
        <w:rPr>
          <w:rFonts w:ascii="Gotham Pro LT" w:hAnsi="Gotham Pro LT" w:cs="Gotham Pro LT"/>
          <w:sz w:val="22"/>
          <w:szCs w:val="22"/>
        </w:rPr>
        <w:t>apejot likumā noteiktos t</w:t>
      </w:r>
      <w:r w:rsidR="00A708EC" w:rsidRPr="000476E2">
        <w:rPr>
          <w:rFonts w:ascii="Gotham Pro LT" w:hAnsi="Gotham Pro LT" w:cs="Gotham Pro LT"/>
          <w:sz w:val="22"/>
          <w:szCs w:val="22"/>
        </w:rPr>
        <w:t>ermiņus, uz kādiem var noslēgt OC</w:t>
      </w:r>
      <w:r w:rsidR="00A708EC" w:rsidRPr="00E1565A">
        <w:rPr>
          <w:rFonts w:ascii="Gotham Pro LT" w:hAnsi="Gotham Pro LT" w:cs="Gotham Pro LT"/>
          <w:sz w:val="22"/>
          <w:szCs w:val="22"/>
        </w:rPr>
        <w:t>TA līgumus.</w:t>
      </w:r>
    </w:p>
    <w:p w14:paraId="2DBBB4B9" w14:textId="70ACE113" w:rsidR="00B85434" w:rsidRPr="001E16AB" w:rsidRDefault="000A7571" w:rsidP="000476E2">
      <w:pPr>
        <w:pStyle w:val="tv213"/>
        <w:shd w:val="clear" w:color="auto" w:fill="FFFFFF"/>
        <w:spacing w:before="0" w:beforeAutospacing="0" w:after="120" w:afterAutospacing="0"/>
        <w:ind w:firstLine="851"/>
        <w:jc w:val="both"/>
        <w:rPr>
          <w:rFonts w:ascii="Gotham Pro LT" w:hAnsi="Gotham Pro LT" w:cs="Gotham Pro LT"/>
          <w:sz w:val="22"/>
          <w:szCs w:val="22"/>
        </w:rPr>
      </w:pPr>
      <w:r w:rsidRPr="00714AEF">
        <w:rPr>
          <w:rFonts w:ascii="Gotham Pro LT" w:hAnsi="Gotham Pro LT" w:cs="Gotham Pro LT"/>
          <w:sz w:val="22"/>
          <w:szCs w:val="22"/>
        </w:rPr>
        <w:t xml:space="preserve">Lai būtu </w:t>
      </w:r>
      <w:r w:rsidRPr="001E16AB">
        <w:rPr>
          <w:rFonts w:ascii="Gotham Pro LT" w:hAnsi="Gotham Pro LT" w:cs="Gotham Pro LT"/>
          <w:sz w:val="22"/>
          <w:szCs w:val="22"/>
        </w:rPr>
        <w:t xml:space="preserve">skaidrība un vienota prakse turpmāk attiecībā uz atteikuma tiesību piemērošanu distancē slēgtiem OCTA līgumiem, </w:t>
      </w:r>
      <w:r w:rsidRPr="000476E2">
        <w:rPr>
          <w:rFonts w:ascii="Gotham Pro LT" w:hAnsi="Gotham Pro LT" w:cs="Gotham Pro LT"/>
          <w:sz w:val="22"/>
          <w:szCs w:val="22"/>
        </w:rPr>
        <w:t>OCTA likuma 10.pant</w:t>
      </w:r>
      <w:r w:rsidRPr="00E1565A">
        <w:rPr>
          <w:rFonts w:ascii="Gotham Pro LT" w:hAnsi="Gotham Pro LT" w:cs="Gotham Pro LT"/>
          <w:sz w:val="22"/>
          <w:szCs w:val="22"/>
        </w:rPr>
        <w:t>s papildināms</w:t>
      </w:r>
      <w:r w:rsidRPr="00A2645C">
        <w:rPr>
          <w:rFonts w:ascii="Gotham Pro LT" w:hAnsi="Gotham Pro LT" w:cs="Gotham Pro LT"/>
          <w:sz w:val="22"/>
          <w:szCs w:val="22"/>
        </w:rPr>
        <w:t xml:space="preserve"> ar astoto daļu </w:t>
      </w:r>
      <w:r w:rsidRPr="00714AEF">
        <w:rPr>
          <w:rFonts w:ascii="Gotham Pro LT" w:hAnsi="Gotham Pro LT" w:cs="Gotham Pro LT"/>
          <w:sz w:val="22"/>
          <w:szCs w:val="22"/>
        </w:rPr>
        <w:t>piedāvātajā redakcijā</w:t>
      </w:r>
      <w:r w:rsidRPr="00E10808">
        <w:rPr>
          <w:rFonts w:ascii="Gotham Pro LT" w:hAnsi="Gotham Pro LT" w:cs="Gotham Pro LT"/>
          <w:sz w:val="22"/>
          <w:szCs w:val="22"/>
        </w:rPr>
        <w:t>.</w:t>
      </w:r>
    </w:p>
    <w:p w14:paraId="44D79F23" w14:textId="1A88D8AA" w:rsidR="001E16AB" w:rsidRPr="00C6606E" w:rsidRDefault="00E10808" w:rsidP="00CF7A3F">
      <w:pPr>
        <w:pStyle w:val="NoSpacing"/>
        <w:numPr>
          <w:ilvl w:val="0"/>
          <w:numId w:val="19"/>
        </w:numPr>
        <w:spacing w:after="120"/>
        <w:ind w:right="-1"/>
        <w:jc w:val="both"/>
        <w:rPr>
          <w:rFonts w:ascii="Gotham Pro LT" w:hAnsi="Gotham Pro LT" w:cs="Gotham Pro LT"/>
          <w:sz w:val="22"/>
          <w:szCs w:val="22"/>
        </w:rPr>
      </w:pPr>
      <w:r w:rsidRPr="00E10808">
        <w:rPr>
          <w:rFonts w:ascii="Gotham Pro LT" w:hAnsi="Gotham Pro LT" w:cs="Gotham Pro LT"/>
          <w:b/>
          <w:bCs/>
          <w:sz w:val="22"/>
          <w:szCs w:val="22"/>
        </w:rPr>
        <w:t xml:space="preserve">Likumprojekts </w:t>
      </w:r>
      <w:r w:rsidR="003E720B" w:rsidRPr="00E10808">
        <w:rPr>
          <w:rFonts w:ascii="Gotham Pro LT" w:hAnsi="Gotham Pro LT" w:cs="Gotham Pro LT"/>
          <w:b/>
          <w:bCs/>
          <w:sz w:val="22"/>
          <w:szCs w:val="22"/>
        </w:rPr>
        <w:t xml:space="preserve">papildināms ar pārejas noteikumiem, kur </w:t>
      </w:r>
      <w:r w:rsidR="00E826C4" w:rsidRPr="00E10808">
        <w:rPr>
          <w:rFonts w:ascii="Gotham Pro LT" w:hAnsi="Gotham Pro LT" w:cs="Gotham Pro LT"/>
          <w:b/>
          <w:bCs/>
          <w:sz w:val="22"/>
          <w:szCs w:val="22"/>
        </w:rPr>
        <w:t>noregulējam</w:t>
      </w:r>
      <w:r>
        <w:rPr>
          <w:rFonts w:ascii="Gotham Pro LT" w:hAnsi="Gotham Pro LT" w:cs="Gotham Pro LT"/>
          <w:b/>
          <w:bCs/>
          <w:sz w:val="22"/>
          <w:szCs w:val="22"/>
        </w:rPr>
        <w:t xml:space="preserve">s </w:t>
      </w:r>
      <w:r w:rsidR="000476E2" w:rsidRPr="00E10808">
        <w:rPr>
          <w:rFonts w:ascii="Gotham Pro LT" w:hAnsi="Gotham Pro LT" w:cs="Gotham Pro LT"/>
          <w:b/>
          <w:bCs/>
          <w:sz w:val="22"/>
          <w:szCs w:val="22"/>
        </w:rPr>
        <w:t xml:space="preserve">vēl </w:t>
      </w:r>
      <w:r w:rsidR="00E826C4" w:rsidRPr="00E10808">
        <w:rPr>
          <w:rFonts w:ascii="Gotham Pro LT" w:hAnsi="Gotham Pro LT" w:cs="Gotham Pro LT"/>
          <w:b/>
          <w:bCs/>
          <w:sz w:val="22"/>
          <w:szCs w:val="22"/>
        </w:rPr>
        <w:t>šād</w:t>
      </w:r>
      <w:r w:rsidRPr="00E10808">
        <w:rPr>
          <w:rFonts w:ascii="Gotham Pro LT" w:hAnsi="Gotham Pro LT" w:cs="Gotham Pro LT"/>
          <w:b/>
          <w:bCs/>
          <w:sz w:val="22"/>
          <w:szCs w:val="22"/>
        </w:rPr>
        <w:t>s</w:t>
      </w:r>
      <w:r w:rsidR="00E826C4" w:rsidRPr="00E10808">
        <w:rPr>
          <w:rFonts w:ascii="Gotham Pro LT" w:hAnsi="Gotham Pro LT" w:cs="Gotham Pro LT"/>
          <w:b/>
          <w:bCs/>
          <w:sz w:val="22"/>
          <w:szCs w:val="22"/>
        </w:rPr>
        <w:t xml:space="preserve"> </w:t>
      </w:r>
      <w:r w:rsidR="000476E2" w:rsidRPr="00E10808">
        <w:rPr>
          <w:rFonts w:ascii="Gotham Pro LT" w:hAnsi="Gotham Pro LT" w:cs="Gotham Pro LT"/>
          <w:b/>
          <w:bCs/>
          <w:sz w:val="22"/>
          <w:szCs w:val="22"/>
        </w:rPr>
        <w:t xml:space="preserve">pārejas </w:t>
      </w:r>
      <w:r w:rsidR="00E826C4" w:rsidRPr="00E10808">
        <w:rPr>
          <w:rFonts w:ascii="Gotham Pro LT" w:hAnsi="Gotham Pro LT" w:cs="Gotham Pro LT"/>
          <w:b/>
          <w:bCs/>
          <w:sz w:val="22"/>
          <w:szCs w:val="22"/>
        </w:rPr>
        <w:t>jautājum</w:t>
      </w:r>
      <w:r w:rsidRPr="00E10808">
        <w:rPr>
          <w:rFonts w:ascii="Gotham Pro LT" w:hAnsi="Gotham Pro LT" w:cs="Gotham Pro LT"/>
          <w:b/>
          <w:bCs/>
          <w:sz w:val="22"/>
          <w:szCs w:val="22"/>
        </w:rPr>
        <w:t>s</w:t>
      </w:r>
      <w:r w:rsidR="000476E2" w:rsidRPr="00CF7A3F">
        <w:rPr>
          <w:rFonts w:ascii="Gotham Pro LT" w:hAnsi="Gotham Pro LT" w:cs="Gotham Pro LT"/>
          <w:b/>
          <w:bCs/>
          <w:sz w:val="22"/>
          <w:szCs w:val="22"/>
        </w:rPr>
        <w:t xml:space="preserve"> (papildus </w:t>
      </w:r>
      <w:r w:rsidR="00714AEF" w:rsidRPr="00CF7A3F">
        <w:rPr>
          <w:rFonts w:ascii="Gotham Pro LT" w:hAnsi="Gotham Pro LT" w:cs="Gotham Pro LT"/>
          <w:b/>
          <w:bCs/>
          <w:sz w:val="22"/>
          <w:szCs w:val="22"/>
        </w:rPr>
        <w:t xml:space="preserve">atzinumā </w:t>
      </w:r>
      <w:r w:rsidR="000476E2" w:rsidRPr="00CF7A3F">
        <w:rPr>
          <w:rFonts w:ascii="Gotham Pro LT" w:hAnsi="Gotham Pro LT" w:cs="Gotham Pro LT"/>
          <w:b/>
          <w:bCs/>
          <w:sz w:val="22"/>
          <w:szCs w:val="22"/>
        </w:rPr>
        <w:t>jau iepriekš minētajiem pārejas no</w:t>
      </w:r>
      <w:r w:rsidR="00714AEF" w:rsidRPr="004662A5">
        <w:rPr>
          <w:rFonts w:ascii="Gotham Pro LT" w:hAnsi="Gotham Pro LT" w:cs="Gotham Pro LT"/>
          <w:b/>
          <w:bCs/>
          <w:sz w:val="22"/>
          <w:szCs w:val="22"/>
        </w:rPr>
        <w:t>teikumiem</w:t>
      </w:r>
      <w:r w:rsidR="000476E2" w:rsidRPr="004662A5">
        <w:rPr>
          <w:rFonts w:ascii="Gotham Pro LT" w:hAnsi="Gotham Pro LT" w:cs="Gotham Pro LT"/>
          <w:b/>
          <w:bCs/>
          <w:sz w:val="22"/>
          <w:szCs w:val="22"/>
        </w:rPr>
        <w:t>)</w:t>
      </w:r>
      <w:r w:rsidRPr="004662A5">
        <w:rPr>
          <w:rFonts w:ascii="Gotham Pro LT" w:hAnsi="Gotham Pro LT" w:cs="Gotham Pro LT"/>
          <w:b/>
          <w:bCs/>
          <w:sz w:val="22"/>
          <w:szCs w:val="22"/>
        </w:rPr>
        <w:t xml:space="preserve"> - </w:t>
      </w:r>
      <w:r w:rsidR="001E16AB" w:rsidRPr="004662A5">
        <w:rPr>
          <w:rFonts w:ascii="Gotham Pro LT" w:hAnsi="Gotham Pro LT" w:cs="Gotham Pro LT"/>
          <w:b/>
          <w:bCs/>
          <w:sz w:val="22"/>
          <w:szCs w:val="22"/>
        </w:rPr>
        <w:t xml:space="preserve">nosakāms 6 mēnešu vēlāks spēkā stāšanās laiks grozījumiem </w:t>
      </w:r>
      <w:r w:rsidR="001E16AB" w:rsidRPr="00CF0B61">
        <w:rPr>
          <w:rFonts w:ascii="Gotham Pro LT" w:hAnsi="Gotham Pro LT" w:cs="Gotham Pro LT"/>
          <w:b/>
          <w:bCs/>
          <w:sz w:val="22"/>
          <w:szCs w:val="22"/>
        </w:rPr>
        <w:t>likuma 44.pantā saistībā ar tā papildināšanu ar 2</w:t>
      </w:r>
      <w:r w:rsidR="001E16AB" w:rsidRPr="00CF0B61">
        <w:rPr>
          <w:rFonts w:ascii="Gotham Pro LT" w:hAnsi="Gotham Pro LT" w:cs="Gotham Pro LT"/>
          <w:b/>
          <w:bCs/>
          <w:sz w:val="22"/>
          <w:szCs w:val="22"/>
          <w:vertAlign w:val="superscript"/>
        </w:rPr>
        <w:t>.1</w:t>
      </w:r>
      <w:r w:rsidR="001E16AB" w:rsidRPr="00C6606E">
        <w:rPr>
          <w:rFonts w:ascii="Gotham Pro LT" w:hAnsi="Gotham Pro LT" w:cs="Gotham Pro LT"/>
          <w:b/>
          <w:bCs/>
          <w:sz w:val="22"/>
          <w:szCs w:val="22"/>
        </w:rPr>
        <w:t xml:space="preserve"> un 2.</w:t>
      </w:r>
      <w:r w:rsidR="001E16AB" w:rsidRPr="00C6606E">
        <w:rPr>
          <w:rFonts w:ascii="Gotham Pro LT" w:hAnsi="Gotham Pro LT" w:cs="Gotham Pro LT"/>
          <w:b/>
          <w:bCs/>
          <w:sz w:val="22"/>
          <w:szCs w:val="22"/>
          <w:vertAlign w:val="superscript"/>
        </w:rPr>
        <w:t>2</w:t>
      </w:r>
      <w:r w:rsidR="001E16AB" w:rsidRPr="00C6606E">
        <w:rPr>
          <w:rFonts w:ascii="Gotham Pro LT" w:hAnsi="Gotham Pro LT" w:cs="Gotham Pro LT"/>
          <w:b/>
          <w:bCs/>
          <w:sz w:val="22"/>
          <w:szCs w:val="22"/>
        </w:rPr>
        <w:t xml:space="preserve"> daļu</w:t>
      </w:r>
      <w:r w:rsidR="001E16AB" w:rsidRPr="00C6606E">
        <w:rPr>
          <w:rFonts w:ascii="Gotham Pro LT" w:hAnsi="Gotham Pro LT" w:cs="Gotham Pro LT"/>
          <w:sz w:val="22"/>
          <w:szCs w:val="22"/>
        </w:rPr>
        <w:t xml:space="preserve">, kas paredz  LTAB </w:t>
      </w:r>
      <w:r w:rsidR="001E16AB" w:rsidRPr="003C2BCC">
        <w:rPr>
          <w:rFonts w:ascii="Gotham Pro LT" w:hAnsi="Gotham Pro LT" w:cs="Gotham Pro LT"/>
          <w:sz w:val="22"/>
          <w:szCs w:val="22"/>
        </w:rPr>
        <w:t xml:space="preserve"> </w:t>
      </w:r>
      <w:r w:rsidR="001E16AB" w:rsidRPr="00CF7A3F">
        <w:rPr>
          <w:rFonts w:ascii="Gotham Pro LT" w:hAnsi="Gotham Pro LT" w:cs="Gotham Pro LT"/>
          <w:sz w:val="22"/>
          <w:szCs w:val="22"/>
        </w:rPr>
        <w:t>deleģētās tiesības izdot administratīvos aktus transportlīdzekļu tehnisko ekspertu sertificēšanas jomā, lai LTAB būtu iespējams sagatavoties minēto izmaiņu ieviešanai praksē</w:t>
      </w:r>
      <w:r w:rsidR="00C6606E">
        <w:rPr>
          <w:rFonts w:ascii="Gotham Pro LT" w:hAnsi="Gotham Pro LT" w:cs="Gotham Pro LT"/>
          <w:sz w:val="22"/>
          <w:szCs w:val="22"/>
        </w:rPr>
        <w:t>.</w:t>
      </w:r>
    </w:p>
    <w:p w14:paraId="3CE8578A" w14:textId="75A4CAE7" w:rsidR="001E16AB" w:rsidRPr="004662A5" w:rsidRDefault="00E10808" w:rsidP="0094482C">
      <w:pPr>
        <w:pStyle w:val="NoSpacing"/>
        <w:numPr>
          <w:ilvl w:val="0"/>
          <w:numId w:val="19"/>
        </w:numPr>
        <w:spacing w:after="120"/>
        <w:ind w:right="-1"/>
        <w:jc w:val="both"/>
        <w:rPr>
          <w:rFonts w:ascii="Gotham Pro LT" w:hAnsi="Gotham Pro LT" w:cs="Gotham Pro LT"/>
          <w:b/>
          <w:bCs/>
          <w:sz w:val="22"/>
          <w:szCs w:val="22"/>
        </w:rPr>
      </w:pPr>
      <w:r w:rsidRPr="00CF7A3F">
        <w:rPr>
          <w:rFonts w:ascii="Gotham Pro LT" w:hAnsi="Gotham Pro LT" w:cs="Gotham Pro LT"/>
          <w:b/>
          <w:bCs/>
          <w:sz w:val="22"/>
          <w:szCs w:val="22"/>
        </w:rPr>
        <w:t xml:space="preserve">Likumprojekta anotācijā </w:t>
      </w:r>
      <w:r w:rsidRPr="0094482C">
        <w:rPr>
          <w:rFonts w:ascii="Gotham Pro LT" w:hAnsi="Gotham Pro LT" w:cs="Gotham Pro LT"/>
          <w:b/>
          <w:bCs/>
          <w:sz w:val="22"/>
          <w:szCs w:val="22"/>
        </w:rPr>
        <w:t>nepieciešami šādi prec</w:t>
      </w:r>
      <w:r w:rsidRPr="004662A5">
        <w:rPr>
          <w:rFonts w:ascii="Gotham Pro LT" w:hAnsi="Gotham Pro LT" w:cs="Gotham Pro LT"/>
          <w:b/>
          <w:bCs/>
          <w:sz w:val="22"/>
          <w:szCs w:val="22"/>
        </w:rPr>
        <w:t>izējumi:</w:t>
      </w:r>
    </w:p>
    <w:p w14:paraId="3706CD1A" w14:textId="230DC939" w:rsidR="00E10808" w:rsidRPr="00183BD5" w:rsidRDefault="00CF0B61" w:rsidP="004662A5">
      <w:pPr>
        <w:pStyle w:val="NoSpacing"/>
        <w:numPr>
          <w:ilvl w:val="0"/>
          <w:numId w:val="28"/>
        </w:numPr>
        <w:spacing w:after="120"/>
        <w:ind w:right="-1"/>
        <w:jc w:val="both"/>
        <w:rPr>
          <w:rFonts w:ascii="Gotham Pro LT" w:hAnsi="Gotham Pro LT" w:cs="Gotham Pro LT"/>
          <w:sz w:val="22"/>
          <w:szCs w:val="22"/>
        </w:rPr>
      </w:pPr>
      <w:r w:rsidRPr="00FE3B35">
        <w:rPr>
          <w:rFonts w:ascii="Gotham Pro LT" w:hAnsi="Gotham Pro LT" w:cs="Gotham Pro LT"/>
          <w:b/>
          <w:bCs/>
          <w:sz w:val="22"/>
          <w:szCs w:val="22"/>
        </w:rPr>
        <w:t>I sadaļa</w:t>
      </w:r>
      <w:r>
        <w:rPr>
          <w:rFonts w:ascii="Gotham Pro LT" w:hAnsi="Gotham Pro LT" w:cs="Gotham Pro LT"/>
          <w:b/>
          <w:bCs/>
          <w:sz w:val="22"/>
          <w:szCs w:val="22"/>
        </w:rPr>
        <w:t>s</w:t>
      </w:r>
      <w:r w:rsidRPr="004662A5">
        <w:rPr>
          <w:rFonts w:ascii="Gotham Pro LT" w:hAnsi="Gotham Pro LT" w:cs="Gotham Pro LT"/>
          <w:b/>
          <w:bCs/>
          <w:sz w:val="22"/>
          <w:szCs w:val="22"/>
        </w:rPr>
        <w:t xml:space="preserve"> “</w:t>
      </w:r>
      <w:r w:rsidRPr="004662A5">
        <w:rPr>
          <w:rFonts w:ascii="Gotham Pro LT" w:hAnsi="Gotham Pro LT" w:cs="Gotham Pro LT"/>
          <w:b/>
          <w:bCs/>
          <w:iCs/>
          <w:sz w:val="22"/>
          <w:szCs w:val="22"/>
        </w:rPr>
        <w:t>Tiesību akta projekta izstrādes nepieciešamība</w:t>
      </w:r>
      <w:r w:rsidRPr="00CF7A3F">
        <w:rPr>
          <w:rFonts w:ascii="Gotham Pro LT" w:hAnsi="Gotham Pro LT" w:cs="Gotham Pro LT"/>
          <w:b/>
          <w:bCs/>
          <w:sz w:val="22"/>
          <w:szCs w:val="22"/>
        </w:rPr>
        <w:t xml:space="preserve">” 2.punktā </w:t>
      </w:r>
      <w:r>
        <w:rPr>
          <w:rFonts w:ascii="Gotham Pro LT" w:hAnsi="Gotham Pro LT" w:cs="Gotham Pro LT"/>
          <w:b/>
          <w:bCs/>
          <w:sz w:val="22"/>
          <w:szCs w:val="22"/>
        </w:rPr>
        <w:t xml:space="preserve"> - </w:t>
      </w:r>
      <w:r w:rsidR="004662A5" w:rsidRPr="004662A5">
        <w:rPr>
          <w:rFonts w:ascii="Gotham Pro LT" w:hAnsi="Gotham Pro LT" w:cs="Gotham Pro LT"/>
          <w:sz w:val="22"/>
          <w:szCs w:val="22"/>
        </w:rPr>
        <w:t xml:space="preserve">frāzi “Persona, kura pilda LTAB valdes locekļa pienākumus, rīkojas ar LTAB finanšu līdzekļiem un pieņem lēmumus, kas nepieciešami LTAB uzdevumu izpildei (piemēram, lēmumus par izmaksājamās </w:t>
      </w:r>
      <w:r w:rsidR="004662A5" w:rsidRPr="004662A5">
        <w:rPr>
          <w:rFonts w:ascii="Gotham Pro LT" w:hAnsi="Gotham Pro LT" w:cs="Gotham Pro LT"/>
          <w:sz w:val="22"/>
          <w:szCs w:val="22"/>
        </w:rPr>
        <w:lastRenderedPageBreak/>
        <w:t>zaudējumu atlīdzības apmēru no Garantijas fonda).”</w:t>
      </w:r>
      <w:r w:rsidR="004662A5">
        <w:rPr>
          <w:rFonts w:ascii="Gotham Pro LT" w:hAnsi="Gotham Pro LT" w:cs="Gotham Pro LT"/>
          <w:sz w:val="22"/>
          <w:szCs w:val="22"/>
        </w:rPr>
        <w:t xml:space="preserve"> aizstāt ar šādu frāzi “</w:t>
      </w:r>
      <w:r w:rsidR="004662A5" w:rsidRPr="004662A5">
        <w:rPr>
          <w:rFonts w:ascii="Gotham Pro LT" w:hAnsi="Gotham Pro LT" w:cs="Gotham Pro LT"/>
          <w:sz w:val="22"/>
          <w:szCs w:val="22"/>
        </w:rPr>
        <w:t xml:space="preserve">Persona, kura pilda LTAB valdes locekļa pienākumus,  rīkojas ar </w:t>
      </w:r>
      <w:r w:rsidR="004662A5" w:rsidRPr="0062423C">
        <w:rPr>
          <w:rFonts w:ascii="Gotham Pro LT" w:hAnsi="Gotham Pro LT" w:cs="Gotham Pro LT"/>
          <w:sz w:val="22"/>
          <w:szCs w:val="22"/>
        </w:rPr>
        <w:t>Garantijas fonda</w:t>
      </w:r>
      <w:r w:rsidR="00A378E4">
        <w:rPr>
          <w:rFonts w:ascii="Gotham Pro LT" w:hAnsi="Gotham Pro LT" w:cs="Gotham Pro LT"/>
          <w:sz w:val="22"/>
          <w:szCs w:val="22"/>
        </w:rPr>
        <w:t xml:space="preserve"> līdzekļiem, jo </w:t>
      </w:r>
      <w:r w:rsidR="00350F5A">
        <w:rPr>
          <w:rFonts w:ascii="Gotham Pro LT" w:hAnsi="Gotham Pro LT" w:cs="Gotham Pro LT"/>
          <w:sz w:val="22"/>
          <w:szCs w:val="22"/>
        </w:rPr>
        <w:t>saskaņā</w:t>
      </w:r>
      <w:r w:rsidR="00674A4B">
        <w:rPr>
          <w:rFonts w:ascii="Gotham Pro LT" w:hAnsi="Gotham Pro LT" w:cs="Gotham Pro LT"/>
          <w:sz w:val="22"/>
          <w:szCs w:val="22"/>
        </w:rPr>
        <w:t xml:space="preserve"> ar likuma 51.panta septīto daļu Garantijas fonda turētājs ir LTAB, un lēmumus par Garantijas fonda līdzekļu izlietošanu atbilstoši noteiktajiem mērķiem pieņem LTAB.</w:t>
      </w:r>
      <w:r w:rsidR="004662A5" w:rsidRPr="0062423C">
        <w:rPr>
          <w:rFonts w:ascii="Gotham Pro LT" w:hAnsi="Gotham Pro LT" w:cs="Gotham Pro LT"/>
          <w:sz w:val="22"/>
          <w:szCs w:val="22"/>
        </w:rPr>
        <w:t>)</w:t>
      </w:r>
      <w:r w:rsidR="004662A5" w:rsidRPr="00A378E4">
        <w:rPr>
          <w:rFonts w:ascii="Gotham Pro LT" w:hAnsi="Gotham Pro LT" w:cs="Gotham Pro LT"/>
          <w:sz w:val="22"/>
          <w:szCs w:val="22"/>
        </w:rPr>
        <w:t>”, jo LTAB finanšu līdzekļi ir nošķirti no Garantijas fonda līdzekļiem</w:t>
      </w:r>
      <w:r w:rsidR="0062423C" w:rsidRPr="00674A4B">
        <w:rPr>
          <w:rFonts w:ascii="Gotham Pro LT" w:hAnsi="Gotham Pro LT" w:cs="Gotham Pro LT"/>
          <w:sz w:val="22"/>
          <w:szCs w:val="22"/>
        </w:rPr>
        <w:t xml:space="preserve"> atbilstoši </w:t>
      </w:r>
      <w:r w:rsidR="0062423C" w:rsidRPr="00183BD5">
        <w:rPr>
          <w:rFonts w:ascii="Gotham Pro LT" w:hAnsi="Gotham Pro LT" w:cs="Gotham Pro LT"/>
          <w:sz w:val="22"/>
          <w:szCs w:val="22"/>
        </w:rPr>
        <w:t xml:space="preserve">MK </w:t>
      </w:r>
      <w:r w:rsidR="0062423C" w:rsidRPr="001C1C20">
        <w:rPr>
          <w:rFonts w:ascii="Gotham Pro LT" w:hAnsi="Gotham Pro LT" w:cs="Gotham Pro LT"/>
          <w:sz w:val="22"/>
          <w:szCs w:val="22"/>
        </w:rPr>
        <w:t>22.03.2005. noteikumu Nr.195 “</w:t>
      </w:r>
      <w:r w:rsidR="0062423C" w:rsidRPr="001C1C20">
        <w:rPr>
          <w:rFonts w:ascii="Gotham Pro LT" w:hAnsi="Gotham Pro LT" w:cs="Gotham Pro LT"/>
          <w:sz w:val="22"/>
          <w:szCs w:val="22"/>
          <w:shd w:val="clear" w:color="auto" w:fill="FFFFFF"/>
        </w:rPr>
        <w:t>Sauszemes transportlīdzekļu īpašnieku civiltiesiskās atbildības obligātās apdrošināšanas garantijas fonda izveidošanas, uzkrāšanas un administrēšanas kārtība</w:t>
      </w:r>
      <w:r w:rsidR="0062423C" w:rsidRPr="00183BD5">
        <w:rPr>
          <w:rFonts w:ascii="Gotham Pro LT" w:hAnsi="Gotham Pro LT" w:cs="Gotham Pro LT"/>
          <w:sz w:val="22"/>
          <w:szCs w:val="22"/>
        </w:rPr>
        <w:t>” 6.punktam</w:t>
      </w:r>
      <w:r w:rsidR="00350F5A" w:rsidRPr="00183BD5">
        <w:rPr>
          <w:rFonts w:ascii="Gotham Pro LT" w:hAnsi="Gotham Pro LT" w:cs="Gotham Pro LT"/>
          <w:sz w:val="22"/>
          <w:szCs w:val="22"/>
        </w:rPr>
        <w:t>,</w:t>
      </w:r>
    </w:p>
    <w:p w14:paraId="608D00E6" w14:textId="405A5BDF" w:rsidR="00350F5A" w:rsidRDefault="00C6606E" w:rsidP="004662A5">
      <w:pPr>
        <w:pStyle w:val="NoSpacing"/>
        <w:numPr>
          <w:ilvl w:val="0"/>
          <w:numId w:val="28"/>
        </w:numPr>
        <w:spacing w:after="120"/>
        <w:ind w:right="-1"/>
        <w:jc w:val="both"/>
        <w:rPr>
          <w:rFonts w:ascii="Gotham Pro LT" w:hAnsi="Gotham Pro LT" w:cs="Gotham Pro LT"/>
          <w:sz w:val="22"/>
          <w:szCs w:val="22"/>
        </w:rPr>
      </w:pPr>
      <w:r w:rsidRPr="00FE3B35">
        <w:rPr>
          <w:rFonts w:ascii="Gotham Pro LT" w:hAnsi="Gotham Pro LT" w:cs="Gotham Pro LT"/>
          <w:b/>
          <w:bCs/>
          <w:sz w:val="22"/>
          <w:szCs w:val="22"/>
        </w:rPr>
        <w:t>I sadaļa</w:t>
      </w:r>
      <w:r>
        <w:rPr>
          <w:rFonts w:ascii="Gotham Pro LT" w:hAnsi="Gotham Pro LT" w:cs="Gotham Pro LT"/>
          <w:b/>
          <w:bCs/>
          <w:sz w:val="22"/>
          <w:szCs w:val="22"/>
        </w:rPr>
        <w:t>s</w:t>
      </w:r>
      <w:r w:rsidRPr="004662A5">
        <w:rPr>
          <w:rFonts w:ascii="Gotham Pro LT" w:hAnsi="Gotham Pro LT" w:cs="Gotham Pro LT"/>
          <w:b/>
          <w:bCs/>
          <w:sz w:val="22"/>
          <w:szCs w:val="22"/>
        </w:rPr>
        <w:t xml:space="preserve"> “</w:t>
      </w:r>
      <w:r w:rsidRPr="004662A5">
        <w:rPr>
          <w:rFonts w:ascii="Gotham Pro LT" w:hAnsi="Gotham Pro LT" w:cs="Gotham Pro LT"/>
          <w:b/>
          <w:bCs/>
          <w:iCs/>
          <w:sz w:val="22"/>
          <w:szCs w:val="22"/>
        </w:rPr>
        <w:t>Tiesību akta projekta izstrādes nepieciešamība</w:t>
      </w:r>
      <w:r w:rsidRPr="00CF7A3F">
        <w:rPr>
          <w:rFonts w:ascii="Gotham Pro LT" w:hAnsi="Gotham Pro LT" w:cs="Gotham Pro LT"/>
          <w:b/>
          <w:bCs/>
          <w:sz w:val="22"/>
          <w:szCs w:val="22"/>
        </w:rPr>
        <w:t xml:space="preserve">” 2.punktā </w:t>
      </w:r>
      <w:r>
        <w:rPr>
          <w:rFonts w:ascii="Gotham Pro LT" w:hAnsi="Gotham Pro LT" w:cs="Gotham Pro LT"/>
          <w:b/>
          <w:bCs/>
          <w:sz w:val="22"/>
          <w:szCs w:val="22"/>
        </w:rPr>
        <w:t xml:space="preserve">- </w:t>
      </w:r>
      <w:r w:rsidR="00350F5A" w:rsidRPr="004662A5">
        <w:rPr>
          <w:rFonts w:ascii="Gotham Pro LT" w:hAnsi="Gotham Pro LT" w:cs="Gotham Pro LT"/>
          <w:sz w:val="22"/>
          <w:szCs w:val="22"/>
        </w:rPr>
        <w:t>frāz</w:t>
      </w:r>
      <w:r w:rsidR="00350F5A">
        <w:rPr>
          <w:rFonts w:ascii="Gotham Pro LT" w:hAnsi="Gotham Pro LT" w:cs="Gotham Pro LT"/>
          <w:sz w:val="22"/>
          <w:szCs w:val="22"/>
        </w:rPr>
        <w:t xml:space="preserve">e </w:t>
      </w:r>
      <w:r w:rsidR="00350F5A" w:rsidRPr="001C1C20">
        <w:rPr>
          <w:rFonts w:ascii="Gotham Pro LT" w:hAnsi="Gotham Pro LT" w:cs="Gotham Pro LT"/>
          <w:sz w:val="22"/>
          <w:szCs w:val="22"/>
        </w:rPr>
        <w:t>“Projektā paredzētā regulējuma galvenais mērķis ir ne tikai mazināt finanšu noziegumus vispār, bet veicināt uzticību OCTA sistēmai, kuras darbību nodrošina LTAB, un nepieļaut noziegumu rašanās iespēju pašā LTAB.” izslēdzama vai koriģējama, jo pašreizējā redakcijā tā vērsta uz to, it kā LTAB darbībā jau līdz šim būtu saskatāmi šāda veida pārkāpumi, un tāpēc tiek virzīti šādi grozījumi</w:t>
      </w:r>
      <w:r w:rsidR="00BF4116" w:rsidRPr="001C1C20">
        <w:rPr>
          <w:rFonts w:ascii="Gotham Pro LT" w:hAnsi="Gotham Pro LT" w:cs="Gotham Pro LT"/>
          <w:sz w:val="22"/>
          <w:szCs w:val="22"/>
        </w:rPr>
        <w:t>. Minētais apgalvojums</w:t>
      </w:r>
      <w:r w:rsidR="00BF4116">
        <w:rPr>
          <w:rFonts w:ascii="Gotham Pro LT" w:hAnsi="Gotham Pro LT" w:cs="Gotham Pro LT"/>
          <w:sz w:val="22"/>
          <w:szCs w:val="22"/>
        </w:rPr>
        <w:t xml:space="preserve"> neatbilst faktiskajai situācijai.</w:t>
      </w:r>
    </w:p>
    <w:p w14:paraId="7F97A07C" w14:textId="2AD01E74" w:rsidR="00350F5A" w:rsidRPr="00C6606E" w:rsidRDefault="00CF0B61" w:rsidP="004662A5">
      <w:pPr>
        <w:pStyle w:val="NoSpacing"/>
        <w:numPr>
          <w:ilvl w:val="0"/>
          <w:numId w:val="28"/>
        </w:numPr>
        <w:spacing w:after="120"/>
        <w:ind w:right="-1"/>
        <w:jc w:val="both"/>
        <w:rPr>
          <w:rFonts w:ascii="Gotham Pro LT" w:hAnsi="Gotham Pro LT" w:cs="Gotham Pro LT"/>
          <w:sz w:val="22"/>
          <w:szCs w:val="22"/>
        </w:rPr>
      </w:pPr>
      <w:r w:rsidRPr="00C6606E">
        <w:rPr>
          <w:rFonts w:ascii="Gotham Pro LT" w:hAnsi="Gotham Pro LT" w:cs="Gotham Pro LT"/>
          <w:b/>
          <w:bCs/>
          <w:iCs/>
          <w:sz w:val="22"/>
          <w:szCs w:val="22"/>
        </w:rPr>
        <w:t>II sadaļas “Tiesību akta projekta ietekme uz sabiedrību, tautsaimniecības attīstību un administratīvo slogu” 3.punktā</w:t>
      </w:r>
      <w:r w:rsidRPr="00C6606E">
        <w:rPr>
          <w:rFonts w:ascii="Gotham Pro LT" w:hAnsi="Gotham Pro LT" w:cs="Gotham Pro LT"/>
          <w:sz w:val="22"/>
          <w:szCs w:val="22"/>
        </w:rPr>
        <w:t xml:space="preserve"> </w:t>
      </w:r>
      <w:r w:rsidR="00C6606E" w:rsidRPr="00C6606E">
        <w:rPr>
          <w:rFonts w:ascii="Gotham Pro LT" w:hAnsi="Gotham Pro LT" w:cs="Gotham Pro LT"/>
          <w:sz w:val="22"/>
          <w:szCs w:val="22"/>
        </w:rPr>
        <w:t xml:space="preserve">- </w:t>
      </w:r>
      <w:r w:rsidRPr="00C6606E">
        <w:rPr>
          <w:rFonts w:ascii="Gotham Pro LT" w:hAnsi="Gotham Pro LT" w:cs="Gotham Pro LT"/>
          <w:sz w:val="22"/>
          <w:szCs w:val="22"/>
        </w:rPr>
        <w:t>frāze “</w:t>
      </w:r>
      <w:r w:rsidRPr="00C6606E">
        <w:rPr>
          <w:rFonts w:ascii="Gotham Pro LT" w:eastAsia="Times New Roman" w:hAnsi="Gotham Pro LT" w:cs="Gotham Pro LT"/>
          <w:sz w:val="22"/>
          <w:szCs w:val="22"/>
        </w:rPr>
        <w:t xml:space="preserve">Prognozējams, ka kopējās administratīvās izmaksas, ko rada informācijas sniegšanas un apstrādes pienākumi saistībā ar LTAB uzdevumu izpildi, pārvaldes institūciju darbību un tās lēmumu pieņemšanas procedūru, nepārsniegs 2000 </w:t>
      </w:r>
      <w:r w:rsidRPr="00C6606E">
        <w:rPr>
          <w:rFonts w:ascii="Gotham Pro LT" w:eastAsia="Times New Roman" w:hAnsi="Gotham Pro LT" w:cs="Gotham Pro LT"/>
          <w:i/>
          <w:iCs/>
          <w:sz w:val="22"/>
          <w:szCs w:val="22"/>
        </w:rPr>
        <w:t>euro</w:t>
      </w:r>
      <w:r w:rsidRPr="00C6606E">
        <w:rPr>
          <w:rFonts w:ascii="Gotham Pro LT" w:eastAsia="Times New Roman" w:hAnsi="Gotham Pro LT" w:cs="Gotham Pro LT"/>
          <w:sz w:val="22"/>
          <w:szCs w:val="22"/>
        </w:rPr>
        <w:t xml:space="preserve"> gadā.</w:t>
      </w:r>
      <w:r w:rsidRPr="00C6606E">
        <w:rPr>
          <w:rFonts w:ascii="Gotham Pro LT" w:hAnsi="Gotham Pro LT" w:cs="Gotham Pro LT"/>
          <w:sz w:val="22"/>
          <w:szCs w:val="22"/>
        </w:rPr>
        <w:t>”</w:t>
      </w:r>
      <w:r w:rsidR="00C6606E">
        <w:rPr>
          <w:rFonts w:ascii="Gotham Pro LT" w:hAnsi="Gotham Pro LT" w:cs="Gotham Pro LT"/>
          <w:sz w:val="22"/>
          <w:szCs w:val="22"/>
        </w:rPr>
        <w:t xml:space="preserve"> </w:t>
      </w:r>
      <w:r w:rsidR="00DF22AE">
        <w:rPr>
          <w:rFonts w:ascii="Gotham Pro LT" w:hAnsi="Gotham Pro LT" w:cs="Gotham Pro LT"/>
          <w:sz w:val="22"/>
          <w:szCs w:val="22"/>
        </w:rPr>
        <w:t>i</w:t>
      </w:r>
      <w:r w:rsidR="00C6606E">
        <w:rPr>
          <w:rFonts w:ascii="Gotham Pro LT" w:hAnsi="Gotham Pro LT" w:cs="Gotham Pro LT"/>
          <w:sz w:val="22"/>
          <w:szCs w:val="22"/>
        </w:rPr>
        <w:t>zslēdzama, jo šobrīd nav iespējams aprēķināt grozījumu  administratīvo slogu uz LTAB, apdrošinātājiem un nozari kopumā.</w:t>
      </w:r>
    </w:p>
    <w:p w14:paraId="3B2F31DF" w14:textId="77777777" w:rsidR="00E10808" w:rsidRPr="004662A5" w:rsidRDefault="00E10808" w:rsidP="004662A5">
      <w:pPr>
        <w:pStyle w:val="ListParagraph"/>
        <w:spacing w:after="120"/>
        <w:rPr>
          <w:rFonts w:ascii="Gotham Pro LT" w:hAnsi="Gotham Pro LT" w:cs="Gotham Pro LT"/>
          <w:b/>
          <w:bCs/>
        </w:rPr>
      </w:pPr>
    </w:p>
    <w:p w14:paraId="761A0E35" w14:textId="77777777" w:rsidR="0046122B" w:rsidRPr="008807A9" w:rsidRDefault="0046122B" w:rsidP="008B4196">
      <w:pPr>
        <w:tabs>
          <w:tab w:val="left" w:pos="720"/>
          <w:tab w:val="center" w:pos="4320"/>
          <w:tab w:val="right" w:pos="8640"/>
        </w:tabs>
        <w:spacing w:after="120" w:line="240" w:lineRule="auto"/>
        <w:jc w:val="both"/>
        <w:rPr>
          <w:rFonts w:ascii="Gotham Pro LT" w:hAnsi="Gotham Pro LT" w:cs="Gotham Pro LT"/>
        </w:rPr>
      </w:pPr>
      <w:r w:rsidRPr="008807A9">
        <w:rPr>
          <w:rFonts w:ascii="Gotham Pro LT" w:hAnsi="Gotham Pro LT" w:cs="Gotham Pro LT"/>
        </w:rPr>
        <w:t xml:space="preserve">Ar cieņu, </w:t>
      </w:r>
    </w:p>
    <w:p w14:paraId="609FEC7B" w14:textId="77777777" w:rsidR="0046122B" w:rsidRPr="008807A9" w:rsidRDefault="0046122B" w:rsidP="008B4196">
      <w:pPr>
        <w:tabs>
          <w:tab w:val="left" w:pos="720"/>
          <w:tab w:val="center" w:pos="4320"/>
          <w:tab w:val="right" w:pos="8640"/>
        </w:tabs>
        <w:spacing w:after="120" w:line="240" w:lineRule="auto"/>
        <w:jc w:val="both"/>
        <w:rPr>
          <w:rFonts w:ascii="Gotham Pro LT" w:hAnsi="Gotham Pro LT" w:cs="Gotham Pro LT"/>
        </w:rPr>
      </w:pPr>
    </w:p>
    <w:p w14:paraId="724013CE" w14:textId="77777777" w:rsidR="0046122B" w:rsidRPr="008807A9" w:rsidRDefault="0046122B" w:rsidP="008B4196">
      <w:pPr>
        <w:tabs>
          <w:tab w:val="left" w:pos="720"/>
          <w:tab w:val="center" w:pos="4320"/>
          <w:tab w:val="right" w:pos="8640"/>
        </w:tabs>
        <w:spacing w:after="120" w:line="240" w:lineRule="auto"/>
        <w:jc w:val="both"/>
        <w:rPr>
          <w:rFonts w:ascii="Gotham Pro LT" w:hAnsi="Gotham Pro LT" w:cs="Gotham Pro LT"/>
        </w:rPr>
      </w:pPr>
      <w:r w:rsidRPr="008807A9">
        <w:rPr>
          <w:rFonts w:ascii="Gotham Pro LT" w:hAnsi="Gotham Pro LT" w:cs="Gotham Pro LT"/>
        </w:rPr>
        <w:t>LTAB valdes priekšsēdētājs</w:t>
      </w:r>
    </w:p>
    <w:p w14:paraId="1F44BFF9" w14:textId="77777777" w:rsidR="0046122B" w:rsidRPr="008807A9" w:rsidRDefault="0046122B" w:rsidP="008B4196">
      <w:pPr>
        <w:spacing w:after="120" w:line="240" w:lineRule="auto"/>
        <w:rPr>
          <w:rFonts w:ascii="Gotham Pro LT" w:hAnsi="Gotham Pro LT" w:cs="Gotham Pro LT"/>
        </w:rPr>
      </w:pPr>
      <w:r w:rsidRPr="008807A9">
        <w:rPr>
          <w:rFonts w:ascii="Gotham Pro LT" w:hAnsi="Gotham Pro LT" w:cs="Gotham Pro LT"/>
        </w:rPr>
        <w:t>J. Abāšins</w:t>
      </w:r>
    </w:p>
    <w:p w14:paraId="30E25D27" w14:textId="77777777" w:rsidR="0046122B" w:rsidRPr="008807A9" w:rsidRDefault="0046122B" w:rsidP="008B4196">
      <w:pPr>
        <w:pStyle w:val="Footer"/>
        <w:spacing w:after="120"/>
        <w:rPr>
          <w:rFonts w:ascii="Gotham Pro LT" w:hAnsi="Gotham Pro LT" w:cs="Gotham Pro LT"/>
        </w:rPr>
      </w:pPr>
    </w:p>
    <w:p w14:paraId="08F3997F" w14:textId="21721CE7" w:rsidR="00617E51" w:rsidRPr="008807A9" w:rsidRDefault="0046122B" w:rsidP="008B4196">
      <w:pPr>
        <w:spacing w:after="120" w:line="240" w:lineRule="auto"/>
        <w:jc w:val="center"/>
        <w:rPr>
          <w:rFonts w:ascii="Gotham Pro LT" w:hAnsi="Gotham Pro LT" w:cs="Gotham Pro LT"/>
        </w:rPr>
      </w:pPr>
      <w:r w:rsidRPr="008807A9">
        <w:rPr>
          <w:rFonts w:ascii="Gotham Pro LT" w:hAnsi="Gotham Pro LT" w:cs="Gotham Pro LT"/>
        </w:rPr>
        <w:t>DOKUMENTS IR PARAKSTĪTS AR DROŠU ELEKTRONISKO PARAKSTU UN SATUR LAIKA ZĪMOGU</w:t>
      </w:r>
    </w:p>
    <w:sectPr w:rsidR="00617E51" w:rsidRPr="008807A9" w:rsidSect="00F821FC">
      <w:headerReference w:type="default" r:id="rId14"/>
      <w:footerReference w:type="default" r:id="rId15"/>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62AD" w14:textId="77777777" w:rsidR="00A02935" w:rsidRDefault="00A02935" w:rsidP="00C62AF7">
      <w:pPr>
        <w:spacing w:after="0" w:line="240" w:lineRule="auto"/>
      </w:pPr>
      <w:r>
        <w:separator/>
      </w:r>
    </w:p>
  </w:endnote>
  <w:endnote w:type="continuationSeparator" w:id="0">
    <w:p w14:paraId="53CDBCBC" w14:textId="77777777" w:rsidR="00A02935" w:rsidRDefault="00A02935"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Pro LT">
    <w:altName w:val="Calibri"/>
    <w:panose1 w:val="020B0604020202020204"/>
    <w:charset w:val="BA"/>
    <w:family w:val="auto"/>
    <w:pitch w:val="variable"/>
    <w:sig w:usb0="80000AAF" w:usb1="5000204A"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&#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94CB1"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8F39987" w14:textId="77777777" w:rsidR="00C62AF7" w:rsidRDefault="00C62AF7" w:rsidP="00C62AF7">
    <w:pPr>
      <w:pStyle w:val="Footer"/>
      <w:jc w:val="center"/>
    </w:pPr>
  </w:p>
  <w:p w14:paraId="08F39988" w14:textId="77777777" w:rsidR="00C62AF7" w:rsidRDefault="00C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62E9E" w14:textId="77777777" w:rsidR="00A02935" w:rsidRDefault="00A02935" w:rsidP="00C62AF7">
      <w:pPr>
        <w:spacing w:after="0" w:line="240" w:lineRule="auto"/>
      </w:pPr>
      <w:r>
        <w:separator/>
      </w:r>
    </w:p>
  </w:footnote>
  <w:footnote w:type="continuationSeparator" w:id="0">
    <w:p w14:paraId="00DDA9A5" w14:textId="77777777" w:rsidR="00A02935" w:rsidRDefault="00A02935" w:rsidP="00C62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482"/>
    <w:multiLevelType w:val="hybridMultilevel"/>
    <w:tmpl w:val="051C61DA"/>
    <w:lvl w:ilvl="0" w:tplc="25103412">
      <w:start w:val="1"/>
      <w:numFmt w:val="decimal"/>
      <w:lvlText w:val="%1."/>
      <w:lvlJc w:val="left"/>
      <w:pPr>
        <w:ind w:left="1160" w:hanging="4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0E42FE"/>
    <w:multiLevelType w:val="multilevel"/>
    <w:tmpl w:val="E8C4498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rPr>
        <w:b/>
        <w:bCs/>
        <w:u w:val="singl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9C677B"/>
    <w:multiLevelType w:val="hybridMultilevel"/>
    <w:tmpl w:val="C780129A"/>
    <w:lvl w:ilvl="0" w:tplc="9912C70C">
      <w:start w:val="2"/>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54301F"/>
    <w:multiLevelType w:val="hybridMultilevel"/>
    <w:tmpl w:val="D4961D5E"/>
    <w:lvl w:ilvl="0" w:tplc="D758C6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6053D8"/>
    <w:multiLevelType w:val="hybridMultilevel"/>
    <w:tmpl w:val="B2922818"/>
    <w:lvl w:ilvl="0" w:tplc="FA9256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5E069FD"/>
    <w:multiLevelType w:val="hybridMultilevel"/>
    <w:tmpl w:val="C5004AC4"/>
    <w:lvl w:ilvl="0" w:tplc="B81C8004">
      <w:start w:val="1"/>
      <w:numFmt w:val="bullet"/>
      <w:lvlText w:val=""/>
      <w:lvlJc w:val="left"/>
      <w:pPr>
        <w:tabs>
          <w:tab w:val="num" w:pos="720"/>
        </w:tabs>
        <w:ind w:left="720" w:hanging="360"/>
      </w:pPr>
      <w:rPr>
        <w:rFonts w:ascii="Wingdings" w:hAnsi="Wingdings" w:hint="default"/>
      </w:rPr>
    </w:lvl>
    <w:lvl w:ilvl="1" w:tplc="9FEEF2E0" w:tentative="1">
      <w:start w:val="1"/>
      <w:numFmt w:val="bullet"/>
      <w:lvlText w:val=""/>
      <w:lvlJc w:val="left"/>
      <w:pPr>
        <w:tabs>
          <w:tab w:val="num" w:pos="1440"/>
        </w:tabs>
        <w:ind w:left="1440" w:hanging="360"/>
      </w:pPr>
      <w:rPr>
        <w:rFonts w:ascii="Wingdings" w:hAnsi="Wingdings" w:hint="default"/>
      </w:rPr>
    </w:lvl>
    <w:lvl w:ilvl="2" w:tplc="2786C4A0" w:tentative="1">
      <w:start w:val="1"/>
      <w:numFmt w:val="bullet"/>
      <w:lvlText w:val=""/>
      <w:lvlJc w:val="left"/>
      <w:pPr>
        <w:tabs>
          <w:tab w:val="num" w:pos="2160"/>
        </w:tabs>
        <w:ind w:left="2160" w:hanging="360"/>
      </w:pPr>
      <w:rPr>
        <w:rFonts w:ascii="Wingdings" w:hAnsi="Wingdings" w:hint="default"/>
      </w:rPr>
    </w:lvl>
    <w:lvl w:ilvl="3" w:tplc="DB26D26A" w:tentative="1">
      <w:start w:val="1"/>
      <w:numFmt w:val="bullet"/>
      <w:lvlText w:val=""/>
      <w:lvlJc w:val="left"/>
      <w:pPr>
        <w:tabs>
          <w:tab w:val="num" w:pos="2880"/>
        </w:tabs>
        <w:ind w:left="2880" w:hanging="360"/>
      </w:pPr>
      <w:rPr>
        <w:rFonts w:ascii="Wingdings" w:hAnsi="Wingdings" w:hint="default"/>
      </w:rPr>
    </w:lvl>
    <w:lvl w:ilvl="4" w:tplc="B55ABA44" w:tentative="1">
      <w:start w:val="1"/>
      <w:numFmt w:val="bullet"/>
      <w:lvlText w:val=""/>
      <w:lvlJc w:val="left"/>
      <w:pPr>
        <w:tabs>
          <w:tab w:val="num" w:pos="3600"/>
        </w:tabs>
        <w:ind w:left="3600" w:hanging="360"/>
      </w:pPr>
      <w:rPr>
        <w:rFonts w:ascii="Wingdings" w:hAnsi="Wingdings" w:hint="default"/>
      </w:rPr>
    </w:lvl>
    <w:lvl w:ilvl="5" w:tplc="598E12A4" w:tentative="1">
      <w:start w:val="1"/>
      <w:numFmt w:val="bullet"/>
      <w:lvlText w:val=""/>
      <w:lvlJc w:val="left"/>
      <w:pPr>
        <w:tabs>
          <w:tab w:val="num" w:pos="4320"/>
        </w:tabs>
        <w:ind w:left="4320" w:hanging="360"/>
      </w:pPr>
      <w:rPr>
        <w:rFonts w:ascii="Wingdings" w:hAnsi="Wingdings" w:hint="default"/>
      </w:rPr>
    </w:lvl>
    <w:lvl w:ilvl="6" w:tplc="76109DB6" w:tentative="1">
      <w:start w:val="1"/>
      <w:numFmt w:val="bullet"/>
      <w:lvlText w:val=""/>
      <w:lvlJc w:val="left"/>
      <w:pPr>
        <w:tabs>
          <w:tab w:val="num" w:pos="5040"/>
        </w:tabs>
        <w:ind w:left="5040" w:hanging="360"/>
      </w:pPr>
      <w:rPr>
        <w:rFonts w:ascii="Wingdings" w:hAnsi="Wingdings" w:hint="default"/>
      </w:rPr>
    </w:lvl>
    <w:lvl w:ilvl="7" w:tplc="F49ED202" w:tentative="1">
      <w:start w:val="1"/>
      <w:numFmt w:val="bullet"/>
      <w:lvlText w:val=""/>
      <w:lvlJc w:val="left"/>
      <w:pPr>
        <w:tabs>
          <w:tab w:val="num" w:pos="5760"/>
        </w:tabs>
        <w:ind w:left="5760" w:hanging="360"/>
      </w:pPr>
      <w:rPr>
        <w:rFonts w:ascii="Wingdings" w:hAnsi="Wingdings" w:hint="default"/>
      </w:rPr>
    </w:lvl>
    <w:lvl w:ilvl="8" w:tplc="3D9010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C78E5"/>
    <w:multiLevelType w:val="hybridMultilevel"/>
    <w:tmpl w:val="789C9664"/>
    <w:lvl w:ilvl="0" w:tplc="1EF27D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A86806"/>
    <w:multiLevelType w:val="hybridMultilevel"/>
    <w:tmpl w:val="E4366A96"/>
    <w:lvl w:ilvl="0" w:tplc="8B5A75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B1580D"/>
    <w:multiLevelType w:val="hybridMultilevel"/>
    <w:tmpl w:val="4F12DC30"/>
    <w:lvl w:ilvl="0" w:tplc="5C9E7AC4">
      <w:start w:val="1"/>
      <w:numFmt w:val="decimal"/>
      <w:lvlText w:val="%1)"/>
      <w:lvlJc w:val="left"/>
      <w:pPr>
        <w:ind w:left="1440" w:hanging="360"/>
      </w:pPr>
      <w:rPr>
        <w:rFonts w:ascii="Gotham Pro LT" w:hAnsi="Gotham Pro LT" w:cs="Gotham Pro LT" w:hint="default"/>
        <w:sz w:val="22"/>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43825B5"/>
    <w:multiLevelType w:val="hybridMultilevel"/>
    <w:tmpl w:val="6E786B6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976D4B"/>
    <w:multiLevelType w:val="hybridMultilevel"/>
    <w:tmpl w:val="64EE95D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3D4056"/>
    <w:multiLevelType w:val="hybridMultilevel"/>
    <w:tmpl w:val="CE5401A2"/>
    <w:lvl w:ilvl="0" w:tplc="00D2CF7E">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20B1F97"/>
    <w:multiLevelType w:val="hybridMultilevel"/>
    <w:tmpl w:val="C1E63B00"/>
    <w:lvl w:ilvl="0" w:tplc="59C653F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5D73D34"/>
    <w:multiLevelType w:val="hybridMultilevel"/>
    <w:tmpl w:val="FD0EC688"/>
    <w:lvl w:ilvl="0" w:tplc="E088860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4E7178C"/>
    <w:multiLevelType w:val="hybridMultilevel"/>
    <w:tmpl w:val="EEC223E8"/>
    <w:lvl w:ilvl="0" w:tplc="02DCF3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850613E"/>
    <w:multiLevelType w:val="hybridMultilevel"/>
    <w:tmpl w:val="8424D552"/>
    <w:lvl w:ilvl="0" w:tplc="3E2470FA">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8791DC3"/>
    <w:multiLevelType w:val="hybridMultilevel"/>
    <w:tmpl w:val="EB2A4020"/>
    <w:lvl w:ilvl="0" w:tplc="172668C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49E51027"/>
    <w:multiLevelType w:val="hybridMultilevel"/>
    <w:tmpl w:val="97C60792"/>
    <w:lvl w:ilvl="0" w:tplc="8460B664">
      <w:start w:val="1"/>
      <w:numFmt w:val="decimal"/>
      <w:lvlText w:val="%1)"/>
      <w:lvlJc w:val="left"/>
      <w:pPr>
        <w:ind w:left="1440" w:hanging="360"/>
      </w:pPr>
      <w:rPr>
        <w:rFonts w:eastAsia="Calibri" w:hint="default"/>
        <w:u w:val="singl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A7E1334"/>
    <w:multiLevelType w:val="hybridMultilevel"/>
    <w:tmpl w:val="A07C56E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B7F03C4"/>
    <w:multiLevelType w:val="hybridMultilevel"/>
    <w:tmpl w:val="EB944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F1C19B7"/>
    <w:multiLevelType w:val="hybridMultilevel"/>
    <w:tmpl w:val="6EBE099C"/>
    <w:lvl w:ilvl="0" w:tplc="FB7EC542">
      <w:start w:val="1"/>
      <w:numFmt w:val="bullet"/>
      <w:lvlText w:val=""/>
      <w:lvlJc w:val="left"/>
      <w:pPr>
        <w:tabs>
          <w:tab w:val="num" w:pos="720"/>
        </w:tabs>
        <w:ind w:left="720" w:hanging="360"/>
      </w:pPr>
      <w:rPr>
        <w:rFonts w:ascii="Wingdings" w:hAnsi="Wingdings" w:hint="default"/>
      </w:rPr>
    </w:lvl>
    <w:lvl w:ilvl="1" w:tplc="12F0BF00" w:tentative="1">
      <w:start w:val="1"/>
      <w:numFmt w:val="bullet"/>
      <w:lvlText w:val=""/>
      <w:lvlJc w:val="left"/>
      <w:pPr>
        <w:tabs>
          <w:tab w:val="num" w:pos="1440"/>
        </w:tabs>
        <w:ind w:left="1440" w:hanging="360"/>
      </w:pPr>
      <w:rPr>
        <w:rFonts w:ascii="Wingdings" w:hAnsi="Wingdings" w:hint="default"/>
      </w:rPr>
    </w:lvl>
    <w:lvl w:ilvl="2" w:tplc="D70EB9B8" w:tentative="1">
      <w:start w:val="1"/>
      <w:numFmt w:val="bullet"/>
      <w:lvlText w:val=""/>
      <w:lvlJc w:val="left"/>
      <w:pPr>
        <w:tabs>
          <w:tab w:val="num" w:pos="2160"/>
        </w:tabs>
        <w:ind w:left="2160" w:hanging="360"/>
      </w:pPr>
      <w:rPr>
        <w:rFonts w:ascii="Wingdings" w:hAnsi="Wingdings" w:hint="default"/>
      </w:rPr>
    </w:lvl>
    <w:lvl w:ilvl="3" w:tplc="5888E174" w:tentative="1">
      <w:start w:val="1"/>
      <w:numFmt w:val="bullet"/>
      <w:lvlText w:val=""/>
      <w:lvlJc w:val="left"/>
      <w:pPr>
        <w:tabs>
          <w:tab w:val="num" w:pos="2880"/>
        </w:tabs>
        <w:ind w:left="2880" w:hanging="360"/>
      </w:pPr>
      <w:rPr>
        <w:rFonts w:ascii="Wingdings" w:hAnsi="Wingdings" w:hint="default"/>
      </w:rPr>
    </w:lvl>
    <w:lvl w:ilvl="4" w:tplc="E37214E8" w:tentative="1">
      <w:start w:val="1"/>
      <w:numFmt w:val="bullet"/>
      <w:lvlText w:val=""/>
      <w:lvlJc w:val="left"/>
      <w:pPr>
        <w:tabs>
          <w:tab w:val="num" w:pos="3600"/>
        </w:tabs>
        <w:ind w:left="3600" w:hanging="360"/>
      </w:pPr>
      <w:rPr>
        <w:rFonts w:ascii="Wingdings" w:hAnsi="Wingdings" w:hint="default"/>
      </w:rPr>
    </w:lvl>
    <w:lvl w:ilvl="5" w:tplc="86B8BB2A" w:tentative="1">
      <w:start w:val="1"/>
      <w:numFmt w:val="bullet"/>
      <w:lvlText w:val=""/>
      <w:lvlJc w:val="left"/>
      <w:pPr>
        <w:tabs>
          <w:tab w:val="num" w:pos="4320"/>
        </w:tabs>
        <w:ind w:left="4320" w:hanging="360"/>
      </w:pPr>
      <w:rPr>
        <w:rFonts w:ascii="Wingdings" w:hAnsi="Wingdings" w:hint="default"/>
      </w:rPr>
    </w:lvl>
    <w:lvl w:ilvl="6" w:tplc="B09CDF18" w:tentative="1">
      <w:start w:val="1"/>
      <w:numFmt w:val="bullet"/>
      <w:lvlText w:val=""/>
      <w:lvlJc w:val="left"/>
      <w:pPr>
        <w:tabs>
          <w:tab w:val="num" w:pos="5040"/>
        </w:tabs>
        <w:ind w:left="5040" w:hanging="360"/>
      </w:pPr>
      <w:rPr>
        <w:rFonts w:ascii="Wingdings" w:hAnsi="Wingdings" w:hint="default"/>
      </w:rPr>
    </w:lvl>
    <w:lvl w:ilvl="7" w:tplc="480093F8" w:tentative="1">
      <w:start w:val="1"/>
      <w:numFmt w:val="bullet"/>
      <w:lvlText w:val=""/>
      <w:lvlJc w:val="left"/>
      <w:pPr>
        <w:tabs>
          <w:tab w:val="num" w:pos="5760"/>
        </w:tabs>
        <w:ind w:left="5760" w:hanging="360"/>
      </w:pPr>
      <w:rPr>
        <w:rFonts w:ascii="Wingdings" w:hAnsi="Wingdings" w:hint="default"/>
      </w:rPr>
    </w:lvl>
    <w:lvl w:ilvl="8" w:tplc="3BD01D8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2D5768"/>
    <w:multiLevelType w:val="hybridMultilevel"/>
    <w:tmpl w:val="029C87B0"/>
    <w:lvl w:ilvl="0" w:tplc="CF44EA7E">
      <w:start w:val="1"/>
      <w:numFmt w:val="bullet"/>
      <w:lvlText w:val=""/>
      <w:lvlJc w:val="left"/>
      <w:pPr>
        <w:tabs>
          <w:tab w:val="num" w:pos="720"/>
        </w:tabs>
        <w:ind w:left="720" w:hanging="360"/>
      </w:pPr>
      <w:rPr>
        <w:rFonts w:ascii="Wingdings" w:hAnsi="Wingdings" w:hint="default"/>
      </w:rPr>
    </w:lvl>
    <w:lvl w:ilvl="1" w:tplc="7A044790" w:tentative="1">
      <w:start w:val="1"/>
      <w:numFmt w:val="bullet"/>
      <w:lvlText w:val=""/>
      <w:lvlJc w:val="left"/>
      <w:pPr>
        <w:tabs>
          <w:tab w:val="num" w:pos="1440"/>
        </w:tabs>
        <w:ind w:left="1440" w:hanging="360"/>
      </w:pPr>
      <w:rPr>
        <w:rFonts w:ascii="Wingdings" w:hAnsi="Wingdings" w:hint="default"/>
      </w:rPr>
    </w:lvl>
    <w:lvl w:ilvl="2" w:tplc="DB32CF54" w:tentative="1">
      <w:start w:val="1"/>
      <w:numFmt w:val="bullet"/>
      <w:lvlText w:val=""/>
      <w:lvlJc w:val="left"/>
      <w:pPr>
        <w:tabs>
          <w:tab w:val="num" w:pos="2160"/>
        </w:tabs>
        <w:ind w:left="2160" w:hanging="360"/>
      </w:pPr>
      <w:rPr>
        <w:rFonts w:ascii="Wingdings" w:hAnsi="Wingdings" w:hint="default"/>
      </w:rPr>
    </w:lvl>
    <w:lvl w:ilvl="3" w:tplc="5F444EDE" w:tentative="1">
      <w:start w:val="1"/>
      <w:numFmt w:val="bullet"/>
      <w:lvlText w:val=""/>
      <w:lvlJc w:val="left"/>
      <w:pPr>
        <w:tabs>
          <w:tab w:val="num" w:pos="2880"/>
        </w:tabs>
        <w:ind w:left="2880" w:hanging="360"/>
      </w:pPr>
      <w:rPr>
        <w:rFonts w:ascii="Wingdings" w:hAnsi="Wingdings" w:hint="default"/>
      </w:rPr>
    </w:lvl>
    <w:lvl w:ilvl="4" w:tplc="1BD41C78" w:tentative="1">
      <w:start w:val="1"/>
      <w:numFmt w:val="bullet"/>
      <w:lvlText w:val=""/>
      <w:lvlJc w:val="left"/>
      <w:pPr>
        <w:tabs>
          <w:tab w:val="num" w:pos="3600"/>
        </w:tabs>
        <w:ind w:left="3600" w:hanging="360"/>
      </w:pPr>
      <w:rPr>
        <w:rFonts w:ascii="Wingdings" w:hAnsi="Wingdings" w:hint="default"/>
      </w:rPr>
    </w:lvl>
    <w:lvl w:ilvl="5" w:tplc="93082232" w:tentative="1">
      <w:start w:val="1"/>
      <w:numFmt w:val="bullet"/>
      <w:lvlText w:val=""/>
      <w:lvlJc w:val="left"/>
      <w:pPr>
        <w:tabs>
          <w:tab w:val="num" w:pos="4320"/>
        </w:tabs>
        <w:ind w:left="4320" w:hanging="360"/>
      </w:pPr>
      <w:rPr>
        <w:rFonts w:ascii="Wingdings" w:hAnsi="Wingdings" w:hint="default"/>
      </w:rPr>
    </w:lvl>
    <w:lvl w:ilvl="6" w:tplc="52D89624" w:tentative="1">
      <w:start w:val="1"/>
      <w:numFmt w:val="bullet"/>
      <w:lvlText w:val=""/>
      <w:lvlJc w:val="left"/>
      <w:pPr>
        <w:tabs>
          <w:tab w:val="num" w:pos="5040"/>
        </w:tabs>
        <w:ind w:left="5040" w:hanging="360"/>
      </w:pPr>
      <w:rPr>
        <w:rFonts w:ascii="Wingdings" w:hAnsi="Wingdings" w:hint="default"/>
      </w:rPr>
    </w:lvl>
    <w:lvl w:ilvl="7" w:tplc="5888E0AA" w:tentative="1">
      <w:start w:val="1"/>
      <w:numFmt w:val="bullet"/>
      <w:lvlText w:val=""/>
      <w:lvlJc w:val="left"/>
      <w:pPr>
        <w:tabs>
          <w:tab w:val="num" w:pos="5760"/>
        </w:tabs>
        <w:ind w:left="5760" w:hanging="360"/>
      </w:pPr>
      <w:rPr>
        <w:rFonts w:ascii="Wingdings" w:hAnsi="Wingdings" w:hint="default"/>
      </w:rPr>
    </w:lvl>
    <w:lvl w:ilvl="8" w:tplc="9198DE7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A6033D"/>
    <w:multiLevelType w:val="hybridMultilevel"/>
    <w:tmpl w:val="963CF510"/>
    <w:lvl w:ilvl="0" w:tplc="D22EC0F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CAE5654"/>
    <w:multiLevelType w:val="hybridMultilevel"/>
    <w:tmpl w:val="6E66BE36"/>
    <w:lvl w:ilvl="0" w:tplc="E9248AAC">
      <w:start w:val="1"/>
      <w:numFmt w:val="bullet"/>
      <w:lvlText w:val="-"/>
      <w:lvlJc w:val="left"/>
      <w:pPr>
        <w:ind w:left="1440" w:hanging="360"/>
      </w:pPr>
      <w:rPr>
        <w:rFonts w:ascii="Gotham Pro LT" w:eastAsia="Calibri" w:hAnsi="Gotham Pro LT" w:cs="Gotham Pro LT" w:hint="default"/>
        <w:color w:val="00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AE060A5"/>
    <w:multiLevelType w:val="hybridMultilevel"/>
    <w:tmpl w:val="C93EF858"/>
    <w:lvl w:ilvl="0" w:tplc="B6BCC1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6BD2362F"/>
    <w:multiLevelType w:val="hybridMultilevel"/>
    <w:tmpl w:val="D6F2B520"/>
    <w:lvl w:ilvl="0" w:tplc="0426000B">
      <w:start w:val="1"/>
      <w:numFmt w:val="bullet"/>
      <w:lvlText w:val=""/>
      <w:lvlJc w:val="left"/>
      <w:pPr>
        <w:ind w:left="1485" w:hanging="360"/>
      </w:pPr>
      <w:rPr>
        <w:rFonts w:ascii="Wingdings" w:hAnsi="Wingdings" w:hint="default"/>
      </w:rPr>
    </w:lvl>
    <w:lvl w:ilvl="1" w:tplc="04260003">
      <w:start w:val="1"/>
      <w:numFmt w:val="bullet"/>
      <w:lvlText w:val="o"/>
      <w:lvlJc w:val="left"/>
      <w:pPr>
        <w:ind w:left="2205" w:hanging="360"/>
      </w:pPr>
      <w:rPr>
        <w:rFonts w:ascii="Courier New" w:hAnsi="Courier New" w:cs="Courier New" w:hint="default"/>
      </w:rPr>
    </w:lvl>
    <w:lvl w:ilvl="2" w:tplc="04260005">
      <w:start w:val="1"/>
      <w:numFmt w:val="bullet"/>
      <w:lvlText w:val=""/>
      <w:lvlJc w:val="left"/>
      <w:pPr>
        <w:ind w:left="2925" w:hanging="360"/>
      </w:pPr>
      <w:rPr>
        <w:rFonts w:ascii="Wingdings" w:hAnsi="Wingdings" w:hint="default"/>
      </w:rPr>
    </w:lvl>
    <w:lvl w:ilvl="3" w:tplc="04260001">
      <w:start w:val="1"/>
      <w:numFmt w:val="bullet"/>
      <w:lvlText w:val=""/>
      <w:lvlJc w:val="left"/>
      <w:pPr>
        <w:ind w:left="3645" w:hanging="360"/>
      </w:pPr>
      <w:rPr>
        <w:rFonts w:ascii="Symbol" w:hAnsi="Symbol" w:hint="default"/>
      </w:rPr>
    </w:lvl>
    <w:lvl w:ilvl="4" w:tplc="04260003">
      <w:start w:val="1"/>
      <w:numFmt w:val="bullet"/>
      <w:lvlText w:val="o"/>
      <w:lvlJc w:val="left"/>
      <w:pPr>
        <w:ind w:left="4365" w:hanging="360"/>
      </w:pPr>
      <w:rPr>
        <w:rFonts w:ascii="Courier New" w:hAnsi="Courier New" w:cs="Courier New" w:hint="default"/>
      </w:rPr>
    </w:lvl>
    <w:lvl w:ilvl="5" w:tplc="04260005">
      <w:start w:val="1"/>
      <w:numFmt w:val="bullet"/>
      <w:lvlText w:val=""/>
      <w:lvlJc w:val="left"/>
      <w:pPr>
        <w:ind w:left="5085" w:hanging="360"/>
      </w:pPr>
      <w:rPr>
        <w:rFonts w:ascii="Wingdings" w:hAnsi="Wingdings" w:hint="default"/>
      </w:rPr>
    </w:lvl>
    <w:lvl w:ilvl="6" w:tplc="04260001">
      <w:start w:val="1"/>
      <w:numFmt w:val="bullet"/>
      <w:lvlText w:val=""/>
      <w:lvlJc w:val="left"/>
      <w:pPr>
        <w:ind w:left="5805" w:hanging="360"/>
      </w:pPr>
      <w:rPr>
        <w:rFonts w:ascii="Symbol" w:hAnsi="Symbol" w:hint="default"/>
      </w:rPr>
    </w:lvl>
    <w:lvl w:ilvl="7" w:tplc="04260003">
      <w:start w:val="1"/>
      <w:numFmt w:val="bullet"/>
      <w:lvlText w:val="o"/>
      <w:lvlJc w:val="left"/>
      <w:pPr>
        <w:ind w:left="6525" w:hanging="360"/>
      </w:pPr>
      <w:rPr>
        <w:rFonts w:ascii="Courier New" w:hAnsi="Courier New" w:cs="Courier New" w:hint="default"/>
      </w:rPr>
    </w:lvl>
    <w:lvl w:ilvl="8" w:tplc="04260005">
      <w:start w:val="1"/>
      <w:numFmt w:val="bullet"/>
      <w:lvlText w:val=""/>
      <w:lvlJc w:val="left"/>
      <w:pPr>
        <w:ind w:left="7245" w:hanging="360"/>
      </w:pPr>
      <w:rPr>
        <w:rFonts w:ascii="Wingdings" w:hAnsi="Wingdings" w:hint="default"/>
      </w:rPr>
    </w:lvl>
  </w:abstractNum>
  <w:abstractNum w:abstractNumId="26" w15:restartNumberingAfterBreak="0">
    <w:nsid w:val="6CF3047A"/>
    <w:multiLevelType w:val="hybridMultilevel"/>
    <w:tmpl w:val="CE5401A2"/>
    <w:lvl w:ilvl="0" w:tplc="00D2CF7E">
      <w:start w:val="1"/>
      <w:numFmt w:val="decimal"/>
      <w:lvlText w:val="%1."/>
      <w:lvlJc w:val="left"/>
      <w:pPr>
        <w:ind w:left="1080" w:hanging="360"/>
      </w:pPr>
      <w:rPr>
        <w:rFonts w:ascii="Times New Roman" w:hAnsi="Times New Roman" w:cs="Times New Roman" w:hint="default"/>
        <w:sz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4DB5083"/>
    <w:multiLevelType w:val="hybridMultilevel"/>
    <w:tmpl w:val="4C641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4A7707"/>
    <w:multiLevelType w:val="hybridMultilevel"/>
    <w:tmpl w:val="5F7A428A"/>
    <w:lvl w:ilvl="0" w:tplc="594648B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539821818">
    <w:abstractNumId w:val="26"/>
  </w:num>
  <w:num w:numId="2" w16cid:durableId="3428266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4649495">
    <w:abstractNumId w:val="25"/>
  </w:num>
  <w:num w:numId="4" w16cid:durableId="467623767">
    <w:abstractNumId w:val="10"/>
  </w:num>
  <w:num w:numId="5" w16cid:durableId="988289588">
    <w:abstractNumId w:val="27"/>
  </w:num>
  <w:num w:numId="6" w16cid:durableId="1316107887">
    <w:abstractNumId w:val="3"/>
  </w:num>
  <w:num w:numId="7" w16cid:durableId="2079550123">
    <w:abstractNumId w:val="11"/>
  </w:num>
  <w:num w:numId="8" w16cid:durableId="795761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5307858">
    <w:abstractNumId w:val="6"/>
  </w:num>
  <w:num w:numId="10" w16cid:durableId="1572426739">
    <w:abstractNumId w:val="23"/>
  </w:num>
  <w:num w:numId="11" w16cid:durableId="2024358408">
    <w:abstractNumId w:val="21"/>
  </w:num>
  <w:num w:numId="12" w16cid:durableId="1446460641">
    <w:abstractNumId w:val="20"/>
  </w:num>
  <w:num w:numId="13" w16cid:durableId="1178033872">
    <w:abstractNumId w:val="5"/>
  </w:num>
  <w:num w:numId="14" w16cid:durableId="1996763718">
    <w:abstractNumId w:val="15"/>
  </w:num>
  <w:num w:numId="15" w16cid:durableId="1360468327">
    <w:abstractNumId w:val="24"/>
  </w:num>
  <w:num w:numId="16" w16cid:durableId="692153049">
    <w:abstractNumId w:val="7"/>
  </w:num>
  <w:num w:numId="17" w16cid:durableId="1734086485">
    <w:abstractNumId w:val="14"/>
  </w:num>
  <w:num w:numId="18" w16cid:durableId="656571328">
    <w:abstractNumId w:val="2"/>
  </w:num>
  <w:num w:numId="19" w16cid:durableId="768087111">
    <w:abstractNumId w:val="22"/>
  </w:num>
  <w:num w:numId="20" w16cid:durableId="539365296">
    <w:abstractNumId w:val="4"/>
  </w:num>
  <w:num w:numId="21" w16cid:durableId="708266596">
    <w:abstractNumId w:val="28"/>
  </w:num>
  <w:num w:numId="22" w16cid:durableId="1009406372">
    <w:abstractNumId w:val="16"/>
  </w:num>
  <w:num w:numId="23" w16cid:durableId="1754889022">
    <w:abstractNumId w:val="0"/>
  </w:num>
  <w:num w:numId="24" w16cid:durableId="130632328">
    <w:abstractNumId w:val="8"/>
  </w:num>
  <w:num w:numId="25" w16cid:durableId="580069912">
    <w:abstractNumId w:val="17"/>
  </w:num>
  <w:num w:numId="26" w16cid:durableId="40906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1013646">
    <w:abstractNumId w:val="12"/>
  </w:num>
  <w:num w:numId="28" w16cid:durableId="885680611">
    <w:abstractNumId w:val="13"/>
  </w:num>
  <w:num w:numId="29" w16cid:durableId="5164297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01CCF"/>
    <w:rsid w:val="00005052"/>
    <w:rsid w:val="00044A76"/>
    <w:rsid w:val="000476E2"/>
    <w:rsid w:val="00063F71"/>
    <w:rsid w:val="00075368"/>
    <w:rsid w:val="00095339"/>
    <w:rsid w:val="000A0217"/>
    <w:rsid w:val="000A7571"/>
    <w:rsid w:val="000B02D5"/>
    <w:rsid w:val="000E33F3"/>
    <w:rsid w:val="000F1067"/>
    <w:rsid w:val="000F7921"/>
    <w:rsid w:val="000F7EC3"/>
    <w:rsid w:val="00112E30"/>
    <w:rsid w:val="00121219"/>
    <w:rsid w:val="00134035"/>
    <w:rsid w:val="00142C0C"/>
    <w:rsid w:val="00170922"/>
    <w:rsid w:val="00170A71"/>
    <w:rsid w:val="00173A7C"/>
    <w:rsid w:val="00183BD5"/>
    <w:rsid w:val="00185F05"/>
    <w:rsid w:val="00186DBE"/>
    <w:rsid w:val="001A685F"/>
    <w:rsid w:val="001B66C9"/>
    <w:rsid w:val="001C1C20"/>
    <w:rsid w:val="001C400C"/>
    <w:rsid w:val="001D0F6E"/>
    <w:rsid w:val="001E16AB"/>
    <w:rsid w:val="001E57C6"/>
    <w:rsid w:val="002175A3"/>
    <w:rsid w:val="00264300"/>
    <w:rsid w:val="00264E9E"/>
    <w:rsid w:val="00275A40"/>
    <w:rsid w:val="002916A7"/>
    <w:rsid w:val="002C40AD"/>
    <w:rsid w:val="002D4C17"/>
    <w:rsid w:val="002F793E"/>
    <w:rsid w:val="00323F53"/>
    <w:rsid w:val="003319E1"/>
    <w:rsid w:val="003444DF"/>
    <w:rsid w:val="00350145"/>
    <w:rsid w:val="00350F5A"/>
    <w:rsid w:val="00391733"/>
    <w:rsid w:val="003A2C4C"/>
    <w:rsid w:val="003B46F5"/>
    <w:rsid w:val="003C2BCC"/>
    <w:rsid w:val="003C78BF"/>
    <w:rsid w:val="003D4AA2"/>
    <w:rsid w:val="003E14CE"/>
    <w:rsid w:val="003E3BBE"/>
    <w:rsid w:val="003E720B"/>
    <w:rsid w:val="003F3653"/>
    <w:rsid w:val="00444654"/>
    <w:rsid w:val="004561E0"/>
    <w:rsid w:val="0046122B"/>
    <w:rsid w:val="00463254"/>
    <w:rsid w:val="004662A5"/>
    <w:rsid w:val="004A2A3B"/>
    <w:rsid w:val="004A6484"/>
    <w:rsid w:val="004C171F"/>
    <w:rsid w:val="004C5681"/>
    <w:rsid w:val="004C5B6A"/>
    <w:rsid w:val="004C64E6"/>
    <w:rsid w:val="004D42DC"/>
    <w:rsid w:val="004F535F"/>
    <w:rsid w:val="004F6D72"/>
    <w:rsid w:val="00501F37"/>
    <w:rsid w:val="00515681"/>
    <w:rsid w:val="00527DF3"/>
    <w:rsid w:val="00530B76"/>
    <w:rsid w:val="00541688"/>
    <w:rsid w:val="00551D7E"/>
    <w:rsid w:val="00576BC5"/>
    <w:rsid w:val="00580E3C"/>
    <w:rsid w:val="005A2325"/>
    <w:rsid w:val="005B2C81"/>
    <w:rsid w:val="005B4539"/>
    <w:rsid w:val="005C6F08"/>
    <w:rsid w:val="005E47F4"/>
    <w:rsid w:val="006145BA"/>
    <w:rsid w:val="00617E51"/>
    <w:rsid w:val="0062423C"/>
    <w:rsid w:val="00633B31"/>
    <w:rsid w:val="00637D38"/>
    <w:rsid w:val="0066133D"/>
    <w:rsid w:val="006635EE"/>
    <w:rsid w:val="00674A4B"/>
    <w:rsid w:val="00696FAA"/>
    <w:rsid w:val="006A673C"/>
    <w:rsid w:val="006B6411"/>
    <w:rsid w:val="006C5763"/>
    <w:rsid w:val="006E122C"/>
    <w:rsid w:val="006F4D73"/>
    <w:rsid w:val="006F5713"/>
    <w:rsid w:val="006F78CE"/>
    <w:rsid w:val="007110B0"/>
    <w:rsid w:val="00714AEF"/>
    <w:rsid w:val="007310A0"/>
    <w:rsid w:val="00734CA8"/>
    <w:rsid w:val="007637FA"/>
    <w:rsid w:val="00783AD0"/>
    <w:rsid w:val="00786503"/>
    <w:rsid w:val="00794094"/>
    <w:rsid w:val="007A4145"/>
    <w:rsid w:val="007D1628"/>
    <w:rsid w:val="007D45CC"/>
    <w:rsid w:val="007E3F8A"/>
    <w:rsid w:val="007E7F38"/>
    <w:rsid w:val="007F4A8F"/>
    <w:rsid w:val="008014BD"/>
    <w:rsid w:val="0080439B"/>
    <w:rsid w:val="00805C10"/>
    <w:rsid w:val="008111DB"/>
    <w:rsid w:val="0081549E"/>
    <w:rsid w:val="00835FAB"/>
    <w:rsid w:val="0084611C"/>
    <w:rsid w:val="00851B97"/>
    <w:rsid w:val="00870CB9"/>
    <w:rsid w:val="008807A9"/>
    <w:rsid w:val="008A2312"/>
    <w:rsid w:val="008A3710"/>
    <w:rsid w:val="008B4196"/>
    <w:rsid w:val="008D7037"/>
    <w:rsid w:val="008E2002"/>
    <w:rsid w:val="008F69A2"/>
    <w:rsid w:val="00904331"/>
    <w:rsid w:val="009159EE"/>
    <w:rsid w:val="00915FDD"/>
    <w:rsid w:val="00920283"/>
    <w:rsid w:val="009238E9"/>
    <w:rsid w:val="00925407"/>
    <w:rsid w:val="0092573E"/>
    <w:rsid w:val="00941B7D"/>
    <w:rsid w:val="0094482C"/>
    <w:rsid w:val="00951B44"/>
    <w:rsid w:val="00972291"/>
    <w:rsid w:val="0097603A"/>
    <w:rsid w:val="009A52F7"/>
    <w:rsid w:val="009B0153"/>
    <w:rsid w:val="009B0E07"/>
    <w:rsid w:val="009E7274"/>
    <w:rsid w:val="009F6DA1"/>
    <w:rsid w:val="00A02935"/>
    <w:rsid w:val="00A03E4B"/>
    <w:rsid w:val="00A128E8"/>
    <w:rsid w:val="00A14B24"/>
    <w:rsid w:val="00A2429F"/>
    <w:rsid w:val="00A2540A"/>
    <w:rsid w:val="00A2645C"/>
    <w:rsid w:val="00A373FE"/>
    <w:rsid w:val="00A378E4"/>
    <w:rsid w:val="00A438B4"/>
    <w:rsid w:val="00A43D99"/>
    <w:rsid w:val="00A470CE"/>
    <w:rsid w:val="00A61AF6"/>
    <w:rsid w:val="00A66C29"/>
    <w:rsid w:val="00A708EC"/>
    <w:rsid w:val="00A73986"/>
    <w:rsid w:val="00A9205D"/>
    <w:rsid w:val="00A97EDA"/>
    <w:rsid w:val="00AA2021"/>
    <w:rsid w:val="00AB6799"/>
    <w:rsid w:val="00AC2954"/>
    <w:rsid w:val="00AD6C84"/>
    <w:rsid w:val="00AE3B42"/>
    <w:rsid w:val="00AF3770"/>
    <w:rsid w:val="00AF407F"/>
    <w:rsid w:val="00AF6267"/>
    <w:rsid w:val="00B117F0"/>
    <w:rsid w:val="00B11DBD"/>
    <w:rsid w:val="00B24523"/>
    <w:rsid w:val="00B41C4A"/>
    <w:rsid w:val="00B543AD"/>
    <w:rsid w:val="00B55F53"/>
    <w:rsid w:val="00B57B33"/>
    <w:rsid w:val="00B85434"/>
    <w:rsid w:val="00BB1531"/>
    <w:rsid w:val="00BD7C8E"/>
    <w:rsid w:val="00BE1866"/>
    <w:rsid w:val="00BF4116"/>
    <w:rsid w:val="00BF5ED1"/>
    <w:rsid w:val="00BF6DA6"/>
    <w:rsid w:val="00C30F39"/>
    <w:rsid w:val="00C50825"/>
    <w:rsid w:val="00C566EC"/>
    <w:rsid w:val="00C62AF7"/>
    <w:rsid w:val="00C6606E"/>
    <w:rsid w:val="00C702E8"/>
    <w:rsid w:val="00C7305C"/>
    <w:rsid w:val="00C75066"/>
    <w:rsid w:val="00C75282"/>
    <w:rsid w:val="00CA55BB"/>
    <w:rsid w:val="00CC285A"/>
    <w:rsid w:val="00CE66C5"/>
    <w:rsid w:val="00CF0B61"/>
    <w:rsid w:val="00CF0CD7"/>
    <w:rsid w:val="00CF7A3F"/>
    <w:rsid w:val="00CF7AA1"/>
    <w:rsid w:val="00D07E80"/>
    <w:rsid w:val="00D2333B"/>
    <w:rsid w:val="00D52CA9"/>
    <w:rsid w:val="00D65956"/>
    <w:rsid w:val="00D82E66"/>
    <w:rsid w:val="00DA2757"/>
    <w:rsid w:val="00DA586F"/>
    <w:rsid w:val="00DC3E35"/>
    <w:rsid w:val="00DD0E3C"/>
    <w:rsid w:val="00DD3DCD"/>
    <w:rsid w:val="00DD7EFC"/>
    <w:rsid w:val="00DE608A"/>
    <w:rsid w:val="00DF22AE"/>
    <w:rsid w:val="00DF7698"/>
    <w:rsid w:val="00E10808"/>
    <w:rsid w:val="00E11826"/>
    <w:rsid w:val="00E1565A"/>
    <w:rsid w:val="00E3276D"/>
    <w:rsid w:val="00E37E8F"/>
    <w:rsid w:val="00E53BFF"/>
    <w:rsid w:val="00E641A3"/>
    <w:rsid w:val="00E64577"/>
    <w:rsid w:val="00E7432E"/>
    <w:rsid w:val="00E826C4"/>
    <w:rsid w:val="00EB36CF"/>
    <w:rsid w:val="00EC350C"/>
    <w:rsid w:val="00EF115F"/>
    <w:rsid w:val="00EF14AE"/>
    <w:rsid w:val="00F24BCF"/>
    <w:rsid w:val="00F400F8"/>
    <w:rsid w:val="00F40E11"/>
    <w:rsid w:val="00F5513A"/>
    <w:rsid w:val="00F57963"/>
    <w:rsid w:val="00F616C6"/>
    <w:rsid w:val="00F75CC6"/>
    <w:rsid w:val="00F80900"/>
    <w:rsid w:val="00F821FC"/>
    <w:rsid w:val="00F83014"/>
    <w:rsid w:val="00F85B50"/>
    <w:rsid w:val="00F862C3"/>
    <w:rsid w:val="00F86DEA"/>
    <w:rsid w:val="00FA4202"/>
    <w:rsid w:val="00FC15A8"/>
    <w:rsid w:val="00FC4B42"/>
    <w:rsid w:val="00FD6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paragraph" w:styleId="Heading3">
    <w:name w:val="heading 3"/>
    <w:basedOn w:val="Normal"/>
    <w:link w:val="Heading3Char"/>
    <w:uiPriority w:val="9"/>
    <w:semiHidden/>
    <w:unhideWhenUsed/>
    <w:qFormat/>
    <w:rsid w:val="004C171F"/>
    <w:pPr>
      <w:spacing w:before="100" w:beforeAutospacing="1" w:after="100" w:afterAutospacing="1" w:line="240" w:lineRule="auto"/>
      <w:outlineLvl w:val="2"/>
    </w:pPr>
    <w:rPr>
      <w:rFonts w:ascii="Calibri" w:hAnsi="Calibri" w:cs="Calibri"/>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uiPriority w:val="1"/>
    <w:qFormat/>
    <w:rsid w:val="0046122B"/>
    <w:pPr>
      <w:widowControl w:val="0"/>
      <w:spacing w:after="0" w:line="240" w:lineRule="auto"/>
    </w:pPr>
    <w:rPr>
      <w:rFonts w:ascii="Times New Roman" w:eastAsia="Calibri" w:hAnsi="Times New Roman" w:cs="Times New Roman"/>
      <w:sz w:val="24"/>
      <w:szCs w:val="24"/>
      <w:lang w:eastAsia="lv-LV"/>
    </w:rPr>
  </w:style>
  <w:style w:type="paragraph" w:styleId="ListParagraph">
    <w:name w:val="List Paragraph"/>
    <w:basedOn w:val="Normal"/>
    <w:uiPriority w:val="34"/>
    <w:qFormat/>
    <w:rsid w:val="00AC2954"/>
    <w:pPr>
      <w:spacing w:after="0" w:line="240" w:lineRule="auto"/>
      <w:ind w:left="720"/>
    </w:pPr>
  </w:style>
  <w:style w:type="paragraph" w:styleId="CommentText">
    <w:name w:val="annotation text"/>
    <w:basedOn w:val="Normal"/>
    <w:link w:val="CommentTextChar"/>
    <w:uiPriority w:val="99"/>
    <w:unhideWhenUsed/>
    <w:rsid w:val="00AC2954"/>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C2954"/>
    <w:rPr>
      <w:rFonts w:ascii="Times New Roman" w:eastAsia="Times New Roman" w:hAnsi="Times New Roman" w:cs="Times New Roman"/>
      <w:sz w:val="20"/>
      <w:szCs w:val="20"/>
    </w:rPr>
  </w:style>
  <w:style w:type="paragraph" w:customStyle="1" w:styleId="tv213">
    <w:name w:val="tv213"/>
    <w:basedOn w:val="Normal"/>
    <w:rsid w:val="00AC29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AC2954"/>
    <w:pPr>
      <w:spacing w:after="0" w:line="240" w:lineRule="auto"/>
    </w:pPr>
    <w:rPr>
      <w:rFonts w:ascii="Calibri" w:hAnsi="Calibri" w:cs="Calibri"/>
      <w:lang w:eastAsia="lv-LV"/>
    </w:rPr>
  </w:style>
  <w:style w:type="character" w:styleId="CommentReference">
    <w:name w:val="annotation reference"/>
    <w:basedOn w:val="DefaultParagraphFont"/>
    <w:uiPriority w:val="99"/>
    <w:semiHidden/>
    <w:unhideWhenUsed/>
    <w:rsid w:val="002C40AD"/>
    <w:rPr>
      <w:sz w:val="16"/>
      <w:szCs w:val="16"/>
    </w:rPr>
  </w:style>
  <w:style w:type="paragraph" w:styleId="CommentSubject">
    <w:name w:val="annotation subject"/>
    <w:basedOn w:val="CommentText"/>
    <w:next w:val="CommentText"/>
    <w:link w:val="CommentSubjectChar"/>
    <w:uiPriority w:val="99"/>
    <w:semiHidden/>
    <w:unhideWhenUsed/>
    <w:rsid w:val="002C40AD"/>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C40AD"/>
    <w:rPr>
      <w:rFonts w:ascii="Times New Roman" w:eastAsia="Times New Roman" w:hAnsi="Times New Roman" w:cs="Times New Roman"/>
      <w:b/>
      <w:bCs/>
      <w:sz w:val="20"/>
      <w:szCs w:val="20"/>
    </w:rPr>
  </w:style>
  <w:style w:type="paragraph" w:styleId="Revision">
    <w:name w:val="Revision"/>
    <w:hidden/>
    <w:uiPriority w:val="99"/>
    <w:semiHidden/>
    <w:rsid w:val="004561E0"/>
    <w:pPr>
      <w:spacing w:after="0" w:line="240" w:lineRule="auto"/>
    </w:pPr>
  </w:style>
  <w:style w:type="character" w:styleId="UnresolvedMention">
    <w:name w:val="Unresolved Mention"/>
    <w:basedOn w:val="DefaultParagraphFont"/>
    <w:uiPriority w:val="99"/>
    <w:semiHidden/>
    <w:unhideWhenUsed/>
    <w:rsid w:val="004C171F"/>
    <w:rPr>
      <w:color w:val="605E5C"/>
      <w:shd w:val="clear" w:color="auto" w:fill="E1DFDD"/>
    </w:rPr>
  </w:style>
  <w:style w:type="character" w:customStyle="1" w:styleId="w100">
    <w:name w:val="w100"/>
    <w:basedOn w:val="DefaultParagraphFont"/>
    <w:rsid w:val="004C171F"/>
  </w:style>
  <w:style w:type="character" w:customStyle="1" w:styleId="Heading3Char">
    <w:name w:val="Heading 3 Char"/>
    <w:basedOn w:val="DefaultParagraphFont"/>
    <w:link w:val="Heading3"/>
    <w:uiPriority w:val="9"/>
    <w:semiHidden/>
    <w:rsid w:val="004C171F"/>
    <w:rPr>
      <w:rFonts w:ascii="Calibri" w:hAnsi="Calibri" w:cs="Calibri"/>
      <w:b/>
      <w:bCs/>
      <w:sz w:val="27"/>
      <w:szCs w:val="27"/>
      <w:lang w:eastAsia="lv-LV"/>
    </w:rPr>
  </w:style>
  <w:style w:type="paragraph" w:customStyle="1" w:styleId="profileparagraph">
    <w:name w:val="profile__paragraph"/>
    <w:basedOn w:val="Normal"/>
    <w:rsid w:val="004C171F"/>
    <w:pPr>
      <w:spacing w:before="100" w:beforeAutospacing="1" w:after="100" w:afterAutospacing="1" w:line="240" w:lineRule="auto"/>
    </w:pPr>
    <w:rPr>
      <w:rFonts w:ascii="Calibri" w:hAnsi="Calibri" w:cs="Calibri"/>
      <w:lang w:eastAsia="lv-LV"/>
    </w:rPr>
  </w:style>
  <w:style w:type="character" w:styleId="Strong">
    <w:name w:val="Strong"/>
    <w:basedOn w:val="DefaultParagraphFont"/>
    <w:uiPriority w:val="22"/>
    <w:qFormat/>
    <w:rsid w:val="00CC28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1360">
      <w:bodyDiv w:val="1"/>
      <w:marLeft w:val="0"/>
      <w:marRight w:val="0"/>
      <w:marTop w:val="0"/>
      <w:marBottom w:val="0"/>
      <w:divBdr>
        <w:top w:val="none" w:sz="0" w:space="0" w:color="auto"/>
        <w:left w:val="none" w:sz="0" w:space="0" w:color="auto"/>
        <w:bottom w:val="none" w:sz="0" w:space="0" w:color="auto"/>
        <w:right w:val="none" w:sz="0" w:space="0" w:color="auto"/>
      </w:divBdr>
    </w:div>
    <w:div w:id="219950265">
      <w:bodyDiv w:val="1"/>
      <w:marLeft w:val="0"/>
      <w:marRight w:val="0"/>
      <w:marTop w:val="0"/>
      <w:marBottom w:val="0"/>
      <w:divBdr>
        <w:top w:val="none" w:sz="0" w:space="0" w:color="auto"/>
        <w:left w:val="none" w:sz="0" w:space="0" w:color="auto"/>
        <w:bottom w:val="none" w:sz="0" w:space="0" w:color="auto"/>
        <w:right w:val="none" w:sz="0" w:space="0" w:color="auto"/>
      </w:divBdr>
    </w:div>
    <w:div w:id="359863727">
      <w:bodyDiv w:val="1"/>
      <w:marLeft w:val="0"/>
      <w:marRight w:val="0"/>
      <w:marTop w:val="0"/>
      <w:marBottom w:val="0"/>
      <w:divBdr>
        <w:top w:val="none" w:sz="0" w:space="0" w:color="auto"/>
        <w:left w:val="none" w:sz="0" w:space="0" w:color="auto"/>
        <w:bottom w:val="none" w:sz="0" w:space="0" w:color="auto"/>
        <w:right w:val="none" w:sz="0" w:space="0" w:color="auto"/>
      </w:divBdr>
      <w:divsChild>
        <w:div w:id="475758538">
          <w:marLeft w:val="446"/>
          <w:marRight w:val="0"/>
          <w:marTop w:val="0"/>
          <w:marBottom w:val="120"/>
          <w:divBdr>
            <w:top w:val="none" w:sz="0" w:space="0" w:color="auto"/>
            <w:left w:val="none" w:sz="0" w:space="0" w:color="auto"/>
            <w:bottom w:val="none" w:sz="0" w:space="0" w:color="auto"/>
            <w:right w:val="none" w:sz="0" w:space="0" w:color="auto"/>
          </w:divBdr>
        </w:div>
      </w:divsChild>
    </w:div>
    <w:div w:id="423495787">
      <w:bodyDiv w:val="1"/>
      <w:marLeft w:val="0"/>
      <w:marRight w:val="0"/>
      <w:marTop w:val="0"/>
      <w:marBottom w:val="0"/>
      <w:divBdr>
        <w:top w:val="none" w:sz="0" w:space="0" w:color="auto"/>
        <w:left w:val="none" w:sz="0" w:space="0" w:color="auto"/>
        <w:bottom w:val="none" w:sz="0" w:space="0" w:color="auto"/>
        <w:right w:val="none" w:sz="0" w:space="0" w:color="auto"/>
      </w:divBdr>
    </w:div>
    <w:div w:id="433330593">
      <w:bodyDiv w:val="1"/>
      <w:marLeft w:val="0"/>
      <w:marRight w:val="0"/>
      <w:marTop w:val="0"/>
      <w:marBottom w:val="0"/>
      <w:divBdr>
        <w:top w:val="none" w:sz="0" w:space="0" w:color="auto"/>
        <w:left w:val="none" w:sz="0" w:space="0" w:color="auto"/>
        <w:bottom w:val="none" w:sz="0" w:space="0" w:color="auto"/>
        <w:right w:val="none" w:sz="0" w:space="0" w:color="auto"/>
      </w:divBdr>
      <w:divsChild>
        <w:div w:id="2118481018">
          <w:marLeft w:val="0"/>
          <w:marRight w:val="0"/>
          <w:marTop w:val="0"/>
          <w:marBottom w:val="0"/>
          <w:divBdr>
            <w:top w:val="none" w:sz="0" w:space="0" w:color="auto"/>
            <w:left w:val="none" w:sz="0" w:space="0" w:color="auto"/>
            <w:bottom w:val="none" w:sz="0" w:space="0" w:color="auto"/>
            <w:right w:val="none" w:sz="0" w:space="0" w:color="auto"/>
          </w:divBdr>
        </w:div>
      </w:divsChild>
    </w:div>
    <w:div w:id="505287065">
      <w:bodyDiv w:val="1"/>
      <w:marLeft w:val="0"/>
      <w:marRight w:val="0"/>
      <w:marTop w:val="0"/>
      <w:marBottom w:val="0"/>
      <w:divBdr>
        <w:top w:val="none" w:sz="0" w:space="0" w:color="auto"/>
        <w:left w:val="none" w:sz="0" w:space="0" w:color="auto"/>
        <w:bottom w:val="none" w:sz="0" w:space="0" w:color="auto"/>
        <w:right w:val="none" w:sz="0" w:space="0" w:color="auto"/>
      </w:divBdr>
    </w:div>
    <w:div w:id="546068504">
      <w:bodyDiv w:val="1"/>
      <w:marLeft w:val="0"/>
      <w:marRight w:val="0"/>
      <w:marTop w:val="0"/>
      <w:marBottom w:val="0"/>
      <w:divBdr>
        <w:top w:val="none" w:sz="0" w:space="0" w:color="auto"/>
        <w:left w:val="none" w:sz="0" w:space="0" w:color="auto"/>
        <w:bottom w:val="none" w:sz="0" w:space="0" w:color="auto"/>
        <w:right w:val="none" w:sz="0" w:space="0" w:color="auto"/>
      </w:divBdr>
    </w:div>
    <w:div w:id="555045574">
      <w:bodyDiv w:val="1"/>
      <w:marLeft w:val="0"/>
      <w:marRight w:val="0"/>
      <w:marTop w:val="0"/>
      <w:marBottom w:val="0"/>
      <w:divBdr>
        <w:top w:val="none" w:sz="0" w:space="0" w:color="auto"/>
        <w:left w:val="none" w:sz="0" w:space="0" w:color="auto"/>
        <w:bottom w:val="none" w:sz="0" w:space="0" w:color="auto"/>
        <w:right w:val="none" w:sz="0" w:space="0" w:color="auto"/>
      </w:divBdr>
    </w:div>
    <w:div w:id="658965141">
      <w:bodyDiv w:val="1"/>
      <w:marLeft w:val="0"/>
      <w:marRight w:val="0"/>
      <w:marTop w:val="0"/>
      <w:marBottom w:val="0"/>
      <w:divBdr>
        <w:top w:val="none" w:sz="0" w:space="0" w:color="auto"/>
        <w:left w:val="none" w:sz="0" w:space="0" w:color="auto"/>
        <w:bottom w:val="none" w:sz="0" w:space="0" w:color="auto"/>
        <w:right w:val="none" w:sz="0" w:space="0" w:color="auto"/>
      </w:divBdr>
      <w:divsChild>
        <w:div w:id="681247682">
          <w:marLeft w:val="0"/>
          <w:marRight w:val="0"/>
          <w:marTop w:val="0"/>
          <w:marBottom w:val="0"/>
          <w:divBdr>
            <w:top w:val="none" w:sz="0" w:space="0" w:color="auto"/>
            <w:left w:val="none" w:sz="0" w:space="0" w:color="auto"/>
            <w:bottom w:val="none" w:sz="0" w:space="0" w:color="auto"/>
            <w:right w:val="none" w:sz="0" w:space="0" w:color="auto"/>
          </w:divBdr>
        </w:div>
      </w:divsChild>
    </w:div>
    <w:div w:id="739014170">
      <w:bodyDiv w:val="1"/>
      <w:marLeft w:val="0"/>
      <w:marRight w:val="0"/>
      <w:marTop w:val="0"/>
      <w:marBottom w:val="0"/>
      <w:divBdr>
        <w:top w:val="none" w:sz="0" w:space="0" w:color="auto"/>
        <w:left w:val="none" w:sz="0" w:space="0" w:color="auto"/>
        <w:bottom w:val="none" w:sz="0" w:space="0" w:color="auto"/>
        <w:right w:val="none" w:sz="0" w:space="0" w:color="auto"/>
      </w:divBdr>
    </w:div>
    <w:div w:id="776632363">
      <w:bodyDiv w:val="1"/>
      <w:marLeft w:val="0"/>
      <w:marRight w:val="0"/>
      <w:marTop w:val="0"/>
      <w:marBottom w:val="0"/>
      <w:divBdr>
        <w:top w:val="none" w:sz="0" w:space="0" w:color="auto"/>
        <w:left w:val="none" w:sz="0" w:space="0" w:color="auto"/>
        <w:bottom w:val="none" w:sz="0" w:space="0" w:color="auto"/>
        <w:right w:val="none" w:sz="0" w:space="0" w:color="auto"/>
      </w:divBdr>
      <w:divsChild>
        <w:div w:id="92481316">
          <w:marLeft w:val="446"/>
          <w:marRight w:val="0"/>
          <w:marTop w:val="0"/>
          <w:marBottom w:val="120"/>
          <w:divBdr>
            <w:top w:val="none" w:sz="0" w:space="0" w:color="auto"/>
            <w:left w:val="none" w:sz="0" w:space="0" w:color="auto"/>
            <w:bottom w:val="none" w:sz="0" w:space="0" w:color="auto"/>
            <w:right w:val="none" w:sz="0" w:space="0" w:color="auto"/>
          </w:divBdr>
        </w:div>
      </w:divsChild>
    </w:div>
    <w:div w:id="1034111965">
      <w:bodyDiv w:val="1"/>
      <w:marLeft w:val="0"/>
      <w:marRight w:val="0"/>
      <w:marTop w:val="0"/>
      <w:marBottom w:val="0"/>
      <w:divBdr>
        <w:top w:val="none" w:sz="0" w:space="0" w:color="auto"/>
        <w:left w:val="none" w:sz="0" w:space="0" w:color="auto"/>
        <w:bottom w:val="none" w:sz="0" w:space="0" w:color="auto"/>
        <w:right w:val="none" w:sz="0" w:space="0" w:color="auto"/>
      </w:divBdr>
    </w:div>
    <w:div w:id="1044478161">
      <w:bodyDiv w:val="1"/>
      <w:marLeft w:val="0"/>
      <w:marRight w:val="0"/>
      <w:marTop w:val="0"/>
      <w:marBottom w:val="0"/>
      <w:divBdr>
        <w:top w:val="none" w:sz="0" w:space="0" w:color="auto"/>
        <w:left w:val="none" w:sz="0" w:space="0" w:color="auto"/>
        <w:bottom w:val="none" w:sz="0" w:space="0" w:color="auto"/>
        <w:right w:val="none" w:sz="0" w:space="0" w:color="auto"/>
      </w:divBdr>
    </w:div>
    <w:div w:id="1218932916">
      <w:bodyDiv w:val="1"/>
      <w:marLeft w:val="0"/>
      <w:marRight w:val="0"/>
      <w:marTop w:val="0"/>
      <w:marBottom w:val="0"/>
      <w:divBdr>
        <w:top w:val="none" w:sz="0" w:space="0" w:color="auto"/>
        <w:left w:val="none" w:sz="0" w:space="0" w:color="auto"/>
        <w:bottom w:val="none" w:sz="0" w:space="0" w:color="auto"/>
        <w:right w:val="none" w:sz="0" w:space="0" w:color="auto"/>
      </w:divBdr>
    </w:div>
    <w:div w:id="1234121964">
      <w:bodyDiv w:val="1"/>
      <w:marLeft w:val="0"/>
      <w:marRight w:val="0"/>
      <w:marTop w:val="0"/>
      <w:marBottom w:val="0"/>
      <w:divBdr>
        <w:top w:val="none" w:sz="0" w:space="0" w:color="auto"/>
        <w:left w:val="none" w:sz="0" w:space="0" w:color="auto"/>
        <w:bottom w:val="none" w:sz="0" w:space="0" w:color="auto"/>
        <w:right w:val="none" w:sz="0" w:space="0" w:color="auto"/>
      </w:divBdr>
    </w:div>
    <w:div w:id="1441758220">
      <w:bodyDiv w:val="1"/>
      <w:marLeft w:val="0"/>
      <w:marRight w:val="0"/>
      <w:marTop w:val="0"/>
      <w:marBottom w:val="0"/>
      <w:divBdr>
        <w:top w:val="none" w:sz="0" w:space="0" w:color="auto"/>
        <w:left w:val="none" w:sz="0" w:space="0" w:color="auto"/>
        <w:bottom w:val="none" w:sz="0" w:space="0" w:color="auto"/>
        <w:right w:val="none" w:sz="0" w:space="0" w:color="auto"/>
      </w:divBdr>
    </w:div>
    <w:div w:id="1506288598">
      <w:bodyDiv w:val="1"/>
      <w:marLeft w:val="0"/>
      <w:marRight w:val="0"/>
      <w:marTop w:val="0"/>
      <w:marBottom w:val="0"/>
      <w:divBdr>
        <w:top w:val="none" w:sz="0" w:space="0" w:color="auto"/>
        <w:left w:val="none" w:sz="0" w:space="0" w:color="auto"/>
        <w:bottom w:val="none" w:sz="0" w:space="0" w:color="auto"/>
        <w:right w:val="none" w:sz="0" w:space="0" w:color="auto"/>
      </w:divBdr>
    </w:div>
    <w:div w:id="1558080048">
      <w:bodyDiv w:val="1"/>
      <w:marLeft w:val="0"/>
      <w:marRight w:val="0"/>
      <w:marTop w:val="0"/>
      <w:marBottom w:val="0"/>
      <w:divBdr>
        <w:top w:val="none" w:sz="0" w:space="0" w:color="auto"/>
        <w:left w:val="none" w:sz="0" w:space="0" w:color="auto"/>
        <w:bottom w:val="none" w:sz="0" w:space="0" w:color="auto"/>
        <w:right w:val="none" w:sz="0" w:space="0" w:color="auto"/>
      </w:divBdr>
    </w:div>
    <w:div w:id="1925408000">
      <w:bodyDiv w:val="1"/>
      <w:marLeft w:val="0"/>
      <w:marRight w:val="0"/>
      <w:marTop w:val="0"/>
      <w:marBottom w:val="0"/>
      <w:divBdr>
        <w:top w:val="none" w:sz="0" w:space="0" w:color="auto"/>
        <w:left w:val="none" w:sz="0" w:space="0" w:color="auto"/>
        <w:bottom w:val="none" w:sz="0" w:space="0" w:color="auto"/>
        <w:right w:val="none" w:sz="0" w:space="0" w:color="auto"/>
      </w:divBdr>
      <w:divsChild>
        <w:div w:id="1064718414">
          <w:marLeft w:val="0"/>
          <w:marRight w:val="0"/>
          <w:marTop w:val="0"/>
          <w:marBottom w:val="0"/>
          <w:divBdr>
            <w:top w:val="none" w:sz="0" w:space="0" w:color="auto"/>
            <w:left w:val="none" w:sz="0" w:space="0" w:color="auto"/>
            <w:bottom w:val="none" w:sz="0" w:space="0" w:color="auto"/>
            <w:right w:val="none" w:sz="0" w:space="0" w:color="auto"/>
          </w:divBdr>
        </w:div>
      </w:divsChild>
    </w:div>
    <w:div w:id="2046565913">
      <w:bodyDiv w:val="1"/>
      <w:marLeft w:val="0"/>
      <w:marRight w:val="0"/>
      <w:marTop w:val="0"/>
      <w:marBottom w:val="0"/>
      <w:divBdr>
        <w:top w:val="none" w:sz="0" w:space="0" w:color="auto"/>
        <w:left w:val="none" w:sz="0" w:space="0" w:color="auto"/>
        <w:bottom w:val="none" w:sz="0" w:space="0" w:color="auto"/>
        <w:right w:val="none" w:sz="0" w:space="0" w:color="auto"/>
      </w:divBdr>
      <w:divsChild>
        <w:div w:id="582837445">
          <w:marLeft w:val="0"/>
          <w:marRight w:val="0"/>
          <w:marTop w:val="0"/>
          <w:marBottom w:val="0"/>
          <w:divBdr>
            <w:top w:val="none" w:sz="0" w:space="0" w:color="auto"/>
            <w:left w:val="none" w:sz="0" w:space="0" w:color="auto"/>
            <w:bottom w:val="none" w:sz="0" w:space="0" w:color="auto"/>
            <w:right w:val="none" w:sz="0" w:space="0" w:color="auto"/>
          </w:divBdr>
        </w:div>
      </w:divsChild>
    </w:div>
    <w:div w:id="2076053035">
      <w:bodyDiv w:val="1"/>
      <w:marLeft w:val="0"/>
      <w:marRight w:val="0"/>
      <w:marTop w:val="0"/>
      <w:marBottom w:val="0"/>
      <w:divBdr>
        <w:top w:val="none" w:sz="0" w:space="0" w:color="auto"/>
        <w:left w:val="none" w:sz="0" w:space="0" w:color="auto"/>
        <w:bottom w:val="none" w:sz="0" w:space="0" w:color="auto"/>
        <w:right w:val="none" w:sz="0" w:space="0" w:color="auto"/>
      </w:divBdr>
      <w:divsChild>
        <w:div w:id="2080977263">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Albova@f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ja.Zitcere@fm.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4D5A16F4C44F29DA4359B433FD429"/>
        <w:category>
          <w:name w:val="General"/>
          <w:gallery w:val="placeholder"/>
        </w:category>
        <w:types>
          <w:type w:val="bbPlcHdr"/>
        </w:types>
        <w:behaviors>
          <w:behavior w:val="content"/>
        </w:behaviors>
        <w:guid w:val="{C0C25602-4298-4556-84A5-3528F0AB2686}"/>
      </w:docPartPr>
      <w:docPartBody>
        <w:p w:rsidR="0026764A" w:rsidRDefault="00EC0090" w:rsidP="00EC0090">
          <w:pPr>
            <w:pStyle w:val="A834D5A16F4C44F29DA4359B433FD429"/>
          </w:pPr>
          <w:r w:rsidRPr="008139CB">
            <w:rPr>
              <w:rStyle w:val="PlaceholderText"/>
            </w:rPr>
            <w:t>[Reģistrēšanas datums]</w:t>
          </w:r>
        </w:p>
      </w:docPartBody>
    </w:docPart>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26764A"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Pro LT">
    <w:altName w:val="Calibri"/>
    <w:panose1 w:val="020B0604020202020204"/>
    <w:charset w:val="BA"/>
    <w:family w:val="auto"/>
    <w:pitch w:val="variable"/>
    <w:sig w:usb0="80000AAF" w:usb1="5000204A"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0C7B1A"/>
    <w:rsid w:val="0026764A"/>
    <w:rsid w:val="008C1526"/>
    <w:rsid w:val="00AA2E89"/>
    <w:rsid w:val="00CC023C"/>
    <w:rsid w:val="00DB44D8"/>
    <w:rsid w:val="00DD5D85"/>
    <w:rsid w:val="00EC0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B1A"/>
    <w:rPr>
      <w:color w:val="808080"/>
    </w:rPr>
  </w:style>
  <w:style w:type="paragraph" w:customStyle="1" w:styleId="A834D5A16F4C44F29DA4359B433FD429">
    <w:name w:val="A834D5A16F4C44F29DA4359B433FD429"/>
    <w:rsid w:val="00EC0090"/>
    <w:pPr>
      <w:spacing w:after="160" w:line="259" w:lineRule="auto"/>
    </w:p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
        <AccountId xsi:nil="true"/>
        <AccountType/>
      </UserInfo>
    </DokParakstitaji>
    <DokRegDatums xmlns="f123fc61-7915-4898-8636-52bfc24319d4">2021-01-11T15:03:44+00:00</DokRegDatums>
    <DokNumurs xmlns="f123fc61-7915-4898-8636-52bfc24319d4">07/02-16/8</DokNumurs>
    <D320F758A3D245D2A7D76018125F5A02 xmlns="80613d6c-201e-4be1-b27a-7e1bf41d8677">
      <Terms xmlns="http://schemas.microsoft.com/office/infopath/2007/PartnerControls"/>
    </D320F758A3D245D2A7D76018125F5A02>
  </documentManagement>
</p:properties>
</file>

<file path=customXml/itemProps1.xml><?xml version="1.0" encoding="utf-8"?>
<ds:datastoreItem xmlns:ds="http://schemas.openxmlformats.org/officeDocument/2006/customXml" ds:itemID="{0C1C23BA-10FF-4375-917D-F91C23FAA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1C104-9573-4A73-9C45-EB4DB7462191}">
  <ds:schemaRefs>
    <ds:schemaRef ds:uri="http://schemas.microsoft.com/sharepoint/v3/contenttype/forms"/>
  </ds:schemaRefs>
</ds:datastoreItem>
</file>

<file path=customXml/itemProps3.xml><?xml version="1.0" encoding="utf-8"?>
<ds:datastoreItem xmlns:ds="http://schemas.openxmlformats.org/officeDocument/2006/customXml" ds:itemID="{EB3799D9-FA3E-4AA3-8CF1-F6F121703ED1}">
  <ds:schemaRefs>
    <ds:schemaRef ds:uri="http://schemas.openxmlformats.org/officeDocument/2006/bibliography"/>
  </ds:schemaRefs>
</ds:datastoreItem>
</file>

<file path=customXml/itemProps4.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2547</Words>
  <Characters>14522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2</cp:revision>
  <dcterms:created xsi:type="dcterms:W3CDTF">2023-01-11T17:48:00Z</dcterms:created>
  <dcterms:modified xsi:type="dcterms:W3CDTF">2023-01-11T17:48:00Z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ies>
</file>