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22-TA-1783: Informatīvais ziņojums (Jauns)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darba tirgus vidēja un ilgtermiņa prognozēm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(LIZDA - 16.06.2022.)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LIZDA lūdz sasaistīt 5.daļas “Kopsavilkums un priekšlikumi”, IV nodaļas “Rekomendācijas darba tirgus neatbilstību mazināšanai” iv.punkta “Horizontālie pasākumi darbaspēka iztrūkuma mazināšanai” a apakšpunkta “Izglītības sistēmas kapacitātes nostiprināšana” pirmo apakšpunktu: “turpināt sakārtot pedagogu atalgojuma sistēmu, virzoties uz atalgojuma modeli, kas nodrošinātu minimālo pedagogu atalgojuma likmi ne mazāku kā </w:t>
            </w:r>
            <w:r w:rsidR="00000000" w:rsidRPr="00000000" w:rsidDel="00000000">
              <w:rPr>
                <w:u w:val="single"/>
                <w:rtl w:val="0"/>
              </w:rPr>
              <w:t xml:space="preserve">vidējā darba samaksa tautsaimniecībā</w:t>
            </w:r>
            <w:r w:rsidR="00000000" w:rsidRPr="00000000" w:rsidDel="00000000">
              <w:rPr>
                <w:rtl w:val="0"/>
              </w:rPr>
              <w:t xml:space="preserve">” (108.lpp)  ar Izglītības attīstības pamatnostādnēm 2021.-2027.gadam (apstiprinātas ar MK 22.06.2021. rīkojumu Nr.436).  IAP izglītības politikas rezultāti un rezultatīvie rādītāji paredz, ka pedagogu un augstākās izglītības institūciju akadēmiskā personāla vidējās bruto darba samaksas sabiedriskajā sektorā </w:t>
            </w:r>
            <w:r w:rsidR="00000000" w:rsidRPr="00000000" w:rsidDel="00000000">
              <w:rPr>
                <w:u w:val="single"/>
                <w:rtl w:val="0"/>
              </w:rPr>
              <w:t xml:space="preserve">attiecība pret vidējo bruto darba samaksu sabiedriskajā sektorā</w:t>
            </w:r>
            <w:r w:rsidR="00000000" w:rsidRPr="00000000" w:rsidDel="00000000">
              <w:rPr>
                <w:rtl w:val="0"/>
              </w:rPr>
              <w:t xml:space="preserve"> pēc 2022.gada datiem, kas būs pieejami 2024.gadā, ir plānota pirmsskolas izglītības pedagogiem 72% apmērā, pamatizglītības pedagogiem 109% apmērā, vidējās izglītība pedagogiem 118% apmērā, profesionālās izglītības pedagogiem 130% apmērā, universitāšu un citu augstākās izglītības institūciju akadēmiskajam personālam 121% apmērā, savukārt pēc 2026.gada datiem, kas būs pieejami 2028.gadā, - pirmsskolas izglītības pedagogiem 106% apmērā, pamatizglītības pedagogiem 128% apmērā, vidējās izglītība pedagogiem 139% apmērā, profesionālās izglītības pedagogiem 153% apmērā, universitāšu un citu augstākās izglītības institūciju akadēmiskajam personālam 142% apmērā.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Rekomendācija precizēta.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22-TA-1783</w:t>
    </w:r>
    <w:r>
      <w:br/>
    </w:r>
    <w:r w:rsidR="00000000" w:rsidRPr="00000000" w:rsidDel="00000000">
      <w:rPr>
        <w:rtl w:val="0"/>
      </w:rPr>
      <w:t xml:space="preserve">04.07.2022. 17.14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22-TA-1783</w:t>
    </w:r>
    <w:r>
      <w:br/>
    </w:r>
    <w:r w:rsidR="00000000" w:rsidRPr="00000000" w:rsidDel="00000000">
      <w:rPr>
        <w:rtl w:val="0"/>
      </w:rPr>
      <w:t xml:space="preserve">04.07.2022. 17.14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Izziņa_22-TA-1783.docx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