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49949" w14:textId="77777777" w:rsidR="009E33F4" w:rsidRDefault="009E33F4" w:rsidP="009E33F4">
      <w:r>
        <w:t xml:space="preserve">Labdien, </w:t>
      </w:r>
    </w:p>
    <w:p w14:paraId="3BD96FD8" w14:textId="77777777" w:rsidR="009E33F4" w:rsidRDefault="009E33F4" w:rsidP="009E33F4"/>
    <w:p w14:paraId="1FA481B8" w14:textId="77777777" w:rsidR="009E33F4" w:rsidRDefault="009E33F4" w:rsidP="009E33F4">
      <w:pPr>
        <w:ind w:firstLine="567"/>
        <w:jc w:val="both"/>
      </w:pPr>
      <w:r>
        <w:t xml:space="preserve">Tieslietu ministrija ir izskatījusi Zemkopības ministrijas izstrādāto precizēto Ministru kabineta noteikumu projektu “Valsts un Eiropas Savienības atbalsta piešķiršana atklātu projektu konkursa veidā pasākumā "Ieguldījumi materiālajos aktīvos"2014.–2020. gada plānošanas perioda pārejas laikā 2021. un 2022. gadā” (turpmāk – noteikumu projekts) un tā anotāciju un atbalsta to tālāku virzību, izsakot šādus iebildumus: </w:t>
      </w:r>
    </w:p>
    <w:p w14:paraId="051137EE" w14:textId="77777777" w:rsidR="009E33F4" w:rsidRDefault="009E33F4" w:rsidP="009E33F4">
      <w:pPr>
        <w:ind w:firstLine="567"/>
        <w:jc w:val="both"/>
      </w:pPr>
      <w:r>
        <w:t xml:space="preserve">1. Atkārtoti lūdzam noteikumu projekta 2.3. apakšpunktā detalizēti neskaidrot Komisijas 2014. gada 17. jūnija Regulas (ES) Nr. 651/2014, ar ko noteiktas atbalsta kategorijas atzīst par saderīgām ar iekšējo tirgu, piemērojot Līguma 107. un 108. pantu, (Eiropas Savienības Oficiālais Vēstnesis, 2014. gada 26. jūnijs, Nr. L 187) 2. panta 10. punktā skaidroto terminu un svītrot minētajā apakšpunktā norādi, ka ietverta tiek jebkura darbība ar lauksaimniecības produktu u.c. norādes, kas tālāk detalizē minētās regulas 2. panta 10. punkta tvērumu. </w:t>
      </w:r>
    </w:p>
    <w:p w14:paraId="009B4EE7" w14:textId="77777777" w:rsidR="009E33F4" w:rsidRPr="009E33F4" w:rsidRDefault="009E33F4" w:rsidP="009E33F4">
      <w:pPr>
        <w:ind w:firstLine="567"/>
        <w:jc w:val="both"/>
      </w:pPr>
      <w:r>
        <w:t xml:space="preserve">2. Ņemot vērā izziņā norādīto, ka ar noteikumu projektu, skaidrojot terminu “gados jauns lauksaimnieks”, tiek ieviestas regulas prasības, lūdzam izdarīt atbilstošu atsauci uz Eiropas Parlamenta un Padomes (ES) 2013. gada 17. decembra Regulas (EK) Nr. 1305/2013 par atbalstu lauku attīstībai no Eiropas Lauksaimniecības fonda lauku attīstībai (ELFLA) un ar ko atceļ Padomes regulu (EK) Nr. 1698/2005, 2. panta 1. punkta "n" apakšpunktā minēto definīciju. Norādām, ka atbilstoši Eiropas Savienības Tiesas judikatūrai "nav pieļaujama procedūra, kuru izmantojot, tiesību normas subjektiem netiek atklāts, ka attiecīgā norma ir Eiropas Kopienas norma" (Eiropas Savienības Tiesas spriedums lietā 34/73 </w:t>
      </w:r>
      <w:proofErr w:type="spellStart"/>
      <w:r>
        <w:rPr>
          <w:i/>
          <w:iCs/>
        </w:rPr>
        <w:t>Fratelli</w:t>
      </w:r>
      <w:proofErr w:type="spellEnd"/>
      <w:r>
        <w:rPr>
          <w:i/>
          <w:iCs/>
        </w:rPr>
        <w:t xml:space="preserve"> </w:t>
      </w:r>
      <w:proofErr w:type="spellStart"/>
      <w:r>
        <w:rPr>
          <w:i/>
          <w:iCs/>
        </w:rPr>
        <w:t>Variola</w:t>
      </w:r>
      <w:proofErr w:type="spellEnd"/>
      <w:r>
        <w:rPr>
          <w:i/>
          <w:iCs/>
        </w:rPr>
        <w:t xml:space="preserve"> </w:t>
      </w:r>
      <w:proofErr w:type="spellStart"/>
      <w:r>
        <w:rPr>
          <w:i/>
          <w:iCs/>
        </w:rPr>
        <w:t>S.p.A</w:t>
      </w:r>
      <w:proofErr w:type="spellEnd"/>
      <w:r>
        <w:rPr>
          <w:i/>
          <w:iCs/>
        </w:rPr>
        <w:t xml:space="preserve">. v </w:t>
      </w:r>
      <w:proofErr w:type="spellStart"/>
      <w:r>
        <w:rPr>
          <w:i/>
          <w:iCs/>
        </w:rPr>
        <w:t>Amministrazione</w:t>
      </w:r>
      <w:proofErr w:type="spellEnd"/>
      <w:r>
        <w:rPr>
          <w:i/>
          <w:iCs/>
        </w:rPr>
        <w:t xml:space="preserve"> </w:t>
      </w:r>
      <w:proofErr w:type="spellStart"/>
      <w:r>
        <w:rPr>
          <w:i/>
          <w:iCs/>
        </w:rPr>
        <w:t>italiana</w:t>
      </w:r>
      <w:proofErr w:type="spellEnd"/>
      <w:r>
        <w:rPr>
          <w:i/>
          <w:iCs/>
        </w:rPr>
        <w:t xml:space="preserve"> </w:t>
      </w:r>
      <w:proofErr w:type="spellStart"/>
      <w:r>
        <w:rPr>
          <w:i/>
          <w:iCs/>
        </w:rPr>
        <w:t>delle</w:t>
      </w:r>
      <w:proofErr w:type="spellEnd"/>
      <w:r>
        <w:rPr>
          <w:i/>
          <w:iCs/>
        </w:rPr>
        <w:t xml:space="preserve"> Finanze</w:t>
      </w:r>
      <w:r>
        <w:t>,11.§.) , kā arī vienīgais regulu ieviešanas veids nacionālajos normatīvajos aktos ir atsauču veidošana uz tām. Vienlaikus skaidrojumu atbilstoši juridiskās tehnikas prasībām lūdzam ietvert noteikumu projekta pamattekstā, jo tas lietots tikai vienu reizi.</w:t>
      </w:r>
      <w:r w:rsidRPr="009E33F4">
        <w:t xml:space="preserve"> </w:t>
      </w:r>
    </w:p>
    <w:p w14:paraId="612E9230" w14:textId="77777777" w:rsidR="009E33F4" w:rsidRDefault="009E33F4" w:rsidP="009E33F4">
      <w:pPr>
        <w:ind w:firstLine="567"/>
        <w:jc w:val="both"/>
      </w:pPr>
      <w:r>
        <w:t xml:space="preserve">3. Atkārtoti lūdzam neskaidrot noteikumu projektā terminu “kooperatīvā sabiedrība”, kas skaidrots atsevišķā likumā, tai skaitā ņemot vērā arī to, ka noteikumu projektā tālāk vairākos gadījumos tiek dublētas noteikumu projektā ietvertā skaidrojuma būtiskās pazīmes, cita starpā par atbilstību normatīvajos aktos par kooperatīvo sabiedrību atbilstību noteiktajiem kritērijiem (sk. noteikumu projekta 30.2. apakšpunktu). </w:t>
      </w:r>
    </w:p>
    <w:p w14:paraId="52AB23F6" w14:textId="77777777" w:rsidR="009E33F4" w:rsidRDefault="009E33F4" w:rsidP="009E33F4">
      <w:pPr>
        <w:ind w:firstLine="567"/>
        <w:jc w:val="both"/>
      </w:pPr>
      <w:r>
        <w:t xml:space="preserve">4. Lūdzam pārskatīt noteikumu projektu, nodrošinot konsekventu terminoloģijas ievērošanu. Proti, norādām, ka šobrīd noteikumu projektā neskaidri lietots termins "projekts" un "projekta iesniegums" (sk. noteikumu projekta 12.2. apakšpunktu un 21. punktu), "pretendents" un "atbalsta pretendents" (sk., piemēram, noteikumu projekta 66.3., 84., 85. punktu), kā arī lietoti termini “uzraudzības periods” un “saistību periods” (sk. noteikumu projekta 30.2., 41. un 81. punktu) un kooperatīvas sabiedrības un kooperatīvi (sk. noteikumu projekta V pielikumu). Kā arī lūdzam terminoloģiju noteikumu projektā salāgot ar terminoloģiju noteikumu projekta anotācijā (noteikumu projektā lietots termins “projekta iesnieguma iesniedzējs”, kamēr šāds termins noteikumu projekta tekstā netiek lietots). Uzsveram, ka viena jēdziena izteikšanai jāizmanto vieni un tie paši termini. Iekšējā terminoloģiskā konsekvence veicina normatīvā akta skaidrību, novēršot pretrunīgus viedokļus vai šaubas par dažādu terminu saturu. </w:t>
      </w:r>
    </w:p>
    <w:p w14:paraId="0A8F8896" w14:textId="77777777" w:rsidR="009E33F4" w:rsidRDefault="009E33F4" w:rsidP="009E33F4">
      <w:pPr>
        <w:ind w:firstLine="567"/>
        <w:jc w:val="both"/>
      </w:pPr>
      <w:r>
        <w:t xml:space="preserve">5. Atkārtoti lūdzam noteikumu projekta anotācijā skaidrot, kādos gadījumos (var arī minot piemērus) pamatlīdzekļa iegāde būtiski maina ražošanas vai tehnoloģiju raksturu. Proti, lūdzam šo skaidrot anotācijā pēc būtības, nepieciešamības gadījumā norādot, kā minētais apakšpunkts šobrīd tiek saprasts praksē. Norādām, ka Lauku attīstības programma nav indivīdiem saistoša. </w:t>
      </w:r>
    </w:p>
    <w:p w14:paraId="3F778B67" w14:textId="77777777" w:rsidR="009E33F4" w:rsidRDefault="009E33F4" w:rsidP="009E33F4">
      <w:pPr>
        <w:ind w:firstLine="567"/>
        <w:jc w:val="both"/>
      </w:pPr>
      <w:r>
        <w:t xml:space="preserve">6. Uzturam izziņas 18. punktā minēto iebildumu. Norādām, ka nav juridiski korekti atsaukties uz metodikām, kas privātpersonām nav juridiski saistošas. Vēršam uzmanību, ka pretēji izziņā norādītajam, piemēram, noteikumu projekta 56. un 68. punkts attiecināms uz </w:t>
      </w:r>
      <w:r>
        <w:lastRenderedPageBreak/>
        <w:t xml:space="preserve">atbalsta pretendentiem, tai skaitā privātpersonām. Kā arī vēršam uzmanību, ka projekta iesniedzējs Ministru kabineta 2016. gada 12. jūlija noteikumu Nr. 460 "Darbības programmas "Izaugsme un nodarbinātība" 8.3.4. specifiskā atbalsta mērķa "Samazināt priekšlaicīgu mācību pārtraukšanu, īstenojot preventīvus un intervences pasākumus" īstenošanas noteikumi" ietvaros ir Izglītības kvalitātes valsts dienests, proti, valsts pārvaldes iestāde. Norādām, ka noteikumu projektā var uzdot Zemkopības ministrijai izstrādāt un publiskot metodikas, kuras var izmantot noteikumu projekta mērķu sasniegšanai, alternatīvi metodiku var iestrādāt arī noteikumu projekta saturā, ieviešot regulas prasības. Attiecīgi lūdzam izvērtēt un atbilstoši precizēt noteikumu projektu. </w:t>
      </w:r>
    </w:p>
    <w:p w14:paraId="682BCF00" w14:textId="77777777" w:rsidR="009E33F4" w:rsidRDefault="009E33F4" w:rsidP="009E33F4">
      <w:pPr>
        <w:ind w:firstLine="567"/>
        <w:jc w:val="both"/>
      </w:pPr>
      <w:r>
        <w:t xml:space="preserve">7. Vēršam uzmanību, ka nav skaidri saprotama noteikumu projekta 13.2. apakšpunktā ietvertā atsauce uz noteikumu projekta 15. punktu, ņemot vērā, ka noteikumu projekta 15. punkts attiecas vienīgi uz kooperatīvo sabiedrību, kooperatīvu sabiedrību apvienība un jaunu kooperatīvo sabiedrību, savukārt uz minētiem trīs tiesību subjektiem kā uz tieši minētiem izņēmumiem neattiecas noteikumu projekta 12.1. apakšpunkts. Attiecīgi lūdzam noteikumu projekta 13.2. apakšpunktā svītrot atsauci uz noteikumu projekta 15. punktu, vai citādi precizēt noteikumu projekta 13. punktu, paredzot, ka 13. punkta regulējums attiecas arī uz atbalsta saņēmējiem, kam ir saistoši noteikumu projekta 15. punktā ietvertie rādītāji. </w:t>
      </w:r>
    </w:p>
    <w:p w14:paraId="73B11202" w14:textId="77777777" w:rsidR="009E33F4" w:rsidRDefault="009E33F4" w:rsidP="009E33F4">
      <w:pPr>
        <w:ind w:firstLine="567"/>
        <w:jc w:val="both"/>
      </w:pPr>
      <w:r>
        <w:t>8. Vēršam uzmanību, ka nav skaidri saprotams, vai gadījumā, ja attiecināmo izdevumu summa ir precīzi 70 000 </w:t>
      </w:r>
      <w:proofErr w:type="spellStart"/>
      <w:r>
        <w:rPr>
          <w:i/>
          <w:iCs/>
        </w:rPr>
        <w:t>euro</w:t>
      </w:r>
      <w:proofErr w:type="spellEnd"/>
      <w:r>
        <w:t xml:space="preserve">, vai piemērojams būs noteikumu projekta 19. vai 20. punkts. Attiecīgi lūdzam atbilstoši precizēt kādu no minētajiem noteikumu projekta punktiem, nodrošinot skaidras normas. </w:t>
      </w:r>
    </w:p>
    <w:p w14:paraId="6B0CBCDA" w14:textId="77777777" w:rsidR="009E33F4" w:rsidRDefault="009E33F4" w:rsidP="009E33F4">
      <w:pPr>
        <w:ind w:firstLine="567"/>
        <w:jc w:val="both"/>
      </w:pPr>
      <w:r>
        <w:t xml:space="preserve">9. Lūdzam izvērtēt un precizēt noteikumu projekta 25. punktā ietverto atsauci uz šo noteikumu 48. punktā minēto aktivitāšu īstenošanu, ņemot vērā, ka 48. punktā nav atrodamas atsauces uz noteiktām aktivitātēm, bet gan atrunāts nomas līguma saturs, savukārt noteiktas aktivitātes ir ietvertas 45. punktā. </w:t>
      </w:r>
    </w:p>
    <w:p w14:paraId="62B5E736" w14:textId="77777777" w:rsidR="009E33F4" w:rsidRDefault="009E33F4" w:rsidP="009E33F4">
      <w:pPr>
        <w:ind w:firstLine="567"/>
        <w:jc w:val="both"/>
      </w:pPr>
      <w:r>
        <w:t xml:space="preserve">10. Lūdzam svītrot vai precizēt noteikumu projekta 92. punktu, kas paredz kooperatīvo sabiedrību apvienību tiesības pārņemt tās kapitāldaļu turētājas – kooperatīvās sabiedrības –pirms šo noteikumu spēkā stāšanās uzņemtās projekta saistības. Norādām, ka no noteikumu projekta tiesiskās izdošanas pamata neizriet, ka Ministru kabinets būtu pilnvarots noteikt noteiktu apvienību tiesības pārņemt to dalībnieku saistības. </w:t>
      </w:r>
    </w:p>
    <w:p w14:paraId="7773F1BC" w14:textId="77777777" w:rsidR="009E33F4" w:rsidRDefault="009E33F4" w:rsidP="009E33F4">
      <w:pPr>
        <w:ind w:firstLine="567"/>
        <w:jc w:val="both"/>
      </w:pPr>
      <w:r>
        <w:t xml:space="preserve">11.Lūdzam precizēt noteikumu projekta 3. pielikumu: </w:t>
      </w:r>
    </w:p>
    <w:p w14:paraId="360DA173" w14:textId="77777777" w:rsidR="009E33F4" w:rsidRDefault="009E33F4" w:rsidP="009E33F4">
      <w:pPr>
        <w:ind w:firstLine="567"/>
        <w:jc w:val="both"/>
      </w:pPr>
      <w:r>
        <w:t xml:space="preserve">1) 6. rindā novēršot kļūdu un paredzot iespēju, ka atbalsta pretendents nav dalībnieks Zaļajā publiskajā iepirkumā; </w:t>
      </w:r>
    </w:p>
    <w:p w14:paraId="43F77ED6" w14:textId="77777777" w:rsidR="009E33F4" w:rsidRDefault="009E33F4" w:rsidP="009E33F4">
      <w:pPr>
        <w:ind w:firstLine="567"/>
        <w:jc w:val="both"/>
      </w:pPr>
      <w:r>
        <w:t xml:space="preserve">2) precizējot šī pielikuma nosaukumu, ņemot vērā, ka noteikumu projekta 1. un 3. pielikuma gadījumā sakrīt nosaukumi, apgrūtinot noteikumu projekta korektu uztveramību un piemērojamību praksē. </w:t>
      </w:r>
    </w:p>
    <w:p w14:paraId="08C9AB37" w14:textId="77777777" w:rsidR="009E33F4" w:rsidRDefault="009E33F4" w:rsidP="009E33F4">
      <w:pPr>
        <w:ind w:firstLine="567"/>
        <w:jc w:val="both"/>
      </w:pPr>
      <w:r>
        <w:t xml:space="preserve">12. Atkārtoti lūdzam noteikumu projekta 15. pielikumā simbolu "/" aizstāt ar saikli "un" vai saikli "vai", jo no noteikumu projekta nav skaidrs, vai ar simbolu "/" tiek saprasts saiklis "un" vai saiklis "vai". Pamatojoties uz juridiskās tehnikas prasībām, tiesību normai ir jābūt skaidrai, lai tās lietotājs un piemērotājs gūtu nepārprotamu priekšstatu par saviem pienākumiem un tiesībām. </w:t>
      </w:r>
    </w:p>
    <w:p w14:paraId="3BBA1DCB" w14:textId="77777777" w:rsidR="009E33F4" w:rsidRDefault="009E33F4" w:rsidP="009E33F4">
      <w:pPr>
        <w:ind w:firstLine="567"/>
        <w:jc w:val="both"/>
      </w:pPr>
      <w:r>
        <w:t xml:space="preserve">13. Lūdzam izvērtēt un precizēt noteikumu projekta anotācijas V sadaļu, ievērojot Ministru kabineta 2009. gada 15. decembra instrukcijas Nr. 19 "Tiesību akta projekta sākotnējās ietekmes izvērtēšanas kārtība" 56. punktu. Proti: </w:t>
      </w:r>
    </w:p>
    <w:p w14:paraId="6E15D327" w14:textId="77777777" w:rsidR="009E33F4" w:rsidRDefault="009E33F4" w:rsidP="009E33F4">
      <w:pPr>
        <w:ind w:firstLine="567"/>
        <w:jc w:val="both"/>
      </w:pPr>
      <w:r>
        <w:t xml:space="preserve">1) Norādām, ka noteikumu projektā nav atsauču uz Parlamenta un Padomes 2004.gada 29.aprīļa Regulu (EK) Nr. 852/2004 par pārtikas produktu higiēnu, tai skaitā arī noteikumu projekta 2.3. apakšpunktā, uz kuru norādīts anotācijas V sadaļas 1. tabulā. Tādēļ nepieciešams precizēt 1. tabulu vai noteikumu projektu. Kā iepriekš norādīts, nav pieļaujama procedūra, kuru izmantojot, tiesību normas subjektiem netiek atklāts, ka attiecīgā norma ir Eiropas Savienības norma; </w:t>
      </w:r>
    </w:p>
    <w:p w14:paraId="56527A46" w14:textId="77777777" w:rsidR="009E33F4" w:rsidRDefault="009E33F4" w:rsidP="009E33F4">
      <w:pPr>
        <w:ind w:firstLine="567"/>
        <w:jc w:val="both"/>
      </w:pPr>
      <w:r>
        <w:lastRenderedPageBreak/>
        <w:t xml:space="preserve">2) Regulas Nr.1305/2013 II pielikuma prasības varētu būt ieviestas arī ar noteikumu projekta 24. punktu. Proti, ar minēto noteikumu projektu acīmredzami tiek ieviestas regulas prasības, par ko nav atrodama informācija 1. tabulā; </w:t>
      </w:r>
    </w:p>
    <w:p w14:paraId="3529BA0E" w14:textId="77777777" w:rsidR="009E33F4" w:rsidRDefault="009E33F4" w:rsidP="009E33F4">
      <w:pPr>
        <w:ind w:firstLine="567"/>
        <w:jc w:val="both"/>
      </w:pPr>
      <w:r>
        <w:t xml:space="preserve">3) nav gūstama pārliecība par Regulas Nr.1305/2013 45. panta 2. punkta prasību ieviešanu noteikumu projekta 25. punktā, ņemot vērā, ka pēdējā no abiem punktiem ir regulēts pēc būtības atšķirīgs </w:t>
      </w:r>
      <w:proofErr w:type="spellStart"/>
      <w:r>
        <w:t>tiesībjautājums</w:t>
      </w:r>
      <w:proofErr w:type="spellEnd"/>
      <w:r>
        <w:t xml:space="preserve">; </w:t>
      </w:r>
    </w:p>
    <w:p w14:paraId="1CD370C6" w14:textId="77777777" w:rsidR="009E33F4" w:rsidRDefault="009E33F4" w:rsidP="009E33F4">
      <w:pPr>
        <w:ind w:firstLine="567"/>
        <w:jc w:val="both"/>
      </w:pPr>
      <w:r>
        <w:t xml:space="preserve">4) nav atspoguļota informācija par Komisijas 2014. gada 25. jūnija Regulas Nr. 702/2014, ar kuru konkrētas atbalsta kategorijas lauksaimniecības un mežsaimniecības nozarē un lauku apvidos atzīst par saderīgām ar iekšējo tirgu, piemērojot Līguma par Eiropas Savienības darbību 107. un 108. pantu, prasību ieviešanu, kas izriet no noteikumu projekta. </w:t>
      </w:r>
    </w:p>
    <w:p w14:paraId="769A0C8E" w14:textId="77777777" w:rsidR="009E33F4" w:rsidRDefault="009E33F4" w:rsidP="009E33F4">
      <w:pPr>
        <w:ind w:firstLine="567"/>
        <w:jc w:val="both"/>
      </w:pPr>
    </w:p>
    <w:p w14:paraId="0EE09F5F" w14:textId="77777777" w:rsidR="009E33F4" w:rsidRDefault="009E33F4" w:rsidP="009E33F4">
      <w:pPr>
        <w:ind w:firstLine="567"/>
        <w:jc w:val="both"/>
      </w:pPr>
      <w:r>
        <w:t xml:space="preserve">Vienlaikus izsakām priekšlikumu pārskatīt noteikumu projektu, novēršot vairākas tehniskas kļūdas (piemēram, 74.9.3. apakšpunkta tālākos apakšpunktos u.c.). </w:t>
      </w:r>
    </w:p>
    <w:p w14:paraId="5A4EB5AF" w14:textId="77777777" w:rsidR="009E33F4" w:rsidRDefault="009E33F4" w:rsidP="009E33F4">
      <w:pPr>
        <w:jc w:val="both"/>
      </w:pPr>
    </w:p>
    <w:p w14:paraId="189CE0EE" w14:textId="77777777" w:rsidR="009E33F4" w:rsidRDefault="009E33F4" w:rsidP="009E33F4"/>
    <w:p w14:paraId="50D0AA7E" w14:textId="0B9BAA49" w:rsidR="00F56F49" w:rsidRDefault="009E33F4" w:rsidP="009E33F4">
      <w:r>
        <w:rPr>
          <w:noProof/>
          <w:lang w:eastAsia="lv-LV"/>
        </w:rPr>
        <w:drawing>
          <wp:inline distT="0" distB="0" distL="0" distR="0" wp14:anchorId="08D8453B" wp14:editId="574EF862">
            <wp:extent cx="5274310" cy="2700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274310" cy="2700655"/>
                    </a:xfrm>
                    <a:prstGeom prst="rect">
                      <a:avLst/>
                    </a:prstGeom>
                    <a:noFill/>
                    <a:ln>
                      <a:noFill/>
                    </a:ln>
                  </pic:spPr>
                </pic:pic>
              </a:graphicData>
            </a:graphic>
          </wp:inline>
        </w:drawing>
      </w:r>
    </w:p>
    <w:sectPr w:rsidR="00F56F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F4"/>
    <w:rsid w:val="009E33F4"/>
    <w:rsid w:val="00F5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8182"/>
  <w15:chartTrackingRefBased/>
  <w15:docId w15:val="{B7721D6B-99EF-43C1-84FC-18D092F5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3F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4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7C4D6.21A006A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5687</Words>
  <Characters>3242</Characters>
  <Application>Microsoft Office Word</Application>
  <DocSecurity>0</DocSecurity>
  <Lines>27</Lines>
  <Paragraphs>17</Paragraphs>
  <ScaleCrop>false</ScaleCrop>
  <Company>Zemkopības Ministrija</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2021-10-24T13:12:00Z</dcterms:created>
  <dcterms:modified xsi:type="dcterms:W3CDTF">2021-10-24T13:13:00Z</dcterms:modified>
</cp:coreProperties>
</file>