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23-TA-2380: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risinājumu saistībā ar EURIBOR likmju pieaugumu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ministrijā tika saņemta Saeimas Budžeta un finanšu (nodokļu) komisijas 2023. gada 7. augusta vēstule Nr. 142.2.9/2-12-14/23, ar kuru Finanšu ministrija un Latvijas Banka tiek aicinātas izvērtēt situāciju finanšu tirgū saistībā ar strauji augošo EURIBOR etalona procentu likmi, kā arī pēc iespējas ātrāk rast nepieciešamos risinājumus un iesniegt Saeimas Budžeta un finanšu (nodokļu) komisijai priekšlikumus. Ņemot vērā minēto, Finanšu ministrija sadarbībā ar Latvijas Banku sniedz izvērtējumu un priekšlikumus par nepieciešamo tālāko rīcību.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etalona procentu likmju kāpums un tā ietekme uz kredītiestāžu peļņu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2022. gada jūlija, kad Eiropas Centrālās bankas (turpmāk – ECB) Padome uzsāka bāzes procentu likmju celšanu, Latvijas kredītiestāžu peļņa ir palielinājusies, pieaugot tīro procentu ienākumiem, kuru pamatā ir strauji augoša kredītu procentu likme un atpaliekoša noguldījumu procentu likme (skat. 1.att.). Šīs asimetriskās naudas cenas transmisijas dēļ, kad kredītu procentu likmes cieši seko naudas cenai, bet noguldījumu procentu likmes iepaliek gan kredītiestāžu, gan noguldītāju lēnās reakcijas dēļ, starpība starp kredītu un noguldījumu procentu likmēm gada laikā ir pieaugusi no 3.2 procentpunktiem līdz 5.7 procentpunktiem, atstājot būtisku pozitīvu ietekmi uz kredītiestāžu pelnītspēju.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drawing>
                <wp:inline distR="101600" distT="101600" distB="101600" distL="101600">
                  <wp:extent cx="4543425" cy="209549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4543425" cy="2095499"/>
                          </a:xfrm>
                          <a:prstGeom prst="rect"/>
                          <a:ln/>
                        </pic:spPr>
                      </pic:pic>
                    </a:graphicData>
                  </a:graphic>
                </wp:inline>
              </w:drawing>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Kredītu procentu ienākumus nosaka kredītņēmēju maksājumi par izsniegtajiem kredītiem, no kuriem aptuveni 90% ir ar procentu likmēm, kuras piesaistītas EURIBOR etalona procentu likmei. Tāpēc izsniegto kredītu procentu likmes pieaug līdz ar EURIBOR etalona indeksa pieaugumu, papildus kredītiestādēm piemērojot arī fiksētu pievienoto likmi. 2023. gada jūlijā kopējā vidējā svērtā rezidentu kredītu procentu likme sasniedza 6.31%. </w:t>
            </w:r>
            <w:r w:rsidR="00000000" w:rsidRPr="00000000" w:rsidDel="00000000">
              <w:rPr>
                <w:i w:val="1"/>
                <w:rtl w:val="0"/>
              </w:rPr>
              <w:t xml:space="preserve">Euro</w:t>
            </w:r>
            <w:r w:rsidR="00000000" w:rsidRPr="00000000" w:rsidDel="00000000">
              <w:rPr>
                <w:rtl w:val="0"/>
              </w:rPr>
              <w:t xml:space="preserve"> izteiksmē kopējie kredītu </w:t>
            </w:r>
            <w:r w:rsidR="00000000" w:rsidRPr="00000000" w:rsidDel="00000000">
              <w:rPr>
                <w:b w:val="1"/>
                <w:rtl w:val="0"/>
              </w:rPr>
              <w:t xml:space="preserve">procentu maksājumi</w:t>
            </w:r>
            <w:r w:rsidR="00000000" w:rsidRPr="00000000" w:rsidDel="00000000">
              <w:rPr>
                <w:rtl w:val="0"/>
              </w:rPr>
              <w:t xml:space="preserve"> kredītiestādēm no rezidentu mājsaimniecībām un nefinanšu sabiedrībām šā gada pirmajos septiņos mēnešos ir </w:t>
            </w:r>
            <w:r w:rsidR="00000000" w:rsidRPr="00000000" w:rsidDel="00000000">
              <w:rPr>
                <w:b w:val="1"/>
                <w:rtl w:val="0"/>
              </w:rPr>
              <w:t xml:space="preserve">pieauguši par 164 milj. </w:t>
            </w:r>
            <w:r w:rsidR="00000000" w:rsidRPr="00000000" w:rsidDel="00000000">
              <w:rPr>
                <w:b w:val="1"/>
                <w:i w:val="1"/>
                <w:rtl w:val="0"/>
              </w:rPr>
              <w:t xml:space="preserve">euro</w:t>
            </w:r>
            <w:r w:rsidR="00000000" w:rsidRPr="00000000" w:rsidDel="00000000">
              <w:rPr>
                <w:rtl w:val="0"/>
              </w:rPr>
              <w:t xml:space="preserve">[1], salīdzinot ar iepriekšējā gada atbilstošo periodu.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Turpretim, procentu izdevumus un kredītiestāžu finansējuma izmaksas galvenokārt veido procentu maksājumi noguldītājiem. Aptuveni 85% no kopējiem mājsaimniecību un nefinanšu sabiedrību noguldījumiem ir pieprasījuma noguldījumi, kuriem Latvijā kredītiestādes piemēro nulles vai nenozīmīgu procentu likmi (vidējā svērtā pieprasījuma noguldījumu likme 2023. gada jūlijā bija 0.26%). Savukārt piedāvātā procentu likme jauniem termiņnoguldījumiem ar 12 mēnešu termiņu vairumā kredītiestāžu ir sasniegusi 3.8%, un vidējā svērtā termiņnoguldījumu atlikumu likme ir pieaugusi līdz 3%. Tomēr noguldītāju līdzekļu pārvirzīšana no pieprasījuma uz termiņnoguldījumiem notiek lēni, un termiņnoguldījumi veido tikai 11% no kopējā noguldījumu portfeļa, tāpēc vidējā svērtā kopējā noguldījumu procentu likme 2023. gada jūlijā sasniedza tikai 0.64%.</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Rezultātā, lai arī kopējais noguldījumu portfelis ir pusotru reizi lielāks par izsniegto kredītu portfeli, </w:t>
            </w:r>
            <w:r w:rsidR="00000000" w:rsidRPr="00000000" w:rsidDel="00000000">
              <w:rPr>
                <w:b w:val="1"/>
                <w:rtl w:val="0"/>
              </w:rPr>
              <w:t xml:space="preserve">maksājumi mājsaimniecībām un nefinanšu sabiedrībām par to noguldījumiem </w:t>
            </w:r>
            <w:r w:rsidR="00000000" w:rsidRPr="00000000" w:rsidDel="00000000">
              <w:rPr>
                <w:rtl w:val="0"/>
              </w:rPr>
              <w:t xml:space="preserve">kredītiestādēs </w:t>
            </w:r>
            <w:r w:rsidR="00000000" w:rsidRPr="00000000" w:rsidDel="00000000">
              <w:rPr>
                <w:i w:val="1"/>
                <w:rtl w:val="0"/>
              </w:rPr>
              <w:t xml:space="preserve">euro</w:t>
            </w:r>
            <w:r w:rsidR="00000000" w:rsidRPr="00000000" w:rsidDel="00000000">
              <w:rPr>
                <w:rtl w:val="0"/>
              </w:rPr>
              <w:t xml:space="preserve"> izteiksmē šā gada pirmajos septiņos mēnešos ir </w:t>
            </w:r>
            <w:r w:rsidR="00000000" w:rsidRPr="00000000" w:rsidDel="00000000">
              <w:rPr>
                <w:b w:val="1"/>
                <w:rtl w:val="0"/>
              </w:rPr>
              <w:t xml:space="preserve">pieauguši tikai par 30 milj. </w:t>
            </w:r>
            <w:r w:rsidR="00000000" w:rsidRPr="00000000" w:rsidDel="00000000">
              <w:rPr>
                <w:b w:val="1"/>
                <w:i w:val="1"/>
                <w:rtl w:val="0"/>
              </w:rPr>
              <w:t xml:space="preserve">euro</w:t>
            </w:r>
            <w:r w:rsidR="00000000" w:rsidRPr="00000000" w:rsidDel="00000000">
              <w:rPr>
                <w:rtl w:val="0"/>
              </w:rPr>
              <w:t xml:space="preserve">, salīdzinot ar iepriekšējā gada atbilstošo periodu, kas ir vairāk kā piecas reizes mazāks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Procentu likmju etalona EURIBOR piemērošana kredītu līgumos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EURIBOR etalona procentu likmju piemērošana izriet no jau noslēgtiem līgumiem, tā ir likumīga, atbilstoša starptautiskajai praksei un plaši tiek piemērota vairākās Eiropas Savienības dalībvalstīs. Tomēr valstu starpā atšķiras prakse attiecībā uz procentu likmes fiksācijas periodiem un fiksēto procentu likmju īpatsvaru kredītiestāžu kredītu portfeļos. Latvijas gadījumā kredītiestāžu izsniegtie aizdevumi galvenokārt ir saistīti ar īstermiņa (galvenokārt 3 vai 6 mēnešu) EURIBOR etalona procentu likmi. EURIBOR etalona procentu likmei piesaistīti aptuveni 90% no kredītiestāžu izsniegtajiem hipotekārajiem kredītiem mājsaimniecībām.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 ja EURIBOR etalona procentu likme šobrīd tiešā veidā neraksturo kredītiestāžu finansēšanās izmaksas, pastāv ekonomisks pamatojums, kādēļ kredītu cenai būtu jābūt cieši saistītai ar naudas cenu, ko raksturo EURIBOR etalona procentu likmes. Naudas cena atspoguļojas visu finanšu aktīvu klašu ienesīgumā. Tas attiecas arī uz ļoti zema riska aktīviem, piemēram, valstu obligācijām. Pašreiz Latvijas valdības 10 gadu obligācijas ienesīguma likme ir aptuveni 4%, kas ir tuva ECB noteiktajām procentu likmēm. Savukārt kredīti pieder pie riskantākas aktīvu klases, salīdzinot ar valdību obligācijām, tāpēc ir saprotams, ka to ienesīguma procentu likmei būtu jābūt augstākai. Līdz ar to secināms, ka EURIBOR etalona procentu likmes piemērošana hipotekārajiem kredītiem papildus kredītiestādes noteiktajai pievienotajai likmei ir tiesiska un nav uzskatāma par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kāpuma ietekme uz kredītņēmējiem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Latvijas Bankas mājsaimniecību – kredītņēmēju aptaujā iegūtajiem datiem un aplēsēm, to mājsaimniecību-kredītņēmēju, kurām parāda apkalpošanas izdevumu un neto ienākumu attiecība pieaug vismaz līdz 40%, ja visu termiņu EURIBOR etalona procentu likmes sasniedz 4.0%, īpatsvars kopējā mājsaimniecību-kredītņēmēju skaitā ir 3.2%.</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Procentu likmju pieauguma un patēriņa cenu kāpuma kopējā ietekme ir daudz nelabvēlīgāka. Saskaņā ar Latvijas Bankas aplēsēm to mājsaimniecību-kredītņēmēju, kurām parāda apkalpošanas izdevumu un neto ienākumu[2] attiecība pieaug vismaz līdz 40%, ja visu termiņu EURIBOR etalona procentu likmes sasniedz 4.0% un mājsaimniecību izdevumi 2023. gadā pieaug vidēji par 10.0%, īpatsvars kopējā mājsaimniecību-kredītņēmēju skaitā ir līdz[3]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jānorāda arī tas, ka šī brīža situācija nav tieši salīdzināma ar situāciju 2010. un 2011. gadā, kad bija vērojams būtisks iedzīvotāju emigrācijas pieaugums. Toreiz krīzi pamatā izraisīja pārmērīga un nepārdomāta aizņemšanās, kur kredītu atlikums īsā laika posmā pietuvojās IKP apjomam. Savukārt pašlaik kredītu atlikums pret IKP ir krietni zemāks, kredītiestāžu kreditēšanas politika konservatīvāka, un kredīti ir izsniegti krietni kredītspējīgākiem aizņēmējiem, par ko liecina vairāk kā desmitkārt labāki kredītu kvalitātes rādītāji par spīti nesen piedzīvotajiem pandēmijas, ģeopolitiskajiem un energoresursu cenu šoka satricinājumiem. Proti, kredītu maksājumu kavējumi (virs 90 dienām) 2010. un 2011. gadā bija tuvu 20%, kamēr šobrīd tie ir vien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Arī ekonomika šobrīd ir būtiski spēcīgāka, nodrošinot darba iespējas iedzīvotājiem un strauju ienākumu pieaugumu. Ekonomikas apmērs 2010. un 2011. gadā bija par aptuveni 20% zemāks nekā 2007. gadā pirms krīzes, kamēr šobrīd joprojām sagaidām, lai gan mērenu, bet tomēr ekonomikas izaugsmi. Bezdarba rādītājs 2010. un 2011. gados svārstījās 15-20% robežās, bet šobrīd tas ir tuvu vēsturiski zemākajam līmenim (6.4%). Arī darba algu jomā, ja 2010. gada sākumā redzējām vidējās neto algas sarukumu par aptuveni 12%, tad šobrīd ir vērojams līdzvērtīgs algu pieaugums. Ņemot vērā minētos apstākļus, nevar piekrist  apgalvojumam, ka no Latvijas atkal nesamaksājamu kredītu dēļ aizbrauks desmitiem tūkstošu darbspējīgo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u w:val="single"/>
                <w:rtl w:val="0"/>
              </w:rPr>
              <w:t xml:space="preserve">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 un Latvijas Banka, ņemot vērā EURIBOR etalona procentu likmes strauju paaugstinājumu, jau ilgāku laiku seko līdzi situācijai finanšu sektorā un kredītņēmēju spējai segt savas hipotekārā kredīta saistības. Atbalstāma ir diskusija par nepieciešamiem atbalsta pasākumiem kredītņēmējiem, meklējot esošajai situācijai atbilstošākos instrumentus. Finanšu ministrija un Latvijas Banka ir arī aktīvi veidojušas dialogu ar kredītiestādēm, aicinot tās būt sociāli atbildīgām.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Vērtējot pašreizējās norises finanšu sektorā, ir svarīgi, lai īstermiņa risinājumi nerada negatīvas sekas ilgtspējīgai ekonomikas un finanšu sistēmas attīstībai. Būtiska nozīme situācijas risināšanā ir konkurences veicināšanai un investoru piesaistei kredītiestāžu jomā. Taču bažas raisa iniciatīvas, kas var pasliktināt konkurences apstākļus, radot neprognozējamu uzņēmējdarbības vidi. Tas, savukārt, nozīmētu mazāk pieejamus finanšu pakalpojumus ar daudz sliktākiem nosacījumiem Latvijas iedzīvotājiem un uzņēmējiem.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Horizontāli risinājumi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sēdē tika ierosināti trīs iespējami horizontāli risinājumi:</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EURIBOR etalona procentu likmes piemērošanas griestus vai likumā aizstāt EURIBOR etalona procentu likmi ar citu etalona likmi uz noteiktu laiku;</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ka kredītiestādes pievienotā likme uz noteiktu laiku netiek piemērota;</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noteiktu laiku ierobežot maksimālo kredītiem piemērojamo procentu likmi.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arī šādi piedāvātie risinājumi būtu izdevīgi lielai daļai kredītņēmēju, un tiem nav tūlītēja fiskāla ietekme, Finanšu ministrija un Latvijas Banka šādu pieeju neatbalsta. Iespējamie atbalsta mehānismi būtu jāveido fokusēti, ņemot vērā kredītņēmēja ienākumu līmeni un kredītu slogu, sniedzot atbalstu sociāli ievainojamākajām sabiedrības grupām.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komisijas sēdē rosinātajiem horizontālajiem risinājumiem piemīt būtiski riski, tai skaitā:</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Eiropas Komisijas nostājai, ka augstas inflācijas apstākļos atbalsts ir mērķēts, ieviests uz laiku un attiecas  uz visievainojamākajām sabiedrības grupām;</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netiek ņemta vērā mājsaimniecību maksātspēja un nepieciešamība pēc atbalsta;</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neskar kredītņēmējus ar fiksētām likmēm un ārpus kredītiestādēm izsniegtos kredītus;</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normatīvajam regulējumam, kas nosaka kredītiestāžu prudenciālo uzraudzības un patērētāju aizsardzības ietvaru;</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augsts tiesvedības risks – negatīvas tiesvedības rezultātā valstij būs jāuzņemas risku atlīdzināt zaudējumus (~160 milj. </w:t>
            </w:r>
            <w:r w:rsidR="00000000" w:rsidRPr="00000000" w:rsidDel="00000000">
              <w:rPr>
                <w:i w:val="1"/>
                <w:rtl w:val="0"/>
              </w:rPr>
              <w:t xml:space="preserve">euro</w:t>
            </w:r>
            <w:r w:rsidR="00000000" w:rsidRPr="00000000" w:rsidDel="00000000">
              <w:rPr>
                <w:rtl w:val="0"/>
              </w:rPr>
              <w:t xml:space="preserve"> vai vairāk, ja visiem kredītņēmējiem tiek piemērots risinājums ar kredītiestādes pievienotās likmes nepiemērošanu), jo aizliedz kredītiestādēm pildīt spēkā esošu līgumu nosacījumus;</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ieviešot kādu no risinājumiem, sagaidāms starptautisku institūciju un reitingu aģentūru negatīvs vērtējums par to;</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negatīva ietekme uz investīciju vidi un hipotekāro kreditēšanu nākotnē – kredītu pieejamība un cena;</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normatīvā aktā regulējot hipotekāro kredītu ienesīgumu, kredītiestāžu brīvie resursi var tikt pārvirzīti uz citiem zema riska instrumentiem, saņemot to pašu vai lielāku ienesīgumu (valsts vērtspapīri u.c.);</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sabiedrībā iesakņojas gaidas, ka negatīvas tirgus svārstības kompensēs valsts.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 20. septembra sēdē kā atbilstošāko iespējamo risinājumu  izvēlējās Polijā ieviesto mehānismu kredītņēmēju aizsardzībai. Proti, lai risinātu straujo procentu likmju kāpumu, Polija ir ieviesusi normatīvo regulējumu, kas paredz tiesības kredītņēmējam pieprasīt “kredīta brīvdienas” – pārtraukt kredīta pamatsummas un procentu maksājumus, par attiecīgo laiku pagarinot kredīta atmaksas termiņu. Saskaņā ar Polijas izveidoto atbalsta mehānismu hipotekārā kredīta aizņēmējam ir tiesības pieprasīt kredītiestādei “kredīta brīvdienas” – divus mēnešus katrā laikposmā no 2022. gada 1. augusta līdz 30. septembrim un no 2022. gada 1. oktobra līdz 31. decembrim un vienu mēnesi katrā ceturksnī laikposmā no 2023. gada 1. janvāra līdz 31. decembrim – kopā astoņus mēnešus. Atbalstu var saņemt jebkurš kredītņēmējs, kuram ir nacionālajā valūtā zlotos izsniegts hipotekārais mājokļa kredīts.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ECB 2023. gada 20. martā ir sniegusi atzinumu (CON/2023/8) par Polijas apstiprināto normatīvo regulējumu[4] un izteikusi negatīvu vērtējumu par Polijas ieviesto risinājumu, paužot bažas par šāda normatīvā regulējuma ietekmi uz finanšu stabilitāti, kā arī aicinot Poliju apsvērt ieviest mērķētus atbalsta piešķiršanas kritērijus.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Polijas ieviestais atbalsta mehānisms hipotekāro kredītu ņēmējiem rada šādus riskus finanšu stabilitātei: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stimulē kredīta termiņu pagarināšanu, nevis ātrāku to atmaksu;</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vājina kredītstandartus kredītiestādēs;</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var radīt grūtības kredītiestādēm piesaistīt investorus minimālā pamatkapitāla prasību nodrošināšanai vai obligāciju emisijai;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kredītiestādēm radītie zaudējumi nākotnē var tikt pārnesti uz no jauna izsniedzamajiem kredītiem;</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mazina kredītiestāžu rentabilitāti, kas nozīmē samazinātu kredītiestāžu spēju saglabāt ieņēmumus un palielināt kapitālu, kas nepieciešams zaudējumu segšanai un jaunu kredītu izsniegšanai nākotnē, potenciāli arī samazinot nākotnes iemaksas nodokļu ieņēmumus valsts budžetā;</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zaudējumu apmērs, ko šādas “kredīta brīvdienas” radītu, var apdraudēt kredītiestāžu maksātspēju.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ar to ir jāņem vārā tas, ka arī Latvijai jebkādi piedāvātie risinājumi, kas skar finanšu stabilitāti un vērsti uz hipotekāro kredītu procentu likmju ierobežošanu, būs jāapspriež ar Eiropas Centrālo banku, saskaņā ar Līguma par Eiropas Savienības darbību 127. panta 4. punktu un  Līguma par Eiropas Savienības darbību 4. protokola "Par Eiropas Centrālo banku sistēmas Statūtiem un Eiropas Centrālās bankas Statūtiem"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Mērķēts atbalsts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ministrijas ieskatā šajā situācijā, tostarp ņemot vērā to, ka potenciāli ietekmētās mājsaimniecības ir vien 1,6% no visām Latvijas mājsaimniecībām, visatbilstošākais būtu </w:t>
            </w:r>
            <w:r w:rsidR="00000000" w:rsidRPr="00000000" w:rsidDel="00000000">
              <w:rPr>
                <w:b w:val="1"/>
                <w:rtl w:val="0"/>
              </w:rPr>
              <w:t xml:space="preserve">īstenot mērķētu atbalstu tām mājsaimniecībām, kurām ir būtiski pieauguši kredīta maksājumi</w:t>
            </w:r>
            <w:r w:rsidR="00000000" w:rsidRPr="00000000" w:rsidDel="00000000">
              <w:rPr>
                <w:rtl w:val="0"/>
              </w:rPr>
              <w:t xml:space="preserve">:</w:t>
            </w:r>
          </w:p>
          <w:p w:rsidP="00000000" w:rsidRDefault="00000000" w:rsidR="00000000" w:rsidRPr="00000000" w:rsidDel="00000000">
            <w:pPr>
              <w:numPr>
                <w:ilvl w:val="0"/>
                <w:numId w:val="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ALTUM mērķēta atbalsta programma, kas ļautu kapitalizēt daļu kredīta procentu maksājumus, piesaistot papildu garantiju no ALTUM un tādējādi samazinot ikmēneša maksājumu;</w:t>
            </w:r>
          </w:p>
          <w:p w:rsidP="00000000" w:rsidRDefault="00000000" w:rsidR="00000000" w:rsidRPr="00000000" w:rsidDel="00000000">
            <w:pPr>
              <w:numPr>
                <w:ilvl w:val="0"/>
                <w:numId w:val="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sniegt mērķētu palīdzību pieejamo sociālās palīdzības instrumentu ietvaros;</w:t>
            </w:r>
          </w:p>
          <w:p w:rsidP="00000000" w:rsidRDefault="00000000" w:rsidR="00000000" w:rsidRPr="00000000" w:rsidDel="00000000">
            <w:pPr>
              <w:numPr>
                <w:ilvl w:val="0"/>
                <w:numId w:val="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laiku iekļaut hipotekāro kredītu procentu maksājumus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ALTUM mērķētā atbalsta programma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ALTUM programmas mērķis ir sniegt atbalstu kredītņēmējiem, kuri pieaugošās EURIBOR etalona procentu likmes dēļ nevar veikt aizņēmuma procentu maksājumus pilnā apmērā.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Piedāvātais risinājums paredz iespēju kredītiestādēm kapitalizēt aizdevuma procentus (palielina aizdevuma kopējo summu), ko klientam ar pašreizējo EURIBOR etalona procentu likmi ir apgrūtinoši samaksāt (piemēram, par to EURIBOR etalona daļu, kas pārsniedz 2%). Ar ALTUM piešķirto bezmaksas garantiju, daļa procentu tiek kapitalizēta un aizņēmējs līdz 3 gadiem veic ikmēneša maksājumus mazākā apjomā atbilstoši savai maksātspējai un finanšu apstākļiem. ALTUM garantijai ar kredītiestāžu starpniecību var pieteikties 12 mēnešus no programmas uzsākšanas.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Atbilstoši Latvijas Bankas aplēsei 2024. gada sākumā līdz 11.9% mājsaimniecību parāda apkalpošanas un ienākumu attiecība DSTI (</w:t>
            </w:r>
            <w:r w:rsidR="00000000" w:rsidRPr="00000000" w:rsidDel="00000000">
              <w:rPr>
                <w:i w:val="1"/>
                <w:rtl w:val="0"/>
              </w:rPr>
              <w:t xml:space="preserve">debt service to income ratio</w:t>
            </w:r>
            <w:r w:rsidR="00000000" w:rsidRPr="00000000" w:rsidDel="00000000">
              <w:rPr>
                <w:rtl w:val="0"/>
              </w:rPr>
              <w:t xml:space="preserve">) varētu pārsniegt ar cenām koriģētu DSTI 40% slieksni. Šīm mājsaimniecībām izsniegto mājokļu kredītu skaits būtu 15 tūkstoši, bet kopējais kredītu atlikums 563 milj. </w:t>
            </w:r>
            <w:r w:rsidR="00000000" w:rsidRPr="00000000" w:rsidDel="00000000">
              <w:rPr>
                <w:i w:val="1"/>
                <w:rtl w:val="0"/>
              </w:rPr>
              <w:t xml:space="preserve">euro</w:t>
            </w:r>
            <w:r w:rsidR="00000000" w:rsidRPr="00000000" w:rsidDel="00000000">
              <w:rPr>
                <w:rtl w:val="0"/>
              </w:rPr>
              <w:t xml:space="preserve"> (vidējais kredīta atlikums 37 500 </w:t>
            </w:r>
            <w:r w:rsidR="00000000" w:rsidRPr="00000000" w:rsidDel="00000000">
              <w:rPr>
                <w:i w:val="1"/>
                <w:rtl w:val="0"/>
              </w:rPr>
              <w:t xml:space="preserve">euro</w:t>
            </w:r>
            <w:r w:rsidR="00000000" w:rsidRPr="00000000" w:rsidDel="00000000">
              <w:rPr>
                <w:rtl w:val="0"/>
              </w:rPr>
              <w:t xml:space="preserve">). Minētās mājsaimniecības gadā aizdevumu procentu maksājumos, t.sk. ņemot vērā EURIBOR etalona procentu likmi, samaksās 35-38 milj. </w:t>
            </w:r>
            <w:r w:rsidR="00000000" w:rsidRPr="00000000" w:rsidDel="00000000">
              <w:rPr>
                <w:i w:val="1"/>
                <w:rtl w:val="0"/>
              </w:rPr>
              <w:t xml:space="preserve">euro</w:t>
            </w:r>
            <w:r w:rsidR="00000000" w:rsidRPr="00000000" w:rsidDel="00000000">
              <w:rPr>
                <w:rtl w:val="0"/>
              </w:rPr>
              <w:t xml:space="preserve">, bet trīs gados līdz 116 milj. </w:t>
            </w:r>
            <w:r w:rsidR="00000000" w:rsidRPr="00000000" w:rsidDel="00000000">
              <w:rPr>
                <w:i w:val="1"/>
                <w:rtl w:val="0"/>
              </w:rPr>
              <w:t xml:space="preserve">euro</w:t>
            </w:r>
            <w:r w:rsidR="00000000" w:rsidRPr="00000000" w:rsidDel="00000000">
              <w:rPr>
                <w:rtl w:val="0"/>
              </w:rPr>
              <w:t xml:space="preserve">. Programma līdzīgi kā pašreizējā ALTUM mājokļu garantiju programma ļautu izsniegt garantijas septiņas reizes vairāk par pieejamo finansējumu. ALTUM programmu var īstenot, vai nu pilnībā garantējot kapitalizēto procentu portfeli, vai arī sniedzot segumu nepilnā apmērā, piemēram, 30% no visiem kapitalizētajiem procentiem:</w:t>
            </w:r>
          </w:p>
          <w:p w:rsidP="00000000" w:rsidRDefault="00000000" w:rsidR="00000000" w:rsidRPr="00000000" w:rsidDel="00000000">
            <w:pPr>
              <w:numPr>
                <w:ilvl w:val="0"/>
                <w:numId w:val="5"/>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100% apmērā visu kapitalizēto procentu portfeli (116 milj. </w:t>
            </w:r>
            <w:r w:rsidR="00000000" w:rsidRPr="00000000" w:rsidDel="00000000">
              <w:rPr>
                <w:i w:val="1"/>
                <w:rtl w:val="0"/>
              </w:rPr>
              <w:t xml:space="preserve">euro</w:t>
            </w:r>
            <w:r w:rsidR="00000000" w:rsidRPr="00000000" w:rsidDel="00000000">
              <w:rPr>
                <w:rtl w:val="0"/>
              </w:rPr>
              <w:t xml:space="preserve">), tad nepieciešamais publiskais finansējums ir aptuveni 17,1 milj. </w:t>
            </w:r>
            <w:r w:rsidR="00000000" w:rsidRPr="00000000" w:rsidDel="00000000">
              <w:rPr>
                <w:i w:val="1"/>
                <w:rtl w:val="0"/>
              </w:rPr>
              <w:t xml:space="preserve">euro</w:t>
            </w:r>
            <w:r w:rsidR="00000000" w:rsidRPr="00000000" w:rsidDel="00000000">
              <w:rPr>
                <w:rtl w:val="0"/>
              </w:rPr>
              <w:t xml:space="preserve">, ko 5,4 milj. </w:t>
            </w:r>
            <w:r w:rsidR="00000000" w:rsidRPr="00000000" w:rsidDel="00000000">
              <w:rPr>
                <w:i w:val="1"/>
                <w:rtl w:val="0"/>
              </w:rPr>
              <w:t xml:space="preserve">euro</w:t>
            </w:r>
            <w:r w:rsidR="00000000" w:rsidRPr="00000000" w:rsidDel="00000000">
              <w:rPr>
                <w:rtl w:val="0"/>
              </w:rPr>
              <w:t xml:space="preserve"> apmērā var segt ALTUM, bet papildus nepieciešams publiskais finansējums risku segumam 11,7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5"/>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līdz 30% no kapitalizēto procentu portfeļa (35 milj. </w:t>
            </w:r>
            <w:r w:rsidR="00000000" w:rsidRPr="00000000" w:rsidDel="00000000">
              <w:rPr>
                <w:i w:val="1"/>
                <w:rtl w:val="0"/>
              </w:rPr>
              <w:t xml:space="preserve">euro</w:t>
            </w:r>
            <w:r w:rsidR="00000000" w:rsidRPr="00000000" w:rsidDel="00000000">
              <w:rPr>
                <w:rtl w:val="0"/>
              </w:rPr>
              <w:t xml:space="preserve">), tad nepieciešamais finansējums būtu 5,4 milj. </w:t>
            </w:r>
            <w:r w:rsidR="00000000" w:rsidRPr="00000000" w:rsidDel="00000000">
              <w:rPr>
                <w:i w:val="1"/>
                <w:rtl w:val="0"/>
              </w:rPr>
              <w:t xml:space="preserve">euro</w:t>
            </w:r>
            <w:r w:rsidR="00000000" w:rsidRPr="00000000" w:rsidDel="00000000">
              <w:rPr>
                <w:rtl w:val="0"/>
              </w:rPr>
              <w:t xml:space="preserve">, ko iespējams segt no ALTUM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Šīs programmas ietvaros būtu iespējams atbalstīt ~ 15 000 aizņēmējus.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Hipotekāro kredītprocentu maksājumu terminēta iekļaušana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īstenotu mērķētu atbalstu tām Latvijas mājsaimniecībām, kurām ir būtiski pieauguši kredīta maksājumi, viens no iespējamajiem risinājumiem ir izstrādāt likumprojektu “Grozījumi likumā “Par iedzīvotāju ienākuma nodokli”, paredzot ieviest terminētu pasākumu uz diviem gadiem – 2023. un 2024. gadu. Pasākuma ietvaros iedzīvotāju ienākuma nodokļa (turpmāk – IIN) maksātājs IIN attaisnotajos izdevumos, papildus jau spēkā esošajam attaisnoto izdevumu apmēram (600 </w:t>
            </w:r>
            <w:r w:rsidR="00000000" w:rsidRPr="00000000" w:rsidDel="00000000">
              <w:rPr>
                <w:i w:val="1"/>
                <w:rtl w:val="0"/>
              </w:rPr>
              <w:t xml:space="preserve">euro</w:t>
            </w:r>
            <w:r w:rsidR="00000000" w:rsidRPr="00000000" w:rsidDel="00000000">
              <w:rPr>
                <w:rtl w:val="0"/>
              </w:rPr>
              <w:t xml:space="preserve">)  varētu iekļaut savus veiktos hipotekāro kredītu procentu maksājumus par mājokli (t.sk. dzīvokli, māju, kredītu mājas būvniecībai) apmērā līdz 2 000 </w:t>
            </w:r>
            <w:r w:rsidR="00000000" w:rsidRPr="00000000" w:rsidDel="00000000">
              <w:rPr>
                <w:i w:val="1"/>
                <w:rtl w:val="0"/>
              </w:rPr>
              <w:t xml:space="preserve">eur</w:t>
            </w:r>
            <w:r w:rsidR="00000000" w:rsidRPr="00000000" w:rsidDel="00000000">
              <w:rPr>
                <w:rtl w:val="0"/>
              </w:rPr>
              <w:t xml:space="preserve">o gadā. Minētais ierobežojums tiktu noteikts, ņemot vērā Latvijas Bankas informāciju, ka vidējais procentu maksājumu apjoms uz vienu kredītu ir 164 </w:t>
            </w:r>
            <w:r w:rsidR="00000000" w:rsidRPr="00000000" w:rsidDel="00000000">
              <w:rPr>
                <w:i w:val="1"/>
                <w:rtl w:val="0"/>
              </w:rPr>
              <w:t xml:space="preserve">euro</w:t>
            </w:r>
            <w:r w:rsidR="00000000" w:rsidRPr="00000000" w:rsidDel="00000000">
              <w:rPr>
                <w:rtl w:val="0"/>
              </w:rPr>
              <w:t xml:space="preserve"> mēnesī, savukārt vidējais procentu maksājumu apjoms uz vienu aizņēmēju – 151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Minētais normatīvais regulējums būtu piemērojams hipotekāro kredītu maksājumiem, kas veikti, sākot ar 2023. gada 1. janvāri, t.i., attiecīgais regulējums tiktu piemērots ar atpakaļvērstu spēku un būtu maksimāli labvēlīgs nodokļu maksātājiem. Atbilstoši Latvijas Bankas sniegtajai informācijai kopējais izsniegto mājokļu hipotekāro kredītu skaits ir 127,2 tūkst., kopējais personu skaits, kam izsniegti mājokļu hipotekārie kredīti – 138,6 tūkst. Minētā risinājuma fiskālā ietekme novērtēta ~ 47,6 milj. </w:t>
            </w:r>
            <w:r w:rsidR="00000000" w:rsidRPr="00000000" w:rsidDel="00000000">
              <w:rPr>
                <w:i w:val="1"/>
                <w:rtl w:val="0"/>
              </w:rPr>
              <w:t xml:space="preserve">euro</w:t>
            </w:r>
            <w:r w:rsidR="00000000" w:rsidRPr="00000000" w:rsidDel="00000000">
              <w:rPr>
                <w:rtl w:val="0"/>
              </w:rPr>
              <w:t xml:space="preserve"> IIN atmaksu pieaugumā par vienu gadu (kredītņēmēji ar apgādībā esošām personām un līdz 1 000 </w:t>
            </w:r>
            <w:r w:rsidR="00000000" w:rsidRPr="00000000" w:rsidDel="00000000">
              <w:rPr>
                <w:i w:val="1"/>
                <w:rtl w:val="0"/>
              </w:rPr>
              <w:t xml:space="preserve">euro</w:t>
            </w:r>
            <w:r w:rsidR="00000000" w:rsidRPr="00000000" w:rsidDel="00000000">
              <w:rPr>
                <w:rtl w:val="0"/>
              </w:rPr>
              <w:t xml:space="preserve"> mēnešalgai šādu atbalstu nevarēs izmantot pilnā apmērā, līdz ar to ietekmes apmērs varētu būt arī mazāks).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jāņem vērā, ka nodokļa maksātājs attaisnotos izdevumus varēs piemērot tikai tad, ja taksācijas gada laikā ir guvis ar IIN apliekamus ienākumus. Tāpat būtiski, ka nodokļa maksātājs IIN atmaksas veidā atgūst tikai 20% no attaisnoto izdevumu apmēru (t.i., ja attaisnotajos izdevumos iekļaus 2 000 </w:t>
            </w:r>
            <w:r w:rsidR="00000000" w:rsidRPr="00000000" w:rsidDel="00000000">
              <w:rPr>
                <w:i w:val="1"/>
                <w:rtl w:val="0"/>
              </w:rPr>
              <w:t xml:space="preserve">euro</w:t>
            </w:r>
            <w:r w:rsidR="00000000" w:rsidRPr="00000000" w:rsidDel="00000000">
              <w:rPr>
                <w:rtl w:val="0"/>
              </w:rPr>
              <w:t xml:space="preserve">, IIN atmaksas veidā būs iespējams atgūt 400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nodokļa administrēšanas procesu padarītu iespējami efektīvāku, būtu nosakāms, ka kredītiestādes līdz pēctaksācijas gada 1. februārim Valsts ieņēmumu dienestam (turpmāk – VID) sniedz informāciju par fizisko personu taksācijas gada laikā veiktajiem hipotekāro kredītu procentu maksājumiem par mājokli. Ja hipotekārais kredīts ir ņemts citas Eiropas Savienības dalībvalsts vai Eiropas Ekonomikas zonas valsts kredītiestādē, nodokļa maksātājam hipotekārā kredīta procentu maksājumus par mājokli apliecinošus dokumentus VID ir jāiesniedz pašam.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Hipotekāro kredītu procentu maksājumus par mājokli attaisnotajos izdevumos varētu iekļaut tikai kārtējā taksācijas gadā un – līdzīgi kā iemaksas privātajos pensiju fondos un apdrošināšanas prēmiju maksājumu – nevarētu dalīt starp ģimenes locekļiem vai pārnest uz nākamajiem taksācijas gadiem.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Jāvērš uzmanība arī uz to, ka tad, ja attaisnotos izdevumus vēlas noteikt mērķētākus, piemēram, piemērot tikai konkrētām iedzīvotāju grupām, atvieglojuma fiskālā ietekme var samazināties, taču pieaugs iedzīvotāju ienākuma nodokļa administrēšanas izdevumi (rodas nepieciešamība ieguldīt papildu manuālo darbu deklarāciju apstrāde, papildu izdevumi programatūrai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Kredītiestāžu nodokļu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situāciju ar kredītiestāžu netipiski straujo peļņas kāpumu, Finanšu ministrija ir izstrādājusi un uzsākusi saskaņošanu likumprojektam “Grozījumi Uzņēmumu ienākuma nodokļa likumā” (TA lieta Nr. 23-TA-2277), kas paredz noteikt kredītiestādēm un patērētāju kreditēšanas pakalpojumu sniedzējiem pienākumu veikt uzņēmumu ienākuma nodokļa samaksu 20% apmērā par pirmstaksācijas gadā gūto peļņu, neatkarīgi no tā, vai tiek veikta šīs peļņas sadale. Plānots, ka likumprojektā ietvertais regulējums attieksies uz kredītiestāžu 2023. gada peļņu, un plānotie ienākumi valsts budžetā prognozēti līdz 140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sadarbībā ar Latvijas Banku turpinās darbu pie vispiemērotākā risinājuma izstrādes, kas fokusēts uz sociāli ievainojamākajām mājsaimniecībām, kā arī ilgtermiņā neapdraud investīciju vidi un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Avots: Latvijas Banka, Statistiskie dati par kredītiestāžu un citu monetāro finanšu iestāžu finansiālo stāvokli.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Lai hipotētiski parādītu, kā ikdienas izdevumu pieaugums papildus apgrūtina mājsaimniecību spēju veikt norēķinus par kredītsaistībām, ienākumi samazināti par apmēru, ar kādu pieauguši attiecīgās mājsaimniecības izdevumi cenu kāpuma dēļ. Šāda ienākumu korekcija nav tipiska un neatspoguļo kredītiestāžu standarta pieeju parāda apkalpošanas izmaksu pret ienākumu vērtēšanā.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Aprēķins veikts, pieņemot, ka mājsaimniecības nemaina savus patēriņa ieradumus. Ja nozīmīgs skaits mājsaimniecību spēj samazināt savus izdevumus, tad patiesais mājsaimniecību īpatsvars ar pārmērīgu parāda slogu ir zemāks. Tādējādi aprēķinātais mājsaimniecību īpatsvars uztverams kā mājsaimniecību īpatsvara augšējā robeža.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OPINION OF THE EUROPEAN CENTRAL BANK of 20 March 2023  on mortgage holidays (CON/2023/8). Pieejams: https://eur-lex.europa.eu/legal-content/EN/TXT/PDF/?uri=CELEX:52023AB0008&amp;qid=1694070675472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sadaļā "Mērķēts atbalsts" - neatbalstām pēdējo priekšlikumu: "3) uz laiku iekļaut hipotekāro kredītu procentu maksājumus iedzīvotāju ienākuma nodokļa attaisnotajos izdevumos.", jo minētais priekšlikums nav mērķēts un tam piemīt virkne no būtiskajiem riskiem, kas vēstulē minēti attiecībā uz Budžeta un finanšu (nodokļu) komisijas piedāvātajiem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rosināt svītrot minēto priekšlikumu, kā arī to paskaidrojošo sadaļu vēstulē: "Hipotekāro kredītprocentu maksājumu terminēta iekļaušana iedzīvotāju ienākuma nodokļa attaisnotajos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atsauca savu iebildumu ar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Saeimas Budžeta un finanšu (nodokļu) komisijas 2023. gada 7. augusta vēstuli Nr. 142.2.9/2-12-14/23, kurā Ministru kabinets, Finanšu ministrija un Latvijas Banka tiek aicināti izvērtēt situāciju finanšu tirgū saistībā ar strauji augošo EURIBOR etalona procentu likmi, kā arī pēc iespējas ātrāk rast nepieciešamos risinājumus un iesniegt Saeimas Budžeta un finanšu (nodokļu) komisijai priekšlikumus, kā arī Saeimas Tautsaimniecības, agrārās, vides un reģionālās politikas komisijas 2023. gada 13. septembra vēstuli Nr. 142.1.9/8-25-14/23 “Par EURIBOR likmju pieauguma ietekmi uz tautsaimniecību”, ar kuru Finanšu ministrija un Latvijas Banka tiek aicinātas:</w:t>
            </w:r>
            <w:r w:rsidR="00000000" w:rsidRPr="00000000" w:rsidDel="00000000">
              <w:rPr>
                <w:rtl w:val="0"/>
              </w:rPr>
              <w:t xml:space="preserve">
</w:t>
            </w:r>
            <w:r w:rsidR="00000000" w:rsidRPr="00000000" w:rsidDel="00000000">
              <w:rPr>
                <w:rtl w:val="0"/>
              </w:rPr>
              <w:t xml:space="preserve">turpināt sarunas ar kredītiestāžu vadību par kredītu kopējās procentu likmes nepalielināšanu vai samazināšanu (pašlaik kopējā procentu likme ir viena no augstākajām Eiropā, šādi padarot Latvijas eksportuzņēmumus par nekonkurētspējīgiem);</w:t>
            </w:r>
            <w:r w:rsidR="00000000" w:rsidRPr="00000000" w:rsidDel="00000000">
              <w:rPr>
                <w:rtl w:val="0"/>
              </w:rPr>
              <w:t xml:space="preserve">atvieglot kredītiestāžu klientu kredītsaistību pārfinansēšanu;</w:t>
            </w:r>
            <w:r w:rsidR="00000000" w:rsidRPr="00000000" w:rsidDel="00000000">
              <w:rPr>
                <w:rtl w:val="0"/>
              </w:rPr>
              <w:t xml:space="preserve">turpināt sarunas ar kredītiestādēm par sociāli atbildīgu pieeju kredītlīguma izmaiņu jautājumā (nepiemērot līgumsodus vai līguma izmaiņu maksu);</w:t>
            </w:r>
            <w:r w:rsidR="00000000" w:rsidRPr="00000000" w:rsidDel="00000000">
              <w:rPr>
                <w:rtl w:val="0"/>
              </w:rPr>
              <w:t xml:space="preserve">apsvērt iespēju izveidot valsts atbalsta programmu daļējai kredītu procentu dzēšanai;</w:t>
            </w:r>
            <w:r w:rsidR="00000000" w:rsidRPr="00000000" w:rsidDel="00000000">
              <w:rPr>
                <w:rtl w:val="0"/>
              </w:rPr>
              <w:t xml:space="preserve">strādāt pie jaunu dalībnieku piesaistes Latvijas finanšu sektorā;</w:t>
            </w:r>
            <w:r w:rsidR="00000000" w:rsidRPr="00000000" w:rsidDel="00000000">
              <w:rPr>
                <w:rtl w:val="0"/>
              </w:rPr>
              <w:t xml:space="preserve">apsvērt iespēju piemērot kredītiestāžu virspeļņas nodokli. </w:t>
            </w:r>
            <w:r w:rsidR="00000000" w:rsidRPr="00000000" w:rsidDel="00000000">
              <w:rPr>
                <w:rtl w:val="0"/>
              </w:rPr>
              <w:t xml:space="preserve">
</w:t>
            </w:r>
            <w:r w:rsidR="00000000" w:rsidRPr="00000000" w:rsidDel="00000000">
              <w:rPr>
                <w:rtl w:val="0"/>
              </w:rPr>
              <w:t xml:space="preserve">Vienlaikus ir saņemts arī Latvijas Republikas Saeimas 2023.gada 5.oktobra paziņojums "Par 15 878 Latvijas pilsoņu kolektīvā iesnieguma “Bankām nepaaugstināt EURIBOR likmi pagātnē izsniegtiem kredītiem” turpmāko virzību” (Latvijas Vēstnesis, 2023/194.2), ar kuru Ministru kabinetam uzdots izvērtēt un sniegt priekšlikumus par 15 878 Latvijas pilsoņu kolektīvo iesniegumu “Bankām nepaaugstināt EURIBOR likmi pagātnē izsniegtiem kredītiem”, kas veicinātu kredītņēmēju interešu aizstāvību.</w:t>
            </w:r>
            <w:r w:rsidR="00000000" w:rsidRPr="00000000" w:rsidDel="00000000">
              <w:rPr>
                <w:rtl w:val="0"/>
              </w:rPr>
              <w:t xml:space="preserve">
</w:t>
            </w:r>
            <w:r w:rsidR="00000000" w:rsidRPr="00000000" w:rsidDel="00000000">
              <w:rPr>
                <w:rtl w:val="0"/>
              </w:rPr>
              <w:t xml:space="preserve">Ņemot vērā vēstulēs minētos jautājumus, Ministru kabinets sniedz šādu viedokli. Saistībā ar EURIBOR etalona procentu likmes strauju paaugstinājumu, jau ilgāku laiku tika sekots līdzi situācijai finanšu sektorā un kredītņēmēju spējai segt savas hipotekārā kredīta saistības. Vienlaikus aktīvi tika veidots dialogs ar kredītiestādēm, aicinot tās būt sociāli atbildīgām.</w:t>
            </w:r>
            <w:r w:rsidR="00000000" w:rsidRPr="00000000" w:rsidDel="00000000">
              <w:rPr>
                <w:rtl w:val="0"/>
              </w:rPr>
              <w:t xml:space="preserve">
</w:t>
            </w:r>
            <w:r w:rsidR="00000000" w:rsidRPr="00000000" w:rsidDel="00000000">
              <w:rPr>
                <w:rtl w:val="0"/>
              </w:rPr>
              <w:t xml:space="preserve">Saeimas Budžeta un finanšu (nodokļu) komisija ir izstrādājusi likumprojektu “Grozījumi Patērētāju tiesību aizsardzības likumā” (367/Lp14) (turpmāk – likumprojekts), kurš paredz noteikt hipotekārā kredīta devējiem (kredītiestādēm un patērētāju kreditēšanas pakalpojumu sniedzējiem) hipotekārā kredīta ņēmēju aizsardzības nodevu. Nodevu maksās par patērētājiem izsniegtajiem kredītiem, kuru atmaksa ir nodrošināta ar Latvijā esoša nekustamā īpašuma hipotēku, un tās apmērs ir 0,5 procenti ceturksnī no nodevas maksātāja kopējās izsniegto hipotekāro kredītu atlikumu summas uz 2023. gada 31. oktobri. Hipotekārā kredīta ņēmēju aizsardzības nodevu neaprēķina un nemaksā par tiem hipotekārajiem kredītiem, kas izsniegti ar fiksētu procentu likmi visā hipotekārā kredīta atmaksas periodā. Šāda hipotekārā kredīta ņēmēju aizsardzības nodeva ir piemērojama par 2024. gadu.</w:t>
            </w:r>
            <w:r w:rsidR="00000000" w:rsidRPr="00000000" w:rsidDel="00000000">
              <w:rPr>
                <w:rtl w:val="0"/>
              </w:rPr>
              <w:t xml:space="preserve">
</w:t>
            </w:r>
            <w:r w:rsidR="00000000" w:rsidRPr="00000000" w:rsidDel="00000000">
              <w:rPr>
                <w:rtl w:val="0"/>
              </w:rPr>
              <w:t xml:space="preserve">Valsts ieņēmumu dienestam tiek noteikts pienākums no hipotekārā kredīta ņēmēju aizsardzības nodevas ieņēmumiem veikt kredītprocentu kompensācijas izmaksu atbilstīgajiem hipotekārā kredīta ņēmējiem, ja izpildās šādi nosacījumi:</w:t>
            </w:r>
            <w:r w:rsidR="00000000" w:rsidRPr="00000000" w:rsidDel="00000000">
              <w:rPr>
                <w:rtl w:val="0"/>
              </w:rPr>
              <w:t xml:space="preserve">
</w:t>
            </w:r>
            <w:r w:rsidR="00000000" w:rsidRPr="00000000" w:rsidDel="00000000">
              <w:rPr>
                <w:rtl w:val="0"/>
              </w:rPr>
              <w:t xml:space="preserve">hipotekārā kredīta līgums ir noslēgts līdz 2023. gada 31. oktobrim;</w:t>
            </w:r>
            <w:r w:rsidR="00000000" w:rsidRPr="00000000" w:rsidDel="00000000">
              <w:rPr>
                <w:rtl w:val="0"/>
              </w:rPr>
              <w:t xml:space="preserve">
</w:t>
            </w:r>
            <w:r w:rsidR="00000000" w:rsidRPr="00000000" w:rsidDel="00000000">
              <w:rPr>
                <w:rtl w:val="0"/>
              </w:rPr>
              <w:t xml:space="preserve">hipotekārā kredīta atlikums nepārsniedz 250 000 euro.</w:t>
            </w:r>
            <w:r w:rsidR="00000000" w:rsidRPr="00000000" w:rsidDel="00000000">
              <w:rPr>
                <w:rtl w:val="0"/>
              </w:rPr>
              <w:t xml:space="preserve">
</w:t>
            </w:r>
            <w:r w:rsidR="00000000" w:rsidRPr="00000000" w:rsidDel="00000000">
              <w:rPr>
                <w:rtl w:val="0"/>
              </w:rPr>
              <w:t xml:space="preserve">Izskatot jautājumu par nepieciešamību sniegt atbalstu kredītņēmējiem, tika norādīts uz virkni riskiem par plašu nefokusētu atbalstu hipotekāro kredītu ņēmējiem, tostarp, uz starptautisko investīciju aizsardzības tiesvedību riskiem, iespējamu apstrīdēšanu Satversmes tiesā, negatīvu ietekmi uz finanšu stabilitāti, kā arī negatīvu ietekmi uz starptautisko reputāciju un reitingiem, kā arī nepieciešamību pēc iespējas mazināt tiesvedības riskus. Līdz ar to likumprojekts tā izskatīšanas gaitā 2. un 3.lasījumā tika pilnveidots, lai mazinātu tiesvedības riskus.</w:t>
            </w:r>
            <w:r w:rsidR="00000000" w:rsidRPr="00000000" w:rsidDel="00000000">
              <w:rPr>
                <w:rtl w:val="0"/>
              </w:rPr>
              <w:t xml:space="preserve">
</w:t>
            </w:r>
            <w:r w:rsidR="00000000" w:rsidRPr="00000000" w:rsidDel="00000000">
              <w:rPr>
                <w:rtl w:val="0"/>
              </w:rPr>
              <w:t xml:space="preserve">Saeimas Budžeta un finanšu (nodokļu) komisijas izstrādātais likumprojekts 2023.gada 6.decembrī ir atbalstīts galīgajā lasījumā, un paredzēts, ka tas stāsies spēkā 2024.gada 1.janvārī.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ministrijā tika saņemta Saeimas Budžeta un finanšu (nodokļu) komisijas 2023. gada 7. augusta vēstule Nr. 142.2.9/2-12-14/23, ar kuru Finanšu ministrija un Latvijas Banka tiek aicinātas izvērtēt situāciju finanšu tirgū saistībā ar strauji augošo EURIBOR etalona procentu likmi, kā arī pēc iespējas ātrāk rast nepieciešamos risinājumus un iesniegt Saeimas Budžeta un finanšu (nodokļu) komisijai priekšlikumus. Ņemot vērā minēto, Finanšu ministrija sadarbībā ar Latvijas Banku sniedz izvērtējumu un priekšlikumus par nepieciešamo tālāko rīcību.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etalona procentu likmju kāpums un tā ietekme uz kredītiestāžu peļņu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2022. gada jūlija, kad Eiropas Centrālās bankas (turpmāk – ECB) Padome uzsāka bāzes procentu likmju celšanu, Latvijas kredītiestāžu peļņa ir palielinājusies, pieaugot tīro procentu ienākumiem, kuru pamatā ir strauji augoša kredītu procentu likme un atpaliekoša noguldījumu procentu likme (skat. 1.att.). Šīs asimetriskās naudas cenas transmisijas dēļ, kad kredītu procentu likmes cieši seko naudas cenai, bet noguldījumu procentu likmes iepaliek gan kredītiestāžu, gan noguldītāju lēnās reakcijas dēļ, starpība starp kredītu un noguldījumu procentu likmēm gada laikā ir pieaugusi no 3.2 procentpunktiem līdz 5.7 procentpunktiem, atstājot būtisku pozitīvu ietekmi uz kredītiestāžu pelnītspēju.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drawing>
                <wp:inline distR="101600" distT="101600" distB="101600" distL="101600">
                  <wp:extent cx="4543425" cy="2095499"/>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4543425" cy="2095499"/>
                          </a:xfrm>
                          <a:prstGeom prst="rect"/>
                          <a:ln/>
                        </pic:spPr>
                      </pic:pic>
                    </a:graphicData>
                  </a:graphic>
                </wp:inline>
              </w:drawing>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Kredītu procentu ienākumus nosaka kredītņēmēju maksājumi par izsniegtajiem kredītiem, no kuriem aptuveni 90% ir ar procentu likmēm, kuras piesaistītas EURIBOR etalona procentu likmei. Tāpēc izsniegto kredītu procentu likmes pieaug līdz ar EURIBOR etalona indeksa pieaugumu, papildus kredītiestādēm piemērojot arī fiksētu pievienoto likmi. 2023. gada jūlijā kopējā vidējā svērtā rezidentu kredītu procentu likme sasniedza 6.31%. </w:t>
            </w:r>
            <w:r w:rsidR="00000000" w:rsidRPr="00000000" w:rsidDel="00000000">
              <w:rPr>
                <w:i w:val="1"/>
                <w:rtl w:val="0"/>
              </w:rPr>
              <w:t xml:space="preserve">Euro</w:t>
            </w:r>
            <w:r w:rsidR="00000000" w:rsidRPr="00000000" w:rsidDel="00000000">
              <w:rPr>
                <w:rtl w:val="0"/>
              </w:rPr>
              <w:t xml:space="preserve"> izteiksmē kopējie kredītu </w:t>
            </w:r>
            <w:r w:rsidR="00000000" w:rsidRPr="00000000" w:rsidDel="00000000">
              <w:rPr>
                <w:b w:val="1"/>
                <w:rtl w:val="0"/>
              </w:rPr>
              <w:t xml:space="preserve">procentu maksājumi</w:t>
            </w:r>
            <w:r w:rsidR="00000000" w:rsidRPr="00000000" w:rsidDel="00000000">
              <w:rPr>
                <w:rtl w:val="0"/>
              </w:rPr>
              <w:t xml:space="preserve"> kredītiestādēm no rezidentu mājsaimniecībām un nefinanšu sabiedrībām šā gada pirmajos septiņos mēnešos ir </w:t>
            </w:r>
            <w:r w:rsidR="00000000" w:rsidRPr="00000000" w:rsidDel="00000000">
              <w:rPr>
                <w:b w:val="1"/>
                <w:rtl w:val="0"/>
              </w:rPr>
              <w:t xml:space="preserve">pieauguši par 164 milj. </w:t>
            </w:r>
            <w:r w:rsidR="00000000" w:rsidRPr="00000000" w:rsidDel="00000000">
              <w:rPr>
                <w:b w:val="1"/>
                <w:i w:val="1"/>
                <w:rtl w:val="0"/>
              </w:rPr>
              <w:t xml:space="preserve">euro</w:t>
            </w:r>
            <w:r w:rsidR="00000000" w:rsidRPr="00000000" w:rsidDel="00000000">
              <w:rPr>
                <w:rtl w:val="0"/>
              </w:rPr>
              <w:t xml:space="preserve">[1], salīdzinot ar iepriekšējā gada atbilstošo periodu.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Turpretim, procentu izdevumus un kredītiestāžu finansējuma izmaksas galvenokārt veido procentu maksājumi noguldītājiem. Aptuveni 85% no kopējiem mājsaimniecību un nefinanšu sabiedrību noguldījumiem ir pieprasījuma noguldījumi, kuriem Latvijā kredītiestādes piemēro nulles vai nenozīmīgu procentu likmi (vidējā svērtā pieprasījuma noguldījumu likme 2023. gada jūlijā bija 0.26%). Savukārt piedāvātā procentu likme jauniem termiņnoguldījumiem ar 12 mēnešu termiņu vairumā kredītiestāžu ir sasniegusi 3.8%, un vidējā svērtā termiņnoguldījumu atlikumu likme ir pieaugusi līdz 3%. Tomēr noguldītāju līdzekļu pārvirzīšana no pieprasījuma uz termiņnoguldījumiem notiek lēni, un termiņnoguldījumi veido tikai 11% no kopējā noguldījumu portfeļa, tāpēc vidējā svērtā kopējā noguldījumu procentu likme 2023. gada jūlijā sasniedza tikai 0.64%.</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Rezultātā, lai arī kopējais noguldījumu portfelis ir pusotru reizi lielāks par izsniegto kredītu portfeli, </w:t>
            </w:r>
            <w:r w:rsidR="00000000" w:rsidRPr="00000000" w:rsidDel="00000000">
              <w:rPr>
                <w:b w:val="1"/>
                <w:rtl w:val="0"/>
              </w:rPr>
              <w:t xml:space="preserve">maksājumi mājsaimniecībām un nefinanšu sabiedrībām par to noguldījumiem </w:t>
            </w:r>
            <w:r w:rsidR="00000000" w:rsidRPr="00000000" w:rsidDel="00000000">
              <w:rPr>
                <w:rtl w:val="0"/>
              </w:rPr>
              <w:t xml:space="preserve">kredītiestādēs </w:t>
            </w:r>
            <w:r w:rsidR="00000000" w:rsidRPr="00000000" w:rsidDel="00000000">
              <w:rPr>
                <w:i w:val="1"/>
                <w:rtl w:val="0"/>
              </w:rPr>
              <w:t xml:space="preserve">euro</w:t>
            </w:r>
            <w:r w:rsidR="00000000" w:rsidRPr="00000000" w:rsidDel="00000000">
              <w:rPr>
                <w:rtl w:val="0"/>
              </w:rPr>
              <w:t xml:space="preserve"> izteiksmē šā gada pirmajos septiņos mēnešos ir </w:t>
            </w:r>
            <w:r w:rsidR="00000000" w:rsidRPr="00000000" w:rsidDel="00000000">
              <w:rPr>
                <w:b w:val="1"/>
                <w:rtl w:val="0"/>
              </w:rPr>
              <w:t xml:space="preserve">pieauguši tikai par 30 milj. </w:t>
            </w:r>
            <w:r w:rsidR="00000000" w:rsidRPr="00000000" w:rsidDel="00000000">
              <w:rPr>
                <w:b w:val="1"/>
                <w:i w:val="1"/>
                <w:rtl w:val="0"/>
              </w:rPr>
              <w:t xml:space="preserve">euro</w:t>
            </w:r>
            <w:r w:rsidR="00000000" w:rsidRPr="00000000" w:rsidDel="00000000">
              <w:rPr>
                <w:rtl w:val="0"/>
              </w:rPr>
              <w:t xml:space="preserve">, salīdzinot ar iepriekšējā gada atbilstošo periodu, kas ir vairāk kā piecas reizes mazāks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Procentu likmju etalona EURIBOR piemērošana kredītu līgumos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EURIBOR etalona procentu likmju piemērošana izriet no jau noslēgtiem līgumiem, tā ir likumīga, atbilstoša starptautiskajai praksei un plaši tiek piemērota vairākās Eiropas Savienības dalībvalstīs. Tomēr valstu starpā atšķiras prakse attiecībā uz procentu likmes fiksācijas periodiem un fiksēto procentu likmju īpatsvaru kredītiestāžu kredītu portfeļos. Latvijas gadījumā kredītiestāžu izsniegtie aizdevumi galvenokārt ir saistīti ar īstermiņa (galvenokārt 3 vai 6 mēnešu) EURIBOR etalona procentu likmi. EURIBOR etalona procentu likmei piesaistīti aptuveni 90% no kredītiestāžu izsniegtajiem hipotekārajiem kredītiem mājsaimniecībām.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 ja EURIBOR etalona procentu likme šobrīd tiešā veidā neraksturo kredītiestāžu finansēšanās izmaksas, pastāv ekonomisks pamatojums, kādēļ kredītu cenai būtu jābūt cieši saistītai ar naudas cenu, ko raksturo EURIBOR etalona procentu likmes. Naudas cena atspoguļojas visu finanšu aktīvu klašu ienesīgumā. Tas attiecas arī uz ļoti zema riska aktīviem, piemēram, valstu obligācijām. Pašreiz Latvijas valdības 10 gadu obligācijas ienesīguma likme ir aptuveni 4%, kas ir tuva ECB noteiktajām procentu likmēm. Savukārt kredīti pieder pie riskantākas aktīvu klases, salīdzinot ar valdību obligācijām, tāpēc ir saprotams, ka to ienesīguma procentu likmei būtu jābūt augstākai. Līdz ar to secināms, ka EURIBOR etalona procentu likmes piemērošana hipotekārajiem kredītiem papildus kredītiestādes noteiktajai pievienotajai likmei ir tiesiska un nav uzskatāma par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kāpuma ietekme uz kredītņēmējiem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Latvijas Bankas mājsaimniecību – kredītņēmēju aptaujā iegūtajiem datiem un aplēsēm, to mājsaimniecību-kredītņēmēju, kurām parāda apkalpošanas izdevumu un neto ienākumu attiecība pieaug vismaz līdz 40%, ja visu termiņu EURIBOR etalona procentu likmes sasniedz 4.0%, īpatsvars kopējā mājsaimniecību-kredītņēmēju skaitā ir 3.2%.</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Procentu likmju pieauguma un patēriņa cenu kāpuma kopējā ietekme ir daudz nelabvēlīgāka. Saskaņā ar Latvijas Bankas aplēsēm to mājsaimniecību-kredītņēmēju, kurām parāda apkalpošanas izdevumu un neto ienākumu[2] attiecība pieaug vismaz līdz 40%, ja visu termiņu EURIBOR etalona procentu likmes sasniedz 4.0% un mājsaimniecību izdevumi 2023. gadā pieaug vidēji par 10.0%, īpatsvars kopējā mājsaimniecību-kredītņēmēju skaitā ir līdz[3]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jānorāda arī tas, ka šī brīža situācija nav tieši salīdzināma ar situāciju 2010. un 2011. gadā, kad bija vērojams būtisks iedzīvotāju emigrācijas pieaugums. Toreiz krīzi pamatā izraisīja pārmērīga un nepārdomāta aizņemšanās, kur kredītu atlikums īsā laika posmā pietuvojās IKP apjomam. Savukārt pašlaik kredītu atlikums pret IKP ir krietni zemāks, kredītiestāžu kreditēšanas politika konservatīvāka, un kredīti ir izsniegti krietni kredītspējīgākiem aizņēmējiem, par ko liecina vairāk kā desmitkārt labāki kredītu kvalitātes rādītāji par spīti nesen piedzīvotajiem pandēmijas, ģeopolitiskajiem un energoresursu cenu šoka satricinājumiem. Proti, kredītu maksājumu kavējumi (virs 90 dienām) 2010. un 2011. gadā bija tuvu 20%, kamēr šobrīd tie ir vien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Arī ekonomika šobrīd ir būtiski spēcīgāka, nodrošinot darba iespējas iedzīvotājiem un strauju ienākumu pieaugumu. Ekonomikas apmērs 2010. un 2011. gadā bija par aptuveni 20% zemāks nekā 2007. gadā pirms krīzes, kamēr šobrīd joprojām sagaidām, lai gan mērenu, bet tomēr ekonomikas izaugsmi. Bezdarba rādītājs 2010. un 2011. gados svārstījās 15-20% robežās, bet šobrīd tas ir tuvu vēsturiski zemākajam līmenim (6.4%). Arī darba algu jomā, ja 2010. gada sākumā redzējām vidējās neto algas sarukumu par aptuveni 12%, tad šobrīd ir vērojams līdzvērtīgs algu pieaugums. Ņemot vērā minētos apstākļus, nevar piekrist  apgalvojumam, ka no Latvijas atkal nesamaksājamu kredītu dēļ aizbrauks desmitiem tūkstošu darbspējīgo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u w:val="single"/>
                <w:rtl w:val="0"/>
              </w:rPr>
              <w:t xml:space="preserve">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 un Latvijas Banka, ņemot vērā EURIBOR etalona procentu likmes strauju paaugstinājumu, jau ilgāku laiku seko līdzi situācijai finanšu sektorā un kredītņēmēju spējai segt savas hipotekārā kredīta saistības. Atbalstāma ir diskusija par nepieciešamiem atbalsta pasākumiem kredītņēmējiem, meklējot esošajai situācijai atbilstošākos instrumentus. Finanšu ministrija un Latvijas Banka ir arī aktīvi veidojušas dialogu ar kredītiestādēm, aicinot tās būt sociāli atbildīgām.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Vērtējot pašreizējās norises finanšu sektorā, ir svarīgi, lai īstermiņa risinājumi nerada negatīvas sekas ilgtspējīgai ekonomikas un finanšu sistēmas attīstībai. Būtiska nozīme situācijas risināšanā ir konkurences veicināšanai un investoru piesaistei kredītiestāžu jomā. Taču bažas raisa iniciatīvas, kas var pasliktināt konkurences apstākļus, radot neprognozējamu uzņēmējdarbības vidi. Tas, savukārt, nozīmētu mazāk pieejamus finanšu pakalpojumus ar daudz sliktākiem nosacījumiem Latvijas iedzīvotājiem un uzņēmējiem.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Horizontāli risinājumi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sēdē tika ierosināti trīs iespējami horizontāli risinājumi:</w:t>
            </w:r>
          </w:p>
          <w:p w:rsidP="00000000" w:rsidRDefault="00000000" w:rsidR="00000000" w:rsidRPr="00000000" w:rsidDel="00000000">
            <w:pPr>
              <w:numPr>
                <w:ilvl w:val="0"/>
                <w:numId w:val="6"/>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EURIBOR etalona procentu likmes piemērošanas griestus vai likumā aizstāt EURIBOR etalona procentu likmi ar citu etalona likmi uz noteiktu laiku;</w:t>
            </w:r>
          </w:p>
          <w:p w:rsidP="00000000" w:rsidRDefault="00000000" w:rsidR="00000000" w:rsidRPr="00000000" w:rsidDel="00000000">
            <w:pPr>
              <w:numPr>
                <w:ilvl w:val="0"/>
                <w:numId w:val="6"/>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ka kredītiestādes pievienotā likme uz noteiktu laiku netiek piemērota;</w:t>
            </w:r>
          </w:p>
          <w:p w:rsidP="00000000" w:rsidRDefault="00000000" w:rsidR="00000000" w:rsidRPr="00000000" w:rsidDel="00000000">
            <w:pPr>
              <w:numPr>
                <w:ilvl w:val="0"/>
                <w:numId w:val="6"/>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noteiktu laiku ierobežot maksimālo kredītiem piemērojamo procentu likmi.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arī šādi piedāvātie risinājumi būtu izdevīgi lielai daļai kredītņēmēju, un tiem nav tūlītēja fiskāla ietekme, Finanšu ministrija un Latvijas Banka šādu pieeju neatbalsta. Iespējamie atbalsta mehānismi būtu jāveido fokusēti, ņemot vērā kredītņēmēja ienākumu līmeni un kredītu slogu, sniedzot atbalstu sociāli ievainojamākajām sabiedrības grupām.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komisijas sēdē rosinātajiem horizontālajiem risinājumiem piemīt būtiski riski, tai skaitā:</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Eiropas Komisijas nostājai, ka augstas inflācijas apstākļos atbalsts ir mērķēts, ieviests uz laiku un attiecas  uz visievainojamākajām sabiedrības grupām;</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netiek ņemta vērā mājsaimniecību maksātspēja un nepieciešamība pēc atbalsta;</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neskar kredītņēmējus ar fiksētām likmēm un ārpus kredītiestādēm izsniegtos kredītus;</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normatīvajam regulējumam, kas nosaka kredītiestāžu prudenciālo uzraudzības un patērētāju aizsardzības ietvaru;</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augsts tiesvedības risks – negatīvas tiesvedības rezultātā valstij būs jāuzņemas risku atlīdzināt zaudējumus (~160 milj. </w:t>
            </w:r>
            <w:r w:rsidR="00000000" w:rsidRPr="00000000" w:rsidDel="00000000">
              <w:rPr>
                <w:i w:val="1"/>
                <w:rtl w:val="0"/>
              </w:rPr>
              <w:t xml:space="preserve">euro</w:t>
            </w:r>
            <w:r w:rsidR="00000000" w:rsidRPr="00000000" w:rsidDel="00000000">
              <w:rPr>
                <w:rtl w:val="0"/>
              </w:rPr>
              <w:t xml:space="preserve"> vai vairāk, ja visiem kredītņēmējiem tiek piemērots risinājums ar kredītiestādes pievienotās likmes nepiemērošanu), jo aizliedz kredītiestādēm pildīt spēkā esošu līgumu nosacījumus;</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ieviešot kādu no risinājumiem, sagaidāms starptautisku institūciju un reitingu aģentūru negatīvs vērtējums par to;</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negatīva ietekme uz investīciju vidi un hipotekāro kreditēšanu nākotnē – kredītu pieejamība un cena;</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normatīvā aktā regulējot hipotekāro kredītu ienesīgumu, kredītiestāžu brīvie resursi var tikt pārvirzīti uz citiem zema riska instrumentiem, saņemot to pašu vai lielāku ienesīgumu (valsts vērtspapīri u.c.);</w:t>
            </w:r>
          </w:p>
          <w:p w:rsidP="00000000" w:rsidRDefault="00000000" w:rsidR="00000000" w:rsidRPr="00000000" w:rsidDel="00000000">
            <w:pPr>
              <w:numPr>
                <w:ilvl w:val="0"/>
                <w:numId w:val="7"/>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sabiedrībā iesakņojas gaidas, ka negatīvas tirgus svārstības kompensēs valsts.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 20. septembra sēdē kā atbilstošāko iespējamo risinājumu  izvēlējās Polijā ieviesto mehānismu kredītņēmēju aizsardzībai. Proti, lai risinātu straujo procentu likmju kāpumu, Polija ir ieviesusi normatīvo regulējumu, kas paredz tiesības kredītņēmējam pieprasīt “kredīta brīvdienas” – pārtraukt kredīta pamatsummas un procentu maksājumus, par attiecīgo laiku pagarinot kredīta atmaksas termiņu. Saskaņā ar Polijas izveidoto atbalsta mehānismu hipotekārā kredīta aizņēmējam ir tiesības pieprasīt kredītiestādei “kredīta brīvdienas” – divus mēnešus katrā laikposmā no 2022. gada 1. augusta līdz 30. septembrim un no 2022. gada 1. oktobra līdz 31. decembrim un vienu mēnesi katrā ceturksnī laikposmā no 2023. gada 1. janvāra līdz 31. decembrim – kopā astoņus mēnešus. Atbalstu var saņemt jebkurš kredītņēmējs, kuram ir nacionālajā valūtā zlotos izsniegts hipotekārais mājokļa kredīts.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ECB 2023. gada 20. martā ir sniegusi atzinumu (CON/2023/8) par Polijas apstiprināto normatīvo regulējumu[4] un izteikusi negatīvu vērtējumu par Polijas ieviesto risinājumu, paužot bažas par šāda normatīvā regulējuma ietekmi uz finanšu stabilitāti, kā arī aicinot Poliju apsvērt ieviest mērķētus atbalsta piešķiršanas kritērijus.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Polijas ieviestais atbalsta mehānisms hipotekāro kredītu ņēmējiem rada šādus riskus finanšu stabilitātei:</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stimulē kredīta termiņu pagarināšanu, nevis ātrāku to atmaksu;</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vājina kredītstandartus kredītiestādēs;</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var radīt grūtības kredītiestādēm piesaistīt investorus minimālā pamatkapitāla prasību nodrošināšanai vai obligāciju emisijai;</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kredītiestādēm radītie zaudējumi nākotnē var tikt pārnesti uz no jauna izsniedzamajiem kredītiem;</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mazina kredītiestāžu rentabilitāti, kas nozīmē samazinātu kredītiestāžu spēju saglabāt ieņēmumus un palielināt kapitālu, kas nepieciešams zaudējumu segšanai un jaunu kredītu izsniegšanai nākotnē, potenciāli arī samazinot nākotnes iemaksas nodokļu ieņēmumus valsts budžetā;</w:t>
            </w:r>
          </w:p>
          <w:p w:rsidP="00000000" w:rsidRDefault="00000000" w:rsidR="00000000" w:rsidRPr="00000000" w:rsidDel="00000000">
            <w:pPr>
              <w:numPr>
                <w:ilvl w:val="0"/>
                <w:numId w:val="8"/>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zaudējumu apmērs, ko šādas “kredīta brīvdienas” radītu, var apdraudēt kredītiestāžu maksātspēju.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ar to ir jāņem vārā tas, ka arī Latvijai jebkādi piedāvātie risinājumi, kas skar finanšu stabilitāti un vērsti uz hipotekāro kredītu procentu likmju ierobežošanu, būs jāapspriež ar Eiropas Centrālo banku, saskaņā ar Līguma par Eiropas Savienības darbību 127. panta 4. punktu un  Līguma par Eiropas Savienības darbību 4. protokola "Par Eiropas Centrālo banku sistēmas Statūtiem un Eiropas Centrālās bankas Statūtiem"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Mērķēts atbalsts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ministrijas ieskatā šajā situācijā, tostarp ņemot vērā to, ka potenciāli ietekmētās mājsaimniecības ir vien 1,6% no visām Latvijas mājsaimniecībām, visatbilstošākais būtu </w:t>
            </w:r>
            <w:r w:rsidR="00000000" w:rsidRPr="00000000" w:rsidDel="00000000">
              <w:rPr>
                <w:b w:val="1"/>
                <w:rtl w:val="0"/>
              </w:rPr>
              <w:t xml:space="preserve">īstenot mērķētu atbalstu tām mājsaimniecībām, kurām ir būtiski pieauguši kredīta maksājumi</w:t>
            </w:r>
            <w:r w:rsidR="00000000" w:rsidRPr="00000000" w:rsidDel="00000000">
              <w:rPr>
                <w:rtl w:val="0"/>
              </w:rPr>
              <w:t xml:space="preserve">:</w:t>
            </w:r>
          </w:p>
          <w:p w:rsidP="00000000" w:rsidRDefault="00000000" w:rsidR="00000000" w:rsidRPr="00000000" w:rsidDel="00000000">
            <w:pPr>
              <w:numPr>
                <w:ilvl w:val="0"/>
                <w:numId w:val="9"/>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ALTUM mērķēta atbalsta programma, kas ļautu kapitalizēt daļu kredīta procentu maksājumus, piesaistot papildu garantiju no ALTUM un tādējādi samazinot ikmēneša maksājumu;</w:t>
            </w:r>
          </w:p>
          <w:p w:rsidP="00000000" w:rsidRDefault="00000000" w:rsidR="00000000" w:rsidRPr="00000000" w:rsidDel="00000000">
            <w:pPr>
              <w:numPr>
                <w:ilvl w:val="0"/>
                <w:numId w:val="9"/>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sniegt mērķētu palīdzību pieejamo sociālās palīdzības instrumentu ietvaros;</w:t>
            </w:r>
          </w:p>
          <w:p w:rsidP="00000000" w:rsidRDefault="00000000" w:rsidR="00000000" w:rsidRPr="00000000" w:rsidDel="00000000">
            <w:pPr>
              <w:numPr>
                <w:ilvl w:val="0"/>
                <w:numId w:val="9"/>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laiku iekļaut hipotekāro kredītu procentu maksājumus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ALTUM mērķētā atbalsta programma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ALTUM programmas mērķis ir sniegt atbalstu kredītņēmējiem, kuri pieaugošās EURIBOR etalona procentu likmes dēļ nevar veikt aizņēmuma procentu maksājumus pilnā apmērā.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Piedāvātais risinājums paredz iespēju kredītiestādēm kapitalizēt aizdevuma procentus (palielina aizdevuma kopējo summu), ko klientam ar pašreizējo EURIBOR etalona procentu likmi ir apgrūtinoši samaksāt (piemēram, par to EURIBOR etalona daļu, kas pārsniedz 2%). Ar ALTUM piešķirto bezmaksas garantiju, daļa procentu tiek kapitalizēta un aizņēmējs līdz 3 gadiem veic ikmēneša maksājumus mazākā apjomā atbilstoši savai maksātspējai un finanšu apstākļiem. ALTUM garantijai ar kredītiestāžu starpniecību var pieteikties 12 mēnešus no programmas uzsākšanas.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Atbilstoši Latvijas Bankas aplēsei 2024. gada sākumā līdz 11.9% mājsaimniecību parāda apkalpošanas un ienākumu attiecība DSTI (</w:t>
            </w:r>
            <w:r w:rsidR="00000000" w:rsidRPr="00000000" w:rsidDel="00000000">
              <w:rPr>
                <w:i w:val="1"/>
                <w:rtl w:val="0"/>
              </w:rPr>
              <w:t xml:space="preserve">debt service to income ratio</w:t>
            </w:r>
            <w:r w:rsidR="00000000" w:rsidRPr="00000000" w:rsidDel="00000000">
              <w:rPr>
                <w:rtl w:val="0"/>
              </w:rPr>
              <w:t xml:space="preserve">) varētu pārsniegt ar cenām koriģētu DSTI 40% slieksni. Šīm mājsaimniecībām izsniegto mājokļu kredītu skaits būtu 15 tūkstoši, bet kopējais kredītu atlikums 563 milj. </w:t>
            </w:r>
            <w:r w:rsidR="00000000" w:rsidRPr="00000000" w:rsidDel="00000000">
              <w:rPr>
                <w:i w:val="1"/>
                <w:rtl w:val="0"/>
              </w:rPr>
              <w:t xml:space="preserve">euro</w:t>
            </w:r>
            <w:r w:rsidR="00000000" w:rsidRPr="00000000" w:rsidDel="00000000">
              <w:rPr>
                <w:rtl w:val="0"/>
              </w:rPr>
              <w:t xml:space="preserve"> (vidējais kredīta atlikums 37 500 </w:t>
            </w:r>
            <w:r w:rsidR="00000000" w:rsidRPr="00000000" w:rsidDel="00000000">
              <w:rPr>
                <w:i w:val="1"/>
                <w:rtl w:val="0"/>
              </w:rPr>
              <w:t xml:space="preserve">euro</w:t>
            </w:r>
            <w:r w:rsidR="00000000" w:rsidRPr="00000000" w:rsidDel="00000000">
              <w:rPr>
                <w:rtl w:val="0"/>
              </w:rPr>
              <w:t xml:space="preserve">). Minētās mājsaimniecības gadā aizdevumu procentu maksājumos, t.sk. ņemot vērā EURIBOR etalona procentu likmi, samaksās 35-38 milj. </w:t>
            </w:r>
            <w:r w:rsidR="00000000" w:rsidRPr="00000000" w:rsidDel="00000000">
              <w:rPr>
                <w:i w:val="1"/>
                <w:rtl w:val="0"/>
              </w:rPr>
              <w:t xml:space="preserve">euro</w:t>
            </w:r>
            <w:r w:rsidR="00000000" w:rsidRPr="00000000" w:rsidDel="00000000">
              <w:rPr>
                <w:rtl w:val="0"/>
              </w:rPr>
              <w:t xml:space="preserve">, bet trīs gados līdz 116 milj. </w:t>
            </w:r>
            <w:r w:rsidR="00000000" w:rsidRPr="00000000" w:rsidDel="00000000">
              <w:rPr>
                <w:i w:val="1"/>
                <w:rtl w:val="0"/>
              </w:rPr>
              <w:t xml:space="preserve">euro</w:t>
            </w:r>
            <w:r w:rsidR="00000000" w:rsidRPr="00000000" w:rsidDel="00000000">
              <w:rPr>
                <w:rtl w:val="0"/>
              </w:rPr>
              <w:t xml:space="preserve">. Programma līdzīgi kā pašreizējā ALTUM mājokļu garantiju programma ļautu izsniegt garantijas septiņas reizes vairāk par pieejamo finansējumu. ALTUM programmu var īstenot, vai nu pilnībā garantējot kapitalizēto procentu portfeli, vai arī sniedzot segumu nepilnā apmērā, piemēram, 30% no visiem kapitalizētajiem procentiem:</w:t>
            </w:r>
          </w:p>
          <w:p w:rsidP="00000000" w:rsidRDefault="00000000" w:rsidR="00000000" w:rsidRPr="00000000" w:rsidDel="00000000">
            <w:pPr>
              <w:numPr>
                <w:ilvl w:val="0"/>
                <w:numId w:val="10"/>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100% apmērā visu kapitalizēto procentu portfeli (116 milj. </w:t>
            </w:r>
            <w:r w:rsidR="00000000" w:rsidRPr="00000000" w:rsidDel="00000000">
              <w:rPr>
                <w:i w:val="1"/>
                <w:rtl w:val="0"/>
              </w:rPr>
              <w:t xml:space="preserve">euro</w:t>
            </w:r>
            <w:r w:rsidR="00000000" w:rsidRPr="00000000" w:rsidDel="00000000">
              <w:rPr>
                <w:rtl w:val="0"/>
              </w:rPr>
              <w:t xml:space="preserve">), tad nepieciešamais publiskais finansējums ir aptuveni 17,1 milj. </w:t>
            </w:r>
            <w:r w:rsidR="00000000" w:rsidRPr="00000000" w:rsidDel="00000000">
              <w:rPr>
                <w:i w:val="1"/>
                <w:rtl w:val="0"/>
              </w:rPr>
              <w:t xml:space="preserve">euro</w:t>
            </w:r>
            <w:r w:rsidR="00000000" w:rsidRPr="00000000" w:rsidDel="00000000">
              <w:rPr>
                <w:rtl w:val="0"/>
              </w:rPr>
              <w:t xml:space="preserve">, ko 5,4 milj. </w:t>
            </w:r>
            <w:r w:rsidR="00000000" w:rsidRPr="00000000" w:rsidDel="00000000">
              <w:rPr>
                <w:i w:val="1"/>
                <w:rtl w:val="0"/>
              </w:rPr>
              <w:t xml:space="preserve">euro</w:t>
            </w:r>
            <w:r w:rsidR="00000000" w:rsidRPr="00000000" w:rsidDel="00000000">
              <w:rPr>
                <w:rtl w:val="0"/>
              </w:rPr>
              <w:t xml:space="preserve"> apmērā var segt ALTUM, bet papildus nepieciešams publiskais finansējums risku segumam 11,7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0"/>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līdz 30% no kapitalizēto procentu portfeļa (35 milj. </w:t>
            </w:r>
            <w:r w:rsidR="00000000" w:rsidRPr="00000000" w:rsidDel="00000000">
              <w:rPr>
                <w:i w:val="1"/>
                <w:rtl w:val="0"/>
              </w:rPr>
              <w:t xml:space="preserve">euro</w:t>
            </w:r>
            <w:r w:rsidR="00000000" w:rsidRPr="00000000" w:rsidDel="00000000">
              <w:rPr>
                <w:rtl w:val="0"/>
              </w:rPr>
              <w:t xml:space="preserve">), tad nepieciešamais finansējums būtu 5,4 milj. </w:t>
            </w:r>
            <w:r w:rsidR="00000000" w:rsidRPr="00000000" w:rsidDel="00000000">
              <w:rPr>
                <w:i w:val="1"/>
                <w:rtl w:val="0"/>
              </w:rPr>
              <w:t xml:space="preserve">euro</w:t>
            </w:r>
            <w:r w:rsidR="00000000" w:rsidRPr="00000000" w:rsidDel="00000000">
              <w:rPr>
                <w:rtl w:val="0"/>
              </w:rPr>
              <w:t xml:space="preserve">, ko iespējams segt no ALTUM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Šīs programmas ietvaros būtu iespējams atbalstīt ~ 15 000 aizņēmējus.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Hipotekāro kredītprocentu maksājumu terminēta iekļaušana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īstenotu mērķētu atbalstu tām Latvijas mājsaimniecībām, kurām ir būtiski pieauguši kredīta maksājumi, viens no iespējamajiem risinājumiem ir izstrādāt likumprojektu “Grozījumi likumā “Par iedzīvotāju ienākuma nodokli”, paredzot ieviest terminētu pasākumu uz diviem gadiem – 2023. un 2024. gadu. Pasākuma ietvaros iedzīvotāju ienākuma nodokļa (turpmāk – IIN) maksātājs IIN attaisnotajos izdevumos, papildus jau spēkā esošajam attaisnoto izdevumu apmēram (600 </w:t>
            </w:r>
            <w:r w:rsidR="00000000" w:rsidRPr="00000000" w:rsidDel="00000000">
              <w:rPr>
                <w:i w:val="1"/>
                <w:rtl w:val="0"/>
              </w:rPr>
              <w:t xml:space="preserve">euro</w:t>
            </w:r>
            <w:r w:rsidR="00000000" w:rsidRPr="00000000" w:rsidDel="00000000">
              <w:rPr>
                <w:rtl w:val="0"/>
              </w:rPr>
              <w:t xml:space="preserve">)  varētu iekļaut savus veiktos hipotekāro kredītu procentu maksājumus par mājokli (t.sk. dzīvokli, māju, kredītu mājas būvniecībai) apmērā līdz 2 000 </w:t>
            </w:r>
            <w:r w:rsidR="00000000" w:rsidRPr="00000000" w:rsidDel="00000000">
              <w:rPr>
                <w:i w:val="1"/>
                <w:rtl w:val="0"/>
              </w:rPr>
              <w:t xml:space="preserve">eur</w:t>
            </w:r>
            <w:r w:rsidR="00000000" w:rsidRPr="00000000" w:rsidDel="00000000">
              <w:rPr>
                <w:rtl w:val="0"/>
              </w:rPr>
              <w:t xml:space="preserve">o gadā. Minētais ierobežojums tiktu noteikts, ņemot vērā Latvijas Bankas informāciju, ka vidējais procentu maksājumu apjoms uz vienu kredītu ir 164 </w:t>
            </w:r>
            <w:r w:rsidR="00000000" w:rsidRPr="00000000" w:rsidDel="00000000">
              <w:rPr>
                <w:i w:val="1"/>
                <w:rtl w:val="0"/>
              </w:rPr>
              <w:t xml:space="preserve">euro</w:t>
            </w:r>
            <w:r w:rsidR="00000000" w:rsidRPr="00000000" w:rsidDel="00000000">
              <w:rPr>
                <w:rtl w:val="0"/>
              </w:rPr>
              <w:t xml:space="preserve"> mēnesī, savukārt vidējais procentu maksājumu apjoms uz vienu aizņēmēju – 151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Minētais normatīvais regulējums būtu piemērojams hipotekāro kredītu maksājumiem, kas veikti, sākot ar 2023. gada 1. janvāri, t.i., attiecīgais regulējums tiktu piemērots ar atpakaļvērstu spēku un būtu maksimāli labvēlīgs nodokļu maksātājiem. Atbilstoši Latvijas Bankas sniegtajai informācijai kopējais izsniegto mājokļu hipotekāro kredītu skaits ir 127,2 tūkst., kopējais personu skaits, kam izsniegti mājokļu hipotekārie kredīti – 138,6 tūkst. Minētā risinājuma fiskālā ietekme novērtēta ~ 47,6 milj. </w:t>
            </w:r>
            <w:r w:rsidR="00000000" w:rsidRPr="00000000" w:rsidDel="00000000">
              <w:rPr>
                <w:i w:val="1"/>
                <w:rtl w:val="0"/>
              </w:rPr>
              <w:t xml:space="preserve">euro</w:t>
            </w:r>
            <w:r w:rsidR="00000000" w:rsidRPr="00000000" w:rsidDel="00000000">
              <w:rPr>
                <w:rtl w:val="0"/>
              </w:rPr>
              <w:t xml:space="preserve"> IIN atmaksu pieaugumā par vienu gadu (kredītņēmēji ar apgādībā esošām personām un līdz 1 000 </w:t>
            </w:r>
            <w:r w:rsidR="00000000" w:rsidRPr="00000000" w:rsidDel="00000000">
              <w:rPr>
                <w:i w:val="1"/>
                <w:rtl w:val="0"/>
              </w:rPr>
              <w:t xml:space="preserve">euro</w:t>
            </w:r>
            <w:r w:rsidR="00000000" w:rsidRPr="00000000" w:rsidDel="00000000">
              <w:rPr>
                <w:rtl w:val="0"/>
              </w:rPr>
              <w:t xml:space="preserve"> mēnešalgai šādu atbalstu nevarēs izmantot pilnā apmērā, līdz ar to ietekmes apmērs varētu būt arī mazāks).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jāņem vērā, ka nodokļa maksātājs attaisnotos izdevumus varēs piemērot tikai tad, ja taksācijas gada laikā ir guvis ar IIN apliekamus ienākumus. Tāpat būtiski, ka nodokļa maksātājs IIN atmaksas veidā atgūst tikai 20% no attaisnoto izdevumu apmēru (t.i., ja attaisnotajos izdevumos iekļaus 2 000 </w:t>
            </w:r>
            <w:r w:rsidR="00000000" w:rsidRPr="00000000" w:rsidDel="00000000">
              <w:rPr>
                <w:i w:val="1"/>
                <w:rtl w:val="0"/>
              </w:rPr>
              <w:t xml:space="preserve">euro</w:t>
            </w:r>
            <w:r w:rsidR="00000000" w:rsidRPr="00000000" w:rsidDel="00000000">
              <w:rPr>
                <w:rtl w:val="0"/>
              </w:rPr>
              <w:t xml:space="preserve">, IIN atmaksas veidā būs iespējams atgūt 400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nodokļa administrēšanas procesu padarītu iespējami efektīvāku, būtu nosakāms, ka kredītiestādes līdz pēctaksācijas gada 1. februārim Valsts ieņēmumu dienestam (turpmāk – VID) sniedz informāciju par fizisko personu taksācijas gada laikā veiktajiem hipotekāro kredītu procentu maksājumiem par mājokli. Ja hipotekārais kredīts ir ņemts citas Eiropas Savienības dalībvalsts vai Eiropas Ekonomikas zonas valsts kredītiestādē, nodokļa maksātājam hipotekārā kredīta procentu maksājumus par mājokli apliecinošus dokumentus VID ir jāiesniedz pašam.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Hipotekāro kredītu procentu maksājumus par mājokli attaisnotajos izdevumos varētu iekļaut tikai kārtējā taksācijas gadā un – līdzīgi kā iemaksas privātajos pensiju fondos un apdrošināšanas prēmiju maksājumu – nevarētu dalīt starp ģimenes locekļiem vai pārnest uz nākamajiem taksācijas gadiem.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Jāvērš uzmanība arī uz to, ka tad, ja attaisnotos izdevumus vēlas noteikt mērķētākus, piemēram, piemērot tikai konkrētām iedzīvotāju grupām, atvieglojuma fiskālā ietekme var samazināties, taču pieaugs iedzīvotāju ienākuma nodokļa administrēšanas izdevumi (rodas nepieciešamība ieguldīt papildu manuālo darbu deklarāciju apstrāde, papildu izdevumi programatūrai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Kredītiestāžu nodokļu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situāciju ar kredītiestāžu netipiski straujo peļņas kāpumu, Finanšu ministrija ir izstrādājusi un uzsākusi saskaņošanu likumprojektam “Grozījumi Uzņēmumu ienākuma nodokļa likumā” (TA lieta Nr. 23-TA-2277), kas paredz noteikt kredītiestādēm un patērētāju kreditēšanas pakalpojumu sniedzējiem pienākumu veikt uzņēmumu ienākuma nodokļa samaksu 20% apmērā par pirmstaksācijas gadā gūto peļņu, neatkarīgi no tā, vai tiek veikta šīs peļņas sadale. Plānots, ka likumprojektā ietvertais regulējums attieksies uz kredītiestāžu 2023. gada peļņu, un plānotie ienākumi valsts budžetā prognozēti līdz 140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sadarbībā ar Latvijas Banku turpinās darbu pie vispiemērotākā risinājuma izstrādes, kas fokusēts uz sociāli ievainojamākajām mājsaimniecībām, kā arī ilgtermiņā neapdraud investīciju vidi un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Avots: Latvijas Banka, Statistiskie dati par kredītiestāžu un citu monetāro finanšu iestāžu finansiālo stāvokli.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Lai hipotētiski parādītu, kā ikdienas izdevumu pieaugums papildus apgrūtina mājsaimniecību spēju veikt norēķinus par kredītsaistībām, ienākumi samazināti par apmēru, ar kādu pieauguši attiecīgās mājsaimniecības izdevumi cenu kāpuma dēļ. Šāda ienākumu korekcija nav tipiska un neatspoguļo kredītiestāžu standarta pieeju parāda apkalpošanas izmaksu pret ienākumu vērtēšanā.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Aprēķins veikts, pieņemot, ka mājsaimniecības nemaina savus patēriņa ieradumus. Ja nozīmīgs skaits mājsaimniecību spēj samazināt savus izdevumus, tad patiesais mājsaimniecību īpatsvars ar pārmērīgu parāda slogu ir zemāks. Tādējādi aprēķinātais mājsaimniecību īpatsvars uztverams kā mājsaimniecību īpatsvara augšējā robeža.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OPINION OF THE EUROPEAN CENTRAL BANK of 20 March 2023  on mortgage holidays (CON/2023/8). Pieejams: https://eur-lex.europa.eu/legal-content/EN/TXT/PDF/?uri=CELEX:52023AB0008&amp;qid=1694070675472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sadaļā "Mērķēts atbalsts" - neatbalstām pēdējo priekšlikumu: "3) uz laiku iekļaut hipotekāro kredītu procentu maksājumus iedzīvotāju ienākuma nodokļa attaisnotajos izdevumos.", jo minētais priekšlikums nav mērķēts un tam piemīt virkne no būtiskajiem riskiem, kas vēstulē minēti attiecībā uz Budžeta un finanšu (nodokļu) komisijas piedāvātajiem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rosinām svītrot minēto priekšlikumu, kā arī šo priekšlikumu paskaidrojošo vēstules sadaļu "Hipotekāro kredītprocentu maksājumu terminēta iekļaušana iedzīvotāju ienākuma nodokļa attaisnotajos izdevumos".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vēstulē minētais 3.priekšlikums - uz laiku iekļaut hipotekāro kredītu procentu maksājumus iedzīvotāju ienākuma nodokļa attaisnotajos izdevumos - ir atbalsta pasākums kredītņēmējiem.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iedzīvotāju ienākuma nodokļa (turpmāk – IIN) maksātājs IIN attaisnotajos izdevumos, papildus jau spēkā esošajam attaisnoto izdevumu apmēram (600 euro) varētu iekļaut savus veiktos hipotekāro kredītu procentu maksājumus par mājokli apmērā līdz 2 000 euro gadā. Tāpat būtiski, ka nodokļa maksātājs IIN atmaksas veidā atgūst 20% no attaisnoto izdevumu apmēru (t.i., ja attaisnotajos izdevumos iekļaus 2 000 euro, IIN atmaksas veidā būs iespējams atgūt 400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Saeimas Budžeta un finanšu (nodokļu) komisijas 2023. gada 7. augusta vēstuli Nr. 142.2.9/2-12-14/23, kurā Ministru kabinets, Finanšu ministrija un Latvijas Banka tiek aicināti izvērtēt situāciju finanšu tirgū saistībā ar strauji augošo EURIBOR etalona procentu likmi, kā arī pēc iespējas ātrāk rast nepieciešamos risinājumus un iesniegt Saeimas Budžeta un finanšu (nodokļu) komisijai priekšlikumus, kā arī Saeimas Tautsaimniecības, agrārās, vides un reģionālās politikas komisijas 2023. gada 13. septembra vēstuli Nr. 142.1.9/8-25-14/23 “Par EURIBOR likmju pieauguma ietekmi uz tautsaimniecību”, ar kuru Finanšu ministrija un Latvijas Banka tiek aicinātas:</w:t>
            </w:r>
            <w:r w:rsidR="00000000" w:rsidRPr="00000000" w:rsidDel="00000000">
              <w:rPr>
                <w:rtl w:val="0"/>
              </w:rPr>
              <w:t xml:space="preserve">
</w:t>
            </w:r>
            <w:r w:rsidR="00000000" w:rsidRPr="00000000" w:rsidDel="00000000">
              <w:rPr>
                <w:rtl w:val="0"/>
              </w:rPr>
              <w:t xml:space="preserve">turpināt sarunas ar kredītiestāžu vadību par kredītu kopējās procentu likmes nepalielināšanu vai samazināšanu (pašlaik kopējā procentu likme ir viena no augstākajām Eiropā, šādi padarot Latvijas eksportuzņēmumus par nekonkurētspējīgiem);</w:t>
            </w:r>
            <w:r w:rsidR="00000000" w:rsidRPr="00000000" w:rsidDel="00000000">
              <w:rPr>
                <w:rtl w:val="0"/>
              </w:rPr>
              <w:t xml:space="preserve">atvieglot kredītiestāžu klientu kredītsaistību pārfinansēšanu;</w:t>
            </w:r>
            <w:r w:rsidR="00000000" w:rsidRPr="00000000" w:rsidDel="00000000">
              <w:rPr>
                <w:rtl w:val="0"/>
              </w:rPr>
              <w:t xml:space="preserve">turpināt sarunas ar kredītiestādēm par sociāli atbildīgu pieeju kredītlīguma izmaiņu jautājumā (nepiemērot līgumsodus vai līguma izmaiņu maksu);</w:t>
            </w:r>
            <w:r w:rsidR="00000000" w:rsidRPr="00000000" w:rsidDel="00000000">
              <w:rPr>
                <w:rtl w:val="0"/>
              </w:rPr>
              <w:t xml:space="preserve">apsvērt iespēju izveidot valsts atbalsta programmu daļējai kredītu procentu dzēšanai;</w:t>
            </w:r>
            <w:r w:rsidR="00000000" w:rsidRPr="00000000" w:rsidDel="00000000">
              <w:rPr>
                <w:rtl w:val="0"/>
              </w:rPr>
              <w:t xml:space="preserve">strādāt pie jaunu dalībnieku piesaistes Latvijas finanšu sektorā;</w:t>
            </w:r>
            <w:r w:rsidR="00000000" w:rsidRPr="00000000" w:rsidDel="00000000">
              <w:rPr>
                <w:rtl w:val="0"/>
              </w:rPr>
              <w:t xml:space="preserve">apsvērt iespēju piemērot kredītiestāžu virspeļņas nodokli. </w:t>
            </w:r>
            <w:r w:rsidR="00000000" w:rsidRPr="00000000" w:rsidDel="00000000">
              <w:rPr>
                <w:rtl w:val="0"/>
              </w:rPr>
              <w:t xml:space="preserve">
</w:t>
            </w:r>
            <w:r w:rsidR="00000000" w:rsidRPr="00000000" w:rsidDel="00000000">
              <w:rPr>
                <w:rtl w:val="0"/>
              </w:rPr>
              <w:t xml:space="preserve">Vienlaikus ir saņemts arī Latvijas Republikas Saeimas 2023.gada 5.oktobra paziņojums "Par 15 878 Latvijas pilsoņu kolektīvā iesnieguma “Bankām nepaaugstināt EURIBOR likmi pagātnē izsniegtiem kredītiem” turpmāko virzību” (Latvijas Vēstnesis, 2023/194.2), ar kuru Ministru kabinetam uzdots izvērtēt un sniegt priekšlikumus par 15 878 Latvijas pilsoņu kolektīvo iesniegumu “Bankām nepaaugstināt EURIBOR likmi pagātnē izsniegtiem kredītiem”, kas veicinātu kredītņēmēju interešu aizstāvību.</w:t>
            </w:r>
            <w:r w:rsidR="00000000" w:rsidRPr="00000000" w:rsidDel="00000000">
              <w:rPr>
                <w:rtl w:val="0"/>
              </w:rPr>
              <w:t xml:space="preserve">
</w:t>
            </w:r>
            <w:r w:rsidR="00000000" w:rsidRPr="00000000" w:rsidDel="00000000">
              <w:rPr>
                <w:rtl w:val="0"/>
              </w:rPr>
              <w:t xml:space="preserve">Ņemot vērā vēstulēs minētos jautājumus, Ministru kabinets sniedz šādu viedokli. Saistībā ar EURIBOR etalona procentu likmes strauju paaugstinājumu, jau ilgāku laiku tika sekots līdzi situācijai finanšu sektorā un kredītņēmēju spējai segt savas hipotekārā kredīta saistības. Vienlaikus aktīvi tika veidots dialogs ar kredītiestādēm, aicinot tās būt sociāli atbildīgām.</w:t>
            </w:r>
            <w:r w:rsidR="00000000" w:rsidRPr="00000000" w:rsidDel="00000000">
              <w:rPr>
                <w:rtl w:val="0"/>
              </w:rPr>
              <w:t xml:space="preserve">
</w:t>
            </w:r>
            <w:r w:rsidR="00000000" w:rsidRPr="00000000" w:rsidDel="00000000">
              <w:rPr>
                <w:rtl w:val="0"/>
              </w:rPr>
              <w:t xml:space="preserve">Saeimas Budžeta un finanšu (nodokļu) komisija ir izstrādājusi likumprojektu “Grozījumi Patērētāju tiesību aizsardzības likumā” (367/Lp14) (turpmāk – likumprojekts), kurš paredz noteikt hipotekārā kredīta devējiem (kredītiestādēm un patērētāju kreditēšanas pakalpojumu sniedzējiem) hipotekārā kredīta ņēmēju aizsardzības nodevu. Nodevu maksās par patērētājiem izsniegtajiem kredītiem, kuru atmaksa ir nodrošināta ar Latvijā esoša nekustamā īpašuma hipotēku, un tās apmērs ir 0,5 procenti ceturksnī no nodevas maksātāja kopējās izsniegto hipotekāro kredītu atlikumu summas uz 2023. gada 31. oktobri. Hipotekārā kredīta ņēmēju aizsardzības nodevu neaprēķina un nemaksā par tiem hipotekārajiem kredītiem, kas izsniegti ar fiksētu procentu likmi visā hipotekārā kredīta atmaksas periodā. Šāda hipotekārā kredīta ņēmēju aizsardzības nodeva ir piemērojama par 2024. gadu.</w:t>
            </w:r>
            <w:r w:rsidR="00000000" w:rsidRPr="00000000" w:rsidDel="00000000">
              <w:rPr>
                <w:rtl w:val="0"/>
              </w:rPr>
              <w:t xml:space="preserve">
</w:t>
            </w:r>
            <w:r w:rsidR="00000000" w:rsidRPr="00000000" w:rsidDel="00000000">
              <w:rPr>
                <w:rtl w:val="0"/>
              </w:rPr>
              <w:t xml:space="preserve">Valsts ieņēmumu dienestam tiek noteikts pienākums no hipotekārā kredīta ņēmēju aizsardzības nodevas ieņēmumiem veikt kredītprocentu kompensācijas izmaksu atbilstīgajiem hipotekārā kredīta ņēmējiem, ja izpildās šādi nosacījumi:</w:t>
            </w:r>
            <w:r w:rsidR="00000000" w:rsidRPr="00000000" w:rsidDel="00000000">
              <w:rPr>
                <w:rtl w:val="0"/>
              </w:rPr>
              <w:t xml:space="preserve">
</w:t>
            </w:r>
            <w:r w:rsidR="00000000" w:rsidRPr="00000000" w:rsidDel="00000000">
              <w:rPr>
                <w:rtl w:val="0"/>
              </w:rPr>
              <w:t xml:space="preserve">hipotekārā kredīta līgums ir noslēgts līdz 2023. gada 31. oktobrim;</w:t>
            </w:r>
            <w:r w:rsidR="00000000" w:rsidRPr="00000000" w:rsidDel="00000000">
              <w:rPr>
                <w:rtl w:val="0"/>
              </w:rPr>
              <w:t xml:space="preserve">
</w:t>
            </w:r>
            <w:r w:rsidR="00000000" w:rsidRPr="00000000" w:rsidDel="00000000">
              <w:rPr>
                <w:rtl w:val="0"/>
              </w:rPr>
              <w:t xml:space="preserve">hipotekārā kredīta atlikums nepārsniedz 250 000 euro.</w:t>
            </w:r>
            <w:r w:rsidR="00000000" w:rsidRPr="00000000" w:rsidDel="00000000">
              <w:rPr>
                <w:rtl w:val="0"/>
              </w:rPr>
              <w:t xml:space="preserve">
</w:t>
            </w:r>
            <w:r w:rsidR="00000000" w:rsidRPr="00000000" w:rsidDel="00000000">
              <w:rPr>
                <w:rtl w:val="0"/>
              </w:rPr>
              <w:t xml:space="preserve">Izskatot jautājumu par nepieciešamību sniegt atbalstu kredītņēmējiem, tika norādīts uz virkni riskiem par plašu nefokusētu atbalstu hipotekāro kredītu ņēmējiem, tostarp, uz starptautisko investīciju aizsardzības tiesvedību riskiem, iespējamu apstrīdēšanu Satversmes tiesā, negatīvu ietekmi uz finanšu stabilitāti, kā arī negatīvu ietekmi uz starptautisko reputāciju un reitingiem, kā arī nepieciešamību pēc iespējas mazināt tiesvedības riskus. Līdz ar to likumprojekts tā izskatīšanas gaitā 2. un 3.lasījumā tika pilnveidots, lai mazinātu tiesvedības riskus.</w:t>
            </w:r>
            <w:r w:rsidR="00000000" w:rsidRPr="00000000" w:rsidDel="00000000">
              <w:rPr>
                <w:rtl w:val="0"/>
              </w:rPr>
              <w:t xml:space="preserve">
</w:t>
            </w:r>
            <w:r w:rsidR="00000000" w:rsidRPr="00000000" w:rsidDel="00000000">
              <w:rPr>
                <w:rtl w:val="0"/>
              </w:rPr>
              <w:t xml:space="preserve">Saeimas Budžeta un finanšu (nodokļu) komisijas izstrādātais likumprojekts 2023.gada 6.decembrī ir atbalstīts galīgajā lasījumā, un paredzēts, ka tas stāsies spēkā 2024.gada 1.janvārī.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ministrijā tika saņemta Saeimas Budžeta un finanšu (nodokļu) komisijas 2023. gada 7. augusta vēstule Nr. 142.2.9/2-12-14/23, ar kuru Finanšu ministrija un Latvijas Banka tiek aicinātas izvērtēt situāciju finanšu tirgū saistībā ar strauji augošo EURIBOR etalona procentu likmi, kā arī pēc iespējas ātrāk rast nepieciešamos risinājumus un iesniegt Saeimas Budžeta un finanšu (nodokļu) komisijai priekšlikumus. Ņemot vērā minēto, Finanšu ministrija sadarbībā ar Latvijas Banku sniedz izvērtējumu un priekšlikumus par nepieciešamo tālāko rīcību.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etalona procentu likmju kāpums un tā ietekme uz kredītiestāžu peļņu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Kopš 2022. gada jūlija, kad Eiropas Centrālās bankas (turpmāk – ECB) Padome uzsāka bāzes procentu likmju celšanu, Latvijas kredītiestāžu peļņa ir palielinājusies, pieaugot tīro procentu ienākumiem, kuru pamatā ir strauji augoša kredītu procentu likme un atpaliekoša noguldījumu procentu likme (skat. 1.att.). Šīs asimetriskās naudas cenas transmisijas dēļ, kad kredītu procentu likmes cieši seko naudas cenai, bet noguldījumu procentu likmes iepaliek gan kredītiestāžu, gan noguldītāju lēnās reakcijas dēļ, starpība starp kredītu un noguldījumu procentu likmēm gada laikā ir pieaugusi no 3.2 procentpunktiem līdz 5.7 procentpunktiem, atstājot būtisku pozitīvu ietekmi uz kredītiestāžu pelnītspēju.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drawing>
                <wp:inline distR="101600" distT="101600" distB="101600" distL="101600">
                  <wp:extent cx="4543425" cy="2095499"/>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4543425" cy="2095499"/>
                          </a:xfrm>
                          <a:prstGeom prst="rect"/>
                          <a:ln/>
                        </pic:spPr>
                      </pic:pic>
                    </a:graphicData>
                  </a:graphic>
                </wp:inline>
              </w:drawing>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Kredītu procentu ienākumus nosaka kredītņēmēju maksājumi par izsniegtajiem kredītiem, no kuriem aptuveni 90% ir ar procentu likmēm, kuras piesaistītas EURIBOR etalona procentu likmei. Tāpēc izsniegto kredītu procentu likmes pieaug līdz ar EURIBOR etalona indeksa pieaugumu, papildus kredītiestādēm piemērojot arī fiksētu pievienoto likmi. 2023. gada jūlijā kopējā vidējā svērtā rezidentu kredītu procentu likme sasniedza 6.31%. </w:t>
            </w:r>
            <w:r w:rsidR="00000000" w:rsidRPr="00000000" w:rsidDel="00000000">
              <w:rPr>
                <w:i w:val="1"/>
                <w:rtl w:val="0"/>
              </w:rPr>
              <w:t xml:space="preserve">Euro</w:t>
            </w:r>
            <w:r w:rsidR="00000000" w:rsidRPr="00000000" w:rsidDel="00000000">
              <w:rPr>
                <w:rtl w:val="0"/>
              </w:rPr>
              <w:t xml:space="preserve"> izteiksmē kopējie kredītu </w:t>
            </w:r>
            <w:r w:rsidR="00000000" w:rsidRPr="00000000" w:rsidDel="00000000">
              <w:rPr>
                <w:b w:val="1"/>
                <w:rtl w:val="0"/>
              </w:rPr>
              <w:t xml:space="preserve">procentu maksājumi</w:t>
            </w:r>
            <w:r w:rsidR="00000000" w:rsidRPr="00000000" w:rsidDel="00000000">
              <w:rPr>
                <w:rtl w:val="0"/>
              </w:rPr>
              <w:t xml:space="preserve"> kredītiestādēm no rezidentu mājsaimniecībām un nefinanšu sabiedrībām šā gada pirmajos septiņos mēnešos ir </w:t>
            </w:r>
            <w:r w:rsidR="00000000" w:rsidRPr="00000000" w:rsidDel="00000000">
              <w:rPr>
                <w:b w:val="1"/>
                <w:rtl w:val="0"/>
              </w:rPr>
              <w:t xml:space="preserve">pieauguši par 164 milj. </w:t>
            </w:r>
            <w:r w:rsidR="00000000" w:rsidRPr="00000000" w:rsidDel="00000000">
              <w:rPr>
                <w:b w:val="1"/>
                <w:i w:val="1"/>
                <w:rtl w:val="0"/>
              </w:rPr>
              <w:t xml:space="preserve">euro</w:t>
            </w:r>
            <w:r w:rsidR="00000000" w:rsidRPr="00000000" w:rsidDel="00000000">
              <w:rPr>
                <w:rtl w:val="0"/>
              </w:rPr>
              <w:t xml:space="preserve">[1], salīdzinot ar iepriekšējā gada atbilstošo periodu.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Turpretim, procentu izdevumus un kredītiestāžu finansējuma izmaksas galvenokārt veido procentu maksājumi noguldītājiem. Aptuveni 85% no kopējiem mājsaimniecību un nefinanšu sabiedrību noguldījumiem ir pieprasījuma noguldījumi, kuriem Latvijā kredītiestādes piemēro nulles vai nenozīmīgu procentu likmi (vidējā svērtā pieprasījuma noguldījumu likme 2023. gada jūlijā bija 0.26%). Savukārt piedāvātā procentu likme jauniem termiņnoguldījumiem ar 12 mēnešu termiņu vairumā kredītiestāžu ir sasniegusi 3.8%, un vidējā svērtā termiņnoguldījumu atlikumu likme ir pieaugusi līdz 3%. Tomēr noguldītāju līdzekļu pārvirzīšana no pieprasījuma uz termiņnoguldījumiem notiek lēni, un termiņnoguldījumi veido tikai 11% no kopējā noguldījumu portfeļa, tāpēc vidējā svērtā kopējā noguldījumu procentu likme 2023. gada jūlijā sasniedza tikai 0.64%.</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Rezultātā, lai arī kopējais noguldījumu portfelis ir pusotru reizi lielāks par izsniegto kredītu portfeli, </w:t>
            </w:r>
            <w:r w:rsidR="00000000" w:rsidRPr="00000000" w:rsidDel="00000000">
              <w:rPr>
                <w:b w:val="1"/>
                <w:rtl w:val="0"/>
              </w:rPr>
              <w:t xml:space="preserve">maksājumi mājsaimniecībām un nefinanšu sabiedrībām par to noguldījumiem </w:t>
            </w:r>
            <w:r w:rsidR="00000000" w:rsidRPr="00000000" w:rsidDel="00000000">
              <w:rPr>
                <w:rtl w:val="0"/>
              </w:rPr>
              <w:t xml:space="preserve">kredītiestādēs </w:t>
            </w:r>
            <w:r w:rsidR="00000000" w:rsidRPr="00000000" w:rsidDel="00000000">
              <w:rPr>
                <w:i w:val="1"/>
                <w:rtl w:val="0"/>
              </w:rPr>
              <w:t xml:space="preserve">euro</w:t>
            </w:r>
            <w:r w:rsidR="00000000" w:rsidRPr="00000000" w:rsidDel="00000000">
              <w:rPr>
                <w:rtl w:val="0"/>
              </w:rPr>
              <w:t xml:space="preserve"> izteiksmē šā gada pirmajos septiņos mēnešos ir </w:t>
            </w:r>
            <w:r w:rsidR="00000000" w:rsidRPr="00000000" w:rsidDel="00000000">
              <w:rPr>
                <w:b w:val="1"/>
                <w:rtl w:val="0"/>
              </w:rPr>
              <w:t xml:space="preserve">pieauguši tikai par 30 milj. </w:t>
            </w:r>
            <w:r w:rsidR="00000000" w:rsidRPr="00000000" w:rsidDel="00000000">
              <w:rPr>
                <w:b w:val="1"/>
                <w:i w:val="1"/>
                <w:rtl w:val="0"/>
              </w:rPr>
              <w:t xml:space="preserve">euro</w:t>
            </w:r>
            <w:r w:rsidR="00000000" w:rsidRPr="00000000" w:rsidDel="00000000">
              <w:rPr>
                <w:rtl w:val="0"/>
              </w:rPr>
              <w:t xml:space="preserve">, salīdzinot ar iepriekšējā gada atbilstošo periodu, kas ir vairāk kā piecas reizes mazāks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Procentu likmju etalona EURIBOR piemērošana kredītu līgumos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EURIBOR etalona procentu likmju piemērošana izriet no jau noslēgtiem līgumiem, tā ir likumīga, atbilstoša starptautiskajai praksei un plaši tiek piemērota vairākās Eiropas Savienības dalībvalstīs. Tomēr valstu starpā atšķiras prakse attiecībā uz procentu likmes fiksācijas periodiem un fiksēto procentu likmju īpatsvaru kredītiestāžu kredītu portfeļos. Latvijas gadījumā kredītiestāžu izsniegtie aizdevumi galvenokārt ir saistīti ar īstermiņa (galvenokārt 3 vai 6 mēnešu) EURIBOR etalona procentu likmi. EURIBOR etalona procentu likmei piesaistīti aptuveni 90% no kredītiestāžu izsniegtajiem hipotekārajiem kredītiem mājsaimniecībām.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 ja EURIBOR etalona procentu likme šobrīd tiešā veidā neraksturo kredītiestāžu finansēšanās izmaksas, pastāv ekonomisks pamatojums, kādēļ kredītu cenai būtu jābūt cieši saistītai ar naudas cenu, ko raksturo EURIBOR etalona procentu likmes. Naudas cena atspoguļojas visu finanšu aktīvu klašu ienesīgumā. Tas attiecas arī uz ļoti zema riska aktīviem, piemēram, valstu obligācijām. Pašreiz Latvijas valdības 10 gadu obligācijas ienesīguma likme ir aptuveni 4%, kas ir tuva ECB noteiktajām procentu likmēm. Savukārt kredīti pieder pie riskantākas aktīvu klases, salīdzinot ar valdību obligācijām, tāpēc ir saprotams, ka to ienesīguma procentu likmei būtu jābūt augstākai. Līdz ar to secināms, ka EURIBOR etalona procentu likmes piemērošana hipotekārajiem kredītiem papildus kredītiestādes noteiktajai pievienotajai likmei ir tiesiska un nav uzskatāma par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EURIBOR kāpuma ietekme uz kredītņēmējiem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Latvijas Bankas mājsaimniecību – kredītņēmēju aptaujā iegūtajiem datiem un aplēsēm, to mājsaimniecību-kredītņēmēju, kurām parāda apkalpošanas izdevumu un neto ienākumu attiecība pieaug vismaz līdz 40%, ja visu termiņu EURIBOR etalona procentu likmes sasniedz 4.0%, īpatsvars kopējā mājsaimniecību-kredītņēmēju skaitā ir 3.2%.</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Procentu likmju pieauguma un patēriņa cenu kāpuma kopējā ietekme ir daudz nelabvēlīgāka. Saskaņā ar Latvijas Bankas aplēsēm to mājsaimniecību-kredītņēmēju, kurām parāda apkalpošanas izdevumu un neto ienākumu[2] attiecība pieaug vismaz līdz 40%, ja visu termiņu EURIBOR etalona procentu likmes sasniedz 4.0% un mājsaimniecību izdevumi 2023. gadā pieaug vidēji par 10.0%, īpatsvars kopējā mājsaimniecību-kredītņēmēju skaitā ir līdz[3]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jānorāda arī tas, ka šī brīža situācija nav tieši salīdzināma ar situāciju 2010. un 2011. gadā, kad bija vērojams būtisks iedzīvotāju emigrācijas pieaugums. Toreiz krīzi pamatā izraisīja pārmērīga un nepārdomāta aizņemšanās, kur kredītu atlikums īsā laika posmā pietuvojās IKP apjomam. Savukārt pašlaik kredītu atlikums pret IKP ir krietni zemāks, kredītiestāžu kreditēšanas politika konservatīvāka, un kredīti ir izsniegti krietni kredītspējīgākiem aizņēmējiem, par ko liecina vairāk kā desmitkārt labāki kredītu kvalitātes rādītāji par spīti nesen piedzīvotajiem pandēmijas, ģeopolitiskajiem un energoresursu cenu šoka satricinājumiem. Proti, kredītu maksājumu kavējumi (virs 90 dienām) 2010. un 2011. gadā bija tuvu 20%, kamēr šobrīd tie ir vien 1.3%.</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Arī ekonomika šobrīd ir būtiski spēcīgāka, nodrošinot darba iespējas iedzīvotājiem un strauju ienākumu pieaugumu. Ekonomikas apmērs 2010. un 2011. gadā bija par aptuveni 20% zemāks nekā 2007. gadā pirms krīzes, kamēr šobrīd joprojām sagaidām, lai gan mērenu, bet tomēr ekonomikas izaugsmi. Bezdarba rādītājs 2010. un 2011. gados svārstījās 15-20% robežās, bet šobrīd tas ir tuvu vēsturiski zemākajam līmenim (6.4%). Arī darba algu jomā, ja 2010. gada sākumā redzējām vidējās neto algas sarukumu par aptuveni 12%, tad šobrīd ir vērojams līdzvērtīgs algu pieaugums. Ņemot vērā minētos apstākļus, nevar piekrist  apgalvojumam, ka no Latvijas atkal nesamaksājamu kredītu dēļ aizbrauks desmitiem tūkstošu darbspējīgo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u w:val="single"/>
                <w:rtl w:val="0"/>
              </w:rPr>
              <w:t xml:space="preserve">Priekšlikumi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 un Latvijas Banka, ņemot vērā EURIBOR etalona procentu likmes strauju paaugstinājumu, jau ilgāku laiku seko līdzi situācijai finanšu sektorā un kredītņēmēju spējai segt savas hipotekārā kredīta saistības. Atbalstāma ir diskusija par nepieciešamiem atbalsta pasākumiem kredītņēmējiem, meklējot esošajai situācijai atbilstošākos instrumentus. Finanšu ministrija un Latvijas Banka ir arī aktīvi veidojušas dialogu ar kredītiestādēm, aicinot tās būt sociāli atbildīgām.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Vērtējot pašreizējās norises finanšu sektorā, ir svarīgi, lai īstermiņa risinājumi nerada negatīvas sekas ilgtspējīgai ekonomikas un finanšu sistēmas attīstībai. Būtiska nozīme situācijas risināšanā ir konkurences veicināšanai un investoru piesaistei kredītiestāžu jomā. Taču bažas raisa iniciatīvas, kas var pasliktināt konkurences apstākļus, radot neprognozējamu uzņēmējdarbības vidi. Tas, savukārt, nozīmētu mazāk pieejamus finanšu pakalpojumus ar daudz sliktākiem nosacījumiem Latvijas iedzīvotājiem un uzņēmējiem.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Horizontāli risinājumi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sēdē tika ierosināti trīs iespējami horizontāli risinājumi:</w:t>
            </w:r>
          </w:p>
          <w:p w:rsidP="00000000" w:rsidRDefault="00000000" w:rsidR="00000000" w:rsidRPr="00000000" w:rsidDel="00000000">
            <w:pPr>
              <w:numPr>
                <w:ilvl w:val="0"/>
                <w:numId w:val="1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EURIBOR etalona procentu likmes piemērošanas griestus vai likumā aizstāt EURIBOR etalona procentu likmi ar citu etalona likmi uz noteiktu laiku;</w:t>
            </w:r>
          </w:p>
          <w:p w:rsidP="00000000" w:rsidRDefault="00000000" w:rsidR="00000000" w:rsidRPr="00000000" w:rsidDel="00000000">
            <w:pPr>
              <w:numPr>
                <w:ilvl w:val="0"/>
                <w:numId w:val="1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likumu noteikt, ka kredītiestādes pievienotā likme uz noteiktu laiku netiek piemērota;</w:t>
            </w:r>
          </w:p>
          <w:p w:rsidP="00000000" w:rsidRDefault="00000000" w:rsidR="00000000" w:rsidRPr="00000000" w:rsidDel="00000000">
            <w:pPr>
              <w:numPr>
                <w:ilvl w:val="0"/>
                <w:numId w:val="1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noteiktu laiku ierobežot maksimālo kredītiem piemērojamo procentu likmi.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arī šādi piedāvātie risinājumi būtu izdevīgi lielai daļai kredītņēmēju, un tiem nav tūlītēja fiskāla ietekme, Finanšu ministrija un Latvijas Banka šādu pieeju neatbalsta. Iespējamie atbalsta mehānismi būtu jāveido fokusēti, ņemot vērā kredītņēmēja ienākumu līmeni un kredītu slogu, sniedzot atbalstu sociāli ievainojamākajām sabiedrības grupām.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komisijas sēdē rosinātajiem horizontālajiem risinājumiem piemīt būtiski riski, tai skaitā:</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Eiropas Komisijas nostājai, ka augstas inflācijas apstākļos atbalsts ir mērķēts, ieviests uz laiku un attiecas  uz visievainojamākajām sabiedrības grupām;</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netiek ņemta vērā mājsaimniecību maksātspēja un nepieciešamība pēc atbalsta;</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neskar kredītņēmējus ar fiksētām likmēm un ārpus kredītiestādēm izsniegtos kredītus;</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 neatbilst normatīvajam regulējumam, kas nosaka kredītiestāžu prudenciālo uzraudzības un patērētāju aizsardzības ietvaru;</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augsts tiesvedības risks – negatīvas tiesvedības rezultātā valstij būs jāuzņemas risku atlīdzināt zaudējumus (~160 milj. </w:t>
            </w:r>
            <w:r w:rsidR="00000000" w:rsidRPr="00000000" w:rsidDel="00000000">
              <w:rPr>
                <w:i w:val="1"/>
                <w:rtl w:val="0"/>
              </w:rPr>
              <w:t xml:space="preserve">euro</w:t>
            </w:r>
            <w:r w:rsidR="00000000" w:rsidRPr="00000000" w:rsidDel="00000000">
              <w:rPr>
                <w:rtl w:val="0"/>
              </w:rPr>
              <w:t xml:space="preserve"> vai vairāk, ja visiem kredītņēmējiem tiek piemērots risinājums ar kredītiestādes pievienotās likmes nepiemērošanu), jo aizliedz kredītiestādēm pildīt spēkā esošu līgumu nosacījumus;</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ieviešot kādu no risinājumiem, sagaidāms starptautisku institūciju un reitingu aģentūru negatīvs vērtējums par to;</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tiem ir negatīva ietekme uz investīciju vidi un hipotekāro kreditēšanu nākotnē – kredītu pieejamība un cena;</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normatīvā aktā regulējot hipotekāro kredītu ienesīgumu, kredītiestāžu brīvie resursi var tikt pārvirzīti uz citiem zema riska instrumentiem, saņemot to pašu vai lielāku ienesīgumu (valsts vērtspapīri u.c.);</w:t>
            </w:r>
          </w:p>
          <w:p w:rsidP="00000000" w:rsidRDefault="00000000" w:rsidR="00000000" w:rsidRPr="00000000" w:rsidDel="00000000">
            <w:pPr>
              <w:numPr>
                <w:ilvl w:val="0"/>
                <w:numId w:val="12"/>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sabiedrībā iesakņojas gaidas, ka negatīvas tirgus svārstības kompensēs valsts.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Budžeta un finanšu (nodokļu) komisija 20. septembra sēdē kā atbilstošāko iespējamo risinājumu  izvēlējās Polijā ieviesto mehānismu kredītņēmēju aizsardzībai. Proti, lai risinātu straujo procentu likmju kāpumu, Polija ir ieviesusi normatīvo regulējumu, kas paredz tiesības kredītņēmējam pieprasīt “kredīta brīvdienas” – pārtraukt kredīta pamatsummas un procentu maksājumus, par attiecīgo laiku pagarinot kredīta atmaksas termiņu. Saskaņā ar Polijas izveidoto atbalsta mehānismu hipotekārā kredīta aizņēmējam ir tiesības pieprasīt kredītiestādei “kredīta brīvdienas” – divus mēnešus katrā laikposmā no 2022. gada 1. augusta līdz 30. septembrim un no 2022. gada 1. oktobra līdz 31. decembrim un vienu mēnesi katrā ceturksnī laikposmā no 2023. gada 1. janvāra līdz 31. decembrim – kopā astoņus mēnešus. Atbalstu var saņemt jebkurš kredītņēmējs, kuram ir nacionālajā valūtā zlotos izsniegts hipotekārais mājokļa kredīts.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ECB 2023. gada 20. martā ir sniegusi atzinumu (CON/2023/8) par Polijas apstiprināto normatīvo regulējumu[4] un izteikusi negatīvu vērtējumu par Polijas ieviesto risinājumu, paužot bažas par šāda normatīvā regulējuma ietekmi uz finanšu stabilitāti, kā arī aicinot Poliju apsvērt ieviest mērķētus atbalsta piešķiršanas kritērijus.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Polijas ieviestais atbalsta mehānisms hipotekāro kredītu ņēmējiem rada šādus riskus finanšu stabilitātei:</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stimulē kredīta termiņu pagarināšanu, nevis ātrāku to atmaksu;</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vājina kredītstandartus kredītiestādēs;</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var radīt grūtības kredītiestādēm piesaistīt investorus minimālā pamatkapitāla prasību nodrošināšanai vai obligāciju emisijai;</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kredītiestādēm radītie zaudējumi nākotnē var tikt pārnesti uz no jauna izsniedzamajiem kredītiem;</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mazina kredītiestāžu rentabilitāti, kas nozīmē samazinātu kredītiestāžu spēju saglabāt ieņēmumus un palielināt kapitālu, kas nepieciešams zaudējumu segšanai un jaunu kredītu izsniegšanai nākotnē, potenciāli arī samazinot nākotnes iemaksas nodokļu ieņēmumus valsts budžetā;</w:t>
            </w:r>
          </w:p>
          <w:p w:rsidP="00000000" w:rsidRDefault="00000000" w:rsidR="00000000" w:rsidRPr="00000000" w:rsidDel="00000000">
            <w:pPr>
              <w:numPr>
                <w:ilvl w:val="0"/>
                <w:numId w:val="1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zaudējumu apmērs, ko šādas “kredīta brīvdienas” radītu, var apdraudēt kredītiestāžu maksātspēju.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ar to ir jāņem vārā tas, ka arī Latvijai jebkādi piedāvātie risinājumi, kas skar finanšu stabilitāti un vērsti uz hipotekāro kredītu procentu likmju ierobežošanu, būs jāapspriež ar Eiropas Centrālo banku, saskaņā ar Līguma par Eiropas Savienības darbību 127. panta 4. punktu un  Līguma par Eiropas Savienības darbību 4. protokola "Par Eiropas Centrālo banku sistēmas Statūtiem un Eiropas Centrālās bankas Statūtiem"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Mērķēts atbalsts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ministrijas ieskatā šajā situācijā, tostarp ņemot vērā to, ka potenciāli ietekmētās mājsaimniecības ir vien 1,6% no visām Latvijas mājsaimniecībām, visatbilstošākais būtu </w:t>
            </w:r>
            <w:r w:rsidR="00000000" w:rsidRPr="00000000" w:rsidDel="00000000">
              <w:rPr>
                <w:b w:val="1"/>
                <w:rtl w:val="0"/>
              </w:rPr>
              <w:t xml:space="preserve">īstenot mērķētu atbalstu tām mājsaimniecībām, kurām ir būtiski pieauguši kredīta maksājumi</w:t>
            </w:r>
            <w:r w:rsidR="00000000" w:rsidRPr="00000000" w:rsidDel="00000000">
              <w:rPr>
                <w:rtl w:val="0"/>
              </w:rPr>
              <w:t xml:space="preserve">:</w:t>
            </w:r>
          </w:p>
          <w:p w:rsidP="00000000" w:rsidRDefault="00000000" w:rsidR="00000000" w:rsidRPr="00000000" w:rsidDel="00000000">
            <w:pPr>
              <w:numPr>
                <w:ilvl w:val="0"/>
                <w:numId w:val="1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ALTUM mērķēta atbalsta programma, kas ļautu kapitalizēt daļu kredīta procentu maksājumus, piesaistot papildu garantiju no ALTUM un tādējādi samazinot ikmēneša maksājumu;</w:t>
            </w:r>
          </w:p>
          <w:p w:rsidP="00000000" w:rsidRDefault="00000000" w:rsidR="00000000" w:rsidRPr="00000000" w:rsidDel="00000000">
            <w:pPr>
              <w:numPr>
                <w:ilvl w:val="0"/>
                <w:numId w:val="1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sniegt mērķētu palīdzību pieejamo sociālās palīdzības instrumentu ietvaros;</w:t>
            </w:r>
          </w:p>
          <w:p w:rsidP="00000000" w:rsidRDefault="00000000" w:rsidR="00000000" w:rsidRPr="00000000" w:rsidDel="00000000">
            <w:pPr>
              <w:numPr>
                <w:ilvl w:val="0"/>
                <w:numId w:val="14"/>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uz laiku iekļaut hipotekāro kredītu procentu maksājumus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ALTUM mērķētā atbalsta programma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ALTUM programmas mērķis ir sniegt atbalstu kredītņēmējiem, kuri pieaugošās EURIBOR etalona procentu likmes dēļ nevar veikt aizņēmuma procentu maksājumus pilnā apmērā.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Piedāvātais risinājums paredz iespēju kredītiestādēm kapitalizēt aizdevuma procentus (palielina aizdevuma kopējo summu), ko klientam ar pašreizējo EURIBOR etalona procentu likmi ir apgrūtinoši samaksāt (piemēram, par to EURIBOR etalona daļu, kas pārsniedz 2%). Ar ALTUM piešķirto bezmaksas garantiju, daļa procentu tiek kapitalizēta un aizņēmējs līdz 3 gadiem veic ikmēneša maksājumus mazākā apjomā atbilstoši savai maksātspējai un finanšu apstākļiem. ALTUM garantijai ar kredītiestāžu starpniecību var pieteikties 12 mēnešus no programmas uzsākšanas.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Atbilstoši Latvijas Bankas aplēsei 2024. gada sākumā līdz 11.9% mājsaimniecību parāda apkalpošanas un ienākumu attiecība DSTI (</w:t>
            </w:r>
            <w:r w:rsidR="00000000" w:rsidRPr="00000000" w:rsidDel="00000000">
              <w:rPr>
                <w:i w:val="1"/>
                <w:rtl w:val="0"/>
              </w:rPr>
              <w:t xml:space="preserve">debt service to income ratio</w:t>
            </w:r>
            <w:r w:rsidR="00000000" w:rsidRPr="00000000" w:rsidDel="00000000">
              <w:rPr>
                <w:rtl w:val="0"/>
              </w:rPr>
              <w:t xml:space="preserve">) varētu pārsniegt ar cenām koriģētu DSTI 40% slieksni. Šīm mājsaimniecībām izsniegto mājokļu kredītu skaits būtu 15 tūkstoši, bet kopējais kredītu atlikums 563 milj. </w:t>
            </w:r>
            <w:r w:rsidR="00000000" w:rsidRPr="00000000" w:rsidDel="00000000">
              <w:rPr>
                <w:i w:val="1"/>
                <w:rtl w:val="0"/>
              </w:rPr>
              <w:t xml:space="preserve">euro</w:t>
            </w:r>
            <w:r w:rsidR="00000000" w:rsidRPr="00000000" w:rsidDel="00000000">
              <w:rPr>
                <w:rtl w:val="0"/>
              </w:rPr>
              <w:t xml:space="preserve"> (vidējais kredīta atlikums 37 500 </w:t>
            </w:r>
            <w:r w:rsidR="00000000" w:rsidRPr="00000000" w:rsidDel="00000000">
              <w:rPr>
                <w:i w:val="1"/>
                <w:rtl w:val="0"/>
              </w:rPr>
              <w:t xml:space="preserve">euro</w:t>
            </w:r>
            <w:r w:rsidR="00000000" w:rsidRPr="00000000" w:rsidDel="00000000">
              <w:rPr>
                <w:rtl w:val="0"/>
              </w:rPr>
              <w:t xml:space="preserve">). Minētās mājsaimniecības gadā aizdevumu procentu maksājumos, t.sk. ņemot vērā EURIBOR etalona procentu likmi, samaksās 35-38 milj. </w:t>
            </w:r>
            <w:r w:rsidR="00000000" w:rsidRPr="00000000" w:rsidDel="00000000">
              <w:rPr>
                <w:i w:val="1"/>
                <w:rtl w:val="0"/>
              </w:rPr>
              <w:t xml:space="preserve">euro</w:t>
            </w:r>
            <w:r w:rsidR="00000000" w:rsidRPr="00000000" w:rsidDel="00000000">
              <w:rPr>
                <w:rtl w:val="0"/>
              </w:rPr>
              <w:t xml:space="preserve">, bet trīs gados līdz 116 milj. </w:t>
            </w:r>
            <w:r w:rsidR="00000000" w:rsidRPr="00000000" w:rsidDel="00000000">
              <w:rPr>
                <w:i w:val="1"/>
                <w:rtl w:val="0"/>
              </w:rPr>
              <w:t xml:space="preserve">euro</w:t>
            </w:r>
            <w:r w:rsidR="00000000" w:rsidRPr="00000000" w:rsidDel="00000000">
              <w:rPr>
                <w:rtl w:val="0"/>
              </w:rPr>
              <w:t xml:space="preserve">. Programma līdzīgi kā pašreizējā ALTUM mājokļu garantiju programma ļautu izsniegt garantijas septiņas reizes vairāk par pieejamo finansējumu. ALTUM programmu var īstenot, vai nu pilnībā garantējot kapitalizēto procentu portfeli, vai arī sniedzot segumu nepilnā apmērā, piemēram, 30% no visiem kapitalizētajiem procentiem:</w:t>
            </w:r>
          </w:p>
          <w:p w:rsidP="00000000" w:rsidRDefault="00000000" w:rsidR="00000000" w:rsidRPr="00000000" w:rsidDel="00000000">
            <w:pPr>
              <w:numPr>
                <w:ilvl w:val="0"/>
                <w:numId w:val="15"/>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100% apmērā visu kapitalizēto procentu portfeli (116 milj. </w:t>
            </w:r>
            <w:r w:rsidR="00000000" w:rsidRPr="00000000" w:rsidDel="00000000">
              <w:rPr>
                <w:i w:val="1"/>
                <w:rtl w:val="0"/>
              </w:rPr>
              <w:t xml:space="preserve">euro</w:t>
            </w:r>
            <w:r w:rsidR="00000000" w:rsidRPr="00000000" w:rsidDel="00000000">
              <w:rPr>
                <w:rtl w:val="0"/>
              </w:rPr>
              <w:t xml:space="preserve">), tad nepieciešamais publiskais finansējums ir aptuveni 17,1 milj. </w:t>
            </w:r>
            <w:r w:rsidR="00000000" w:rsidRPr="00000000" w:rsidDel="00000000">
              <w:rPr>
                <w:i w:val="1"/>
                <w:rtl w:val="0"/>
              </w:rPr>
              <w:t xml:space="preserve">euro</w:t>
            </w:r>
            <w:r w:rsidR="00000000" w:rsidRPr="00000000" w:rsidDel="00000000">
              <w:rPr>
                <w:rtl w:val="0"/>
              </w:rPr>
              <w:t xml:space="preserve">, ko 5,4 milj. </w:t>
            </w:r>
            <w:r w:rsidR="00000000" w:rsidRPr="00000000" w:rsidDel="00000000">
              <w:rPr>
                <w:i w:val="1"/>
                <w:rtl w:val="0"/>
              </w:rPr>
              <w:t xml:space="preserve">euro</w:t>
            </w:r>
            <w:r w:rsidR="00000000" w:rsidRPr="00000000" w:rsidDel="00000000">
              <w:rPr>
                <w:rtl w:val="0"/>
              </w:rPr>
              <w:t xml:space="preserve"> apmērā var segt ALTUM, bet papildus nepieciešams publiskais finansējums risku segumam 11,7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5"/>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ja ALTUM garantē līdz 30% no kapitalizēto procentu portfeļa (35 milj. </w:t>
            </w:r>
            <w:r w:rsidR="00000000" w:rsidRPr="00000000" w:rsidDel="00000000">
              <w:rPr>
                <w:i w:val="1"/>
                <w:rtl w:val="0"/>
              </w:rPr>
              <w:t xml:space="preserve">euro</w:t>
            </w:r>
            <w:r w:rsidR="00000000" w:rsidRPr="00000000" w:rsidDel="00000000">
              <w:rPr>
                <w:rtl w:val="0"/>
              </w:rPr>
              <w:t xml:space="preserve">), tad nepieciešamais finansējums būtu 5,4 milj. </w:t>
            </w:r>
            <w:r w:rsidR="00000000" w:rsidRPr="00000000" w:rsidDel="00000000">
              <w:rPr>
                <w:i w:val="1"/>
                <w:rtl w:val="0"/>
              </w:rPr>
              <w:t xml:space="preserve">euro</w:t>
            </w:r>
            <w:r w:rsidR="00000000" w:rsidRPr="00000000" w:rsidDel="00000000">
              <w:rPr>
                <w:rtl w:val="0"/>
              </w:rPr>
              <w:t xml:space="preserve">, ko iespējams segt no ALTUM līdzekļiem.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Šīs programmas ietvaros būtu iespējams atbalstīt ~ 15 000 aizņēmējus.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Hipotekāro kredītprocentu maksājumu terminēta iekļaušana iedzīvotāju ienākuma nodokļa attaisnotajos izdevumos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īstenotu mērķētu atbalstu tām Latvijas mājsaimniecībām, kurām ir būtiski pieauguši kredīta maksājumi, viens no iespējamajiem risinājumiem ir izstrādāt likumprojektu “Grozījumi likumā “Par iedzīvotāju ienākuma nodokli”, paredzot ieviest terminētu pasākumu uz diviem gadiem – 2023. un 2024. gadu. Pasākuma ietvaros iedzīvotāju ienākuma nodokļa (turpmāk – IIN) maksātājs IIN attaisnotajos izdevumos, papildus jau spēkā esošajam attaisnoto izdevumu apmēram (600 </w:t>
            </w:r>
            <w:r w:rsidR="00000000" w:rsidRPr="00000000" w:rsidDel="00000000">
              <w:rPr>
                <w:i w:val="1"/>
                <w:rtl w:val="0"/>
              </w:rPr>
              <w:t xml:space="preserve">euro</w:t>
            </w:r>
            <w:r w:rsidR="00000000" w:rsidRPr="00000000" w:rsidDel="00000000">
              <w:rPr>
                <w:rtl w:val="0"/>
              </w:rPr>
              <w:t xml:space="preserve">)  varētu iekļaut savus veiktos hipotekāro kredītu procentu maksājumus par mājokli (t.sk. dzīvokli, māju, kredītu mājas būvniecībai) apmērā līdz 2 000 </w:t>
            </w:r>
            <w:r w:rsidR="00000000" w:rsidRPr="00000000" w:rsidDel="00000000">
              <w:rPr>
                <w:i w:val="1"/>
                <w:rtl w:val="0"/>
              </w:rPr>
              <w:t xml:space="preserve">eur</w:t>
            </w:r>
            <w:r w:rsidR="00000000" w:rsidRPr="00000000" w:rsidDel="00000000">
              <w:rPr>
                <w:rtl w:val="0"/>
              </w:rPr>
              <w:t xml:space="preserve">o gadā. Minētais ierobežojums tiktu noteikts, ņemot vērā Latvijas Bankas informāciju, ka vidējais procentu maksājumu apjoms uz vienu kredītu ir 164 </w:t>
            </w:r>
            <w:r w:rsidR="00000000" w:rsidRPr="00000000" w:rsidDel="00000000">
              <w:rPr>
                <w:i w:val="1"/>
                <w:rtl w:val="0"/>
              </w:rPr>
              <w:t xml:space="preserve">euro</w:t>
            </w:r>
            <w:r w:rsidR="00000000" w:rsidRPr="00000000" w:rsidDel="00000000">
              <w:rPr>
                <w:rtl w:val="0"/>
              </w:rPr>
              <w:t xml:space="preserve"> mēnesī, savukārt vidējais procentu maksājumu apjoms uz vienu aizņēmēju – 151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Minētais normatīvais regulējums būtu piemērojams hipotekāro kredītu maksājumiem, kas veikti, sākot ar 2023. gada 1. janvāri, t.i., attiecīgais regulējums tiktu piemērots ar atpakaļvērstu spēku un būtu maksimāli labvēlīgs nodokļu maksātājiem. Atbilstoši Latvijas Bankas sniegtajai informācijai kopējais izsniegto mājokļu hipotekāro kredītu skaits ir 127,2 tūkst., kopējais personu skaits, kam izsniegti mājokļu hipotekārie kredīti – 138,6 tūkst. Minētā risinājuma fiskālā ietekme novērtēta ~ 47,6 milj. </w:t>
            </w:r>
            <w:r w:rsidR="00000000" w:rsidRPr="00000000" w:rsidDel="00000000">
              <w:rPr>
                <w:i w:val="1"/>
                <w:rtl w:val="0"/>
              </w:rPr>
              <w:t xml:space="preserve">euro</w:t>
            </w:r>
            <w:r w:rsidR="00000000" w:rsidRPr="00000000" w:rsidDel="00000000">
              <w:rPr>
                <w:rtl w:val="0"/>
              </w:rPr>
              <w:t xml:space="preserve"> IIN atmaksu pieaugumā par vienu gadu (kredītņēmēji ar apgādībā esošām personām un līdz 1 000 </w:t>
            </w:r>
            <w:r w:rsidR="00000000" w:rsidRPr="00000000" w:rsidDel="00000000">
              <w:rPr>
                <w:i w:val="1"/>
                <w:rtl w:val="0"/>
              </w:rPr>
              <w:t xml:space="preserve">euro</w:t>
            </w:r>
            <w:r w:rsidR="00000000" w:rsidRPr="00000000" w:rsidDel="00000000">
              <w:rPr>
                <w:rtl w:val="0"/>
              </w:rPr>
              <w:t xml:space="preserve"> mēnešalgai šādu atbalstu nevarēs izmantot pilnā apmērā, līdz ar to ietekmes apmērs varētu būt arī mazāks).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jāņem vērā, ka nodokļa maksātājs attaisnotos izdevumus varēs piemērot tikai tad, ja taksācijas gada laikā ir guvis ar IIN apliekamus ienākumus. Tāpat būtiski, ka nodokļa maksātājs IIN atmaksas veidā atgūst tikai 20% no attaisnoto izdevumu apmēru (t.i., ja attaisnotajos izdevumos iekļaus 2 000 </w:t>
            </w:r>
            <w:r w:rsidR="00000000" w:rsidRPr="00000000" w:rsidDel="00000000">
              <w:rPr>
                <w:i w:val="1"/>
                <w:rtl w:val="0"/>
              </w:rPr>
              <w:t xml:space="preserve">euro</w:t>
            </w:r>
            <w:r w:rsidR="00000000" w:rsidRPr="00000000" w:rsidDel="00000000">
              <w:rPr>
                <w:rtl w:val="0"/>
              </w:rPr>
              <w:t xml:space="preserve">, IIN atmaksas veidā būs iespējams atgūt 400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nodokļa administrēšanas procesu padarītu iespējami efektīvāku, būtu nosakāms, ka kredītiestādes līdz pēctaksācijas gada 1. februārim Valsts ieņēmumu dienestam (turpmāk – VID) sniedz informāciju par fizisko personu taksācijas gada laikā veiktajiem hipotekāro kredītu procentu maksājumiem par mājokli. Ja hipotekārais kredīts ir ņemts citas Eiropas Savienības dalībvalsts vai Eiropas Ekonomikas zonas valsts kredītiestādē, nodokļa maksātājam hipotekārā kredīta procentu maksājumus par mājokli apliecinošus dokumentus VID ir jāiesniedz pašam.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Hipotekāro kredītu procentu maksājumus par mājokli attaisnotajos izdevumos varētu iekļaut tikai kārtējā taksācijas gadā un – līdzīgi kā iemaksas privātajos pensiju fondos un apdrošināšanas prēmiju maksājumu – nevarētu dalīt starp ģimenes locekļiem vai pārnest uz nākamajiem taksācijas gadiem.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Jāvērš uzmanība arī uz to, ka tad, ja attaisnotos izdevumus vēlas noteikt mērķētākus, piemēram, piemērot tikai konkrētām iedzīvotāju grupām, atvieglojuma fiskālā ietekme var samazināties, taču pieaugs iedzīvotāju ienākuma nodokļa administrēšanas izdevumi (rodas nepieciešamība ieguldīt papildu manuālo darbu deklarāciju apstrāde, papildu izdevumi programatūrai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b w:val="1"/>
                <w:rtl w:val="0"/>
              </w:rPr>
              <w:t xml:space="preserve">Kredītiestāžu nodokļu regulējums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situāciju ar kredītiestāžu netipiski straujo peļņas kāpumu, Finanšu ministrija ir izstrādājusi un uzsākusi saskaņošanu likumprojektam “Grozījumi Uzņēmumu ienākuma nodokļa likumā” (TA lieta Nr. 23-TA-2277), kas paredz noteikt kredītiestādēm un patērētāju kreditēšanas pakalpojumu sniedzējiem pienākumu veikt uzņēmumu ienākuma nodokļa samaksu 20% apmērā par pirmstaksācijas gadā gūto peļņu, neatkarīgi no tā, vai tiek veikta šīs peļņas sadale. Plānots, ka likumprojektā ietvertais regulējums attieksies uz kredītiestāžu 2023. gada peļņu, un plānotie ienākumi valsts budžetā prognozēti līdz 140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sadarbībā ar Latvijas Banku turpinās darbu pie vispiemērotākā risinājuma izstrādes, kas fokusēts uz sociāli ievainojamākajām mājsaimniecībām, kā arī ilgtermiņā neapdraud investīciju vidi un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Avots: Latvijas Banka, Statistiskie dati par kredītiestāžu un citu monetāro finanšu iestāžu finansiālo stāvokli.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Lai hipotētiski parādītu, kā ikdienas izdevumu pieaugums papildus apgrūtina mājsaimniecību spēju veikt norēķinus par kredītsaistībām, ienākumi samazināti par apmēru, ar kādu pieauguši attiecīgās mājsaimniecības izdevumi cenu kāpuma dēļ. Šāda ienākumu korekcija nav tipiska un neatspoguļo kredītiestāžu standarta pieeju parāda apkalpošanas izmaksu pret ienākumu vērtēšanā.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Aprēķins veikts, pieņemot, ka mājsaimniecības nemaina savus patēriņa ieradumus. Ja nozīmīgs skaits mājsaimniecību spēj samazināt savus izdevumus, tad patiesais mājsaimniecību īpatsvars ar pārmērīgu parāda slogu ir zemāks. Tādējādi aprēķinātais mājsaimniecību īpatsvars uztverams kā mājsaimniecību īpatsvara augšējā robeža.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OPINION OF THE EUROPEAN CENTRAL BANK of 20 March 2023  on mortgage holidays (CON/2023/8). Pieejams: https://eur-lex.europa.eu/legal-content/EN/TXT/PDF/?uri=CELEX:52023AB0008&amp;qid=1694070675472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2017.gada 16.augusta noteikumiem Nr.474 ,,Tieslietu ministrijas nolikums”, secināms, ka Tieslietu ministrijas kompetencē neietilpst atbildes vēstulē Saeimai skartie jautājumi, līdz ar to Tieslietu ministrija vēstuli saskaņo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Saeimas Budžeta un finanšu (nodokļu) komisijas 2023. gada 7. augusta vēstuli Nr. 142.2.9/2-12-14/23, kurā Ministru kabinets, Finanšu ministrija un Latvijas Banka tiek aicināti izvērtēt situāciju finanšu tirgū saistībā ar strauji augošo EURIBOR etalona procentu likmi, kā arī pēc iespējas ātrāk rast nepieciešamos risinājumus un iesniegt Saeimas Budžeta un finanšu (nodokļu) komisijai priekšlikumus, kā arī Saeimas Tautsaimniecības, agrārās, vides un reģionālās politikas komisijas 2023. gada 13. septembra vēstuli Nr. 142.1.9/8-25-14/23 “Par EURIBOR likmju pieauguma ietekmi uz tautsaimniecību”, ar kuru Finanšu ministrija un Latvijas Banka tiek aicinātas:</w:t>
            </w:r>
            <w:r w:rsidR="00000000" w:rsidRPr="00000000" w:rsidDel="00000000">
              <w:rPr>
                <w:rtl w:val="0"/>
              </w:rPr>
              <w:t xml:space="preserve">
</w:t>
            </w:r>
            <w:r w:rsidR="00000000" w:rsidRPr="00000000" w:rsidDel="00000000">
              <w:rPr>
                <w:rtl w:val="0"/>
              </w:rPr>
              <w:t xml:space="preserve">turpināt sarunas ar kredītiestāžu vadību par kredītu kopējās procentu likmes nepalielināšanu vai samazināšanu (pašlaik kopējā procentu likme ir viena no augstākajām Eiropā, šādi padarot Latvijas eksportuzņēmumus par nekonkurētspējīgiem);</w:t>
            </w:r>
            <w:r w:rsidR="00000000" w:rsidRPr="00000000" w:rsidDel="00000000">
              <w:rPr>
                <w:rtl w:val="0"/>
              </w:rPr>
              <w:t xml:space="preserve">atvieglot kredītiestāžu klientu kredītsaistību pārfinansēšanu;</w:t>
            </w:r>
            <w:r w:rsidR="00000000" w:rsidRPr="00000000" w:rsidDel="00000000">
              <w:rPr>
                <w:rtl w:val="0"/>
              </w:rPr>
              <w:t xml:space="preserve">turpināt sarunas ar kredītiestādēm par sociāli atbildīgu pieeju kredītlīguma izmaiņu jautājumā (nepiemērot līgumsodus vai līguma izmaiņu maksu);</w:t>
            </w:r>
            <w:r w:rsidR="00000000" w:rsidRPr="00000000" w:rsidDel="00000000">
              <w:rPr>
                <w:rtl w:val="0"/>
              </w:rPr>
              <w:t xml:space="preserve">apsvērt iespēju izveidot valsts atbalsta programmu daļējai kredītu procentu dzēšanai;</w:t>
            </w:r>
            <w:r w:rsidR="00000000" w:rsidRPr="00000000" w:rsidDel="00000000">
              <w:rPr>
                <w:rtl w:val="0"/>
              </w:rPr>
              <w:t xml:space="preserve">strādāt pie jaunu dalībnieku piesaistes Latvijas finanšu sektorā;</w:t>
            </w:r>
            <w:r w:rsidR="00000000" w:rsidRPr="00000000" w:rsidDel="00000000">
              <w:rPr>
                <w:rtl w:val="0"/>
              </w:rPr>
              <w:t xml:space="preserve">apsvērt iespēju piemērot kredītiestāžu virspeļņas nodokli. </w:t>
            </w:r>
            <w:r w:rsidR="00000000" w:rsidRPr="00000000" w:rsidDel="00000000">
              <w:rPr>
                <w:rtl w:val="0"/>
              </w:rPr>
              <w:t xml:space="preserve">
</w:t>
            </w:r>
            <w:r w:rsidR="00000000" w:rsidRPr="00000000" w:rsidDel="00000000">
              <w:rPr>
                <w:rtl w:val="0"/>
              </w:rPr>
              <w:t xml:space="preserve">Vienlaikus ir saņemts arī Latvijas Republikas Saeimas 2023.gada 5.oktobra paziņojums "Par 15 878 Latvijas pilsoņu kolektīvā iesnieguma “Bankām nepaaugstināt EURIBOR likmi pagātnē izsniegtiem kredītiem” turpmāko virzību” (Latvijas Vēstnesis, 2023/194.2), ar kuru Ministru kabinetam uzdots izvērtēt un sniegt priekšlikumus par 15 878 Latvijas pilsoņu kolektīvo iesniegumu “Bankām nepaaugstināt EURIBOR likmi pagātnē izsniegtiem kredītiem”, kas veicinātu kredītņēmēju interešu aizstāvību.</w:t>
            </w:r>
            <w:r w:rsidR="00000000" w:rsidRPr="00000000" w:rsidDel="00000000">
              <w:rPr>
                <w:rtl w:val="0"/>
              </w:rPr>
              <w:t xml:space="preserve">
</w:t>
            </w:r>
            <w:r w:rsidR="00000000" w:rsidRPr="00000000" w:rsidDel="00000000">
              <w:rPr>
                <w:rtl w:val="0"/>
              </w:rPr>
              <w:t xml:space="preserve">Ņemot vērā vēstulēs minētos jautājumus, Ministru kabinets sniedz šādu viedokli. Saistībā ar EURIBOR etalona procentu likmes strauju paaugstinājumu, jau ilgāku laiku tika sekots līdzi situācijai finanšu sektorā un kredītņēmēju spējai segt savas hipotekārā kredīta saistības. Vienlaikus aktīvi tika veidots dialogs ar kredītiestādēm, aicinot tās būt sociāli atbildīgām.</w:t>
            </w:r>
            <w:r w:rsidR="00000000" w:rsidRPr="00000000" w:rsidDel="00000000">
              <w:rPr>
                <w:rtl w:val="0"/>
              </w:rPr>
              <w:t xml:space="preserve">
</w:t>
            </w:r>
            <w:r w:rsidR="00000000" w:rsidRPr="00000000" w:rsidDel="00000000">
              <w:rPr>
                <w:rtl w:val="0"/>
              </w:rPr>
              <w:t xml:space="preserve">Saeimas Budžeta un finanšu (nodokļu) komisija ir izstrādājusi likumprojektu “Grozījumi Patērētāju tiesību aizsardzības likumā” (367/Lp14) (turpmāk – likumprojekts), kurš paredz noteikt hipotekārā kredīta devējiem (kredītiestādēm un patērētāju kreditēšanas pakalpojumu sniedzējiem) hipotekārā kredīta ņēmēju aizsardzības nodevu. Nodevu maksās par patērētājiem izsniegtajiem kredītiem, kuru atmaksa ir nodrošināta ar Latvijā esoša nekustamā īpašuma hipotēku, un tās apmērs ir 0,5 procenti ceturksnī no nodevas maksātāja kopējās izsniegto hipotekāro kredītu atlikumu summas uz 2023. gada 31. oktobri. Hipotekārā kredīta ņēmēju aizsardzības nodevu neaprēķina un nemaksā par tiem hipotekārajiem kredītiem, kas izsniegti ar fiksētu procentu likmi visā hipotekārā kredīta atmaksas periodā. Šāda hipotekārā kredīta ņēmēju aizsardzības nodeva ir piemērojama par 2024. gadu.</w:t>
            </w:r>
            <w:r w:rsidR="00000000" w:rsidRPr="00000000" w:rsidDel="00000000">
              <w:rPr>
                <w:rtl w:val="0"/>
              </w:rPr>
              <w:t xml:space="preserve">
</w:t>
            </w:r>
            <w:r w:rsidR="00000000" w:rsidRPr="00000000" w:rsidDel="00000000">
              <w:rPr>
                <w:rtl w:val="0"/>
              </w:rPr>
              <w:t xml:space="preserve">Valsts ieņēmumu dienestam tiek noteikts pienākums no hipotekārā kredīta ņēmēju aizsardzības nodevas ieņēmumiem veikt kredītprocentu kompensācijas izmaksu atbilstīgajiem hipotekārā kredīta ņēmējiem, ja izpildās šādi nosacījumi:</w:t>
            </w:r>
            <w:r w:rsidR="00000000" w:rsidRPr="00000000" w:rsidDel="00000000">
              <w:rPr>
                <w:rtl w:val="0"/>
              </w:rPr>
              <w:t xml:space="preserve">
</w:t>
            </w:r>
            <w:r w:rsidR="00000000" w:rsidRPr="00000000" w:rsidDel="00000000">
              <w:rPr>
                <w:rtl w:val="0"/>
              </w:rPr>
              <w:t xml:space="preserve">hipotekārā kredīta līgums ir noslēgts līdz 2023. gada 31. oktobrim;</w:t>
            </w:r>
            <w:r w:rsidR="00000000" w:rsidRPr="00000000" w:rsidDel="00000000">
              <w:rPr>
                <w:rtl w:val="0"/>
              </w:rPr>
              <w:t xml:space="preserve">
</w:t>
            </w:r>
            <w:r w:rsidR="00000000" w:rsidRPr="00000000" w:rsidDel="00000000">
              <w:rPr>
                <w:rtl w:val="0"/>
              </w:rPr>
              <w:t xml:space="preserve">hipotekārā kredīta atlikums nepārsniedz 250 000 euro.</w:t>
            </w:r>
            <w:r w:rsidR="00000000" w:rsidRPr="00000000" w:rsidDel="00000000">
              <w:rPr>
                <w:rtl w:val="0"/>
              </w:rPr>
              <w:t xml:space="preserve">
</w:t>
            </w:r>
            <w:r w:rsidR="00000000" w:rsidRPr="00000000" w:rsidDel="00000000">
              <w:rPr>
                <w:rtl w:val="0"/>
              </w:rPr>
              <w:t xml:space="preserve">Izskatot jautājumu par nepieciešamību sniegt atbalstu kredītņēmējiem, tika norādīts uz virkni riskiem par plašu nefokusētu atbalstu hipotekāro kredītu ņēmējiem, tostarp, uz starptautisko investīciju aizsardzības tiesvedību riskiem, iespējamu apstrīdēšanu Satversmes tiesā, negatīvu ietekmi uz finanšu stabilitāti, kā arī negatīvu ietekmi uz starptautisko reputāciju un reitingiem, kā arī nepieciešamību pēc iespējas mazināt tiesvedības riskus. Līdz ar to likumprojekts tā izskatīšanas gaitā 2. un 3.lasījumā tika pilnveidots, lai mazinātu tiesvedības riskus.</w:t>
            </w:r>
            <w:r w:rsidR="00000000" w:rsidRPr="00000000" w:rsidDel="00000000">
              <w:rPr>
                <w:rtl w:val="0"/>
              </w:rPr>
              <w:t xml:space="preserve">
</w:t>
            </w:r>
            <w:r w:rsidR="00000000" w:rsidRPr="00000000" w:rsidDel="00000000">
              <w:rPr>
                <w:rtl w:val="0"/>
              </w:rPr>
              <w:t xml:space="preserve">Saeimas Budžeta un finanšu (nodokļu) komisijas izstrādātais likumprojekts 2023.gada 6.decembrī ir atbalstīts galīgajā lasījumā, un paredzēts, ka tas stāsies spēkā 2024.gada 1.janvārī.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23-TA-2380</w:t>
    </w:r>
    <w:r>
      <w:br/>
    </w:r>
    <w:r w:rsidR="00000000" w:rsidRPr="00000000" w:rsidDel="00000000">
      <w:rPr>
        <w:rtl w:val="0"/>
      </w:rPr>
      <w:t xml:space="preserve">18.12.2023. 18.33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23-TA-2380</w:t>
    </w:r>
    <w:r>
      <w:br/>
    </w:r>
    <w:r w:rsidR="00000000" w:rsidRPr="00000000" w:rsidDel="00000000">
      <w:rPr>
        <w:rtl w:val="0"/>
      </w:rPr>
      <w:t xml:space="preserve">18.12.2023. 18.33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decimal"/>
      <w:lvlRestart w:val="1"/>
      <w:lvlText w:val="%1."/>
      <w:lvlJc w:val="left"/>
      <w:pPr>
        <w:ind w:left="750" w:firstLine="111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decimal"/>
      <w:lvlRestart w:val="1"/>
      <w:lvlText w:val="%1."/>
      <w:lvlJc w:val="left"/>
      <w:pPr>
        <w:ind w:left="750" w:firstLine="1110"/>
      </w:pPr>
      <w:rPr>
        <w:u w:val="none"/>
      </w:rPr>
    </w:lvl>
  </w:abstractNum>
  <w:abstractNum w:abstractNumId="5">
    <w:multiLevelType w:val="hybridMultilevel"/>
    <w:lvl w:ilvl="0">
      <w:start w:val="1"/>
      <w:numFmt w:val="decimal"/>
      <w:lvlRestart w:val="1"/>
      <w:lvlText w:val="%1."/>
      <w:lvlJc w:val="left"/>
      <w:pPr>
        <w:ind w:left="750" w:firstLine="1110"/>
      </w:pPr>
      <w:rPr>
        <w:u w:val="none"/>
      </w:rPr>
    </w:lvl>
  </w:abstractNum>
  <w:abstractNum w:abstractNumId="6">
    <w:multiLevelType w:val="hybridMultilevel"/>
    <w:lvl w:ilvl="0">
      <w:start w:val="1"/>
      <w:numFmt w:val="decimal"/>
      <w:lvlRestart w:val="1"/>
      <w:lvlText w:val="%1."/>
      <w:lvlJc w:val="left"/>
      <w:pPr>
        <w:ind w:left="750" w:firstLine="1110"/>
      </w:pPr>
      <w:rPr>
        <w:u w:val="none"/>
      </w:rPr>
    </w:lvl>
  </w:abstractNum>
  <w:abstractNum w:abstractNumId="7">
    <w:multiLevelType w:val="hybridMultilevel"/>
    <w:lvl w:ilvl="0">
      <w:start w:val="1"/>
      <w:numFmt w:val="bullet"/>
      <w:lvlRestart w:val="1"/>
      <w:lvlText w:val="●"/>
      <w:lvlJc w:val="left"/>
      <w:pPr>
        <w:ind w:left="720" w:firstLine="360"/>
      </w:pPr>
      <w:rPr>
        <w:u w:val="none"/>
      </w:rPr>
    </w:lvl>
  </w:abstractNum>
  <w:abstractNum w:abstractNumId="8">
    <w:multiLevelType w:val="hybridMultilevel"/>
    <w:lvl w:ilvl="0">
      <w:start w:val="1"/>
      <w:numFmt w:val="bullet"/>
      <w:lvlRestart w:val="1"/>
      <w:lvlText w:val="●"/>
      <w:lvlJc w:val="left"/>
      <w:pPr>
        <w:ind w:left="720" w:firstLine="360"/>
      </w:pPr>
      <w:rPr>
        <w:u w:val="none"/>
      </w:rPr>
    </w:lvl>
  </w:abstractNum>
  <w:abstractNum w:abstractNumId="9">
    <w:multiLevelType w:val="hybridMultilevel"/>
    <w:lvl w:ilvl="0">
      <w:start w:val="1"/>
      <w:numFmt w:val="decimal"/>
      <w:lvlRestart w:val="1"/>
      <w:lvlText w:val="%1."/>
      <w:lvlJc w:val="left"/>
      <w:pPr>
        <w:ind w:left="750" w:firstLine="1110"/>
      </w:pPr>
      <w:rPr>
        <w:u w:val="none"/>
      </w:rPr>
    </w:lvl>
  </w:abstractNum>
  <w:abstractNum w:abstractNumId="10">
    <w:multiLevelType w:val="hybridMultilevel"/>
    <w:lvl w:ilvl="0">
      <w:start w:val="1"/>
      <w:numFmt w:val="decimal"/>
      <w:lvlRestart w:val="1"/>
      <w:lvlText w:val="%1."/>
      <w:lvlJc w:val="left"/>
      <w:pPr>
        <w:ind w:left="750" w:firstLine="1110"/>
      </w:pPr>
      <w:rPr>
        <w:u w:val="none"/>
      </w:rPr>
    </w:lvl>
  </w:abstractNum>
  <w:abstractNum w:abstractNumId="11">
    <w:multiLevelType w:val="hybridMultilevel"/>
    <w:lvl w:ilvl="0">
      <w:start w:val="1"/>
      <w:numFmt w:val="decimal"/>
      <w:lvlRestart w:val="1"/>
      <w:lvlText w:val="%1."/>
      <w:lvlJc w:val="left"/>
      <w:pPr>
        <w:ind w:left="750" w:firstLine="1110"/>
      </w:pPr>
      <w:rPr>
        <w:u w:val="none"/>
      </w:rPr>
    </w:lvl>
  </w:abstractNum>
  <w:abstractNum w:abstractNumId="12">
    <w:multiLevelType w:val="hybridMultilevel"/>
    <w:lvl w:ilvl="0">
      <w:start w:val="1"/>
      <w:numFmt w:val="bullet"/>
      <w:lvlRestart w:val="1"/>
      <w:lvlText w:val="●"/>
      <w:lvlJc w:val="left"/>
      <w:pPr>
        <w:ind w:left="720" w:firstLine="360"/>
      </w:pPr>
      <w:rPr>
        <w:u w:val="none"/>
      </w:rPr>
    </w:lvl>
  </w:abstractNum>
  <w:abstractNum w:abstractNumId="13">
    <w:multiLevelType w:val="hybridMultilevel"/>
    <w:lvl w:ilvl="0">
      <w:start w:val="1"/>
      <w:numFmt w:val="bullet"/>
      <w:lvlRestart w:val="1"/>
      <w:lvlText w:val="●"/>
      <w:lvlJc w:val="left"/>
      <w:pPr>
        <w:ind w:left="720" w:firstLine="360"/>
      </w:pPr>
      <w:rPr>
        <w:u w:val="none"/>
      </w:rPr>
    </w:lvl>
  </w:abstractNum>
  <w:abstractNum w:abstractNumId="14">
    <w:multiLevelType w:val="hybridMultilevel"/>
    <w:lvl w:ilvl="0">
      <w:start w:val="1"/>
      <w:numFmt w:val="decimal"/>
      <w:lvlRestart w:val="1"/>
      <w:lvlText w:val="%1."/>
      <w:lvlJc w:val="left"/>
      <w:pPr>
        <w:ind w:left="750" w:firstLine="1110"/>
      </w:pPr>
      <w:rPr>
        <w:u w:val="none"/>
      </w:rPr>
    </w:lvl>
  </w:abstractNum>
  <w:abstractNum w:abstractNumId="15">
    <w:multiLevelType w:val="hybridMultilevel"/>
    <w:lvl w:ilvl="0">
      <w:start w:val="1"/>
      <w:numFmt w:val="decimal"/>
      <w:lvlRestart w:val="1"/>
      <w:lvlText w:val="%1."/>
      <w:lvlJc w:val="left"/>
      <w:pPr>
        <w:ind w:left="750" w:firstLine="111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 Target="media/image10.png" Type="http://schemas.openxmlformats.org/officeDocument/2006/relationships/image" Id="rId10"/><Relationship Target="media/image11.png" Type="http://schemas.openxmlformats.org/officeDocument/2006/relationships/image" Id="rId1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Izziņa_23-TA-2380.docx</dc:title>
</cp:coreProperties>
</file>

<file path=docProps/custom.xml><?xml version="1.0" encoding="utf-8"?>
<Properties xmlns="http://schemas.openxmlformats.org/officeDocument/2006/custom-properties" xmlns:vt="http://schemas.openxmlformats.org/officeDocument/2006/docPropsVTypes"/>
</file>