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23-TA-954: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pasākuma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 plānošanas reģionu un pašvaldību prasmes, lai nodrošinātu virzību uz klimatneitrālu ekonomiku un mazinātu riskus saistībā ar klimata pārmaiņām visvairāk skartajos reģionos, veicinot sociālekonomisko seku mazināšanu"šobrīd un turpmākos plānošanas perioda gadus būs aktuāls visām Latvijas pašvaldībām, nevis tikai 4.punktā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visas projekta aktivitātes vienādā mērā ir pieejamas visām Latvijas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Komisijas (turpmāk - EK) 2022. gada 25. novembra lēmumu  apstiprināts Latvijas TPTP  kā Eiropas Savienības kohēzijas politikas programmas 2021.-2027.gadam pielikums. Tas paredz sniegt atbalstu visvairāk skartajām teritorijām pārejā uz klimatneitrālu ekonomiku Latvijā četros reģionos pēc Statistiski teritoriālo vienību nomenklatūras 3. līmeņa (turpmāk - NUTS 3. līmenis) klasifikācijas, kas bija spēkā uz TPTP izstrādes, saskaņošanas un apstiprināšanas brīdi. Ievērojot 2021. gada 24. jūnija Eiropas Parlamenta un Padomes regulas (ES) Nr. 2021/1056, ar ko izveido Taisnīgas pārkārtošanās fondu 11.pantā noteikto, lai saņemtu Taisnīgas pārkārtošanās fonda (turpmāk – TPF) finansējumu, Eiropas Savienības dalībvalstu taisnīgas pārkārtošanās teritoriālajiem plāniem jāaptver vienu vai vairākas skartās teritorijas, kuras atbilst NUTS 3. līmeņa reģioniem, vai kas aptver šādu teritoriju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TPTP izstrādi uzsāka 2020. gadā un to veica atbilstoši 2003. gada 26. maija Eiropas Parlamenta un Padomes Regulas (EK) Nr. 1059/2003 par kopējas statistiski teritoriālo vienību klasifikācijas (NUTS) izveidi nosacījumiem un Ministru kabineta 2004. gada 28. aprīļa rīkojumam Nr. 271 “Par Latvijas Republikas statistiskajiem reģioniem un tajos ietilpstošajām administratīvajām vienībām”, ievērojot rīkojumā noteikto statistisko reģionu administratīvo vienību iedalījumu. Sākotnēji EK 2020. gada ziņojuma par Latviju D pielikumā tika noteikta rekomendācija tikai par diviem ar TPF finansējumu atbalstāmajiem reģioniem – Latgali un Vidzemi. Pamatojot četru reģionu līdzīgās specifiskās problēmas un attīstības vajadzības, tai skaitā, balstoties uz statistikas datu analīzi, Latvija panāca vienošanos ar EK par TPTP ģeogrāfiskā tvēruma paplašināšanu, iekļaujot atbalstāmajā teritorijā arī Kurzemes un Zemgales statistisko reģionu. Nepieciešamo datu analīze tika veikta spēkā esošo NUTS 3. līmeņa reģionu robežās, ievērojot, ka Limbažu, Ogres, Saulkrastu un Tukuma novads gan TPTP izstrādes un saskaņošanas laikā ar EK, kas ilga vairāk kā divus gadus, gan uz šo brīdi joprojām ir iekļauts Pierīgas statistiskajā reģionā saskaņā ar spēkā esošo Ministru kabineta 2021. gada 7. decembra rīkojumu Nr. 911 “Par Latvijas Republikas statistiskajiem reģioniem un tajos ietilpstošajām administratīvajām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6.1.1.8. pasākuma Ministru kabineta (turpmāk – MK) noteikumu projekta 5. punktā ir noteikts, ka projekta īstenošanas vieta ir Kurzemes, Latgales, Vidzemes un Zemgales statistiskais reģions saskaņā ar 2022. gada 25. novembrī spēkā esošo NUTS 3. līmeņa klasifikāciju, un pasākuma dalībnieki ir no TPTP tvērumā noteiktajiem reģioniem jeb 6.1.1.8.pasākumā noteiktā mērķa grupa. Attiecīgi attiecināmajās izmaksās nevar tikt iekļautas izmaksas par pasākuma dalībniekiem, kas neatbilst pasākuma mērķa grupai jeb ir ārpus TPTP tvērumā noteiktajiem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ietvaros sasniedzamā rādītāja r.6.1.1.j. “Pašvaldību un reģionu speciālisti ar pilnveidotām zināšanām un  prasmēm klimatneitrālas ekonomikas un ar klimata pārmaiņām saistīto sociālekonomisko seku mazināšanas jautājumos” definīcija nosaka, ka rādītājs ietver pašvaldību un reģionu speciālistus visvairāk skartajās teritorijās, kuriem atbalsta rezultātā uzlabotas zināšanas un prasmes klimatneitrālas ekonomikas sekmēšanā, tai skaitā par kūdras nozares pārorientāciju un citiem saistītiem jautājumiem. Līdz ar to attiecīgi dalībnieki, kas neatbilst 6.1.1.8.pasākumā noteiktajai mērķa grupai (jeb ir dalībnieki ārpus TPTP tvērumā noteiktajiem reģioniem), nevar tikt ieskaitīti kopējā rādītājā.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skaidrojam, ka attiecībā uz projekta ietvaros plānoto pasākumu norises vietu, būtiski, lai pasākuma dalībnieki ir no TPTP tvērumā noteiktajiem reģioniem (t.i., četri statistiskie reģioni – Kurzeme, Latgale, Vidzeme un Latgale pēc NUTS 3. līmeņa klasifikācijas, kas bija spēkā uz TPTP izstrādes, saskaņošanas un apstiprināšanas brīdi). Savukārt paša pasākuma (piemēram, semināra) fiziskā norises vieta varētu būt jebkura izvēlētā Latvijas Republikas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īstenojot projektu, finansējuma saņēmējs (VARAM) nodrošinās informācijas un publicitātes pasākumus saskaņā ar regulas Nr. 2021/1060 47. un 50. pantu, un normatīvajiem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 Attiecīgi  - projekta ietvaros sagatavotos materiālus paredzēts publicēt tīmekļvietnē, lai tie būtu pieejami pēc iespējas plašākai sabiedrībai, kā arī, lai nodrošinātu pasākuma ietvaros pilnveidoto zināšanu un pieredzes pārnesi arī tiem reģioniem un pašvaldībām, kuras  nav iekļautas TPTP tvērumā, informācija tiks sniegta arī citos pašvaldību un to pārstāvošo biedrību vai ministriju (piem., VARAM, KEM) un plānošanas reģionu organizētajos pasākumos vai sanāksmēs, nodrošinot demarkāciju, ka vienas un tās pašas darbības un izmaksas netiek finansētas no dažādiem ES fondu pasākumiem vai citiem ārvalstu finanšu līdzekļiem. Līdz ar to pasākuma netiešie labuma guvēji būs visas Latvijas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izrunāts 2023.gada 26.jūlija saskaņošanas sanāksmē. Lūdzam skatīt papildināto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6.1.1.8. pasākuma „Pašvaldību un plānošanas reģionu speciālistu prasmju paaugstināšana klimatneitrālas ekonomikas un sociālekonomisko seku saistībā ar klimata pārmaiņām mazināšanas jautājumos”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pasākuma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 plānošanas reģionu un pašvaldību prasmes, lai nodrošinātu virzību uz klimatneitrālu ekonomiku un mazinātu riskus saistībā ar klimata pārmaiņām visvairāk skartajos reģionos, veicinot sociālekonomisko seku mazināšanu"šobrīd un turpmākos plānošanas perioda gadus būs aktuāls </w:t>
            </w:r>
            <w:r w:rsidR="00000000" w:rsidRPr="00000000" w:rsidDel="00000000">
              <w:rPr>
                <w:b w:val="1"/>
                <w:rtl w:val="0"/>
              </w:rPr>
              <w:t xml:space="preserve">visām Latvijas pašvaldībām</w:t>
            </w:r>
            <w:r w:rsidR="00000000" w:rsidRPr="00000000" w:rsidDel="00000000">
              <w:rPr>
                <w:rtl w:val="0"/>
              </w:rPr>
              <w:t xml:space="preserve">, nevis tikai 4.punktā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visas projekta aktivitātes vienādā mērā ir pieejamas visām Latvijas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(t.sk. 21.4.7.apakšpunktā un 30.punktā) vārdu “pieejamība” aizstāt ar vārdu “piekļūstamība”. Vēršam uzmanību, ka, atbilstoši Latvijas Zinātņu akadēmijas Terminoloģijas komisijas lēmumam (https://termini.gov.lv/kolekcijas/97/skirklis/454405)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-paaugstināt plānošanas reģionu un pašvaldību prasmes, lai nodrošinātu virzību uz klimatneitrālu ekonomiku un mazinātu riskus saistībā ar klimata pārmaiņām visvairāk skartajos reģionos, veicinot sociālekonomisko seku mazināšanu - ir aktuāls visām Vidzemes plānošanas reģiona pašvaldībām, arī Ogres, Limbažu un Saulkrastu pašvaldībai.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Kurzemes, Latgales, Vidzemes un Zemgales plānošanas reģionu pašvaldības saskaņā ar Ministru kabineta 2021.gada 22.jūnija noteikumiem Nr. 418 "Noteikumi par plānošanas reģionu teritorijām"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-paaugstināt plānošanas reģionu un pašvaldību prasmes, lai nodrošinātu virzību uz klimatneitrālu ekonomiku un mazinātu riskus saistībā ar klimata pārmaiņām visvairāk skartajos reģionos, veicinot sociālekonomisko seku mazināšanu - ir vienlīdz aktuāls visām Vidzemes plānošanas reģiona pašvaldībām, arī Ogres, Limbažu un Saulkrastu pašvaldībai. Visām projekta aktivitātēm vienādā mērā jābūt pieejamas visām Vidzemes plānošanas reģiona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Kurzemes, Latgales, Vidzemes un Zemgales plānošanas reģionu pašvaldības saskaņā ar Ministru kabineta 2021.gada 22.jūnija noteikumiem Nr. 418 "Noteikumi par plānošanas reģionu teritorijām"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(KPR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5.punktā minētā atsauce par projekta īstenošanas vietu neietver Tukuma novadu Kurzemes plānošanas reģionā, kas ir noteikts MK noteikumos Nr. 418 (Rīgā 2021. gada 22. jūnijā (prot. Nr. 49 45. §)) “Noteikumi par plānošanas reģionu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līdzvērtīgu projektu ieviešanu arī Tukuma novadam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5.punktā minētā atsauce par projekta īstenošanas vietu neietver Tukuma novadu Kurzemes plānošanas reģionā, kas ir noteikts MK noteikumos Nr. 418 (Rīgā 2021. gada 22. jūnijā (prot. Nr. 49 45. §)) “Noteikumi par plānošanas reģionu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līdzvērtīgu projektu ieviešanu arī Tukuma novadam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(KPR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6.1.1.8. pasākums neietver Tukuma novadu un dalībnieki (kuri neatbilst 6.1.1.8.pasākumā noteiktajai mērķa grupai (jeb ir dalībnieki ārpus TPTP tvērumā noteiktajiem reģioniem), netiks ieskaitīti kopējā rādītājā, kā arī attiecināmajās izmaksās nevarēs iekļaut izmaksas par šiem pasākuma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plānošanas reģiona pašvaldības saskaņā ar Ministru kabineta noteikumiem Nr. 418 (Rīgā 2021. gada 22. jūnijā (prot. Nr. 49 45. §) "Noteikumi par plānošanas reģionu teritorijām"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2.2., 2.4.,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Kurzemes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Ventspils;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Dienvidkurzemes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Talsu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Tukuma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Ventspils novads.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šo noteikumu </w:t>
            </w:r>
            <w:r w:rsidR="00000000" w:rsidRPr="00000000" w:rsidDel="00000000">
              <w:rPr>
                <w:rtl w:val="0"/>
              </w:rPr>
              <w:t xml:space="preserve">5.</w:t>
            </w:r>
            <w:r w:rsidR="00000000" w:rsidRPr="00000000" w:rsidDel="00000000">
              <w:rPr>
                <w:rtl w:val="0"/>
              </w:rPr>
              <w:t xml:space="preserve"> punktā minēto reģionu un to pašvaldību, tai skaitā pašvaldību kapitālsabiedrību, kas veic pašvaldības deleģēto pārvaldes uzdevumu izpildi,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7.punkts ir papildināts ar pašvaldību kapitālsabiedrībām kā atbalsta saņēmējiem, un, lai arī anotācijā ir sniegts skaidrojums, ka 6.1.1.8.pasākuma ietvaros tiks īstenots projekts, kas nav saistīts ar saimnieciskās darbības veikšanu un 6.1.1.8.pasākuma ietvaros īstenojamās darbības nav kvalificējamas kā saimnieciskā darbība un komercdarbības atbalsta sniegšana nav paredzēta, lūdzam papildināt anotāciju ar skaidrojumu par to, vai projekta ietvaros pašvaldību kapitālsabiedrībām noteiktie pienākumi izriet no tām noteiktajām valsts pārvaldes funkcijām, kuras ir nesaimnieciska rakstura, tādējādi pamatojot, ka pašvaldību kapitālsabiedrībām plānotais atbalsts nekvalificēsies kā komercdarbības atbalsts. Skaidrojam, ka gadījumā, ja projekta ietvaros pašvaldību kapitālsabiedrībām noteiktie pienākumi neizriet no tām uzlikta valsts pārvaldes uzdevuma, atbalsts tam ir vērtējams komercdarbības atbalsta kontroles kontekstā. Attiecīgi, ja projekta ietvaros pašvaldības kapitālsabiedrībām noteiktie pienākumi skars to saimniecisko darbību (piemēram, tiek sniegti sabiedriskie pakalpojumi), lūdzam papildināt MK noteikumu projektu ar atbilstošiem komercdarbības atbalsta nosacījumiem, kas attiecas uz pašvaldību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6.1.1.8. pasākuma ietvaros projekta iesniedzējs un atbalsta saņēmējs ir Vides aizsardzības un reģionālās attīstības ministrija, un, vērtējot iesniegto projekta iesniegumu, vēl nebūs zināmi tie pašvaldību un reģionu speciālisti, kuriem pasākuma ietvaros tiks pilnveidotas zināšanas un prasmes klimatneitrālas ekonomikas un ar klimata pārmaiņām saistīto sociālekonomisko seku mazināšanas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projekta 7. punkts  tika papildināts par pasākuma mērķa grupu, kā mērķa grupu norādot arī pašvaldību kapitālsabiedrību, kas veic pašvaldības deleģēto pārvaldes uzdevumu izpildi, speciālistus. Skaidrojam, ka, lai sasniegtu pasākuma mērķi, tā  ietvaros arī pašvaldību kapitālsabiedrību, kas veic pašvaldības deleģēto pārvaldes uzdevumu izpildi, speciālistiem var tikt pilnveidotas zināšanas un prasmes klimatneitrālas ekonomikas un ar  klimata pārmaiņām saistīto sociālekonomisko seku mazināšanas jautājumos. Pasākuma ietvaros pašvaldību kapitālsabiedrībām noteiktie pienākumi izriet no tām noteiktajām valsts pārvaldes funkcijām, kuras ir nesaimnieciska rakstura (piemēram,  pašvaldību kapitālsabiedrībām plānotais atbalsts nebūs piemērojams sabiedrisko pakalpojumu sniegšanai) un nekvalificēsies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šo noteikumu </w:t>
            </w:r>
            <w:r w:rsidR="00000000" w:rsidRPr="00000000" w:rsidDel="00000000">
              <w:rPr>
                <w:rtl w:val="0"/>
              </w:rPr>
              <w:t xml:space="preserve">5.</w:t>
            </w:r>
            <w:r w:rsidR="00000000" w:rsidRPr="00000000" w:rsidDel="00000000">
              <w:rPr>
                <w:rtl w:val="0"/>
              </w:rPr>
              <w:t xml:space="preserve"> punktā minēto reģionu un to pašvaldību, tai skaitā pašvaldību kapitālsabiedrību, kas veic pašvaldības deleģēto pārvaldes uzdevumu izpildi, speciālisti.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finansējums ir 1 803 436 </w:t>
            </w:r>
            <w:r w:rsidR="00000000" w:rsidRPr="00000000" w:rsidDel="00000000">
              <w:rPr>
                <w:i w:val="1"/>
                <w:rtl w:val="0"/>
              </w:rPr>
              <w:t xml:space="preserve">euro</w:t>
            </w:r>
            <w:r w:rsidR="00000000" w:rsidRPr="00000000" w:rsidDel="00000000">
              <w:rPr>
                <w:rtl w:val="0"/>
              </w:rPr>
              <w:t xml:space="preserve"> (tai skaitā elastības finansējuma apjoms 118 449</w:t>
            </w:r>
            <w:r w:rsidR="00000000" w:rsidRPr="00000000" w:rsidDel="00000000">
              <w:rPr>
                <w:i w:val="1"/>
                <w:rtl w:val="0"/>
              </w:rPr>
              <w:t xml:space="preserve"> euro</w:t>
            </w:r>
            <w:r w:rsidR="00000000" w:rsidRPr="00000000" w:rsidDel="00000000">
              <w:rPr>
                <w:rtl w:val="0"/>
              </w:rPr>
              <w:t xml:space="preserve">), tai skaitā Taisnīgas pārkārtošanās fonda finansējums 1 532 920 </w:t>
            </w:r>
            <w:r w:rsidR="00000000" w:rsidRPr="00000000" w:rsidDel="00000000">
              <w:rPr>
                <w:i w:val="1"/>
                <w:rtl w:val="0"/>
              </w:rPr>
              <w:t xml:space="preserve">euro</w:t>
            </w:r>
            <w:r w:rsidR="00000000" w:rsidRPr="00000000" w:rsidDel="00000000">
              <w:rPr>
                <w:rtl w:val="0"/>
              </w:rPr>
              <w:t xml:space="preserve"> (tai skaitā elastības finansējuma apjoms 100 682 </w:t>
            </w:r>
            <w:r w:rsidR="00000000" w:rsidRPr="00000000" w:rsidDel="00000000">
              <w:rPr>
                <w:i w:val="1"/>
                <w:rtl w:val="0"/>
              </w:rPr>
              <w:t xml:space="preserve">euro</w:t>
            </w:r>
            <w:r w:rsidR="00000000" w:rsidRPr="00000000" w:rsidDel="00000000">
              <w:rPr>
                <w:rtl w:val="0"/>
              </w:rPr>
              <w:t xml:space="preserve">) un valsts budžeta līdzfinansējums  270 516 </w:t>
            </w:r>
            <w:r w:rsidR="00000000" w:rsidRPr="00000000" w:rsidDel="00000000">
              <w:rPr>
                <w:i w:val="1"/>
                <w:rtl w:val="0"/>
              </w:rPr>
              <w:t xml:space="preserve">euro </w:t>
            </w:r>
            <w:r w:rsidR="00000000" w:rsidRPr="00000000" w:rsidDel="00000000">
              <w:rPr>
                <w:rtl w:val="0"/>
              </w:rPr>
              <w:t xml:space="preserve">(tai skaitā elastības finansējuma apjoms 17 767 </w:t>
            </w:r>
            <w:r w:rsidR="00000000" w:rsidRPr="00000000" w:rsidDel="00000000">
              <w:rPr>
                <w:i w:val="1"/>
                <w:rtl w:val="0"/>
              </w:rPr>
              <w:t xml:space="preserve">euro</w:t>
            </w:r>
            <w:r w:rsidR="00000000" w:rsidRPr="00000000" w:rsidDel="00000000">
              <w:rPr>
                <w:rtl w:val="0"/>
              </w:rPr>
              <w:t xml:space="preserve">). Maksimālais Taisnīgas pārkārtošanās fonda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10.punktu ar pieejamā finansējuma apmēru, ņemot vērā noteikumu projektu 11.punktā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papildināt arī noteikumu projekta 1.3.apakšpunktu ar norādi par “plānoto finansējumu”, ņemot vērā noteikumu projekta 10. un 11.punktā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finansējums ir 1 803 436 </w:t>
            </w:r>
            <w:r w:rsidR="00000000" w:rsidRPr="00000000" w:rsidDel="00000000">
              <w:rPr>
                <w:i w:val="1"/>
                <w:rtl w:val="0"/>
              </w:rPr>
              <w:t xml:space="preserve">euro</w:t>
            </w:r>
            <w:r w:rsidR="00000000" w:rsidRPr="00000000" w:rsidDel="00000000">
              <w:rPr>
                <w:rtl w:val="0"/>
              </w:rPr>
              <w:t xml:space="preserve"> (tai skaitā elastības finansējuma apjoms 118 449</w:t>
            </w:r>
            <w:r w:rsidR="00000000" w:rsidRPr="00000000" w:rsidDel="00000000">
              <w:rPr>
                <w:i w:val="1"/>
                <w:rtl w:val="0"/>
              </w:rPr>
              <w:t xml:space="preserve"> euro</w:t>
            </w:r>
            <w:r w:rsidR="00000000" w:rsidRPr="00000000" w:rsidDel="00000000">
              <w:rPr>
                <w:rtl w:val="0"/>
              </w:rPr>
              <w:t xml:space="preserve">), tai skaitā Taisnīgas pārkārtošanās fonda finansējums 1 532 920 </w:t>
            </w:r>
            <w:r w:rsidR="00000000" w:rsidRPr="00000000" w:rsidDel="00000000">
              <w:rPr>
                <w:i w:val="1"/>
                <w:rtl w:val="0"/>
              </w:rPr>
              <w:t xml:space="preserve">euro</w:t>
            </w:r>
            <w:r w:rsidR="00000000" w:rsidRPr="00000000" w:rsidDel="00000000">
              <w:rPr>
                <w:rtl w:val="0"/>
              </w:rPr>
              <w:t xml:space="preserve"> (tai skaitā elastības finansējuma apjoms 100 682 </w:t>
            </w:r>
            <w:r w:rsidR="00000000" w:rsidRPr="00000000" w:rsidDel="00000000">
              <w:rPr>
                <w:i w:val="1"/>
                <w:rtl w:val="0"/>
              </w:rPr>
              <w:t xml:space="preserve">euro</w:t>
            </w:r>
            <w:r w:rsidR="00000000" w:rsidRPr="00000000" w:rsidDel="00000000">
              <w:rPr>
                <w:rtl w:val="0"/>
              </w:rPr>
              <w:t xml:space="preserve">) un valsts budžeta līdzfinansējums 270 516 </w:t>
            </w:r>
            <w:r w:rsidR="00000000" w:rsidRPr="00000000" w:rsidDel="00000000">
              <w:rPr>
                <w:i w:val="1"/>
                <w:rtl w:val="0"/>
              </w:rPr>
              <w:t xml:space="preserve">euro </w:t>
            </w:r>
            <w:r w:rsidR="00000000" w:rsidRPr="00000000" w:rsidDel="00000000">
              <w:rPr>
                <w:rtl w:val="0"/>
              </w:rPr>
              <w:t xml:space="preserve">(tai skaitā elastības finansējuma apjoms 17 767 </w:t>
            </w:r>
            <w:r w:rsidR="00000000" w:rsidRPr="00000000" w:rsidDel="00000000">
              <w:rPr>
                <w:i w:val="1"/>
                <w:rtl w:val="0"/>
              </w:rPr>
              <w:t xml:space="preserve">euro</w:t>
            </w:r>
            <w:r w:rsidR="00000000" w:rsidRPr="00000000" w:rsidDel="00000000">
              <w:rPr>
                <w:rtl w:val="0"/>
              </w:rPr>
              <w:t xml:space="preserve">). Pasākumam pieejamais kopējais finansējums ir 1 684 987 </w:t>
            </w:r>
            <w:r w:rsidR="00000000" w:rsidRPr="00000000" w:rsidDel="00000000">
              <w:rPr>
                <w:i w:val="1"/>
                <w:rtl w:val="0"/>
              </w:rPr>
              <w:t xml:space="preserve">euro</w:t>
            </w:r>
            <w:r w:rsidR="00000000" w:rsidRPr="00000000" w:rsidDel="00000000">
              <w:rPr>
                <w:rtl w:val="0"/>
              </w:rPr>
              <w:t xml:space="preserve">, tai skaitā Taisnīgas pārkārtošanās fonda finansējums 1 432 238 </w:t>
            </w:r>
            <w:r w:rsidR="00000000" w:rsidRPr="00000000" w:rsidDel="00000000">
              <w:rPr>
                <w:i w:val="1"/>
                <w:rtl w:val="0"/>
              </w:rPr>
              <w:t xml:space="preserve">euro </w:t>
            </w:r>
            <w:r w:rsidR="00000000" w:rsidRPr="00000000" w:rsidDel="00000000">
              <w:rPr>
                <w:rtl w:val="0"/>
              </w:rPr>
              <w:t xml:space="preserve">un valsts budžeta līdzfinansējums 252 749 </w:t>
            </w:r>
            <w:r w:rsidR="00000000" w:rsidRPr="00000000" w:rsidDel="00000000">
              <w:rPr>
                <w:i w:val="1"/>
                <w:rtl w:val="0"/>
              </w:rPr>
              <w:t xml:space="preserve">euro</w:t>
            </w:r>
            <w:r w:rsidR="00000000" w:rsidRPr="00000000" w:rsidDel="00000000">
              <w:rPr>
                <w:rtl w:val="0"/>
              </w:rPr>
              <w:t xml:space="preserve">. Maksimālais Taisnīgas pārkārtošanās fonda finansējuma apmērs nepārsniedz 85 procentus no projekta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rtl w:val="0"/>
              </w:rPr>
              <w:t xml:space="preserve">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Regulas Nr. 2021/1060 53. panta 2. punktā noteiktajam, darbības vai projekti, kas ir daļa no darbības, kuri saņem atbalstu no TPF, KF, ERAF vai ESF+ un kuru kopējās izmaksas nepārsniedz EUR 200 000, visas izmaksas tiek segtas ar vienu vienību, fiksētās summas maksājumu vai vienoto likmju veidā, izņemot darbības, kurām atbalsts kvalificējams kā komercdarbības (izņemot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iekļaut atsauci noteikumu projekta 21.4.1. apakšpunktā uz Finanšu ministrijas metodiku “Vienas vienības izmaksu standarta likmes aprēķina un piemērošanas metodika 1 km izmaksām darbības programmas “Izaugsme un nodarbinātība” un Eiropas Savienības kohēzijas politikas programmas 2021.–2027.gadam  īstenošanai” un Finanšu ministrija metodiku “Vienas vienības izmaksu standarta likmes aprēķina un piemērošanas metodika iekšzemes komandējumu izmaksām darbības programmas “Izaugsme un nodarbinātība” un Eiropas Savienības kohēzijas politikas programmas 2021.–2027.gadam īstenošanai” (ja attiecināms), kā arī papildināt, vai plānoti tikai iekšzemes vai arī ārvalstu (ES dalībvalstis) ceļošanas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tiek piemērotas vienkāršotās izmaksas projekta vadības un īstenošanas personāla izmaksām, netiešajām izmaksām, iekšzemes komandējumiem, kā arī degvielas izmaksām vieglajam transportlīdzeklim un reģionālā sabiedriskā un vietējā sabiedriskā transporta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noteikuma projekta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20.1.</w:t>
            </w:r>
            <w:r w:rsidR="00000000" w:rsidRPr="00000000" w:rsidDel="00000000">
              <w:rPr>
                <w:rtl w:val="0"/>
              </w:rPr>
              <w:t xml:space="preserve"> apakšpunktā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tiešās attiecināmās projekta vadības un īstenošanas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  55. panta 1. punktu projekta iesniegumā plāno kā vienu izmaksu pozīciju, piemērojot izmaksu vienoto likmi 20 procentu apmērā no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minētajām projekta pārējām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no Vides aizsardzības un reģionālās attīstības ministrijas (VARAM) 25.04.2023. saņemto e-pastu ar lūgumu saskaņot vienotās likmes piemērošanu projekta vadības personālam 20% apmērā no pārējām tiešajām attiecināmajām izmaksām, minētais pamatojums vēl ir izskatīšanas stadijā un attiecīgais procentu īpatsvars vēl nav saskaņots. Līdz ar to attiecīgā procenta likšanu  noteikumu projektā varēsim saskaņot, tiklīdz izskatīsim VARAM atsūtīto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 saņemts vadošās iestādes saskaņojums par vienotās likmes piemērošanu projekta vadības personālam 20% apmērā, kas attiecīgi iekļauts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vadības un īstenošanas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minētajām projekta pārējām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2022.gada 25.augusta vadlīniju Nr. 1.2. "Vadlīnijas attiecināmo izmaksu noteikšanai Eiropas Savienības kohēzijas politikas programmas 2021.-2027.gada plānošanas periodā" 33.punktam daļlaika izmaksu attiecināšanas principa gadījumā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noteikumu projekta 21.3.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 un daļlaika noslodzes gadījumā, ņemot vērā darbinieka iesaistes periodu projektā pret kopējo projekta īstenošanas ilgumu;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nodoklis, kas tiešā veidā saistīts ar projektu, uzskatāms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norādot, ka tiks nodrošināts dubultā finansējuma novēršanas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anotācijas sadaļu Nr. 1.3. “Citi”.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nodoklis, kas tiešā veidā saistīts ar projektu, uzskatāms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īstenošanas gaitā radušās sadārdzinājuma izmaksas finansējuma saņēmējs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25.punktu, ņemot vērā, ka finansējuma saņēmējs ir valsts pārvaldes iestāde un attiecīgi sadārdzinājuma izmaksas netiek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pasākuma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 plānošanas reģionu un pašvaldību prasmes, lai nodrošinātu virzību uz klimatneitrālu ekonomiku un mazinātu riskus saistībā ar klimata pārmaiņām visvairāk skartajos reģionos, veicinot sociālekonomisko seku mazināšanu"šobrīd un turpmākos plānošanas perioda gadus būs aktuāls visām Latvijas pašvaldībām, nevis tikai anotācijā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atspoguļot anotācijā, ka visas projekta aktivitātes vienādā mērā būs pieejamas visām Latvijas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-paaugstināt plānošanas reģionu un pašvaldību prasmes, lai nodrošinātu virzību uz klimatneitrālu ekonomiku un mazinātu riskus saistībā ar klimata pārmaiņām visvairāk skartajos reģionos, veicinot sociālekonomisko seku mazināšanu - ir vienādā mērā aktuāls visām Vidzemes plānošanas reģiona pašvaldībām, arī Ogres, Limbažu un Saulkrastu pašvaldībai, tāpēc kā projekta īstenošanas vieta nosakāmas visas Vidzemes plānošanas reģiona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(KPR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5.punktā minētā atsauce par projekta īstenošanas vietu neietver Tukuma novadu Kurzemes plānošanas reģionā, kas ir noteikts MK noteikumos Nr. 418 (Rīgā 2021. gada 22. jūnijā (prot. Nr. 49 45. §)) “Noteikumi par plānošanas reģionu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līdzvērtīgu projektu ieviešanu arī Tukuma novadam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5.punktā minētā atsauce par projekta īstenošanas vietu neietver Tukuma novadu Kurzemes plānošanas reģionā, kas ir noteikts MK noteikumos Nr. 418 (Rīgā 2021. gada 22. jūnijā (prot. Nr. 49 45. §)) “Noteikumi par plānošanas reģionu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līdzvērtīgu projektu ieviešanu arī Tukuma novadam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uzsver , ka pasākuma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 plānošanas reģionu un pašvaldību prasmes, lai nodrošinātu virzību uz klimatneitrālu ekonomiku un mazinātu riskus saistībā ar klimata pārmaiņām visvairāk skartajos reģionos, veicinot sociālekonomisko seku mazināšanu"šobrīd un turpmākos plānošanas perioda gadus būs aktuāls visām Latvijas pašvaldībām, nevis tikai MK noteikumu projekta 4.punktā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nodrošināt un anotācijā skaidrot,</w:t>
            </w:r>
            <w:r w:rsidR="00000000" w:rsidRPr="00000000" w:rsidDel="00000000">
              <w:rPr>
                <w:rtl w:val="0"/>
              </w:rPr>
              <w:t xml:space="preserve"> kā visas projekta aktivitātes vienādā mērā būs pieejamas visām Latvijas pašvaldībām, atspoguļojot to anotācijā sadaļā: pašreizējās situācija, problēmas un risinājumi, lai tiktu ieviesti dzīvē jau pieņemtie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Nr. 418 (Rīgā 2021. gada 22. jūnijā (prot. Nr. 49 45. §)) "Noteikumi par plānošanas reģionu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(KPR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6.1.1.8. pasākums neietver Tukuma novadu un dalībnieki (kuri neatbilst 6.1.1.8.pasākumā noteiktajai mērķa grupai (jeb ir dalībnieki ārpus TPTP tvērumā noteiktajiem reģioniem), netiks ieskaitīti kopējā rādītājā, kā arī attiecināmajās izmaksās nevarēs iekļaut izmaksas par šiem pasākuma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īstenošanas vietas un dalībniekus noteikt Kurzemes, Latgales, Vidzemes un Zemgales plānošanas reģionu pašvaldības saskaņā ar Ministru kabineta noteikumiem Nr. 418 (Rīgā 2021. gada 22. jūnijā (prot. Nr. 49 45. §)) "Noteikumi par plānošanas reģionu teritorijām" 2.1., 2.2., 2.4., 2.5.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-paaugstināt plānošanas reģionu un pašvaldību prasmes, lai nodrošinātu virzību uz klimatneitrālu ekonomiku un mazinātu riskus saistībā ar klimata pārmaiņām visvairāk skartajos reģionos, veicinot sociālekonomisko seku mazināšanu - ir aktuāls visām Vidzemes plānošanas reģiona pašvaldībām, arī Ogres, Limbažu un Saulkrastu pašvaldībai, tāpēc kā projekta īstenošanas vieta nosakāmas visas Vidzemes plānošanas reģiona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ietekmes novērtējumu uz horizontālajiem principiem "Klimatdrošināšana”, “Energoefektivitāte pirmajā vietā”,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pasākuma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 plānošanas reģionu un pašvaldību prasmes, lai nodrošinātu virzību uz klimatneitrālu ekonomiku un mazinātu riskus saistībā ar klimata pārmaiņām visvairāk skartajos reģionos, veicinot sociālekonomisko seku mazināšanu"šobrīd un turpmākos plānošanas perioda gadus būs aktuāls visām Latvijas pašvaldībām, nevis tikai MK noteikumu projekta 4.punktā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un anotācijā skaidrot, </w:t>
            </w:r>
            <w:r w:rsidR="00000000" w:rsidRPr="00000000" w:rsidDel="00000000">
              <w:rPr>
                <w:b w:val="1"/>
                <w:rtl w:val="0"/>
              </w:rPr>
              <w:t xml:space="preserve">kā visas projekta aktivitātes vienādā mērā būs pieejamas visām Latvijas pašvaldībām</w:t>
            </w:r>
            <w:r w:rsidR="00000000" w:rsidRPr="00000000" w:rsidDel="00000000">
              <w:rPr>
                <w:rtl w:val="0"/>
              </w:rPr>
              <w:t xml:space="preserve">, atspoguļojot to anotācijā sadaļā: pašreizējās situācija, problēmas un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jaunu punktu, ka pasākuma ietvaros atbalstu piešķir granta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atbalstu piešķir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Taisnīgas pārkārtošanās fonda projekta (turpmāk – projekts) iesniedzējam un projekta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norādi, ka tiek noteikti nosacījumi arī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Taisnīgas pārkārtošanās fonda projekta (turpmāk – projekts) iesniedzējam, finansējuma saņēmējam un projekta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plānošanas reģionu pašvaldības saskaņā ar Ministru kabineta noteikumiem Nr. 418 (Rīgā 2021. gada 22. jūnijā (prot. Nr. 49 45. §)) "Noteikumi par plānošanas reģionu teritorijām" 2.1., 2.2., 2.4., 2.5.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Kurzemes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Ventspils;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Dienvidkurzemes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Talsu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Tukuma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Ventspils novads.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plānošanas reģionu pašvaldības saskaņā ar Ministru kabineta noteikumiem Nr. 418 (Rīgā 2021. gada 22. jūnijā (prot. Nr. 49 45. §)) "Noteikumi par plānošanas reģionu teritorijām" 2.1., 2.2., 2.4., 2.5.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Kurzemes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Ventspils;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Dienvidkurzemes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Talsu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Tukuma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Ventspils novads.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TPF finansējums saskaņā ar TPF regulā noteikto,  tiek piešķirts NUTS 3.līmeņa reģioniem vai to daļām, kas noteikti dalībvalstu taisnīgas pārkārtošanās teritoriālajos plānos kā visvairāk skartie reģioni pārejā uz klimatneitrālu ekonomiku. Ņemot vērā minēto, pasākuma īstenošanas vieta ir statistikas (NUTS 3. līmeņa) reģionu pašvaldības. Papildus lūdzam skatīt skaidrojumu izziņas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atbalstāmo pašvaldību uzskaitījums norādīts anotācijas sadaļā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plānošanas reģiona pašvaldības saskaņā ar Ministru kabineta noteikumiem Nr. 418 (Rīgā 2021. gada 22. jūnijā (prot. Nr. 49 45. §) "Noteikumi par plānošanas reģionu teritorijām" 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2.2., 2.4.,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Kurzemes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Ventspils;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Dienvidkurzemes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Kuldīgas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Saldus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Talsu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Tukuma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Ventspils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1. un 15.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Kurzemes, Latgales, Vidzemes un Zemgales statistiskais reģions saskaņā ar 2022. gada 25. novembrī spēkā esošo Statistiski teritoriālo vienību nomenklatūras 3. līmeņa (NUTS 3. līmenis) klasifikāciju.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paaugstināt plānošanas reģionu un pašvaldību prasmes, lai nodrošinātu virzību uz klimatneitrālu ekonomiku un mazinātu riskus saistībā ar klimata pārmaiņām visvairāk skartajos reģionos, veicinot sociālekonomisko seku mazināšanu.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tehnisku precizējumu un 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paaugstināt plānošanas reģionu un pašvaldību  speciālistu prasmes, lai nodrošinātu virzību uz klimatneitrālu ekonomiku un mazinātu riskus saistībā ar klimata pārmaiņām visvairāk skartajos reģionos, veicinot sociālekonomisko seku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paaugstināt pašvaldību un reģionu speciālistu prasmes, lai nodrošinātu virzību uz klimatneitrālu ekonomiku un mazinātu riskus saistībā ar klimata pārmaiņām visvairāk skartajos reģionos, veicinot sociālekonomisko seku mazināšanu.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paaugstināt plānošanas reģionu un pašvaldību prasmes, lai nodrošinātu virzību uz klimatneitrālu ekonomiku un mazinātu riskus saistībā ar klimata pārmaiņām visvairāk skartajos reģionos, veicinot sociālekonomisko seku mazināšanu.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tehnisku precizējumu un 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paaugstināt plānošanas reģionu un pašvaldību  speciālistu prasmes, lai nodrošinātu virzību uz klimatneitrālu ekonomiku un mazinātu riskus saistībā ar klimata pārmaiņām visvairāk skartajos reģionos, veicinot sociālekonomisko seku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paaugstināt plānošanas reģionu un pašvaldību  speciālistu prasmes, lai nodrošinātu virzību uz klimatneitrālu ekonomiku un mazinātu riskus saistībā ar klimata pārmaiņām visvairāk skartajos reģionos, veicinot sociālekonomisko seku mazināšanu.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skaidrojums, ka pašvaldības un reģioni (piemēram, plānošanas reģionu administrācijas vai attīstības padomes) paši varēs deleģēt savus pārstāvjus dalībai pasākumos atbilstoši jautājumu tvērumam un nepieciešamajai kompetencei par attiecīgo jautājumu, tai skaitā no pašvaldības iestādēm un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mērķis ir paaugstināt pašvaldību un reģionu speciālistu prasmes, lai nodrošinātu virzību uz klimatneitrālu ekonomiku un mazinātu riskus saistībā ar klimata pārmaiņām visvairāk skartajos reģionos, veicinot sociālekonomisko seku mazināšanu.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šo noteikumu </w:t>
            </w:r>
            <w:r w:rsidR="00000000" w:rsidRPr="00000000" w:rsidDel="00000000">
              <w:rPr>
                <w:rtl w:val="0"/>
              </w:rPr>
              <w:t xml:space="preserve">5.</w:t>
            </w:r>
            <w:r w:rsidR="00000000" w:rsidRPr="00000000" w:rsidDel="00000000">
              <w:rPr>
                <w:rtl w:val="0"/>
              </w:rPr>
              <w:t xml:space="preserve"> punktā minēto reģionu un to pašvaldību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projekta sākotnējās ietekmes (ex-ante) novērtējuma ziņojumā (anotācijā) ir minēts, ka pašvaldības pašas varēs deleģēt savus pārstāvjus dalībai pasākumos atbilstoši jautājumu tvērumam un nepieciešamajai kompetencei par attiecīgo jautājumu, tai skaitā no pašvaldības iestādēm un kapitālsabiedrībām, tomēr, lai nerastos pārpratumi, priekšlikums to atrunāt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šo noteikumu 5. punktā minēto reģionu un to pašvaldību, tai skaitā pašvaldību kapitālsabiedrību,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šo noteikumu </w:t>
            </w:r>
            <w:r w:rsidR="00000000" w:rsidRPr="00000000" w:rsidDel="00000000">
              <w:rPr>
                <w:rtl w:val="0"/>
              </w:rPr>
              <w:t xml:space="preserve">5.</w:t>
            </w:r>
            <w:r w:rsidR="00000000" w:rsidRPr="00000000" w:rsidDel="00000000">
              <w:rPr>
                <w:rtl w:val="0"/>
              </w:rPr>
              <w:t xml:space="preserve"> punktā minēto reģionu un to pašvaldību, tai skaitā pašvaldību kapitālsabiedrību, kas veic pašvaldības deleģēto pārvaldes uzdevumu izpildi, speciālisti.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mērķa grupa ir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minētie reģioni un to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6.punktā skaidrāk noteikt pasākumā plānoto mērķa grupu, lai potenciālie projekta pasākumu dalībnieki varētu identificēt savu kvalificēšanos mērķa grupai, ņemot vērā noteikumu projektā paredzētos pasākumus, kuru ietvaros labuma guvēji ir pašvaldību un plānošanas reģionu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šo noteikumu </w:t>
            </w:r>
            <w:r w:rsidR="00000000" w:rsidRPr="00000000" w:rsidDel="00000000">
              <w:rPr>
                <w:rtl w:val="0"/>
              </w:rPr>
              <w:t xml:space="preserve">5.</w:t>
            </w:r>
            <w:r w:rsidR="00000000" w:rsidRPr="00000000" w:rsidDel="00000000">
              <w:rPr>
                <w:rtl w:val="0"/>
              </w:rPr>
              <w:t xml:space="preserve"> punktā minēto reģionu un to pašvaldību, tai skaitā pašvaldību kapitālsabiedrību, kas veic pašvaldības deleģēto pārvaldes uzdevumu izpildi, speciālisti.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minētais rezultāta rādītājs ir sasniegts, kad vismaz četrdesmit astoņi pārstāvji no katra pasākuma ietvaros atbalstāmā reģiona vai tā pašvaldības ir piedalījušies vismaz vienā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minētajā programmā, iesniedzot  sadarbības iestādē dalību apliecinošu reģistrācijas veidlapu vai citu dalību apliecinošu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iekļaujot nosacījumu "vismaz četrdesmit astoņi pārstāvji no katra pasākuma ietvaros atbalstāmā reģiona [..]" plānotā rādītāja sasniedzamā vērtība ir 192 speciālisti, kas pārsniedz noteikumu projekta 7.2.apakšpunktā norādīto sasniedzamo 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rādītāja vērtības, ko plānots sasniegt par  noteikumu projekta 10. punktā noteikto elastības finansējumu - vismaz 12 speciālisti, būtu jānorāda arī dalījumā pa pasākuma ietvaros atbalstāmiem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8.2.</w:t>
            </w:r>
            <w:r w:rsidR="00000000" w:rsidRPr="00000000" w:rsidDel="00000000">
              <w:rPr>
                <w:rtl w:val="0"/>
              </w:rPr>
              <w:t xml:space="preserve"> apakšpunktā minētais rezultāta rādītājs ir sasniegts, kad vismaz 190 speciālisti, tai skaitā par šo noteikumu </w:t>
            </w:r>
            <w:r w:rsidR="00000000" w:rsidRPr="00000000" w:rsidDel="00000000">
              <w:rPr>
                <w:rtl w:val="0"/>
              </w:rPr>
              <w:t xml:space="preserve">11.</w:t>
            </w:r>
            <w:r w:rsidR="00000000" w:rsidRPr="00000000" w:rsidDel="00000000">
              <w:rPr>
                <w:rtl w:val="0"/>
              </w:rPr>
              <w:t xml:space="preserve"> punktā noteikto elastības finansējumu – vismaz 12 speciālisti, no pasākuma ietvaros atbalstāmajiem reģioniem vai to pašvaldībām ir piedalījušies vismaz vienā šo noteikumu </w:t>
            </w:r>
            <w:r w:rsidR="00000000" w:rsidRPr="00000000" w:rsidDel="00000000">
              <w:rPr>
                <w:rtl w:val="0"/>
              </w:rPr>
              <w:t xml:space="preserve">8.1.</w:t>
            </w:r>
            <w:r w:rsidR="00000000" w:rsidRPr="00000000" w:rsidDel="00000000">
              <w:rPr>
                <w:rtl w:val="0"/>
              </w:rPr>
              <w:t xml:space="preserve">8.1.</w:t>
            </w:r>
            <w:r w:rsidR="00000000" w:rsidRPr="00000000" w:rsidDel="00000000">
              <w:rPr>
                <w:rtl w:val="0"/>
              </w:rPr>
              <w:t xml:space="preserve"> apakšpunktā minētajā programmā, iesniedzot sadarbības iestādē dalību apliecinošu reģistrācijas veidlapu vai citu dalību apliecinošu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IV nodaļu ar finansējuma saņēmēju, ņemot vērā, ka nodaļā noteiktas prasības arī finansējuma saņēmējam, vai izvērtēt iespēju pārnest noteikumu projekta 17.punktu uz citu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finansējuma saņēmējam un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projekta iesniegumam pievieno apliecinājumu par sadarbību, kā arī trīs mēnešu laikā no vienošanās par projekta īstenošanu noslēgšanas noslēdz sadarbības līgumu, kurā noteikti pušu pienākumi, tiesības un atbildība projekta mērķa un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14.punktu, lai tajā ietvertais regulējums nedublē Ministru kabineta noteikumu "Kārtība, kādā Eiropas Savienības fondu vadībā iesaistītās institūcijas nodrošina šo fondu ieviešanu 2021.–2027.gada plānošanas periodā" (šobrīd saskaņošanas stadijā) 6.punktu, kas nosaka pamatinformāciju, kas jāiekļauj finansējuma saņēmēja un sadarbības partnera sadarbības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projekta iesniegumam pievieno apliecinājumu par sadarbību, kā arī trīs mēnešu laikā no vienošanās par projekta īstenošanu noslēgšanas ar šo noteikumu </w:t>
            </w:r>
            <w:r w:rsidR="00000000" w:rsidRPr="00000000" w:rsidDel="00000000">
              <w:rPr>
                <w:rtl w:val="0"/>
              </w:rPr>
              <w:t xml:space="preserve">14.</w:t>
            </w:r>
            <w:r w:rsidR="00000000" w:rsidRPr="00000000" w:rsidDel="00000000">
              <w:rPr>
                <w:rtl w:val="0"/>
              </w:rPr>
              <w:t xml:space="preserve"> punktā minētajiem sadarbības partneriem noslēdz sadarbības līgumus saskaņā ar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uzkrāj datus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pasākuma ietvaros paredzēts uzkrāt personas datus saskaņā ar Eiropas Parlamenta un Padomes 2021. gada 24. jūnija Regulas (ES) Nr. 2021/1056, ar ko izveido Taisnīgas pārkārtošanās fondu III pielikumu. Nepieciešamības gadījumā lūdzam papildināt noteikumu projektu ar atsauci uz minētās regulas III pielikumu un Ministru kabineta 2023.gada 21.marta noteikumu Nr.135 "Eiropas Savienības fondu projektu pārbaužu veikšanas kārtība 2021.–2027. gada plānošanas periodā"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sasniedzamie rādītāji ir programmas specifiskie rezultāta un iznākuma rādītāji nevis kopējie rādītāji atbilstoši Eiropas Parlamenta un Padomes 2021. gada 24. jūnija Regulas (ES) Nr. 2021/1056, ar ko izveido Taisnīgas pārkārtošanās fondu III pielikumam, līdz ar to pasākuma ietvaros nav paredzēts uzkrāt personas datus saskaņā ar šo regulu un Ministru kabineta 2023.gada 21.marta noteikumu Nr.135 "Eiropas Savienības fondu projektu pārbaužu veikšanas kārtība 2021.–2027. gada plānošanas periodā"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pašvaldību un plānošanas reģionu speciālistu zināšanu un prasmju novērtēšana, paaugstināšana un to pielietošana praksē, lai nodrošinātu virzību uz klimatneitrālu ekonomiku un mazinātu riskus saistībā ar klimata pārmaiņām visvairāk skartajos reģionos, ievērojot pašvaldību un plānošanas reģionu identificētās vajadzības, tai skaitā par klimatdrošināšanu (siltumnīcefekta gāzu emisiju samazināšanu, atjaunojamiem energoresursiem, oglekļa dioksīda piesaisti), zaļā publiskā iepirkuma sagatavošanu, “zaļo” risinājumu piemērošanu infrastruktūras attīstības plānošanā,  informācijas tehnoloģiju rīku izmantošanu klimatneitrālu risinājumu plānošanā;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veicināt inovācijas iepirkumu veidošanu un iesaistīto pašvaldības darbinieku kompetenci šajā jomā, papildināt noteikumu projekta 18.1. apakšpunktu aiz vārdiem “zaļā” ar vārdiem “un inovācijas”.  Kā arī ņemot vērā nepieciešamību izmantot mūsdienīgus un efektīvus darba procesa rīkus un uzlabojot iesaistīto pašvaldības darbinieku kompetenci šajā jomā, papildināt noteikumu projekta 18.1. apakšpunktu aiz vārdiem “informācijas tehnoloģiju” ar vārdiem “un mākslīgā intelekta”.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pašvaldību un plānošanas reģionu speciālistu zināšanu un prasmju novērtēšana, paaugstināšana un to pielietošana praksē, lai nodrošinātu virzību uz klimatneitrālu ekonomiku un mazinātu riskus saistībā ar klimata pārmaiņām visvairāk skartajos reģionos, ievērojot pašvaldību un plānošanas reģionu identificētās vajadzības, tai skaitā par klimatdrošināšanu (siltumnīcefekta gāzu emisiju samazināšanu, atjaunojamiem energoresursiem, oglekļa dioksīda piesaisti), zaļā un inovācijas publiskā iepirkuma sagatavošanu, “zaļo” risinājumu piemērošanu infrastruktūras attīstības plānošanā, informācijas tehnoloģiju un mākslīgā intelekta rīku izmantošanu klimatneitrālu risinājumu plānošanā.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Vienlaikus skaidrojam, ka reģionu un pašvaldību administratīvās kapacitātes uzlabošanu inovāciju attīstības jomā, tai skaitā, par inovācijas iepirkumu paredzēts nodrošināt 5.1.1.2. pasākuma "Pašvaldību un plānošanas reģionu kapacitātes uzlabošana"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pašvaldību un plānošanas reģionu speciālistu zināšanu un prasmju novērtēšana, paaugstināšana un to pielietošana praksē, lai nodrošinātu virzību uz klimatneitrālu ekonomiku un mazinātu riskus saistībā ar klimata pārmaiņām visvairāk skartajos reģionos, ievērojot pašvaldību un plānošanas reģionu identificētās vajadzības, tai skaitā par klimatdrošināšanu (siltumnīcefekta gāzu emisiju samazināšanu, atjaunojamiem energoresursiem, oglekļa dioksīda piesaisti), zaļā publiskā iepirkuma sagatavošanu, “zaļo” risinājumu piemērošanu infrastruktūras attīstības plānošanā,  informācijas tehnoloģiju un mākslīgā intelekta rīku izmantošanu klimatneitrālu risinājumu plānošanā;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tiešās attiecināmās projekta vadības un īstenošanas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  55. panta 1. punktu projekta iesniegumā plāno kā vienu izmaksu pozīciju, piemērojot izmaksu vienoto likmi 20 procentu apmērā no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minētajām projekta pārējām tiešajām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21.1.apakšpunktā vārdus "tiešās attiecināmās" apakšpunkta sākumā, ņemot vērā, ka tas jau ir pateikts pie noteikumu projekta 21.punkta.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vadības un īstenošanas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w:t>
            </w:r>
            <w:r w:rsidR="00000000" w:rsidRPr="00000000" w:rsidDel="00000000">
              <w:rPr>
                <w:rtl w:val="0"/>
              </w:rPr>
              <w:t xml:space="preserve"> apakšpunktā minētajām projekta pārējām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ārvalstu komandējumu izmaksas finansējuma saņēmēja projekta vadītājam un īstenošanas personālam un projekta vadības un īstenošanas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vai ārvalstu komandējumi plānoti tikai ES dalībvalstu ietvaros vai arī ārpus ES. Izziņas 2.punktā ir minēts, ka komentārs ir ņemts vērā, bet ne MK projektā, ne anotācijā nav norādes vai ārzemju komandējumi ir paredzēti tikai uz ES dalībvalstīm.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komandējumu izmaksām MK noteikumu projektā ir norādīta atsauce uz kārtību, kādā atlīdzināmi ar komandējumiem saistītie izdevumi. Ievērojot to, ka šajā kārtībā ir iekļautas gan ES dalībvalstīs, gan arī valstis ārpus ES, pastāv iespēja, ka ārvalstu komandējumi tiks veikti arī ārpus ES dalībvalstīm (piemēram, Norvēģija).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ārvalstu komandējumu izmaksas finansējuma saņēmēja projekta vadītājam un īstenošanas personālam un projekta vadības un īstenošanas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 un ņemot vērā darbinieka iesaistes periodu projektā pret kopējo projekta īstenošanas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ņemot vērā, ka nosacījums par darbinieka iesaistes periodu projektā attiecas tikai uz daļlaiku. Šobrīd MK noteikumos iekļauta stingrāka prasība, nekā to paredz VI Vadlīnijas attiecināmo izmaksu noteikšanai (Nr. 1.2.). Saskaņā ar vadlīniju 9.5.punktu darba vietas aprīkojuma izmaksas ir attiecināmas atbilstoši slodzes apmēram – darbiniekiem, kuri strādā normālo darba laiku, aprīkojuma izmaksas ir attiecināmas 100% apmērā, bet nepilna darba laika gadījumā – ņemot vērā attiecīgā darba laika proporciju. Savukārt, saskaņā ar vadlīniju 33.punktu daļlaika gadījumā jāņem vērā darbinieka iesaistes periods projektā pret projekta kopējo īstenošanas ilgumu un daļlaika proporcija darbam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 un daļlaika noslodzes gadījumā, ņemot vērā darbinieka iesaistes periodu projektā pret kopējo projekta īstenošanas ilgumu;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21.4.8. citas ar pasākumu organizēšanu un īstenošanu saistītās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konkrēti, kuras ir šīs "citas"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21.4.8. citas ar pasākumu organizēšanu un īstenošanu saistītās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21.6.apakšpunktu redakcionāli precizēt uz "transporta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transporta pakalpojumu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ar projekta darbībām tieši saistīto informācijas un publicitātes pasākumu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atsauci uz 18.4.apakšpunktu, kā arī atsauci uz saistošajiem normatīvajiem aktiem, atbilstoši kuram īsteno šo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Finanšu ministrija ir saskaņojusi analogu šī punkta redakciju arī 4.2.1.7.pasākuma "Pirmsskolas izglītības iestāžu infrastruktūras attīstība" MK noteikumu projektā (skat. izziņas par 4.2.1.7.pasākuma īstenošanu 27.punktu (pieejams: https://tapportals.mk.gov.lv/attachments/legal_acts/additional_documents/4672f203-fccf-43c8-96a0-2fe74cfa37ea/download).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atsauces uz saistošajiem normatīvajiem aktiem ietvertas šī MK noteikumu projekta 27.3.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ar projekta darbībām tieši saistīto komunikācijas un vizuālās identitātes prasību nodrošināšanas pasākumu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sēdes protokollēmumā (prot. Nr. 36 85. § 3. punkts)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w:t>
            </w:r>
            <w:r w:rsidR="00000000" w:rsidRPr="00000000" w:rsidDel="00000000">
              <w:rPr>
                <w:i w:val="1"/>
                <w:rtl w:val="0"/>
              </w:rPr>
              <w:t xml:space="preserve">euro</w:t>
            </w:r>
            <w:r w:rsidR="00000000" w:rsidRPr="00000000" w:rsidDel="00000000">
              <w:rPr>
                <w:rtl w:val="0"/>
              </w:rPr>
              <w:t xml:space="preserve">.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VI nodaļu ar normu, kas paredz, ka finansējuma saņēmējs veic izmaksu un ieguvumu analīzi. Atbilstoši lūdzam papildināt arī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Skaidrojam, ka VARAM ievēro Ministru kabineta 2023. gada 13. jūlija sēdes protokollēmumā (prot. Nr. 36 85. § 3. punkts) noteikto izņēmumu.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 un, kur tas ir attiecināms un atbilstošs ieguldījumu specifikai, īsteno sociāli atbildīgu iepirkumu.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iekļaut noteikumu projektā prasību, ka finansējuma saņēmējs pārliecinās par interešu konflikta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noteikto), krāpšanas un korupcijas risku neesamību, tai skaitā, īstenojot projektu, paraksta apliecinājumu par interešu konflikta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projekta 27.4.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 un, kur tas ir attiecināms un atbilstošs ieguldījumu specifikai, īsteno sociāli atbildīgu iepirkumu.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īstenošanas vietas noteikt Kurzemes, Latgales, Vidzemes un Zemgales plānošanas reģionu pašvaldības saskaņā ar Ministru kabineta noteikumiem Nr. 418 (Rīgā 2021. gada 22. jūnijā (prot. Nr. 49 45. §)) "Noteikumi par plānošanas reģionu teritorijām" 2.1., 2.2., 2.4., 2.5.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īstenošanas vietas noteikt Kurzemes, Latgales, Vidzemes un Zemgales plānošanas reģionu pašvaldības saskaņā ar Ministru kabineta noteikumiem Nr. 418 (Rīgā 2021. gada 22. jūnijā (prot. Nr. 49 45. §)) "Noteikumi par plānošanas reģionu teritorijām" 2.1., 2.2., 2.4., 2.5.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projekta īstenošanas vietas noteikt Kurzemes, Latgales, Vidzemes un Zemgales plānošanas reģionu pašvaldības saskaņā ar Ministru kabineta noteikumiem Nr. 418 (Rīgā 2021. gada 22. jūnijā (prot. Nr. 49 45. §)) "Noteikumi par plānošanas reģionu teritorijām" 2.1., 2.2., 2.4., 2.5.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pamatojumu izziņas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sociāli atbildīga publiskā iepirkuma un inovatīva publiskā iepirkuma nosacījumu piemērošanas iekļaušanu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nav plānots iekļaut nosacījumus par obligāta inovatīva iepirkuma piemērošanu. Kopumā MK noteikumu projekts neaizliedz šāda iepirkuma īstenošanu, ja projekta īstenotāji vēlētos inovatīvu iepirkumu realizēt.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"Noteikumu projekta 21.1. apakšpunktā norādītais projekta vadības un īstenošanas personāls projekta ietvaros nodrošinās projekta administratīvās, organizatoriskās un koordinējošās funkcijas (piemēram, projekta vadītājs, vecākais eksperts, iepirkumu speciālists),....." lūdzam konkretizēt, kuras tieši amatu kategorijas, izslēdzot vārdu “piemēram”.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"Administratīvā sloga mazināšanai projekta vadības un īstenošanas personāla izmaksu nodrošināšanai tiek piemērota personāla atlīdzības likme 20 % apmērā no noteikumu projekta 21. punktā minētajām pārējām tiešajām attiecināmajām izmaksām...." lūdzam uzskaitīt konkrētas amatu kategorijas, kuras tiks segtas no 20% vienotās likmes, lai izvairītos no dubultā finansējuma riska.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ir norādīts, ka projekta vadības un īstenošanas nodrošināšanai indikatīvi ir nepieciešamas vismaz 3 slodzes – VARAM kā finansējuma saņēmējam, t.sk. projekta vadītājam, grāmatvedības organizēšanai, iepirkumu veikšanai būs nepieciešamas vismaz 1 vecākā eksperta slodze, savukārt plānošanas reģioniem kā sadarbības partneriem būs nepieciešamas vismaz 2 slodzes (vecākais projekta vadītājs (39.1. III A amatu saime,  10. mēnešalgu grupa), t.i., 0,5 slodzes katram atbalstāmajam plānošanas reģionam. 22.05.2023. saņemts vadošās iestādes saskaņojums par vienotās likmes piemērošanu projekta vadības personālam 20%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ka plānotā pasākuma ietvaros netiks veikta saimnieciskā darbība un ka nav jāveic pasākumā plānoto darbību izvērtējums atbilstoši komercdarbības atbalsta kontroles normām, jo finansējuma saņēmējs ir VARAM, kas ir tiešās valsts pārvaldes iestāde un tā pasākuma ietvaros neveiks saimniecisko darbību; attiecībā uz VARAM nav papildus komentāru komercdarbības atbalsta kontroles kontekstā. Taču pasākums plānots pašvaldību un plānošanas reģionu speciālistu prasmju paaugstināšanai, reģioni tiks piesaistīti kā sadarbības partneri, līdz ar to lūdzam papildināt anotāciju ar izvērtējumu komercdarbības atbalsta kontroles kontekstā arī attiecībā uz plānošanas reģioniem un pašvaldībām kā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papildu skaidrojumu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anotācijas 2. sadaļu "Tiesību akta projekta ietekmējamās sabiedrības grupas, ietekme uz tautsaimniecības attīstību un administratīvo slogu" ar skaidrāku fokusu  uz pasākumā plānoto investīciju pienesumu tautsaimniecībai, norādot pēc iespējas izmērāmus rādītājus, kā arī novērtējot konkrētus aspektus par plānoto ieguldījumu sagaidāmo ietekmi un efektivitāti, t.sk. faktiski sagaidāmos rezultātus pēc investīciju īstenošanas, ņemot vērā Finanšu ministrijas 2023.gada vēstulē Nr. 5.1-24/21/ 1076 “Par Eiropas Savienības fondu un Atveseļošanas fonda investīciju pienesumu tautsaimniecībai” ietverto aicinājumu. Vēršam uzmanību,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Nr. 2.2. “Tiesiskā regulējuma ietekme uz tautsaimniecību”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24. punkts paredz, ka izmaksas ir attiecināmas no 2023. gada 1. janvāra, un finansējuma saņēmējs ir valsts budžeta iestāde, lūdzam papildināt Ministru kabineta sēdes protokollēmuma projektu ar punktu, kas nosaka finanšu plūsmas pirms projekta apstiprināšanas nodrošināšanas nosacījumus, kā arī atbildīgās pienākumus un atbildību gadījumos, ja pirms projekta apstiprināšanas radušās izmaksas nav attiecināmas no Eiropas Savienības fondu līdzekļiem. Lūdzam atbilstoši pēc nepieciešamības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24. punkta redakciju, ņemot vērā, ka netiek plānotas izmaksas pirms projekta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23-TA-954</w:t>
    </w:r>
    <w:r>
      <w:br/>
    </w:r>
    <w:r w:rsidR="00000000" w:rsidRPr="00000000" w:rsidDel="00000000">
      <w:rPr>
        <w:rtl w:val="0"/>
      </w:rPr>
      <w:t xml:space="preserve">22.09.2023. 15.03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23-TA-954</w:t>
    </w:r>
    <w:r>
      <w:br/>
    </w:r>
    <w:r w:rsidR="00000000" w:rsidRPr="00000000" w:rsidDel="00000000">
      <w:rPr>
        <w:rtl w:val="0"/>
      </w:rPr>
      <w:t xml:space="preserve">22.09.2023. 15.03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Izziņa_23-TA-954.docx</dc:title>
</cp:coreProperties>
</file>

<file path=docProps/custom.xml><?xml version="1.0" encoding="utf-8"?>
<Properties xmlns="http://schemas.openxmlformats.org/officeDocument/2006/custom-properties" xmlns:vt="http://schemas.openxmlformats.org/officeDocument/2006/docPropsVTypes"/>
</file>