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0F5" w:rsidRDefault="00733B1E" w:rsidP="00733B1E">
      <w:pPr>
        <w:spacing w:line="276" w:lineRule="auto"/>
        <w:jc w:val="center"/>
        <w:rPr>
          <w:b/>
          <w:sz w:val="28"/>
          <w:lang w:val="lv-LV"/>
        </w:rPr>
      </w:pPr>
      <w:bookmarkStart w:id="0" w:name="_GoBack"/>
      <w:bookmarkEnd w:id="0"/>
      <w:r w:rsidRPr="00733B1E">
        <w:rPr>
          <w:b/>
          <w:sz w:val="28"/>
          <w:lang w:val="lv-LV"/>
        </w:rPr>
        <w:t>Latvijas Lielo pilsētu asociācijas i</w:t>
      </w:r>
      <w:r w:rsidR="00015248" w:rsidRPr="00733B1E">
        <w:rPr>
          <w:b/>
          <w:sz w:val="28"/>
          <w:lang w:val="lv-LV"/>
        </w:rPr>
        <w:t>zziņa iebildumiem</w:t>
      </w:r>
      <w:r>
        <w:rPr>
          <w:b/>
          <w:sz w:val="28"/>
          <w:lang w:val="lv-LV"/>
        </w:rPr>
        <w:t>/ priekšlikumiem</w:t>
      </w:r>
      <w:r w:rsidRPr="00733B1E">
        <w:rPr>
          <w:b/>
          <w:sz w:val="28"/>
          <w:lang w:val="lv-LV"/>
        </w:rPr>
        <w:t xml:space="preserve"> par noteikumu projektu “Grozījumi Ministru kabineta 2015. gada 4. augusta noteikumos Nr. 454 “Noteikumi par publiskas personas sabiedrības ar ierobežotu atbildību tipveida statūtiem”” (VSS-815)</w:t>
      </w:r>
    </w:p>
    <w:p w:rsidR="00733B1E" w:rsidRPr="00733B1E" w:rsidRDefault="00733B1E" w:rsidP="00733B1E">
      <w:pPr>
        <w:spacing w:line="276" w:lineRule="auto"/>
        <w:jc w:val="center"/>
        <w:rPr>
          <w:b/>
          <w:sz w:val="28"/>
          <w:lang w:val="lv-LV"/>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
        <w:gridCol w:w="900"/>
        <w:gridCol w:w="6300"/>
        <w:gridCol w:w="6809"/>
      </w:tblGrid>
      <w:tr w:rsidR="005300D6" w:rsidRPr="00733B1E" w:rsidTr="00733B1E">
        <w:trPr>
          <w:trHeight w:val="557"/>
        </w:trPr>
        <w:tc>
          <w:tcPr>
            <w:tcW w:w="876" w:type="dxa"/>
            <w:tcBorders>
              <w:top w:val="single" w:sz="4" w:space="0" w:color="auto"/>
              <w:left w:val="single" w:sz="4" w:space="0" w:color="auto"/>
              <w:bottom w:val="single" w:sz="4" w:space="0" w:color="auto"/>
              <w:right w:val="single" w:sz="4" w:space="0" w:color="auto"/>
            </w:tcBorders>
            <w:vAlign w:val="center"/>
          </w:tcPr>
          <w:p w:rsidR="00733B1E" w:rsidRDefault="005300D6" w:rsidP="007071E5">
            <w:pPr>
              <w:spacing w:line="276" w:lineRule="auto"/>
              <w:jc w:val="center"/>
              <w:rPr>
                <w:b/>
                <w:bCs/>
                <w:lang w:val="lv-LV"/>
              </w:rPr>
            </w:pPr>
            <w:r w:rsidRPr="00733B1E">
              <w:rPr>
                <w:b/>
                <w:bCs/>
                <w:lang w:val="lv-LV"/>
              </w:rPr>
              <w:t>Nr.</w:t>
            </w:r>
          </w:p>
          <w:p w:rsidR="005300D6" w:rsidRPr="00733B1E" w:rsidRDefault="005300D6" w:rsidP="007071E5">
            <w:pPr>
              <w:spacing w:line="276" w:lineRule="auto"/>
              <w:jc w:val="center"/>
              <w:rPr>
                <w:b/>
                <w:bCs/>
                <w:lang w:val="lv-LV"/>
              </w:rPr>
            </w:pPr>
            <w:r w:rsidRPr="00733B1E">
              <w:rPr>
                <w:b/>
                <w:bCs/>
                <w:lang w:val="lv-LV"/>
              </w:rPr>
              <w:t>p.k.</w:t>
            </w:r>
          </w:p>
        </w:tc>
        <w:tc>
          <w:tcPr>
            <w:tcW w:w="900" w:type="dxa"/>
            <w:tcBorders>
              <w:top w:val="single" w:sz="4" w:space="0" w:color="auto"/>
              <w:left w:val="single" w:sz="4" w:space="0" w:color="auto"/>
              <w:bottom w:val="single" w:sz="4" w:space="0" w:color="auto"/>
              <w:right w:val="single" w:sz="4" w:space="0" w:color="auto"/>
            </w:tcBorders>
            <w:vAlign w:val="center"/>
          </w:tcPr>
          <w:p w:rsidR="005300D6" w:rsidRPr="00733B1E" w:rsidRDefault="005300D6" w:rsidP="007071E5">
            <w:pPr>
              <w:spacing w:line="276" w:lineRule="auto"/>
              <w:jc w:val="center"/>
              <w:rPr>
                <w:b/>
                <w:bCs/>
                <w:lang w:val="lv-LV"/>
              </w:rPr>
            </w:pPr>
            <w:r w:rsidRPr="00733B1E">
              <w:rPr>
                <w:b/>
                <w:bCs/>
                <w:lang w:val="lv-LV"/>
              </w:rPr>
              <w:t>Lpp.</w:t>
            </w:r>
          </w:p>
        </w:tc>
        <w:tc>
          <w:tcPr>
            <w:tcW w:w="6300" w:type="dxa"/>
            <w:tcBorders>
              <w:top w:val="single" w:sz="4" w:space="0" w:color="auto"/>
              <w:left w:val="single" w:sz="4" w:space="0" w:color="auto"/>
              <w:bottom w:val="single" w:sz="4" w:space="0" w:color="auto"/>
              <w:right w:val="single" w:sz="4" w:space="0" w:color="auto"/>
            </w:tcBorders>
            <w:vAlign w:val="center"/>
          </w:tcPr>
          <w:p w:rsidR="005300D6" w:rsidRPr="00733B1E" w:rsidRDefault="005300D6" w:rsidP="007071E5">
            <w:pPr>
              <w:spacing w:line="276" w:lineRule="auto"/>
              <w:jc w:val="center"/>
              <w:rPr>
                <w:b/>
                <w:bCs/>
                <w:lang w:val="lv-LV"/>
              </w:rPr>
            </w:pPr>
            <w:r w:rsidRPr="00733B1E">
              <w:rPr>
                <w:b/>
                <w:bCs/>
                <w:lang w:val="lv-LV"/>
              </w:rPr>
              <w:t>Esošā redakcija</w:t>
            </w:r>
          </w:p>
        </w:tc>
        <w:tc>
          <w:tcPr>
            <w:tcW w:w="6809" w:type="dxa"/>
            <w:tcBorders>
              <w:top w:val="single" w:sz="4" w:space="0" w:color="auto"/>
              <w:left w:val="single" w:sz="4" w:space="0" w:color="auto"/>
              <w:bottom w:val="single" w:sz="4" w:space="0" w:color="auto"/>
              <w:right w:val="single" w:sz="4" w:space="0" w:color="auto"/>
            </w:tcBorders>
            <w:vAlign w:val="center"/>
          </w:tcPr>
          <w:p w:rsidR="005300D6" w:rsidRPr="00733B1E" w:rsidRDefault="00A018FF" w:rsidP="00733B1E">
            <w:pPr>
              <w:spacing w:line="276" w:lineRule="auto"/>
              <w:jc w:val="center"/>
              <w:rPr>
                <w:b/>
                <w:bCs/>
                <w:lang w:val="lv-LV"/>
              </w:rPr>
            </w:pPr>
            <w:r w:rsidRPr="00733B1E">
              <w:rPr>
                <w:b/>
                <w:bCs/>
                <w:lang w:val="lv-LV"/>
              </w:rPr>
              <w:t>Iebildumi</w:t>
            </w:r>
            <w:r w:rsidR="00733B1E">
              <w:rPr>
                <w:b/>
                <w:bCs/>
                <w:lang w:val="lv-LV"/>
              </w:rPr>
              <w:t>/ priekšlikumi</w:t>
            </w:r>
          </w:p>
        </w:tc>
      </w:tr>
      <w:tr w:rsidR="00733B1E" w:rsidRPr="00733B1E" w:rsidTr="00733B1E">
        <w:trPr>
          <w:trHeight w:val="755"/>
        </w:trPr>
        <w:tc>
          <w:tcPr>
            <w:tcW w:w="876" w:type="dxa"/>
            <w:tcBorders>
              <w:top w:val="single" w:sz="4" w:space="0" w:color="auto"/>
              <w:left w:val="single" w:sz="4" w:space="0" w:color="auto"/>
              <w:bottom w:val="single" w:sz="4" w:space="0" w:color="auto"/>
              <w:right w:val="single" w:sz="4" w:space="0" w:color="auto"/>
            </w:tcBorders>
            <w:vAlign w:val="center"/>
          </w:tcPr>
          <w:p w:rsidR="00733B1E" w:rsidRPr="00733B1E" w:rsidRDefault="00733B1E" w:rsidP="0064241C">
            <w:pPr>
              <w:numPr>
                <w:ilvl w:val="0"/>
                <w:numId w:val="1"/>
              </w:numPr>
              <w:spacing w:line="276" w:lineRule="auto"/>
              <w:jc w:val="both"/>
              <w:rPr>
                <w:bCs/>
                <w:lang w:val="lv-LV"/>
              </w:rPr>
            </w:pPr>
          </w:p>
        </w:tc>
        <w:tc>
          <w:tcPr>
            <w:tcW w:w="900" w:type="dxa"/>
            <w:tcBorders>
              <w:top w:val="single" w:sz="4" w:space="0" w:color="auto"/>
              <w:left w:val="single" w:sz="4" w:space="0" w:color="auto"/>
              <w:bottom w:val="single" w:sz="4" w:space="0" w:color="auto"/>
              <w:right w:val="single" w:sz="4" w:space="0" w:color="auto"/>
            </w:tcBorders>
            <w:vAlign w:val="center"/>
          </w:tcPr>
          <w:p w:rsidR="00733B1E" w:rsidRDefault="00733B1E" w:rsidP="007071E5">
            <w:pPr>
              <w:spacing w:line="276" w:lineRule="auto"/>
              <w:jc w:val="center"/>
              <w:rPr>
                <w:lang w:val="lv-LV"/>
              </w:rPr>
            </w:pPr>
            <w:r>
              <w:rPr>
                <w:lang w:val="lv-LV"/>
              </w:rPr>
              <w:t>1.</w:t>
            </w:r>
          </w:p>
        </w:tc>
        <w:tc>
          <w:tcPr>
            <w:tcW w:w="6300" w:type="dxa"/>
            <w:tcBorders>
              <w:top w:val="single" w:sz="4" w:space="0" w:color="auto"/>
              <w:left w:val="single" w:sz="4" w:space="0" w:color="auto"/>
              <w:bottom w:val="single" w:sz="4" w:space="0" w:color="auto"/>
              <w:right w:val="single" w:sz="4" w:space="0" w:color="auto"/>
            </w:tcBorders>
          </w:tcPr>
          <w:p w:rsidR="00733B1E" w:rsidRDefault="00733B1E" w:rsidP="00733B1E">
            <w:pPr>
              <w:pStyle w:val="CommentText"/>
              <w:spacing w:after="0"/>
              <w:jc w:val="both"/>
              <w:rPr>
                <w:rFonts w:ascii="Times New Roman" w:hAnsi="Times New Roman"/>
                <w:sz w:val="24"/>
                <w:szCs w:val="24"/>
              </w:rPr>
            </w:pPr>
            <w:r>
              <w:rPr>
                <w:rFonts w:ascii="Times New Roman" w:hAnsi="Times New Roman"/>
                <w:sz w:val="24"/>
                <w:szCs w:val="24"/>
              </w:rPr>
              <w:t xml:space="preserve">1.3. </w:t>
            </w:r>
            <w:r w:rsidRPr="00733B1E">
              <w:rPr>
                <w:rFonts w:ascii="Times New Roman" w:hAnsi="Times New Roman"/>
                <w:sz w:val="24"/>
                <w:szCs w:val="24"/>
              </w:rPr>
              <w:t>Izslēgt noteikumu 2.pielikuma 8.punktu.</w:t>
            </w:r>
          </w:p>
        </w:tc>
        <w:tc>
          <w:tcPr>
            <w:tcW w:w="6809" w:type="dxa"/>
            <w:tcBorders>
              <w:top w:val="single" w:sz="4" w:space="0" w:color="auto"/>
              <w:left w:val="single" w:sz="4" w:space="0" w:color="auto"/>
              <w:bottom w:val="single" w:sz="4" w:space="0" w:color="auto"/>
              <w:right w:val="single" w:sz="4" w:space="0" w:color="auto"/>
            </w:tcBorders>
          </w:tcPr>
          <w:p w:rsidR="00733B1E" w:rsidRPr="00733B1E" w:rsidRDefault="00733B1E" w:rsidP="00733B1E">
            <w:pPr>
              <w:pStyle w:val="CommentText"/>
              <w:jc w:val="both"/>
              <w:rPr>
                <w:rFonts w:ascii="Times New Roman" w:hAnsi="Times New Roman"/>
                <w:sz w:val="24"/>
                <w:szCs w:val="24"/>
              </w:rPr>
            </w:pPr>
            <w:r>
              <w:rPr>
                <w:rFonts w:ascii="Times New Roman" w:hAnsi="Times New Roman"/>
                <w:sz w:val="24"/>
                <w:szCs w:val="24"/>
              </w:rPr>
              <w:t>N</w:t>
            </w:r>
            <w:r w:rsidRPr="00733B1E">
              <w:rPr>
                <w:rFonts w:ascii="Times New Roman" w:hAnsi="Times New Roman"/>
                <w:sz w:val="24"/>
                <w:szCs w:val="24"/>
              </w:rPr>
              <w:t>ekorekta atsauce uz 2.</w:t>
            </w:r>
            <w:r>
              <w:rPr>
                <w:rFonts w:ascii="Times New Roman" w:hAnsi="Times New Roman"/>
                <w:sz w:val="24"/>
                <w:szCs w:val="24"/>
              </w:rPr>
              <w:t xml:space="preserve"> </w:t>
            </w:r>
            <w:r w:rsidRPr="00733B1E">
              <w:rPr>
                <w:rFonts w:ascii="Times New Roman" w:hAnsi="Times New Roman"/>
                <w:sz w:val="24"/>
                <w:szCs w:val="24"/>
              </w:rPr>
              <w:t>pielikumu (jābūt atsaucei uz 1.</w:t>
            </w:r>
            <w:r>
              <w:rPr>
                <w:rFonts w:ascii="Times New Roman" w:hAnsi="Times New Roman"/>
                <w:sz w:val="24"/>
                <w:szCs w:val="24"/>
              </w:rPr>
              <w:t> </w:t>
            </w:r>
            <w:r w:rsidRPr="00733B1E">
              <w:rPr>
                <w:rFonts w:ascii="Times New Roman" w:hAnsi="Times New Roman"/>
                <w:sz w:val="24"/>
                <w:szCs w:val="24"/>
              </w:rPr>
              <w:t>pielikumu), kā arī 1.4.</w:t>
            </w:r>
            <w:r>
              <w:rPr>
                <w:rFonts w:ascii="Times New Roman" w:hAnsi="Times New Roman"/>
                <w:sz w:val="24"/>
                <w:szCs w:val="24"/>
              </w:rPr>
              <w:t> </w:t>
            </w:r>
            <w:r w:rsidRPr="00733B1E">
              <w:rPr>
                <w:rFonts w:ascii="Times New Roman" w:hAnsi="Times New Roman"/>
                <w:sz w:val="24"/>
                <w:szCs w:val="24"/>
              </w:rPr>
              <w:t>punktā, visticamāk, paredzēts aizstāt noteikumu 8.</w:t>
            </w:r>
            <w:r>
              <w:rPr>
                <w:rFonts w:ascii="Times New Roman" w:hAnsi="Times New Roman"/>
                <w:sz w:val="24"/>
                <w:szCs w:val="24"/>
              </w:rPr>
              <w:t> </w:t>
            </w:r>
            <w:r w:rsidRPr="00733B1E">
              <w:rPr>
                <w:rFonts w:ascii="Times New Roman" w:hAnsi="Times New Roman"/>
                <w:sz w:val="24"/>
                <w:szCs w:val="24"/>
              </w:rPr>
              <w:t>punktu nevis izteikt citā redakcijā 9.</w:t>
            </w:r>
            <w:r>
              <w:rPr>
                <w:rFonts w:ascii="Times New Roman" w:hAnsi="Times New Roman"/>
                <w:sz w:val="24"/>
                <w:szCs w:val="24"/>
              </w:rPr>
              <w:t> </w:t>
            </w:r>
            <w:r w:rsidRPr="00733B1E">
              <w:rPr>
                <w:rFonts w:ascii="Times New Roman" w:hAnsi="Times New Roman"/>
                <w:sz w:val="24"/>
                <w:szCs w:val="24"/>
              </w:rPr>
              <w:t>punktu.</w:t>
            </w:r>
          </w:p>
        </w:tc>
      </w:tr>
      <w:tr w:rsidR="005300D6" w:rsidRPr="00733B1E" w:rsidTr="00733B1E">
        <w:trPr>
          <w:trHeight w:val="1462"/>
        </w:trPr>
        <w:tc>
          <w:tcPr>
            <w:tcW w:w="876" w:type="dxa"/>
            <w:tcBorders>
              <w:top w:val="single" w:sz="4" w:space="0" w:color="auto"/>
              <w:left w:val="single" w:sz="4" w:space="0" w:color="auto"/>
              <w:bottom w:val="single" w:sz="4" w:space="0" w:color="auto"/>
              <w:right w:val="single" w:sz="4" w:space="0" w:color="auto"/>
            </w:tcBorders>
            <w:vAlign w:val="center"/>
          </w:tcPr>
          <w:p w:rsidR="005300D6" w:rsidRPr="00733B1E" w:rsidRDefault="005300D6" w:rsidP="0064241C">
            <w:pPr>
              <w:numPr>
                <w:ilvl w:val="0"/>
                <w:numId w:val="1"/>
              </w:numPr>
              <w:spacing w:line="276" w:lineRule="auto"/>
              <w:jc w:val="both"/>
              <w:rPr>
                <w:bCs/>
                <w:lang w:val="lv-LV"/>
              </w:rPr>
            </w:pPr>
          </w:p>
        </w:tc>
        <w:tc>
          <w:tcPr>
            <w:tcW w:w="900" w:type="dxa"/>
            <w:tcBorders>
              <w:top w:val="single" w:sz="4" w:space="0" w:color="auto"/>
              <w:left w:val="single" w:sz="4" w:space="0" w:color="auto"/>
              <w:bottom w:val="single" w:sz="4" w:space="0" w:color="auto"/>
              <w:right w:val="single" w:sz="4" w:space="0" w:color="auto"/>
            </w:tcBorders>
            <w:vAlign w:val="center"/>
          </w:tcPr>
          <w:p w:rsidR="005300D6" w:rsidRPr="00733B1E" w:rsidRDefault="00733B1E" w:rsidP="007071E5">
            <w:pPr>
              <w:spacing w:line="276" w:lineRule="auto"/>
              <w:jc w:val="center"/>
              <w:rPr>
                <w:lang w:val="lv-LV"/>
              </w:rPr>
            </w:pPr>
            <w:r>
              <w:rPr>
                <w:lang w:val="lv-LV"/>
              </w:rPr>
              <w:t>1.-2.</w:t>
            </w:r>
          </w:p>
        </w:tc>
        <w:tc>
          <w:tcPr>
            <w:tcW w:w="6300" w:type="dxa"/>
            <w:tcBorders>
              <w:top w:val="single" w:sz="4" w:space="0" w:color="auto"/>
              <w:left w:val="single" w:sz="4" w:space="0" w:color="auto"/>
              <w:bottom w:val="single" w:sz="4" w:space="0" w:color="auto"/>
              <w:right w:val="single" w:sz="4" w:space="0" w:color="auto"/>
            </w:tcBorders>
          </w:tcPr>
          <w:p w:rsidR="00733B1E" w:rsidRPr="00733B1E" w:rsidRDefault="00733B1E" w:rsidP="00733B1E">
            <w:pPr>
              <w:pStyle w:val="CommentText"/>
              <w:spacing w:after="0"/>
              <w:jc w:val="both"/>
              <w:rPr>
                <w:rFonts w:ascii="Times New Roman" w:hAnsi="Times New Roman"/>
                <w:sz w:val="24"/>
                <w:szCs w:val="24"/>
              </w:rPr>
            </w:pPr>
            <w:r>
              <w:rPr>
                <w:rFonts w:ascii="Times New Roman" w:hAnsi="Times New Roman"/>
                <w:sz w:val="24"/>
                <w:szCs w:val="24"/>
              </w:rPr>
              <w:t xml:space="preserve">1.4. </w:t>
            </w:r>
            <w:r w:rsidRPr="00733B1E">
              <w:rPr>
                <w:rFonts w:ascii="Times New Roman" w:hAnsi="Times New Roman"/>
                <w:sz w:val="24"/>
                <w:szCs w:val="24"/>
              </w:rPr>
              <w:t>Papildināt noteikumu 1. pielikumu ar 9. punktu šādā redakcijā:</w:t>
            </w:r>
          </w:p>
          <w:p w:rsidR="00733B1E" w:rsidRDefault="00733B1E" w:rsidP="00733B1E">
            <w:pPr>
              <w:pStyle w:val="CommentText"/>
              <w:jc w:val="both"/>
              <w:rPr>
                <w:rFonts w:ascii="Times New Roman" w:hAnsi="Times New Roman"/>
                <w:sz w:val="24"/>
                <w:szCs w:val="24"/>
              </w:rPr>
            </w:pPr>
            <w:r w:rsidRPr="00733B1E">
              <w:rPr>
                <w:rFonts w:ascii="Times New Roman" w:hAnsi="Times New Roman"/>
                <w:sz w:val="24"/>
                <w:szCs w:val="24"/>
              </w:rPr>
              <w:t>“Visas sabiedrības daļas, kurās nostiprināts vienāds tiesību apjoms, ir vienas kategorijas daļas.</w:t>
            </w:r>
          </w:p>
          <w:p w:rsidR="00733B1E" w:rsidRPr="00733B1E" w:rsidRDefault="00733B1E" w:rsidP="00733B1E">
            <w:pPr>
              <w:pStyle w:val="CommentText"/>
              <w:jc w:val="both"/>
              <w:rPr>
                <w:rFonts w:ascii="Times New Roman" w:hAnsi="Times New Roman"/>
                <w:sz w:val="24"/>
                <w:szCs w:val="24"/>
              </w:rPr>
            </w:pPr>
            <w:r w:rsidRPr="00733B1E">
              <w:rPr>
                <w:rFonts w:ascii="Times New Roman" w:hAnsi="Times New Roman"/>
                <w:sz w:val="24"/>
                <w:szCs w:val="24"/>
              </w:rPr>
              <w:t>Piezīme. Ja sabiedrībai ir dažādas daļu kategorijas, statūtos tiek nostiprinātas dažādas no daļām izrietošas tiesības, tajā skaitā tiesības uz dividendes saņemšanu, likvidācijas kvotas saņemšanu un balsstiesībām dalībnieku sapulcē.”</w:t>
            </w:r>
          </w:p>
          <w:p w:rsidR="00733B1E" w:rsidRPr="00733B1E" w:rsidRDefault="00733B1E" w:rsidP="00733B1E">
            <w:pPr>
              <w:pStyle w:val="CommentText"/>
              <w:spacing w:after="0"/>
              <w:jc w:val="both"/>
              <w:rPr>
                <w:rFonts w:ascii="Times New Roman" w:hAnsi="Times New Roman"/>
                <w:sz w:val="24"/>
                <w:szCs w:val="24"/>
              </w:rPr>
            </w:pPr>
            <w:r>
              <w:rPr>
                <w:rFonts w:ascii="Times New Roman" w:hAnsi="Times New Roman"/>
                <w:sz w:val="24"/>
                <w:szCs w:val="24"/>
              </w:rPr>
              <w:t xml:space="preserve">1.5. </w:t>
            </w:r>
            <w:r w:rsidRPr="00733B1E">
              <w:rPr>
                <w:rFonts w:ascii="Times New Roman" w:hAnsi="Times New Roman"/>
                <w:sz w:val="24"/>
                <w:szCs w:val="24"/>
              </w:rPr>
              <w:t>Izteikt noteikumu 2.pielikuma 7.punktu šādā redakcijā:</w:t>
            </w:r>
          </w:p>
          <w:p w:rsidR="00733B1E" w:rsidRPr="00733B1E" w:rsidRDefault="00733B1E" w:rsidP="00733B1E">
            <w:pPr>
              <w:pStyle w:val="CommentText"/>
              <w:jc w:val="both"/>
              <w:rPr>
                <w:rFonts w:ascii="Times New Roman" w:hAnsi="Times New Roman"/>
                <w:sz w:val="24"/>
                <w:szCs w:val="24"/>
              </w:rPr>
            </w:pPr>
            <w:r w:rsidRPr="00733B1E">
              <w:rPr>
                <w:rFonts w:ascii="Times New Roman" w:hAnsi="Times New Roman"/>
                <w:sz w:val="24"/>
                <w:szCs w:val="24"/>
              </w:rPr>
              <w:t>“Sabiedrības pamatkapitālu sastāda _________________ (skaits cipariem) kapitāla daļas ar katras daļas nominālvērtību __________ (vērtība ar cipariem EUR) euro.”</w:t>
            </w:r>
          </w:p>
          <w:p w:rsidR="00733B1E" w:rsidRPr="00733B1E" w:rsidRDefault="00733B1E" w:rsidP="00733B1E">
            <w:pPr>
              <w:pStyle w:val="CommentText"/>
              <w:spacing w:after="0"/>
              <w:jc w:val="both"/>
              <w:rPr>
                <w:rFonts w:ascii="Times New Roman" w:hAnsi="Times New Roman"/>
                <w:sz w:val="24"/>
                <w:szCs w:val="24"/>
              </w:rPr>
            </w:pPr>
            <w:r>
              <w:rPr>
                <w:rFonts w:ascii="Times New Roman" w:hAnsi="Times New Roman"/>
                <w:sz w:val="24"/>
                <w:szCs w:val="24"/>
              </w:rPr>
              <w:t xml:space="preserve">1.6. </w:t>
            </w:r>
            <w:r w:rsidRPr="00733B1E">
              <w:rPr>
                <w:rFonts w:ascii="Times New Roman" w:hAnsi="Times New Roman"/>
                <w:sz w:val="24"/>
                <w:szCs w:val="24"/>
              </w:rPr>
              <w:t>Papildināt noteikumu 2. pielikuma 7. punktu ar piezīmi šādā redakcijā:</w:t>
            </w:r>
          </w:p>
          <w:p w:rsidR="00733B1E" w:rsidRPr="00733B1E" w:rsidRDefault="00733B1E" w:rsidP="00733B1E">
            <w:pPr>
              <w:pStyle w:val="CommentText"/>
              <w:jc w:val="both"/>
              <w:rPr>
                <w:rFonts w:ascii="Times New Roman" w:hAnsi="Times New Roman"/>
                <w:sz w:val="24"/>
                <w:szCs w:val="24"/>
              </w:rPr>
            </w:pPr>
            <w:r w:rsidRPr="00733B1E">
              <w:rPr>
                <w:rFonts w:ascii="Times New Roman" w:hAnsi="Times New Roman"/>
                <w:sz w:val="24"/>
                <w:szCs w:val="24"/>
              </w:rPr>
              <w:t>“Piezīme. Ja sabiedrībai ir dažādas daļu kategorijas, norāda katras kategorijas daļu skaitu un vērtību.”</w:t>
            </w:r>
          </w:p>
          <w:p w:rsidR="005300D6" w:rsidRPr="00733B1E" w:rsidRDefault="00733B1E" w:rsidP="00733B1E">
            <w:pPr>
              <w:pStyle w:val="CommentText"/>
              <w:spacing w:after="0"/>
              <w:jc w:val="both"/>
              <w:rPr>
                <w:rFonts w:ascii="Times New Roman" w:hAnsi="Times New Roman"/>
                <w:sz w:val="24"/>
                <w:szCs w:val="24"/>
              </w:rPr>
            </w:pPr>
            <w:r>
              <w:rPr>
                <w:rFonts w:ascii="Times New Roman" w:hAnsi="Times New Roman"/>
                <w:sz w:val="24"/>
                <w:szCs w:val="24"/>
              </w:rPr>
              <w:t xml:space="preserve">1.7. </w:t>
            </w:r>
            <w:r w:rsidRPr="00733B1E">
              <w:rPr>
                <w:rFonts w:ascii="Times New Roman" w:hAnsi="Times New Roman"/>
                <w:sz w:val="24"/>
                <w:szCs w:val="24"/>
              </w:rPr>
              <w:t>Izslēgt noteikumu 2.pielikuma 8.punktu.</w:t>
            </w:r>
          </w:p>
        </w:tc>
        <w:tc>
          <w:tcPr>
            <w:tcW w:w="6809" w:type="dxa"/>
            <w:tcBorders>
              <w:top w:val="single" w:sz="4" w:space="0" w:color="auto"/>
              <w:left w:val="single" w:sz="4" w:space="0" w:color="auto"/>
              <w:bottom w:val="single" w:sz="4" w:space="0" w:color="auto"/>
              <w:right w:val="single" w:sz="4" w:space="0" w:color="auto"/>
            </w:tcBorders>
          </w:tcPr>
          <w:p w:rsidR="00EE60F5" w:rsidRPr="00733B1E" w:rsidRDefault="00733B1E" w:rsidP="00733B1E">
            <w:pPr>
              <w:pStyle w:val="CommentText"/>
              <w:jc w:val="both"/>
              <w:rPr>
                <w:rFonts w:ascii="Times New Roman" w:hAnsi="Times New Roman"/>
                <w:sz w:val="24"/>
                <w:szCs w:val="24"/>
              </w:rPr>
            </w:pPr>
            <w:r w:rsidRPr="00733B1E">
              <w:rPr>
                <w:rFonts w:ascii="Times New Roman" w:hAnsi="Times New Roman"/>
                <w:sz w:val="24"/>
                <w:szCs w:val="24"/>
              </w:rPr>
              <w:t>Tā kā Publiskas personas kapitāla daļu un kapitālsabiedrību pārvaldības likuma 46.</w:t>
            </w:r>
            <w:r>
              <w:rPr>
                <w:rFonts w:ascii="Times New Roman" w:hAnsi="Times New Roman"/>
                <w:sz w:val="24"/>
                <w:szCs w:val="24"/>
              </w:rPr>
              <w:t xml:space="preserve"> </w:t>
            </w:r>
            <w:r w:rsidRPr="00733B1E">
              <w:rPr>
                <w:rFonts w:ascii="Times New Roman" w:hAnsi="Times New Roman"/>
                <w:sz w:val="24"/>
                <w:szCs w:val="24"/>
              </w:rPr>
              <w:t xml:space="preserve">pants nosaka, ka publiskas personas kapitālsabiedrība darbojas, pamatojoties uz statūtiem, kurus izstrādā saskaņā ar Ministru kabineta apstiprinātiem publiskas personas kapitālsabiedrības tipveida statūtiem un kuri drīkst atšķirties tikai tad, ja šādu atšķirību tieši atļauj Publiskas personas kapitāla daļu un kapitālsabiedrību pārvaldības likums vai Komerclikums, vēršam uzmanību, ka </w:t>
            </w:r>
            <w:r w:rsidRPr="00733B1E">
              <w:rPr>
                <w:rFonts w:ascii="Times New Roman" w:hAnsi="Times New Roman"/>
                <w:b/>
                <w:sz w:val="24"/>
                <w:szCs w:val="24"/>
              </w:rPr>
              <w:t>jebkuras izmaiņas tipveida statūtos radīs papildus administratīvo slogu pašvaldībām un papildus izmaksas kapitālsabiedrībām</w:t>
            </w:r>
            <w:r w:rsidRPr="00733B1E">
              <w:rPr>
                <w:rFonts w:ascii="Times New Roman" w:hAnsi="Times New Roman"/>
                <w:sz w:val="24"/>
                <w:szCs w:val="24"/>
              </w:rPr>
              <w:t>, aktualizējot un reģistrējot Uzņēmuma reģistrā statūtus tādā tipveida aktuālajā redakcijā, kādu noteicis Ministru kabinets, pat ja pašvaldību neskar spēkā stājušās izmaiņas Publiskas personas kapitāla daļu un kapitālsa</w:t>
            </w:r>
            <w:r>
              <w:rPr>
                <w:rFonts w:ascii="Times New Roman" w:hAnsi="Times New Roman"/>
                <w:sz w:val="24"/>
                <w:szCs w:val="24"/>
              </w:rPr>
              <w:t>biedrību pārvaldības likuma 59. </w:t>
            </w:r>
            <w:r w:rsidRPr="00733B1E">
              <w:rPr>
                <w:rFonts w:ascii="Times New Roman" w:hAnsi="Times New Roman"/>
                <w:sz w:val="24"/>
                <w:szCs w:val="24"/>
              </w:rPr>
              <w:t xml:space="preserve">un 59.1 pantos par vairāku kategoriju kapitāla daļām. Līdz ar to, lai neradītu lieku administratīvo slogu, </w:t>
            </w:r>
            <w:r w:rsidRPr="00733B1E">
              <w:rPr>
                <w:rFonts w:ascii="Times New Roman" w:hAnsi="Times New Roman"/>
                <w:b/>
                <w:sz w:val="24"/>
                <w:szCs w:val="24"/>
              </w:rPr>
              <w:t>iebilstam pret izmaiņām 1.</w:t>
            </w:r>
            <w:r>
              <w:rPr>
                <w:rFonts w:ascii="Times New Roman" w:hAnsi="Times New Roman"/>
                <w:b/>
                <w:sz w:val="24"/>
                <w:szCs w:val="24"/>
              </w:rPr>
              <w:t> </w:t>
            </w:r>
            <w:r w:rsidRPr="00733B1E">
              <w:rPr>
                <w:rFonts w:ascii="Times New Roman" w:hAnsi="Times New Roman"/>
                <w:b/>
                <w:sz w:val="24"/>
                <w:szCs w:val="24"/>
              </w:rPr>
              <w:t>pielikuma un 2. pielikuma 7. un 8.</w:t>
            </w:r>
            <w:r>
              <w:rPr>
                <w:rFonts w:ascii="Times New Roman" w:hAnsi="Times New Roman"/>
                <w:b/>
                <w:sz w:val="24"/>
                <w:szCs w:val="24"/>
              </w:rPr>
              <w:t> </w:t>
            </w:r>
            <w:r w:rsidRPr="00733B1E">
              <w:rPr>
                <w:rFonts w:ascii="Times New Roman" w:hAnsi="Times New Roman"/>
                <w:b/>
                <w:sz w:val="24"/>
                <w:szCs w:val="24"/>
              </w:rPr>
              <w:t>punktos</w:t>
            </w:r>
            <w:r w:rsidRPr="00733B1E">
              <w:rPr>
                <w:rFonts w:ascii="Times New Roman" w:hAnsi="Times New Roman"/>
                <w:sz w:val="24"/>
                <w:szCs w:val="24"/>
              </w:rPr>
              <w:t xml:space="preserve">, jo mūsu ieskatā tās ir redakcionālas un pēc būtības nemaina spēkā esošo tipveida statūtu nosacījumus. </w:t>
            </w:r>
            <w:r w:rsidRPr="00733B1E">
              <w:rPr>
                <w:rFonts w:ascii="Times New Roman" w:hAnsi="Times New Roman"/>
                <w:b/>
                <w:sz w:val="24"/>
                <w:szCs w:val="24"/>
              </w:rPr>
              <w:t>Aicinām tipveida statūtu salāgošanu ar izmaiņām normatīvajos aktos, veikt izmantojot tādu juridisko tehniku, kas paredz statūtu punktu papildināšu vienīgi piezīmju veidā.</w:t>
            </w:r>
          </w:p>
        </w:tc>
      </w:tr>
    </w:tbl>
    <w:p w:rsidR="00B40F4A" w:rsidRPr="00733B1E" w:rsidRDefault="00B40F4A" w:rsidP="0064241C">
      <w:pPr>
        <w:spacing w:line="276" w:lineRule="auto"/>
        <w:jc w:val="both"/>
        <w:rPr>
          <w:lang w:val="lv-LV"/>
        </w:rPr>
      </w:pPr>
    </w:p>
    <w:sectPr w:rsidR="00B40F4A" w:rsidRPr="00733B1E" w:rsidSect="000253CD">
      <w:footerReference w:type="default" r:id="rId7"/>
      <w:footerReference w:type="firs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CE1" w:rsidRDefault="00742CE1" w:rsidP="00EE60F5">
      <w:r>
        <w:separator/>
      </w:r>
    </w:p>
  </w:endnote>
  <w:endnote w:type="continuationSeparator" w:id="0">
    <w:p w:rsidR="00742CE1" w:rsidRDefault="00742CE1"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0F5" w:rsidRDefault="00EE60F5">
    <w:pPr>
      <w:pStyle w:val="Footer"/>
      <w:jc w:val="center"/>
    </w:pPr>
    <w:r>
      <w:fldChar w:fldCharType="begin"/>
    </w:r>
    <w:r>
      <w:instrText>PAGE   \* MERGEFORMAT</w:instrText>
    </w:r>
    <w:r>
      <w:fldChar w:fldCharType="separate"/>
    </w:r>
    <w:r w:rsidR="00733B1E" w:rsidRPr="00733B1E">
      <w:rPr>
        <w:noProof/>
        <w:lang w:val="lv-LV"/>
      </w:rPr>
      <w:t>2</w:t>
    </w:r>
    <w:r>
      <w:fldChar w:fldCharType="end"/>
    </w:r>
  </w:p>
  <w:p w:rsidR="00EE60F5" w:rsidRDefault="00EE60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B1E" w:rsidRDefault="00733B1E">
    <w:pPr>
      <w:pStyle w:val="Footer"/>
      <w:jc w:val="center"/>
    </w:pPr>
    <w:r>
      <w:fldChar w:fldCharType="begin"/>
    </w:r>
    <w:r>
      <w:instrText>PAGE   \* MERGEFORMAT</w:instrText>
    </w:r>
    <w:r>
      <w:fldChar w:fldCharType="separate"/>
    </w:r>
    <w:r w:rsidR="006C79AA" w:rsidRPr="006C79AA">
      <w:rPr>
        <w:noProof/>
        <w:lang w:val="lv-LV"/>
      </w:rPr>
      <w:t>1</w:t>
    </w:r>
    <w:r>
      <w:fldChar w:fldCharType="end"/>
    </w:r>
  </w:p>
  <w:p w:rsidR="00733B1E" w:rsidRDefault="00733B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CE1" w:rsidRDefault="00742CE1" w:rsidP="00EE60F5">
      <w:r>
        <w:separator/>
      </w:r>
    </w:p>
  </w:footnote>
  <w:footnote w:type="continuationSeparator" w:id="0">
    <w:p w:rsidR="00742CE1" w:rsidRDefault="00742CE1" w:rsidP="00EE60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955D43"/>
    <w:multiLevelType w:val="multilevel"/>
    <w:tmpl w:val="14F678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537B4D54"/>
    <w:multiLevelType w:val="multilevel"/>
    <w:tmpl w:val="AFA6197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9"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8"/>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5"/>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D7"/>
    <w:rsid w:val="00015248"/>
    <w:rsid w:val="00017A29"/>
    <w:rsid w:val="000253CD"/>
    <w:rsid w:val="00065E8F"/>
    <w:rsid w:val="00095719"/>
    <w:rsid w:val="000D3678"/>
    <w:rsid w:val="00102D80"/>
    <w:rsid w:val="0011030C"/>
    <w:rsid w:val="001237FF"/>
    <w:rsid w:val="00145B51"/>
    <w:rsid w:val="0015266A"/>
    <w:rsid w:val="00157E7D"/>
    <w:rsid w:val="001C097E"/>
    <w:rsid w:val="00281B67"/>
    <w:rsid w:val="002832DB"/>
    <w:rsid w:val="002A6B65"/>
    <w:rsid w:val="003170A2"/>
    <w:rsid w:val="00392C9A"/>
    <w:rsid w:val="00393E78"/>
    <w:rsid w:val="003D4AFF"/>
    <w:rsid w:val="003F1476"/>
    <w:rsid w:val="00475753"/>
    <w:rsid w:val="004861DC"/>
    <w:rsid w:val="004A26EF"/>
    <w:rsid w:val="004A2974"/>
    <w:rsid w:val="004E000F"/>
    <w:rsid w:val="004E2AD6"/>
    <w:rsid w:val="004E3536"/>
    <w:rsid w:val="004E3ED7"/>
    <w:rsid w:val="004E6EA9"/>
    <w:rsid w:val="004F6854"/>
    <w:rsid w:val="004F7788"/>
    <w:rsid w:val="005300D6"/>
    <w:rsid w:val="005543D8"/>
    <w:rsid w:val="0057036D"/>
    <w:rsid w:val="00576D22"/>
    <w:rsid w:val="005B59A2"/>
    <w:rsid w:val="005D6833"/>
    <w:rsid w:val="005F34BD"/>
    <w:rsid w:val="00602334"/>
    <w:rsid w:val="0064241C"/>
    <w:rsid w:val="0068493D"/>
    <w:rsid w:val="006C79AA"/>
    <w:rsid w:val="006F08A1"/>
    <w:rsid w:val="006F70B4"/>
    <w:rsid w:val="007071E5"/>
    <w:rsid w:val="007177E7"/>
    <w:rsid w:val="00721E14"/>
    <w:rsid w:val="00733B1E"/>
    <w:rsid w:val="00742CE1"/>
    <w:rsid w:val="00744119"/>
    <w:rsid w:val="007C3313"/>
    <w:rsid w:val="0080735C"/>
    <w:rsid w:val="008C3004"/>
    <w:rsid w:val="008C33D7"/>
    <w:rsid w:val="008C5900"/>
    <w:rsid w:val="008E45B7"/>
    <w:rsid w:val="008F3325"/>
    <w:rsid w:val="009006E0"/>
    <w:rsid w:val="00906999"/>
    <w:rsid w:val="00936C34"/>
    <w:rsid w:val="00975E9F"/>
    <w:rsid w:val="00A018FF"/>
    <w:rsid w:val="00A82029"/>
    <w:rsid w:val="00AD35A7"/>
    <w:rsid w:val="00AE1033"/>
    <w:rsid w:val="00B40BED"/>
    <w:rsid w:val="00B40F4A"/>
    <w:rsid w:val="00B44C19"/>
    <w:rsid w:val="00B66B62"/>
    <w:rsid w:val="00B82AB2"/>
    <w:rsid w:val="00B83BA0"/>
    <w:rsid w:val="00BF7F6C"/>
    <w:rsid w:val="00C2254C"/>
    <w:rsid w:val="00D0585F"/>
    <w:rsid w:val="00D13C63"/>
    <w:rsid w:val="00D24E12"/>
    <w:rsid w:val="00D77F9F"/>
    <w:rsid w:val="00D96677"/>
    <w:rsid w:val="00DF6640"/>
    <w:rsid w:val="00DF6E4C"/>
    <w:rsid w:val="00E000FB"/>
    <w:rsid w:val="00E430FF"/>
    <w:rsid w:val="00E87256"/>
    <w:rsid w:val="00EA242A"/>
    <w:rsid w:val="00EA7162"/>
    <w:rsid w:val="00EE60F5"/>
    <w:rsid w:val="00EF14E1"/>
    <w:rsid w:val="00F37147"/>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46BC30-392E-43F6-852A-AC6782EA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1717</Words>
  <Characters>980</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ricards green</cp:lastModifiedBy>
  <cp:revision>2</cp:revision>
  <cp:lastPrinted>2010-03-04T14:09:00Z</cp:lastPrinted>
  <dcterms:created xsi:type="dcterms:W3CDTF">2021-09-30T11:53:00Z</dcterms:created>
  <dcterms:modified xsi:type="dcterms:W3CDTF">2021-09-30T11:53:00Z</dcterms:modified>
</cp:coreProperties>
</file>