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(16.04.2025.)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nodrošināt precīzus skaidrojumus vai salāgot tos ar projektu.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terminu "bāriņtiesas darbinieks" skaidrots, ka tā ir no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20.punkta izrietošā "</w:t>
            </w:r>
            <w:r w:rsidR="00000000" w:rsidRPr="00000000" w:rsidDel="00000000">
              <w:rPr>
                <w:i w:val="1"/>
                <w:rtl w:val="0"/>
              </w:rPr>
              <w:t xml:space="preserve">jebkura cita persona, ja ar tās</w:t>
            </w:r>
            <w:r w:rsidR="00000000" w:rsidRPr="00000000" w:rsidDel="00000000">
              <w:rPr>
                <w:rtl w:val="0"/>
              </w:rPr>
              <w:t xml:space="preserve"> </w:t>
            </w:r>
            <w:r w:rsidR="00000000" w:rsidRPr="00000000" w:rsidDel="00000000">
              <w:rPr>
                <w:i w:val="1"/>
                <w:rtl w:val="0"/>
              </w:rPr>
              <w:t xml:space="preserve">pieņemtu</w:t>
            </w:r>
            <w:r w:rsidR="00000000" w:rsidRPr="00000000" w:rsidDel="00000000">
              <w:rPr>
                <w:i w:val="1"/>
                <w:rtl w:val="0"/>
              </w:rPr>
              <w:t xml:space="preserve"> pārvaldes lēmumu (it īpaši administratīvo aktu), faktisko rīcību vai cita veida darba vai dienesta pienākumu veikšanu tiek vai var tikt skartas bērna tiesības un tiesiskās intereses</w:t>
            </w:r>
            <w:r w:rsidR="00000000" w:rsidRPr="00000000" w:rsidDel="00000000">
              <w:rPr>
                <w:rtl w:val="0"/>
              </w:rPr>
              <w:t xml:space="preserve">." un 2. punktā minētie subjekti (kas ir gan amatpersonas, gan "</w:t>
            </w:r>
            <w:r w:rsidR="00000000" w:rsidRPr="00000000" w:rsidDel="00000000">
              <w:rPr>
                <w:i w:val="1"/>
                <w:rtl w:val="0"/>
              </w:rPr>
              <w:t xml:space="preserve">bāriņtiesas priekšsēdētāja palīgu, bāriņtiesas locekļa palīgu un personu, ja tā pašvaldības domes uzdevumā nodrošina juridisko atbalstu bāriņtiesai lēmuma sagatavošanā un citu bāriņtiesai noteikto uzdevumu izpildē</w:t>
            </w:r>
            <w:r w:rsidR="00000000" w:rsidRPr="00000000" w:rsidDel="00000000">
              <w:rPr>
                <w:rtl w:val="0"/>
              </w:rPr>
              <w:t xml:space="preserve">"). Savukārt, atbilstoši projektam, bāriņtiesas darbinieks ir tikai no Bērnu tiesību aizsardzības likuma 5.</w:t>
            </w:r>
            <w:r w:rsidR="00000000" w:rsidRPr="00000000" w:rsidDel="00000000">
              <w:rPr>
                <w:vertAlign w:val="superscript"/>
                <w:rtl w:val="0"/>
              </w:rPr>
              <w:t xml:space="preserve">1 </w:t>
            </w:r>
            <w:r w:rsidR="00000000" w:rsidRPr="00000000" w:rsidDel="00000000">
              <w:rPr>
                <w:rtl w:val="0"/>
              </w:rPr>
              <w:t xml:space="preserve">panta pirmās daļas 20.punkta izrietošie "</w:t>
            </w:r>
            <w:r w:rsidR="00000000" w:rsidRPr="00000000" w:rsidDel="00000000">
              <w:rPr>
                <w:i w:val="1"/>
                <w:rtl w:val="0"/>
              </w:rPr>
              <w:t xml:space="preserve">bāriņtiesas darbinieki, kuru faktiskā rīcība vai cita veida darba pienākumu veikšana skar vai var skart bērna tiesības un tiesiskās intereses</w:t>
            </w:r>
            <w:r w:rsidR="00000000" w:rsidRPr="00000000" w:rsidDel="00000000">
              <w:rPr>
                <w:rtl w:val="0"/>
              </w:rPr>
              <w:t xml:space="preserve">", kas nesaskan ar anotācijā skaidroto;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nekorekti norādīts, ka "</w:t>
            </w:r>
            <w:r w:rsidR="00000000" w:rsidRPr="00000000" w:rsidDel="00000000">
              <w:rPr>
                <w:i w:val="1"/>
                <w:rtl w:val="0"/>
              </w:rPr>
              <w:t xml:space="preserve">[..] grozījumi MK noteikumu Nr. 724 3.1. apakšpunktā nav nepieciešami</w:t>
            </w:r>
            <w:r w:rsidR="00000000" w:rsidRPr="00000000" w:rsidDel="00000000">
              <w:rPr>
                <w:rtl w:val="0"/>
              </w:rPr>
              <w:t xml:space="preserve">" , jo minētā vienība tiek grozīta;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problēmas apraksta daļas izriet Finanšu ministrijas vadlīnijās Nr. 1.4. “Vadlīnijas Ministru kabineta noteikumu par specifiskā atbalsta mērķa īstenošanu izstrādei Eiropas Savienības fondu 2021.—2027. gada plānošanas periodā" definētajam pretēji skaidrojumi. Proti, interešu konflikta, krāpšanas un korupcijas risku novēršanas nosacījumi nav svītrojami, jo "</w:t>
            </w:r>
            <w:r w:rsidR="00000000" w:rsidRPr="00000000" w:rsidDel="00000000">
              <w:rPr>
                <w:i w:val="1"/>
                <w:rtl w:val="0"/>
              </w:rPr>
              <w:t xml:space="preserve">[..] </w:t>
            </w:r>
            <w:r w:rsidR="00000000" w:rsidRPr="00000000" w:rsidDel="00000000">
              <w:rPr>
                <w:i w:val="1"/>
                <w:u w:val="single"/>
                <w:rtl w:val="0"/>
              </w:rPr>
              <w:t xml:space="preserve">MK noteikumos papildus paredz, ka FS paraksta interešu konflikta neesamības apliecinājumu</w:t>
            </w:r>
            <w:r w:rsidR="00000000" w:rsidRPr="00000000" w:rsidDel="00000000">
              <w:rPr>
                <w:i w:val="1"/>
                <w:rtl w:val="0"/>
              </w:rPr>
              <w:t xml:space="preserve">.35 Gadījumā, ja šādā projektā piesaistāms arī sadarbības partneris, tas paraksta interešu konflikta neesamības apliecinājumu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“Pašreizējā situācija, problēmas un risinājumi”,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apakšsadaļa “Problēmas apraksts”  attiecībā uz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apakšsadaļa “Risinājuma apraksts” attiecībā uz 4.3.6.1. pasākuma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apakšsadaļa “Problēmas apraksts” attiecībā uz minimālo interešu konflikta, korupcijas un krāpšanas novēršanas pasākumu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LM skaidro, ka - tā kā 4.3.6.1. pasākuma projekts nav daudzpakāpju projekts, uz to nav tieši piemērojamas Regulas 2024/2509 61. pantā noteiktās prasības (attiecīgi arī MK noteikumos nav ietveramas tās redakcijas, kas izriet saskaņā ar Vadlīniju Nr. 1.4. 29. un 30. punktu). Līdz ar to MK noteikumos Nr. 724 ir nepieciešams pārskatīt 29.2. apakšpunktu, nosakot tikai vispārīgus nosacījumus par minimālo interešu konflikta, korupcijas un krāpšanas novēršanas pasākumu ievērošanu vien 4.3.6.1. pasākuma projekta vadībā un īstenošanā iesaistītajam finansējuma saņēmēja un sadarbības partnera personālam.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atspoguļot noteikumu projekta ietekmi uz sabiedrību. Ņemot vērā grozījumu būtību un skaidrojumus, anotācijas 1.3. apakšsadaļā saprotams, ka grozījumi ietekmēs, piemēram, bāriņtiesas darbiniekus.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 sadaļa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būtību lūdzam izvērtēt tā iespējamo horizontālo ietekmi, piemēram, uz bērna labākajām interesēm un izvērst anotācijas 8.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8.2. norādīts, ka TA projekts nemaina 4.3.6.1. pasākumā sākotnēji identificētās horizontālās ietekmes aspektus. Atbilstoši sākotnēji identificētajai ietekmei (pieejams: https://tapportals.mk.gov.lv/annotation/e056ff3f-f531-4c8f-ac8a-ad4a320ecefc) 4.3.6.1. pasākuma īstenošana ir tiešā veidā vērsta uz bērna labāko interešu ievērošanu. Tiks nodrošināta bērnu tiesību aizsardzībā iesaistīto speciālistu un bērna atbalsta speciālistu specifisko zināšanu pilnveide un specifisko prasmju un iemaņu attīstīšana bērnu tiesību aizsardzības jomā, kā arī palielinās izpratni par bērnu tiesību aizsardzības tiesisko regulējumu, līdz ar to tiks nodrošināta lēmumu pieņemšana bērna labākajās interesēs.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tiks veicināta bērnu likumisko pārstāvju un audžuģimeņu un sabiedrības izpratne, domāšanas un attieksmes maiņa par bērnu likumisko pārstāvju atbildību attiecībā uz bērnu, tādējādi tiks veidota vienota sabiedrības izpratne par bērnu tiesību jautājumiem un veicināta līdzdalība bērna tiesību ievērošanā.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 grupas, komandas vai organizācijas supervīzijas sesijā, kurā dalībnieku skaits nepārsniedz 12 personas, neskaitot supervizoru;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ar nosacījumu par minimālo dalībnieku skaitu - trīs dalībniekiem, atbilstoši Anotācijā minētajam, ka grupas supervīzijā piedalās supervizors un vairāk nekā trīs supervizējamie.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“Pašreizējā situācija, problēmas un risinājumi” apakšsadaļa “Problēmas apraksts”, svītrojot informāciju par trīs supervīzijas dalībniekiem grupas supervīzijā. Minētā informācija iepriekš tika minēta, jo tāda ir ietverta grupu supervīzijas definīcijā no Sociālā darba vārdnīcas. Taču tas nebija domāts kā jauns parametrs supervīzijas nodrošināšanai 4.3.6.1. pasākumā. Šāds parametrs nav izmantots arī supervīzijas likmju noteikšanai tirgus izpētē, attiecīgi nav pamata šobrīd izvirzīt jaunu nosacījumu, ka grupas minimālais dalībnieku skaits ir trīs dalībnieki. Anotācijā saglabāta tikai informācija par grupu supervīzijas mērķi.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 grupas, komandas vai organizācijas supervīzijas sesijā, kurā dalībnieku skaits nepārsniedz 12 personas, neskaitot supervizoru;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w:t>
            </w:r>
            <w:r w:rsidR="00000000" w:rsidRPr="00000000" w:rsidDel="00000000">
              <w:rPr>
                <w:vertAlign w:val="superscript"/>
                <w:rtl w:val="0"/>
              </w:rPr>
              <w:t xml:space="preserve">1</w:t>
            </w:r>
            <w:r w:rsidR="00000000" w:rsidRPr="00000000" w:rsidDel="00000000">
              <w:rPr>
                <w:rtl w:val="0"/>
              </w:rPr>
              <w:t xml:space="preserve">2. veicot atsevišķus iepirkumus, ir piesaistījusi vienu un to pašu supervīzijas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26.2.1.</w:t>
            </w:r>
            <w:r w:rsidR="00000000" w:rsidRPr="00000000" w:rsidDel="00000000">
              <w:rPr>
                <w:vertAlign w:val="superscript"/>
                <w:rtl w:val="0"/>
              </w:rPr>
              <w:t xml:space="preserve">1</w:t>
            </w:r>
            <w:r w:rsidR="00000000" w:rsidRPr="00000000" w:rsidDel="00000000">
              <w:rPr>
                <w:rtl w:val="0"/>
              </w:rPr>
              <w:t xml:space="preserve">2.apakšpunktu ar nosacījumu, ka supervīziju pakalpojumu izmaksas ir vienādas, lai nerastos situācija, ka vienā grupā supervīzijas notiek par dažādu samaksu, ņemot vērā, ka vienas vienības izmaksas var būt pārskatītas un līgumi noslēgti dažādā laika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supervīziju izmaksu kompensēšanai piemēro vienības izmaksu metodiku, kas nosaka supervīzijas standarta likmes gan 4.3.5.4., gan 4.3.6.1. pasākumā. Attiecīgi LM un Bērnu aizsardzības centrs kā finansējuma saņēmēji pašvaldībām kompensē supervīzijas pakalpojuma izmaksas atbilstoši metodikā noteiktajām likmēm, kas abos projektos ir vienādas. Tas, kādas izmaksas pašvaldības sedz pakalpojuma sniedzējam ir atkarīgs no tirgus izpētes, ko pašvaldības veic supervīzijas pakalpojumu sniedzēju izvēlē. Attiecīgi ne no vienkāršoto izmaksu piemērošanas, ne pakalpojumu sniedzēju izvēles procedūras viedokļa nav iespējams noteikt, ka cenām jābūt vienādām.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w:t>
            </w:r>
            <w:r w:rsidR="00000000" w:rsidRPr="00000000" w:rsidDel="00000000">
              <w:rPr>
                <w:vertAlign w:val="superscript"/>
                <w:rtl w:val="0"/>
              </w:rPr>
              <w:t xml:space="preserve">1</w:t>
            </w:r>
            <w:r w:rsidR="00000000" w:rsidRPr="00000000" w:rsidDel="00000000">
              <w:rPr>
                <w:rtl w:val="0"/>
              </w:rPr>
              <w:t xml:space="preserve">2. veicot atsevišķus iepirkumus, ir piesaistījusi vienu un to pašu supervīzijas pakalpojuma sniedzēju;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25-TA-2194</w:t>
    </w:r>
    <w:r>
      <w:br/>
    </w:r>
    <w:r w:rsidR="00000000" w:rsidRPr="00000000" w:rsidDel="00000000">
      <w:rPr>
        <w:rtl w:val="0"/>
      </w:rPr>
      <w:t xml:space="preserve">16.10.2025. 11.03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25-TA-2194</w:t>
    </w:r>
    <w:r>
      <w:br/>
    </w:r>
    <w:r w:rsidR="00000000" w:rsidRPr="00000000" w:rsidDel="00000000">
      <w:rPr>
        <w:rtl w:val="0"/>
      </w:rPr>
      <w:t xml:space="preserve">16.10.2025. 11.03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Izziņa_25-TA-2194.docx</dc:title>
</cp:coreProperties>
</file>

<file path=docProps/custom.xml><?xml version="1.0" encoding="utf-8"?>
<Properties xmlns="http://schemas.openxmlformats.org/officeDocument/2006/custom-properties" xmlns:vt="http://schemas.openxmlformats.org/officeDocument/2006/docPropsVTypes"/>
</file>