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23-TA-2619: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2.3.1. specifiskā atbalsta mērķa “Veicināt ilgtspējīgu daudzveidu mobilitāti pilsētās” 2.3.1.3. pasākuma  “Veloinfrastruktūras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2.3.1. specifiskā atbalsta mērķa “Veicināt ilgtspējīgu daudzveidu mobilitāti pilsētās” 2.3.1.3. pasākuma  “Veloinfrastruktūras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vairākkārt ir sniegusi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2.3.1. specifiskā atbalsta mērķa “Veicināt ilgtspējīgu daudzveidu mobilitāti pilsētās” 2.3.1.3. pasākuma  “Veloinfrastruktūras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atkārtoti izvērtējusi MK noteikumu projektu un saņēmusi  vairāku pašvaldību iebildumus ,ka Ņemot vērā to, ka Eiropas Savienības kohēzijas politikas programmas 2021. – 2027. gadam 2.3.1. specifiskā atbalsta mērķa “Veicināt ilgtspējīgu daudzveidu mobilitāti pilsētās” 2.3.1.3. pasākuma  “Veloinfrastruktūras attīstība” (turpmāk – 2.3.1.3.pasākums) mērķis ir – “Attīstīt nepārtrauktu velosipēdu ceļu, tostarp kopīgu gājēju un velosipēdu ceļu, infrastruktūras izveidi, veicinot nemotorizēto mobilitāti.” un pasākuma īstenošanas vieta ir Latvijas Republikas teritorija, aicinām paplašināt projektu iesniedzēju loku un paredzēt finansējumu arī pašvaldībām, jo esošajā Noteikumu projektu redakcijā projekta iesniedzējs ir Satiksmes ministrija, kuras vārdā [..]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Pašvaldības, kas ir savienotas vai integrējas Eiropas  velomaršrutu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vēršam uzmanību,  ka, pamatojoties uz Eiropas Savienības fondu 2021.2027.gada plānošanas perioda Uzraudzības Komitejas reglamentu (51.2.), </w:t>
            </w:r>
            <w:r w:rsidR="00000000" w:rsidRPr="00000000" w:rsidDel="00000000">
              <w:rPr>
                <w:b w:val="1"/>
                <w:rtl w:val="0"/>
              </w:rPr>
              <w:t xml:space="preserve">LPS </w:t>
            </w:r>
            <w:r w:rsidR="00000000" w:rsidRPr="00000000" w:rsidDel="00000000">
              <w:rPr>
                <w:rtl w:val="0"/>
              </w:rPr>
              <w:t xml:space="preserve">- kā viens no šīs komitejas locekļiem ar balstiesībām - rakstiskās procedūras ietvaros </w:t>
            </w:r>
            <w:r w:rsidR="00000000" w:rsidRPr="00000000" w:rsidDel="00000000">
              <w:rPr>
                <w:b w:val="1"/>
                <w:rtl w:val="0"/>
              </w:rPr>
              <w:t xml:space="preserve">ir saskaņojusi 2.3.1.3.pasākuma “Veloinfrastruktūras attīstība” projekta iesnieguma vērtēšanas kritērijus</w:t>
            </w:r>
            <w:r w:rsidR="00000000" w:rsidRPr="00000000" w:rsidDel="00000000">
              <w:rPr>
                <w:rtl w:val="0"/>
              </w:rPr>
              <w:t xml:space="preserve">, t.sk. specifisko atbilstības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Nr.3.1. Projekta iesniegumā ir pamatota plānoto maršrutu atbilstība Valsts mikromobilitātes infrastruktūras attīstības stratēģijai*.</w:t>
            </w:r>
            <w:r w:rsidR="00000000" w:rsidRPr="00000000" w:rsidDel="00000000">
              <w:rPr>
                <w:i w:val="1"/>
                <w:rtl w:val="0"/>
              </w:rPr>
              <w:t xml:space="preserve">*Satiksmes ministrijas informatīvais ziņojums  “Par valsts mikromobilitātes infrastruktūras attīstību” (21-TA-858; izskatīts Ministru kabinetā 15.02.2022.).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Eiropas savienības fondu 2021.-2027.gada plānošanas perioda uzraudzības komitejas 30.01.2024. lēmumu </w:t>
            </w:r>
            <w:r w:rsidR="00000000" w:rsidRPr="00000000" w:rsidDel="00000000">
              <w:rPr>
                <w:b w:val="1"/>
                <w:rtl w:val="0"/>
              </w:rPr>
              <w:t xml:space="preserve">ir apstiprināti 2.3.1.3.pasākuma “Veloinfrastruktūras attīstība” projekta iesnieguma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vērtēšanas kritērijiem </w:t>
            </w:r>
            <w:r w:rsidR="00000000" w:rsidRPr="00000000" w:rsidDel="00000000">
              <w:rPr>
                <w:b w:val="1"/>
                <w:rtl w:val="0"/>
              </w:rPr>
              <w:t xml:space="preserve">maršrutiem ir jāatbilst </w:t>
            </w:r>
            <w:r w:rsidR="00000000" w:rsidRPr="00000000" w:rsidDel="00000000">
              <w:rPr>
                <w:b w:val="1"/>
                <w:u w:val="single"/>
                <w:rtl w:val="0"/>
              </w:rPr>
              <w:t xml:space="preserve">Valsts mikromobilitātes infrastruktūras attīstības stratēģijai</w:t>
            </w:r>
            <w:r w:rsidR="00000000" w:rsidRPr="00000000" w:rsidDel="00000000">
              <w:rPr>
                <w:u w:val="single"/>
                <w:rtl w:val="0"/>
              </w:rPr>
              <w:t xml:space="preserve"> </w:t>
            </w:r>
            <w:r w:rsidR="00000000" w:rsidRPr="00000000" w:rsidDel="00000000">
              <w:rPr>
                <w:rtl w:val="0"/>
              </w:rPr>
              <w:t xml:space="preserve">(turpmāk - mikromobilitātes stratēģija), nevis tiem jāsavienojas (vai integrējas) ar Eiropas velomaršrutu tīklu (EuroVelo). Turklāt, atbilstoši pasākuma mērķim ir jāattīsta nepārtrauktu velosipēdu ceļu, tostarp kopīgu gājēju un velosipēdu ceļu, infrastruktūras izveidi gar autoceļiem, veicinot nemotorizēto mobilitāti. Tādējādi, pasākuma mērķis arī nenosaka prasību par savienošanos ar Eiropas  velomaršrutu tīklu (turpmāk – EuroVelo), kas vairāk vērsts uz tūrisma attīstību. Atbilstoši publiski pieejamajai informācijai EuroVelo oficiālajā mājas lapā (https://en.eurovelo.com/latvia):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Latvijas pilsētas un laukus var ērti izbaudīt ar velosipēdiem – vari doties, kur vien vēlies, un apstāties, kad un kur vēlies. Atkarībā no izvēlētā maršruta jūs varat redzēt lieliskas pilis, skaistas piekrastes, noslēpumainus mežus vai dinamiskus vecpilsētu centrus. Savvaļas kempings ir atļauts visur valstī, kas ļauj ļoti ērti izpētīt attālās vietas. Noteikti apmeklējiet skaisto Livonijas piekrasti un apstājieties Rīgā, lai apbrīnotu tās jūgendstila ēkas!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riteņbraucēju federācijas (turpmāk – ECF) mājas lapā (https://ecf.com/what-we-do/eurovelo) norādīts, ka  ECF ir izstrādājusi un koordinē EuroVelo, kas ir viens no tās galvenajiem zīmoliem un aktivitātēm. EuroVelo ir ECF reģistrēta preču zīme, un tikai ECF apstiprinātos maršrutus var saukt par EuroVelo. Minētajā vietnē norādīts, ka EuroVelo ir vadošā platforma, lai veicinātu vairāk velotūrisma Eiropā un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ECF ar vienu no saviem vadošajiem projektiem EuroVelo darbojas 3 dažādās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Velotūrisma attīstības veicināšana, daloties zināšanās un pieredzē, piemēram, ikgadējā EuroVelo un velotūrisma konferencē.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Iestāties par ilgtspējīgu tūrismu Eiropas un valstu politikā un praksē. ECF gūst datus, lai parādītu velotūrisma ietekmi, izmantojot savu EuroVelo Data Hub.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veidu velotūrisma popularizēšana, izmantojot savus saziņas kanālus (EuroVelo.com, sociālo mediju kanālus, EuroVelo ikmēneša biļetenu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skaidrojam, ka 2.3.1.3.pasākuma “Veloinfrastruktūras attīstība” mērķis nav paredzēts velotūrisma attīstībai, bet attīstīt nepārtrauktu velosipēdu ceļu, tostarp kopīgu gājēju un velosipēdu ceļu, infrastruktūras izveidi gar autoceļiem, veicinot nemotorizēto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prasību atbalsta saņēmējos iekļaut pašvaldības, kas savienotas vai integrējas EuroVelo, vēršam uzmanību par iespēju citā atbalsta programmā. Proti, INTERREG programmā viena no atbalstāmajām tēmām ir “Ilgtspējīgs tūrisms”.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https://www.interreg.lv/images/userfiles/Interreg_programmas_2021-2027-labots%281%29.png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INTERREG programmā arī attiecīgajām pašvaldībām saistībā ar EuroVelo ir iespējams īstenot arī ar velo tūrismu saistītus projektus. Piemēram, kā INTERREG Latvijas – Lietuvas programmā 2021.-2027.gadam šobrīd ir izsludināts projekta iesniegumu konkurss ar iesniegšanas termiņu līdz 2024.gada 21.jūnijam.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https://latlit.eu/calls-for-proposals/2nd-call-for-proposals/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https://latlit.eu/wp-content/uploads/2024/03/2nd-call-LATLIT-infografics.pdf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jāatzīmē, ka saistībā ar LPS iebildumu/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publiskās apspriešanas laikā nav saņemts neviens ierosinājums par maršrutu savienošanu (integrēšanu) ar Eiropas velomaršrutu tīklu (EuroVelo).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LPS 17.11.2021. ir saskaņojusi šo mikromobilitātes stratēģiju - Satiksmes ministrijas informatīvo ziņojumu “Par valsts mikromobilitātes infrastruktūras attīstību” (21-TA-858, izskatīts Ministru kabinetā 15.02.2022.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Apakškomitejas** reglamenta 4.1.apakšpunktu, LPS - kā vienai no šajā apakškomitejā (Zaļāka Eiropa) pārstāvētajai institūcijai – izskatot 2.3.1.3.pasākuma “Veloinfrastruktūras attīstība” projekta iesnieguma vērtēšanas kritērijus, šo kritēriju piemērošanas metodiku, anotāciju, Ministru kabineta noteikumu projektu, bija iespēja sniegt priekšlikumus minēto dokumentu pilnveidojumiem. Tomēr šādi priekšlikumi vai kādi citi iebildumi no LPS puses netika izteikti.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Eiropas Savienības fondu 2021.2027.gada plānošanas perioda Apakškomitejas reglaments.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šajā 2.3.1.3.pasākuma virzības stadijā – kad kritēriji ir jau apstiprināti - izteiktie iebildumi saistībā maršrutu atbilstību mikromobilitātes infrastruktūras stratēģijai vai savienošanās (integrēšanās) ar  Eiropas  velomaršrutu tīklu, neatbilst noteiktajam procesam, kādā notiek pasākumu virzība, </w:t>
            </w:r>
            <w:r w:rsidR="00000000" w:rsidRPr="00000000" w:rsidDel="00000000">
              <w:rPr>
                <w:b w:val="1"/>
                <w:u w:val="single"/>
                <w:rtl w:val="0"/>
              </w:rPr>
              <w:t xml:space="preserve">ietekmējot pasākuma īstenošanas termiņus</w:t>
            </w:r>
            <w:r w:rsidR="00000000" w:rsidRPr="00000000" w:rsidDel="00000000">
              <w:rPr>
                <w:b w:val="1"/>
                <w:rtl w:val="0"/>
              </w:rPr>
              <w:t xml:space="preserve">. Tādējādi </w:t>
            </w:r>
            <w:r w:rsidR="00000000" w:rsidRPr="00000000" w:rsidDel="00000000">
              <w:rPr>
                <w:b w:val="1"/>
                <w:u w:val="single"/>
                <w:rtl w:val="0"/>
              </w:rPr>
              <w:t xml:space="preserve">tiek ietekmēta arī Eiropas Komisijai pieprasāmo maksājumu (N+3) izpilde</w:t>
            </w:r>
            <w:r w:rsidR="00000000" w:rsidRPr="00000000" w:rsidDel="00000000">
              <w:rPr>
                <w:b w:val="1"/>
                <w:rtl w:val="0"/>
              </w:rPr>
              <w:t xml:space="preserve">. Savukārt Eiropas Komisijai pieprasāmo maksājumu (N+3) neizpildes sekas* – </w:t>
            </w:r>
            <w:r w:rsidR="00000000" w:rsidRPr="00000000" w:rsidDel="00000000">
              <w:rPr>
                <w:b w:val="1"/>
                <w:u w:val="single"/>
                <w:rtl w:val="0"/>
              </w:rPr>
              <w:t xml:space="preserve">dalībvalsts zaudē ES fondu piešķīrumu par N+3 gadā neiesniegto maksājumu pieteikumu EK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*N+3 neizpildes sekas izriet no 2021. gada 24. jūnija Kopīgo noteikumu regulas (ES) 2021/1060 105 (1). panta:</w:t>
            </w:r>
            <w:r w:rsidR="00000000" w:rsidRPr="00000000" w:rsidDel="00000000">
              <w:rPr>
                <w:i w:val="1"/>
                <w:rtl w:val="0"/>
              </w:rPr>
              <w:t xml:space="preserve">“Komisija atceļ saistības attiecībā uz jebkuru programmas summu, kura līdz 31. decembrim trešajā kalendārajā gadā pēc budžeta saistību gada nav izmantota priekšfinansējumam saskaņā ar 90. pantu vai par kuru nav iesniegts maksājuma pieteikums saskaņā ar 91. un 92. pantu, par 2021.–2026.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nepieciešamību atbilstībai mikromobilitātes stratēģijai, jāatzīmē, ka pasākuma un attiecīgi projekta īstenošana, kas atbilst mikromobilitātes stratēģijai nodrošina līdzsvarotu mikromobilitātes infrastruktūras attīstību, nosakot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attiecībā uz pašvaldībām, vēršam uzmanību, ka tām </w:t>
            </w:r>
            <w:r w:rsidR="00000000" w:rsidRPr="00000000" w:rsidDel="00000000">
              <w:rPr>
                <w:b w:val="1"/>
                <w:rtl w:val="0"/>
              </w:rPr>
              <w:t xml:space="preserve">veloceļu infrastruktūras izbūvei ES fondu atbalsts ir sniegts 2014.-2020.gada plānošanas perioda ietvaros</w:t>
            </w:r>
            <w:r w:rsidR="00000000" w:rsidRPr="00000000" w:rsidDel="00000000">
              <w:rPr>
                <w:rtl w:val="0"/>
              </w:rPr>
              <w:t xml:space="preserve">. Piemēram, darbības programmas "Izaugsme un nodarbinātība" 6.1.4.specifiskā atbalsta mērķa "Pilsētu infrastruktūras sasaiste ar TEN-T tīklu" 6.1.4.2. pasākuma "Nacionālas nozīmes attīstības centru integrēšana TEN-T tīklā" ietvaros atbalstu velosipēdistu un gājēju ceļu izbūvei ir saņēmušas šādas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ietvaros (attiecināmās izmaksas velosipēdistu un gājēju ceļu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 (344 897.82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 (452 033.47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(521 925.09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 (801 059.40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(581 413.44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(346 849.65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(413 858.66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 (192 649.00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(488 447.59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fonda 1.1.1.3.i. investīcijas “Pilnveidota veloceļu infrastruktūra” ietvaros atbalstu veloceļu infrastruktūras izveidei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 21 184 730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 3 296 748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- 3 250 910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pašvaldībai – 2 877 000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pašvaldībai – 3 904 620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par nepieciešamību atbilstībai mikromobilitātes stratēģijai, vēršam uzmanību uz tajā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gājēju un</w:t>
            </w:r>
            <w:r w:rsidR="00000000" w:rsidRPr="00000000" w:rsidDel="00000000">
              <w:rPr>
                <w:b w:val="1"/>
                <w:rtl w:val="0"/>
              </w:rPr>
              <w:t xml:space="preserve"> velosipēdistu skaits pieaug līdz ar mikromobilitātes infrastruktūras attīstību un satiksmes drošības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Ierobežots finansējums, tādēļ ir </w:t>
            </w:r>
            <w:r w:rsidR="00000000" w:rsidRPr="00000000" w:rsidDel="00000000">
              <w:rPr>
                <w:b w:val="1"/>
                <w:rtl w:val="0"/>
              </w:rPr>
              <w:t xml:space="preserve">nepieciešams veidot mikromobilitātes infrastruktūras attīstības prioritātes</w:t>
            </w:r>
            <w:r w:rsidR="00000000" w:rsidRPr="00000000" w:rsidDel="00000000">
              <w:rPr>
                <w:rtl w:val="0"/>
              </w:rPr>
              <w:t xml:space="preserve">, lai pēc iespējas lielākam iedzīvotāju skaitam nodrošinātu ikdienas mikromobilitātes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- 1.prioritāte - </w:t>
            </w:r>
            <w:r w:rsidR="00000000" w:rsidRPr="00000000" w:rsidDel="00000000">
              <w:rPr>
                <w:b w:val="1"/>
                <w:rtl w:val="0"/>
              </w:rPr>
              <w:t xml:space="preserve">galvenās nozīmes mikromobilitātes infrastruktūras maršrutu attīstība</w:t>
            </w:r>
            <w:r w:rsidR="00000000" w:rsidRPr="00000000" w:rsidDel="00000000">
              <w:rPr>
                <w:rtl w:val="0"/>
              </w:rPr>
              <w:t xml:space="preserve">, kas savā starpā savieno apdzīvotas vietas ar vairāk nekā 5000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- 2.prioritāte - apdzīvotu vietu ar </w:t>
            </w:r>
            <w:r w:rsidR="00000000" w:rsidRPr="00000000" w:rsidDel="00000000">
              <w:rPr>
                <w:b w:val="1"/>
                <w:rtl w:val="0"/>
              </w:rPr>
              <w:t xml:space="preserve">vairāk nekā 5000 iedzīvotājiem un to 10 km sasniedzamības robežu savienojošās mikromobilitātes infrastruktūras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- 3.prioritāte - esošās valsts mikromobilitātes infrastruktūras savienošana, </w:t>
            </w:r>
            <w:r w:rsidR="00000000" w:rsidRPr="00000000" w:rsidDel="00000000">
              <w:rPr>
                <w:b w:val="1"/>
                <w:rtl w:val="0"/>
              </w:rPr>
              <w:t xml:space="preserve">novēršot fragmentāciju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LPS sniegtā iebilduma nav konstatējums, kurš konkrēti maršruts neatbilstu mikromobilitātes stratēģijai. Tomēr jāatzīmē, ka pasākuma mērķis nav tiešā veidā vērsts uz apskates vietu pieejamības uzlabošanu un tamlīdzīgi, bet paredz attīstīt nepārtrauktu velosipēdu ceļu, tostarp kopīgu gājēju un velosipēdu ceļu, infrastruktūras izveidi </w:t>
            </w:r>
            <w:r w:rsidR="00000000" w:rsidRPr="00000000" w:rsidDel="00000000">
              <w:rPr>
                <w:u w:val="single"/>
                <w:rtl w:val="0"/>
              </w:rPr>
              <w:t xml:space="preserve">gar autoceļiem</w:t>
            </w:r>
            <w:r w:rsidR="00000000" w:rsidRPr="00000000" w:rsidDel="00000000">
              <w:rPr>
                <w:rtl w:val="0"/>
              </w:rPr>
              <w:t xml:space="preserve">, veicinot nemotorizēto mobilitāti. Autoceļi stiepjas cauri novadiem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plānošanas dokumentos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2.3.prioritātes “Ilgtspējīga mobilitāte” 2.3.1.SAM “Veicināt ilgtspējīgu daudzveidu mobilitāti pilsētās”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“velosipēdu ceļu izbūve gar autoceļiem un pašvaldību teritorijās atbilstoši spēkā esošajiem pašvaldību teritorijas attīstības plānošanas dokumentiem un / vai ilgtspējīgas pilsētas mobilitātes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Atbalstītā atdalītā riteņbraukšanas infrastruktūra – 60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Atdalītas riteņbraukšanas infrastruktūras lietotāju skaits gadā – 5’820.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novērtējumā sniegts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velosatiksmes infrastruktūra tiek </w:t>
            </w:r>
            <w:r w:rsidR="00000000" w:rsidRPr="00000000" w:rsidDel="00000000">
              <w:rPr>
                <w:b w:val="1"/>
                <w:rtl w:val="0"/>
              </w:rPr>
              <w:t xml:space="preserve">attīstīta fragmentāri</w:t>
            </w:r>
            <w:r w:rsidR="00000000" w:rsidRPr="00000000" w:rsidDel="00000000">
              <w:rPr>
                <w:rtl w:val="0"/>
              </w:rPr>
              <w:t xml:space="preserve">, kā arī nav nodalīta, līdz ar to ne vienmēr nodrošinot velosipēdistiem ērtu un ātru pārvietošanos, kas ir galvenais motivators, izvēloties transporta veidu. Minētie aspekti neveicina velosatiksmes attīstību, velosipēdistu pieaugumu un integrāciju kopējā transporta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sniegts risinājuma apraksts - paredzēta veloinfrastruktūras izveide, veicinot nemotorizēto mobilitāti. Uzsvērta infrastruktūras savienojamība - veloceļi  savienos apdzīvotas teritorijas un / vai piekļuvi  sabiedriskajam transportam un / vai mobilitātes punktiem, papildinot multimodālo savienojumu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2.3.1.SAM “Veicināt ilgtspējīgu daudzveidu mobilitāti pilsētās” radītāju metodoloģijas aprakstā par rādītāju “Atbalstītā atdalītā riteņbraukšanas infrastruktūra” sniegts skaidrojums,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Atdalītā  velosipēdu infrastruktūra ietver riteņbraukšanas iespējas, kas ar strukturāliem līdzekļiem atdalītas no ceļiem transportlīdzekļu satiksmei vai citām tā paša ceļa daļām (apmales, barjeras), velosipēdu ielas, velotuneļus utt. Velosipēdu infrastruktūrai ar atdalītām vienvirziena joslām (piemēram: katrā ceļa pusē) mēra garumu kā joslas garums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SM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ierobežoto finansējumu mikromobilitātes infrastruktūrai, ir jānosaka prioritātes, lai ikdienā mikromobilitātes infrastruktūru lietotu pēc iespējas lielāks iedzīvotāju skaits. Tāpēc 15.02.2022. Ministru kabinetā tika izskatīts informatīvais ziņojums “Par valsts mikromobilitātes infrastruktūras attīstību” (turpmāk – Mikromobilitātes attīstības stratēģija), </w:t>
            </w:r>
            <w:r w:rsidR="00000000" w:rsidRPr="00000000" w:rsidDel="00000000">
              <w:rPr>
                <w:b w:val="1"/>
                <w:u w:val="single"/>
                <w:rtl w:val="0"/>
              </w:rPr>
              <w:t xml:space="preserve">kas nosaka prioritātes nacionālai mikromobilitātes infrastruktūras attīstībai</w:t>
            </w:r>
            <w:r w:rsidR="00000000" w:rsidRPr="00000000" w:rsidDel="00000000">
              <w:rPr>
                <w:rtl w:val="0"/>
              </w:rPr>
              <w:t xml:space="preserve">. Proti, tika noteikti galvenie maršruti, </w:t>
            </w:r>
            <w:r w:rsidR="00000000" w:rsidRPr="00000000" w:rsidDel="00000000">
              <w:rPr>
                <w:b w:val="1"/>
                <w:rtl w:val="0"/>
              </w:rPr>
              <w:t xml:space="preserve">kas savieno apdzīvotas vietas ar vairāk kā 5 000 iedzīvotājiem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gājēju un velosipēdistu skaits pieaug līdz ar mikromobilitātes infrastruktūras attīstību un satiksmes drošības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(LVC) kā projekta īstenotājs nodrošinās konsekventu pieeju un nefragmentētas infrastruktūras attīstību (t.sk. pašvaldību teritorijās, jo autoceļi stiepjas cauri novadiem/ pašvaldībām), </w:t>
            </w:r>
            <w:r w:rsidR="00000000" w:rsidRPr="00000000" w:rsidDel="00000000">
              <w:rPr>
                <w:b w:val="1"/>
                <w:rtl w:val="0"/>
              </w:rPr>
              <w:t xml:space="preserve">nodrošinot atdalītu un drošu veloceļu infrastruktūru</w:t>
            </w:r>
            <w:r w:rsidR="00000000" w:rsidRPr="00000000" w:rsidDel="00000000">
              <w:rPr>
                <w:rtl w:val="0"/>
              </w:rPr>
              <w:t xml:space="preserve">, kas veicinās velosipēdu lietotāju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izmantošanai </w:t>
            </w:r>
            <w:r w:rsidR="00000000" w:rsidRPr="00000000" w:rsidDel="00000000">
              <w:rPr>
                <w:b w:val="1"/>
                <w:rtl w:val="0"/>
              </w:rPr>
              <w:t xml:space="preserve">svarīgs ir drošības aspekts</w:t>
            </w:r>
            <w:r w:rsidR="00000000" w:rsidRPr="00000000" w:rsidDel="00000000">
              <w:rPr>
                <w:rtl w:val="0"/>
              </w:rPr>
              <w:t xml:space="preserve">. Jāatzīmē, ka pilsētās, galvenokārt, ir vairākas alternatīvas, kā droši un ērti pārvietoties, piemēram, izmantojot sabiedrisko transportu. Savukārt, ārpus pilsētām reģionālais transports iespējams ir vienīgā alternatīva, (pie tam var kursēt neregulāri), lai nokļūtu uz pilsētu, skolu, mobilitātes punktu vai kādu nepieciešamo pieturu. Atdalīta un droša infrastruktūra arī ārpus pilsētām sniegtu iedzīvotājiem pārvietošanās papildu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piemēram, pilsētu teritorijās veloceļu infrastruktūras izbūves izmaksas būtu lielākas, tādējādi būtu iespēja izbūvēt mazāk km skaitu. Līdz ar to paredzams, ka lielāka ietekme uz rādītāju sasniegšanu būtu no veloceļu infrastruktūras izbūves ārpus pilsētām, kur lietotāju skaits pieaugtu, pateicoties drošai infrastruktūrai. Pretēji autoceļiem, lietotāju skaita pieaugums pilsētās nebūtu tik jūtams, jo galvenokārt pilsētās velosipēdu lietotāji jau šobrīd var pārvietoties, izmantojot esošos veloceliņus, ietves vai ielas. Savukārt gar autoceļiem, ja nav atdalīta veloceļa infrastruktūra, pārvietoties ir dzīvībai bīstami, līdz ar to kritiski svarīgi ir nodrošināt drošas veloceļu infrastruktūras attīstību starp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šim sniegto atbalstu pašvaldībām/ pilsētām, pasākums tiek īstenots saskaņā ar mikromobilitātes stratēģiju, nodrošina līdzsvarotu pieeju mikromobilitātes attīstībai un veicina drošas veloceļu infrastruktūras attīstību arī starp apdzīvotām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saistīti 25.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Sekmīgai mikromobilitātei būtiska ir kvalitatīva infrastruktūra, kas vienlaikus sekmē arī satiksmes drošību, jo veloinfrastruktūras integrācija transporta sistēmā uzlabo mobilitātes iespējas un pakalpojumu sasniedzamību iedzīvotājiem. Gājējiem un velosipēdistiem piemērota vide un infrastruktūra samazinātu autotransporta izmantošanu un uzlabotu gaisa kvalitāti pilsētās. Turklāt veloceliņu izbūve papildina un uzlabo pilsētas infrastruktūru, veicina drošu velobraucēju pārvietošanos, kā arī uzlabo pilsētas apskates vietu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kohēzijas politikas programmas 2021. – 2027. gadam 2.3.1. specifiskā atbalsta mērķa “Veicināt ilgtspējīgu daudzveidu mobilitāti pilsētās” 2.3.1.3. pasākuma  “Veloinfrastruktūras attīstība” (turpmāk – 2.3.1.3.pasākums) mērķis ir – “Attīstīt nepārtrauktu velosipēdu ceļu, tostarp kopīgu gājēju un velosipēdu ceļu, infrastruktūras izveidi, veicinot nemotorizēto mobilitāti.” un pasākuma īstenošanas vieta ir Latvijas Republikas teritorija, aicinām paplašināt projektu iesniedzēju loku un paredzēt finansējumu arī pašvaldībām, jo esošajā Noteikumu projektu redakcijā projekta iesniedzējs ir Satiksmes ministrija, kuras vārdā [..]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25.1. apakšpunktā  noteikto, ka 2.3.1.3.pasākuma ietvaros plānotajiem maršrutiem </w:t>
            </w:r>
            <w:r w:rsidR="00000000" w:rsidRPr="00000000" w:rsidDel="00000000">
              <w:rPr>
                <w:b w:val="1"/>
                <w:rtl w:val="0"/>
              </w:rPr>
              <w:t xml:space="preserve">jāatbilst Satiksmes ministrijas informatīvajā ziņojumā “Par valsts mikromobilitātes infrastruktūras attīstību” (21-TA-858, izskatīts Ministru kabinetā 15.02.2022. sēdē) iekļautajai Valsts mikromobilitātes infrastruktūras attīstības stratēģijai</w:t>
            </w:r>
            <w:r w:rsidR="00000000" w:rsidRPr="00000000" w:rsidDel="00000000">
              <w:rPr>
                <w:rtl w:val="0"/>
              </w:rPr>
              <w:t xml:space="preserve"> (turpmāk – Mikromobilitātes attīstītības stratēģija), rada būtiskus ierobežojumus tām pašvaldībām, kas, saskaņā ar Mikromobilitātes attīstītības stratēģiju, </w:t>
            </w:r>
            <w:r w:rsidR="00000000" w:rsidRPr="00000000" w:rsidDel="00000000">
              <w:rPr>
                <w:b w:val="1"/>
                <w:rtl w:val="0"/>
              </w:rPr>
              <w:t xml:space="preserve">nekvalificējas atbalstam, jo neietilpst nevienā valsts mikromobilitātes infrastruktūras maršrutu novietojumā.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tām pašvaldībām, kas, saskaņā ar Mikromobilitātes attīstītības stratēģijā ietverto kartējumu, neietilpst prioritārajā kategorijā, būtu jāparedz atbalsts, lai nodrošinātu iedzīvotājiem ikdienas pārvietošanās alternatīvas un samazinātu privātā autotransporta izmantošanas īpatsvaru un transportlīdzekļu radīto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“25.1.ņem vērā, ka atbalstāma ir atdalītas velosipēdu ceļu, tostarp kopīgu gājēju un velosipēdu ceļu, infrastruktūras izveide gar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iebildumu par maršrutu atbilstību mikromobilitātes infrastruktūras stratēģijai, vēlamies uzsvērt,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LLPA 07.01.2022. ir saskaņojusi šo mikromobilitātes stratēģiju</w:t>
            </w:r>
            <w:r w:rsidR="00000000" w:rsidRPr="00000000" w:rsidDel="00000000">
              <w:rPr>
                <w:rtl w:val="0"/>
              </w:rPr>
              <w:t xml:space="preserve"> - Satiksmes ministrijas informatīvo ziņojumu “Par valsts mikromobilitātes infrastruktūras attīstību” (21-TA-858, izskatīts Ministru kabinetā 15.02.2022.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Uzraudzības komitejas* reglamentu (51.2.), </w:t>
            </w:r>
            <w:r w:rsidR="00000000" w:rsidRPr="00000000" w:rsidDel="00000000">
              <w:rPr>
                <w:b w:val="1"/>
                <w:rtl w:val="0"/>
              </w:rPr>
              <w:t xml:space="preserve">LLPA</w:t>
            </w:r>
            <w:r w:rsidR="00000000" w:rsidRPr="00000000" w:rsidDel="00000000">
              <w:rPr>
                <w:rtl w:val="0"/>
              </w:rPr>
              <w:t xml:space="preserve"> - kā viens no šīs komitejas locekļiem ar balstiesībām - rakstiskās procedūras ietvaros</w:t>
            </w:r>
            <w:r w:rsidR="00000000" w:rsidRPr="00000000" w:rsidDel="00000000">
              <w:rPr>
                <w:b w:val="1"/>
                <w:rtl w:val="0"/>
              </w:rPr>
              <w:t xml:space="preserve"> ir saskaņojusi 2.3.1.3.pasākuma “Veloinfrastruktūras attīstība” projekta iesnieguma vērtēšanas kritērijus</w:t>
            </w:r>
            <w:r w:rsidR="00000000" w:rsidRPr="00000000" w:rsidDel="00000000">
              <w:rPr>
                <w:rtl w:val="0"/>
              </w:rPr>
              <w:t xml:space="preserve">, t.sk. specifisko atbilstības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Nr.3.1. Projekta iesniegumā ir pamatota plānoto maršrutu atbilstība Valsts mikromobilitātes infrastruktūras attīstības stratēģijai*.</w:t>
            </w:r>
            <w:r w:rsidR="00000000" w:rsidRPr="00000000" w:rsidDel="00000000">
              <w:rPr>
                <w:i w:val="1"/>
                <w:rtl w:val="0"/>
              </w:rPr>
              <w:t xml:space="preserve">*Satiksmes ministrijas informatīvais ziņojums  “Par valsts mikromobilitātes infrastruktūras attīstību” (21-TA-858; izskatīts Ministru kabinetā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Eiropas savienības fondu 2021.-2027.gada plānošanas perioda uzraudzības komitejas 30.01.2024. lēmumu</w:t>
            </w:r>
            <w:r w:rsidR="00000000" w:rsidRPr="00000000" w:rsidDel="00000000">
              <w:rPr>
                <w:b w:val="1"/>
                <w:rtl w:val="0"/>
              </w:rPr>
              <w:t xml:space="preserve"> ir apstiprināti 2.3.1.3.pasākuma “Veloinfrastruktūras attīstība” projekta iesnieguma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Apakškomitejas** reglamenta 4.1.apakšpunktu, LLPA - kā vienai no šajā apakškomitejā (Zaļāka Eiropa) pārstāvētajai institūcijai – izskatot 2.3.1.3.pasākuma “Veloinfrastruktūras attīstība” projekta iesnieguma vērtēšanas kritērijus, šo kritēriju piemērošanas metodiku, anotāciju, Ministru kabineta noteikumu projektu,bija iespēja sniegt priekšlikumus minēto dokumentu pilnveidojumiem. </w:t>
            </w:r>
            <w:r w:rsidR="00000000" w:rsidRPr="00000000" w:rsidDel="00000000">
              <w:rPr>
                <w:b w:val="1"/>
                <w:rtl w:val="0"/>
              </w:rPr>
              <w:t xml:space="preserve">Tomēr šādi priekšlikumi vai kādi citi iebildumi no LLPA puses netika izteikti!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LLPA šajā 2.3.1.3.pasākuma virzības stadijā – kad kritēriji ir jau apstiprināti - izteiktie iebildumi saistībā maršrutu atbilstību mikromobilitātes infrastruktūras stratēģijai neatbilst noteiktajam procesam, kādā notiek pasākumu virzība, ietekmējot pasākuma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Eiropas Savienības fondu 2021.2027.gada plānošanas perioda Uzraudzības Komitejas reglaments.</w:t>
            </w:r>
            <w:r w:rsidR="00000000" w:rsidRPr="00000000" w:rsidDel="00000000">
              <w:rPr>
                <w:i w:val="1"/>
                <w:rtl w:val="0"/>
              </w:rPr>
              <w:t xml:space="preserve">** Eiropas Savienības fondu 2021.2027.gada plānošanas perioda Apakškomitejas reglaments.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nepieciešamību atbilstībai mikromobilitātes stratēģijai, jāatzīmē, ka pasākuma un attiecīgi projekta īstenošana, kas atbilst mikromobilitātes stratēģijai nodrošina līdzsvarotu mikromobilitātes infrastruktūras attīstību, nosakot prioritātes. Pasākuma mērķis ir - attīstīt nepārtrauktu velosipēdu ceļu, tostarp kopīgu gājēju un velosipēdu ceļu, infrastruktūras izveidi</w:t>
            </w:r>
            <w:r w:rsidR="00000000" w:rsidRPr="00000000" w:rsidDel="00000000">
              <w:rPr>
                <w:u w:val="single"/>
                <w:rtl w:val="0"/>
              </w:rPr>
              <w:t xml:space="preserve"> gar autoceļiem</w:t>
            </w:r>
            <w:r w:rsidR="00000000" w:rsidRPr="00000000" w:rsidDel="00000000">
              <w:rPr>
                <w:rtl w:val="0"/>
              </w:rPr>
              <w:t xml:space="preserve">, veicinot nemotorizēto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atkārtoti vēršam uzmanību, ka attiecībā uz pašvaldībām (t.sk. </w:t>
            </w:r>
            <w:r w:rsidR="00000000" w:rsidRPr="00000000" w:rsidDel="00000000">
              <w:rPr>
                <w:b w:val="1"/>
                <w:rtl w:val="0"/>
              </w:rPr>
              <w:t xml:space="preserve">pilsētām) veloceļu infrastruktūras izbūvei ES fondu atbalsts ir sniegts 2014.-2020.gada plānošanas perioda ietvaros.</w:t>
            </w:r>
            <w:r w:rsidR="00000000" w:rsidRPr="00000000" w:rsidDel="00000000">
              <w:rPr>
                <w:rtl w:val="0"/>
              </w:rPr>
              <w:t xml:space="preserve"> Piemēram, darbības programmas "Izaugsme un nodarbinātība" 6.1.4.specifiskā atbalsta mērķa "Pilsētu infrastruktūras sasaiste ar TEN-T tīklu" 6.1.4.2. pasākuma "Nacionālas nozīmes attīstības centru integrēšana TEN-T tīklā" ietvaros atbalstu velosipēdistu un gājēju ceļu izbūvei ir saņēmušas šādas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ietvaros (attiecināmās izmaksas velosipēdistu un gājēju ceļu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 (344 897.82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 (452 033.47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(521 925.09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 (801 059.40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(581 413.44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(346 849.65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(413 858.66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 (192 649.00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(488 447.59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fonda 1.1.1.3.i. investīcijas “Pilnveidota veloceļu infrastruktūra” ietvaros atbalstu veloceļu infrastruktūras izveidei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 21 184 730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 3 296 748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- 3 250 910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pašvaldībai – 2 877 000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pašvaldībai – 3 904 620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par nepieciešamību atbilstībai mikromobilitātes stratēģijai, vēršam uzmanību uz tajā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gājēju un </w:t>
            </w:r>
            <w:r w:rsidR="00000000" w:rsidRPr="00000000" w:rsidDel="00000000">
              <w:rPr>
                <w:b w:val="1"/>
                <w:rtl w:val="0"/>
              </w:rPr>
              <w:t xml:space="preserve">velosipēdistu skaits pieaug līdz ar mikromobilitātes infrastruktūras attīstību un satiksmes drošības uzlabošanos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Ierobežots finansējums, tādēļ ir </w:t>
            </w:r>
            <w:r w:rsidR="00000000" w:rsidRPr="00000000" w:rsidDel="00000000">
              <w:rPr>
                <w:b w:val="1"/>
                <w:rtl w:val="0"/>
              </w:rPr>
              <w:t xml:space="preserve">nepieciešams veidot mikromobilitātes infrastruktūras attīstības prioritātes</w:t>
            </w:r>
            <w:r w:rsidR="00000000" w:rsidRPr="00000000" w:rsidDel="00000000">
              <w:rPr>
                <w:rtl w:val="0"/>
              </w:rPr>
              <w:t xml:space="preserve">, lai pēc iespējas lielākam iedzīvotāju skaitam nodrošinātu ikdienas mikromobilitātes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- 1.prioritāte - </w:t>
            </w:r>
            <w:r w:rsidR="00000000" w:rsidRPr="00000000" w:rsidDel="00000000">
              <w:rPr>
                <w:b w:val="1"/>
                <w:rtl w:val="0"/>
              </w:rPr>
              <w:t xml:space="preserve">galvenās nozīmes mikromobilitātes infrastruktūras maršrutu attīstība</w:t>
            </w:r>
            <w:r w:rsidR="00000000" w:rsidRPr="00000000" w:rsidDel="00000000">
              <w:rPr>
                <w:rtl w:val="0"/>
              </w:rPr>
              <w:t xml:space="preserve">, kas savā starpā savieno apdzīvotas vietas ar vairāk nekā 5000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- 2.prioritāte - apdzīvotu vietu ar </w:t>
            </w:r>
            <w:r w:rsidR="00000000" w:rsidRPr="00000000" w:rsidDel="00000000">
              <w:rPr>
                <w:b w:val="1"/>
                <w:rtl w:val="0"/>
              </w:rPr>
              <w:t xml:space="preserve">vairāk nekā 5000 iedzīvotājiem un to 10 km sasniedzamības robežu savienojošās mikromobilitātes infrastruktūras maršrutu attīstība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- 3.prioritāte - esošās valsts mikromobilitātes infrastruktūras savienošana, </w:t>
            </w:r>
            <w:r w:rsidR="00000000" w:rsidRPr="00000000" w:rsidDel="00000000">
              <w:rPr>
                <w:b w:val="1"/>
                <w:rtl w:val="0"/>
              </w:rPr>
              <w:t xml:space="preserve">novēršot fragmentāciju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LLPA sniegtā iebilduma nav konstatējums, kurš konkrēti maršruts neatbilstu mikromobilitātes stratēģijai. Tomēr jāatzīmē, ka pasākuma mērķis nav tiešā veidā vērsts uz pilsētām, apskates vietu pieejamības uzlabošanai un tamlīdzīgi, bet paredz attīstīt nepārtrauktu velosipēdu ceļu, tostarp kopīgu gājēju un velosipēdu ceļu, infrastruktūras izveidi </w:t>
            </w:r>
            <w:r w:rsidR="00000000" w:rsidRPr="00000000" w:rsidDel="00000000">
              <w:rPr>
                <w:u w:val="single"/>
                <w:rtl w:val="0"/>
              </w:rPr>
              <w:t xml:space="preserve">gar autoceļiem</w:t>
            </w:r>
            <w:r w:rsidR="00000000" w:rsidRPr="00000000" w:rsidDel="00000000">
              <w:rPr>
                <w:rtl w:val="0"/>
              </w:rPr>
              <w:t xml:space="preserve">, veicinot nemotorizēto mobilitāti. Autoceļi stiepjas cauri novadiem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plānošanas dokumentos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2.3.prioritātes “Ilgtspējīga mobilitāte” 2.3.1.SAM “Veicināt ilgtspējīgu daudzveidu mobilitāti pilsētās”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“velosipēdu ceļu izbūve gar autoceļiem un pašvaldību teritorijās atbilstoši spēkā esošajiem pašvaldību teritorijas attīstības plānošanas dokumentiem un / vai ilgtspējīgas pilsētas mobilitātes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Atbalstītā atdalītā riteņbraukšanas infrastruktūra – 60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Atdalītas riteņbraukšanas infrastruktūras lietotāju skaits gadā – 5’820.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novērtējumā sniegts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velosatiksmes infrastruktūra tiek </w:t>
            </w:r>
            <w:r w:rsidR="00000000" w:rsidRPr="00000000" w:rsidDel="00000000">
              <w:rPr>
                <w:b w:val="1"/>
                <w:rtl w:val="0"/>
              </w:rPr>
              <w:t xml:space="preserve">attīstīta fragmentāri</w:t>
            </w:r>
            <w:r w:rsidR="00000000" w:rsidRPr="00000000" w:rsidDel="00000000">
              <w:rPr>
                <w:rtl w:val="0"/>
              </w:rPr>
              <w:t xml:space="preserve">, kā arī nav nodalīta, līdz ar to ne vienmēr nodrošinot velosipēdistiem ērtu un ātru pārvietošanos, kas ir galvenais motivators, izvēloties transporta veidu. Minētie aspekti neveicina velosatiksmes attīstību, velosipēdistu pieaugumu un integrāciju kopējā transporta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sniegts risinājuma apraksts - paredzēta veloinfrastruktūras izveide, veicinot nemotorizēto mobilitāti. Uzsvērta infrastruktūras savienojamība - veloceļi  savienos apdzīvotas teritorijas un / vai piekļuvi  sabiedriskajam transportam un / vai mobilitātes punktiem, papildinot multimodālo savienojumu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2.3.1.SAM “Veicināt ilgtspējīgu daudzveidu mobilitāti pilsētās” radītāju metodoloģijas aprakstā par rādītāju “Atbalstītā atdalītā riteņbraukšanas infrastruktūra” sniegts skaidrojums,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Atdalītā  velosipēdu infrastruktūra ietver riteņbraukšanas iespējas, kas ar strukturāliem līdzekļiem atdalītas no ceļiem transportlīdzekļu satiksmei vai citām tā paša ceļa daļām (apmales, barjeras), velosipēdu ielas, velotuneļus utt. Velosipēdu infrastruktūrai ar atdalītām vienvirziena joslām (piemēram: katrā ceļa pusē) mēra garumu kā joslas garums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SM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ierobežoto finansējumu mikromobilitātes infrastruktūrai, ir jānosaka prioritātes, lai ikdienā mikromobilitātes infrastruktūru lietotu pēc iespējas lielāks iedzīvotāju skaits. Tāpēc 15.02.2022. Ministru kabinetā tika izskatīts informatīvais ziņojums “Par valsts mikromobilitātes infrastruktūras attīstību” (turpmāk – Mikromobilitātes attīstības stratēģija), </w:t>
            </w:r>
            <w:r w:rsidR="00000000" w:rsidRPr="00000000" w:rsidDel="00000000">
              <w:rPr>
                <w:b w:val="1"/>
                <w:u w:val="single"/>
                <w:rtl w:val="0"/>
              </w:rPr>
              <w:t xml:space="preserve">kas nosaka prioritātes nacionālai mikromobilitātes infrastruktūras attīstībai</w:t>
            </w:r>
            <w:r w:rsidR="00000000" w:rsidRPr="00000000" w:rsidDel="00000000">
              <w:rPr>
                <w:rtl w:val="0"/>
              </w:rPr>
              <w:t xml:space="preserve">. Proti, tika noteikti galvenie maršruti, kas </w:t>
            </w:r>
            <w:r w:rsidR="00000000" w:rsidRPr="00000000" w:rsidDel="00000000">
              <w:rPr>
                <w:b w:val="1"/>
                <w:rtl w:val="0"/>
              </w:rPr>
              <w:t xml:space="preserve">savieno apdzīvotas vietas ar vairāk kā 5 000 iedzīvotājiem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gājēju un velosipēdistu skaits pieaug līdz ar mikromobilitātes infrastruktūras attīstību un satiksmes drošības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(LVC) kā projekta īstenotājs nodrošinās konsekventu pieeju un nefragmentētas infrastruktūras attīstību (t.sk. pašvaldību teritorijās, jo autoceļi stiepjas cauri novadiem/ pašvaldībām), nodrošinot</w:t>
            </w:r>
            <w:r w:rsidR="00000000" w:rsidRPr="00000000" w:rsidDel="00000000">
              <w:rPr>
                <w:b w:val="1"/>
                <w:rtl w:val="0"/>
              </w:rPr>
              <w:t xml:space="preserve"> atdalītu un drošu veloceļu infrastruktūru</w:t>
            </w:r>
            <w:r w:rsidR="00000000" w:rsidRPr="00000000" w:rsidDel="00000000">
              <w:rPr>
                <w:rtl w:val="0"/>
              </w:rPr>
              <w:t xml:space="preserve">, kas veicinās velosipēdu lietotāju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izmantošanai </w:t>
            </w:r>
            <w:r w:rsidR="00000000" w:rsidRPr="00000000" w:rsidDel="00000000">
              <w:rPr>
                <w:b w:val="1"/>
                <w:rtl w:val="0"/>
              </w:rPr>
              <w:t xml:space="preserve">svarīgs ir drošības aspekts</w:t>
            </w:r>
            <w:r w:rsidR="00000000" w:rsidRPr="00000000" w:rsidDel="00000000">
              <w:rPr>
                <w:rtl w:val="0"/>
              </w:rPr>
              <w:t xml:space="preserve">. Jāatzīmē, ka pilsētās, galvenokārt, ir vairākas alternatīvas, kā droši un ērti pārvietoties, piemēram, izmantojot sabiedrisko transportu. Savukārt, ārpus pilsētām reģionālais transports iespējams ir vienīgā alternatīva, (pie tam var kursēt neregulāri), lai nokļūtu uz pilsētu, skolu, mobilitātes punktu vai kādu nepieciešamo pieturu. Atdalīta un droša infrastruktūra arī ārpus pilsētām sniegtu iedzīvotājiem pārvietošanās papildu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pilsētu teritorijās veloceļu infrastruktūras izbūves izmaksas būtu lielākas, tādejādi būtu iespēja izbūvēt mazāk km skaitu. Līdz ar to paredzams, ka lielāka ietekme uz rādītāju sasniegšanu būtu no veloceļu infrastruktūras izbūves ārpus pilsētām, kur lietotāju skaits pieaugtu, pateicoties drošai infrastruktūrai. Pretēji autoceļiem, lietotāju skaita pieaugums pilsētās nebūtu tik jūtams, jo galvenokārt pilsētās velosipēdu lietotāji jau šobrīd var pārvietoties, izmantojot esošos veloceliņus, ietves vai ielas. Savukārt gar autoceļiem, ja nav atdalīta veloceļa infratruktūra, pārvietoties ir dzīvībai bīstami, līdz ar to kritiski svarīgi ir nodrošināt drošas veloceļu infrastruktūras attīstību starp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šim sniegto atbalstu pašvaldībām/ pilsētām, pasākums tiek īstenots saskaņā ar mikromobilitātes stratēģiju, nodrošina līdzsvarotu pieeju mikromobilitātes attīstībai un veicina drošas veloceļu infrastruktūras attīstību arī starp apdzīvotām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kohēzijas politikas programmas 2021. – 2027. gadam 2.3.1. specifiskā atbalsta mērķa “Veicināt ilgtspējīgu daudzveidu mobilitāti pilsētās” 2.3.1.3. pasākuma  “Veloinfrastruktūras attīstība” (turpmāk – 2.3.1.3.pasākums) mērķis ir – “Attīstīt nepārtrauktu velosipēdu ceļu, tostarp kopīgu gājēju un velosipēdu ceļu, infrastruktūras izveidi, veicinot nemotorizēto mobilitāti.” un pasākuma īstenošanas vieta ir Latvijas Republikas teritorija, rosinām paplašināt projektu iesniedzēju loku un paredzēt finansējumu arī pašvaldībām, jo esošajā Noteikumu projektu redakcijā projekta iesniedzējs ir Satiksmes ministrija, kuras vārdā [..]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vēršam uzmanību, ka pašvaldībām ES fondu atbalsts veloceļu infrastruktūras izbūvei ir sniegts 2014.-2020.gada plānošanas perioda ietvaros. Piemēram, darbības programmas "Izaugsme un nodarbinātība" 6.1.4.specifiskā atbalsta mērķa "Pilsētu infrastruktūras sasaiste ar TEN-T tīklu" 6.1.4.2. pasākuma "Nacionālas nozīmes attīstības centru integrēšana TEN-T tīklā" ietvaros atbalstu velosipēdistu un gājēju ceļu izbūvei ir saņēmušas šādas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ietvaros (attiecināmās izmaksas velosipēdistu un gājēju ceļu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 (344 897.82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 (452 033.47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(521 925.09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 (801 059.40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(581 413.44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(346 849.65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(413 858.66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 (192 649.00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(488 447.59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fonda 1.1.1.3.i. investīcijas “Pilnveidota veloceļu infrastruktūra” ietvaros atbalstu veloceļu infrastruktūras izveidei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 21 184 730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 3 296 748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- 3 250 910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pašvaldībai – 2 877 000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pašvaldībai – 3 904 620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plānošanas dokumentos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2.3.prioritātes “Ilgtspējīga mobilitāte” 2.3.1.SAM “Veicināt ilgtspējīgu daudzveidu mobilitāti pilsētās”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“velosipēdu ceļu izbūve gar autoceļiem un pašvaldību teritorijās atbilstoši spēkā esošajiem pašvaldību teritorijas attīstības plānošanas dokumentiem </w:t>
            </w:r>
            <w:r w:rsidR="00000000" w:rsidRPr="00000000" w:rsidDel="00000000">
              <w:rPr>
                <w:b w:val="1"/>
                <w:rtl w:val="0"/>
              </w:rPr>
              <w:t xml:space="preserve">un / vai</w:t>
            </w:r>
            <w:r w:rsidR="00000000" w:rsidRPr="00000000" w:rsidDel="00000000">
              <w:rPr>
                <w:rtl w:val="0"/>
              </w:rPr>
              <w:t xml:space="preserve"> ilgtspējīgas pilsētas mobilitātes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Atbalstītā atdalītā riteņbraukšanas infrastruktūra – 60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Atdalītas riteņbraukšanas infrastruktūras lietotāju skaits gadā – 5’820.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novērtējumā sniegts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velosatiksmes infrastruktūra tiek attīstīta fragmentāri, kā arī nav nodalīta, līdz ar to ne vienmēr nodrošinot velosipēdistiem ērtu un ātru pārvietošanos, kas ir galvenais motivators, izvēloties transporta veidu. Minētie aspekti neveicina velosatiksmes attīstību, velosipēdistu pieaugumu un integrāciju kopējā transporta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sniegts risinājuma apraksts - paredzēta veloinfrastruktūras izveide, veicinot nemotorizēto mobilitāti. Uzsvērta infrastruktūras savienojamība - veloceļi  savienos apdzīvotas teritorijas un / vai piekļuvi  sabiedriskajam transportam un / vai mobilitātes punktiem, papildinot multimodālo savienojumu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2.3.1.SAM “Veicināt ilgtspējīgu daudzveidu mobilitāti pilsētās” radītāju metodoloģijas aprakstā par rādītāju “Atbalstītā atdalītā riteņbraukšanas infrastruktūra” sniegts skaidrojums,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“Atdalītā  velosipēdu infrastruktūra ietver riteņbraukšanas iespējas, kas ar strukturāliem līdzekļiem atdalītas no ceļiem transportlīdzekļu satiksmei vai citām tā paša ceļa daļām (apmales, barjeras), velosipēdu ielas, velotuneļus utt. Velosipēdu infrastruktūrai ar atdalītām vienvirziena joslām (piemēram: katrā ceļa pusē) mēra garumu kā joslas garums.”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SM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ierobežoto finansējumu mikromobilitātes infrastruktūrai, ir jānosaka prioritātes, lai ikdienā mikromobilitātes infrastruktūru lietotu pēc iespējas lielāks iedzīvotāju skaits. Tāpēc 15.02.2022. Ministru kabinetā tika izskatīts informatīvais ziņojums “Par valsts mikromobilitātes infrastruktūras attīstību” (turpmāk – Mikromobilitātes attīstības stratēģija), kas </w:t>
            </w:r>
            <w:r w:rsidR="00000000" w:rsidRPr="00000000" w:rsidDel="00000000">
              <w:rPr>
                <w:b w:val="1"/>
                <w:u w:val="single"/>
                <w:rtl w:val="0"/>
              </w:rPr>
              <w:t xml:space="preserve">nosaka prioritātes nacionālai mikromobilitātes infrastruktūras attīstībai</w:t>
            </w:r>
            <w:r w:rsidR="00000000" w:rsidRPr="00000000" w:rsidDel="00000000">
              <w:rPr>
                <w:rtl w:val="0"/>
              </w:rPr>
              <w:t xml:space="preserve">. Proti, tika noteikti galvenie maršruti, kas </w:t>
            </w:r>
            <w:r w:rsidR="00000000" w:rsidRPr="00000000" w:rsidDel="00000000">
              <w:rPr>
                <w:b w:val="1"/>
                <w:rtl w:val="0"/>
              </w:rPr>
              <w:t xml:space="preserve">savieno apdzīvotas vietas</w:t>
            </w:r>
            <w:r w:rsidR="00000000" w:rsidRPr="00000000" w:rsidDel="00000000">
              <w:rPr>
                <w:rtl w:val="0"/>
              </w:rPr>
              <w:t xml:space="preserve"> ar vairāk kā 5 000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nosacījums veiksmīgai mikromobilitātes attīstībai ir kvalitatīva  infrastruktūra: gājēju un velosipēdistu skaits pieaug līdz ar mikromobilitātes infrastruktūras attīstību un</w:t>
            </w:r>
            <w:r w:rsidR="00000000" w:rsidRPr="00000000" w:rsidDel="00000000">
              <w:rPr>
                <w:b w:val="1"/>
                <w:rtl w:val="0"/>
              </w:rPr>
              <w:t xml:space="preserve"> satiksmes drošības uzlabošanos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(LVC) kā projekta īstenotājs nodrošinās konsekventu pieeju un nefragmentētas infrastruktūras attīstību (t.sk. pašvaldību teritorijās, jo autoceļi stiepjas cauri novadiem/ pašvaldībām), nodrošinot </w:t>
            </w:r>
            <w:r w:rsidR="00000000" w:rsidRPr="00000000" w:rsidDel="00000000">
              <w:rPr>
                <w:b w:val="1"/>
                <w:rtl w:val="0"/>
              </w:rPr>
              <w:t xml:space="preserve">atdalītu un drošu veloceļu infrastruktūru</w:t>
            </w:r>
            <w:r w:rsidR="00000000" w:rsidRPr="00000000" w:rsidDel="00000000">
              <w:rPr>
                <w:rtl w:val="0"/>
              </w:rPr>
              <w:t xml:space="preserve">, kas veicinās velosipēdu lietotāju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izmantošanai </w:t>
            </w:r>
            <w:r w:rsidR="00000000" w:rsidRPr="00000000" w:rsidDel="00000000">
              <w:rPr>
                <w:b w:val="1"/>
                <w:rtl w:val="0"/>
              </w:rPr>
              <w:t xml:space="preserve">svarīgs ir drošības aspekts</w:t>
            </w:r>
            <w:r w:rsidR="00000000" w:rsidRPr="00000000" w:rsidDel="00000000">
              <w:rPr>
                <w:rtl w:val="0"/>
              </w:rPr>
              <w:t xml:space="preserve">. Jāatzīmē, ka pilsētās, galvenokārt, ir vairākas alternatīvas, kā droši un ērti pārvietoties, piemēram, izmantojot sabiedrisko transportu. Savukārt, ārpus pilsētām reģionālais transports iespējams ir vienīgā alternatīva, (pie tam var kursēt neregulāri), lai nokļūtu uz pilsētu, skolu, mobilitātes punktu vai kādu nepieciešamo pieturu. Atdalīta un droša infrastruktūra arī ārpus pilsētām sniegtu iedzīvotājiem pārvietošanās papildu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pilsētu teritorijās veloceļu infrastruktūras izbūves izmaksas būtu lielākas, tādejādi būtu iespēja izbūvēt mazāk km skaitu. Līdz ar to paredzams, ka lielāka ietekme uz rādītāju sasniegšanu būtu no veloceļu infrastruktūras izbūves ārpus pilsētām, kur lietotāju skaits pieaugtu, pateicoties drošai infrastruktūrai. Pretēji autoceļiem, lietotāju skaita pieaugums pilsētās nebūtu tik jūtams, jo galvenokārt pilsētās velosipēdu lietotāji jau šobrīd var pārvietoties, izmantojot esošos veloceliņus, ietves vai ielas. Savukārt gar autoceļiem, ja nav atdalīta veloceļa infratruktūra, pārvietoties ir dzīvībai bīstami, līdz ar to kritiski svarīgi ir nodrošināt drošas veloceļu infrastruktūras attīstību starp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šim sniegto atbalstu pašvaldībām/ pilsētām, pasākums veicina drošas veleceļu infrastruktūras attīstību arī starp apdzīvotām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izsekojamu un nepārprotamu informāciju, lūdzam papildināt anotāciju ar norādi, kādas funkcijas un pienākumus pildīs VSIA "Latvijas Valsts ceļi" un kādas attiecīgi Satiksmes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lūdzam skaidri norādīt, ar ko tiks slēgta vienošanās vai līgums par projekta īstenošanu, pēc nepieciešamības precizējot arī noteikumu projektu. Vēršam uzmanību, ka no Eiropas Savienības fondu 2021.—2027. gada plānošanas perioda vadības likuma 18. panta pirmās daļas 1. un 2. punkta izriet, ka gadījumā, ja finansējuma saņēmējs ir fiziskā vai juridiskā persona, tiek slēgts līgums par projekta īstenošanu, savukārt gadījumā, ja finansējuma saņēmējs ir tiešās vai pastarpinātās pārvaldes iestāde, atvasināta publiska persona vai cita valsts iestāde, tiek slēgta vienošanos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precizēt anotācijas 2.1. sadaļā norādīto informāciju, ka valsts sabiedrība ar ierobežotu atbildību "Latvijas Valsts ceļi" pildīs finansējuma saņēmēja funkcijas, nevis tikai projekta iesniedzēja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NP 12. un 13.punkts tiek veidots pēc līdzības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09.01.2024. noteikumu “Eiropas Savienības kohēzijas politikas programmas 2021.–2027. gadam 2.3.1. specifiskā atbalsta mērķa "Veicināt ilgtspējīgu daudzveidu mobilitāti pilsētās" 2.3.1.4. pasākuma "Bezemisiju vilcieni" īstenošanas noteikumi” 12. un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19.05.2015. noteikumu “Darbības programmas "Izaugsme un nodarbinātība" 6.1.5.specifiskā atbalsta mērķa "Valsts galveno autoceļu segu pārbūve, nestspējas palielināšana" īstenošanas noteikumi” 10. un 11.punktā.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skaidrojam, ka VSIA " Latvijas Valsts ceļi” (LVC) veiks projekta iesniedzēja un, pēc projekta apstiprināšanas, finansējuma saņēmēja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3.punktā izteikto iebildumu un atkārtoti aicinām izvērtēt vienkāršoto izmaksu iespējami plašāku piemērošanu. Saskaņā ar Satiksmes ministrijas sniegto skaidrojumu izziņā, investīcijas ietvaros tiks piemērota tikai netiešo izmaksu vienotā likme 7% apmērā, vienlaikus norādot, ka nav nepieciešamība paredzēt citas vienkāršotās izmaksas. Ja  Satiksmes ministrijas vērtējumā plašāka vienkāršoto izmaksu piemērošana investīcijā plānotajām izmaksu pozīcijām nav iespējama, lūdzam sniegt argumentētu pamatojumu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17.01.2024. atzinumā tika sniegts šāds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u w:val="single"/>
                <w:rtl w:val="0"/>
              </w:rPr>
              <w:t xml:space="preserve">Lūdzam izvērtēt vienkāršoto izmaksu iespējami plašāku piemērošanu</w:t>
            </w:r>
            <w:r w:rsidR="00000000" w:rsidRPr="00000000" w:rsidDel="00000000">
              <w:rPr>
                <w:i w:val="1"/>
                <w:rtl w:val="0"/>
              </w:rPr>
              <w:t xml:space="preserve">. Ja piemērot vienkāršotās izmaksas nav iespējams, lūdzam sniegt pamatojumu sākotnējās ietekmes izvērtējumā (anotācijā).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SM izziņā skaidroja: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Projekta vadības personāla izmaksas tiek dzēstas no projekta attiecināmajām izmaksām (līdz ar to mainās 19.punkta apakšpunktu numerācija), ņemot vērā ierobežoto finansējumu projekta mērķa un rādītāju sasniegšanai. Tāpat arī skaidrojam, ka nav nepieciešamība paredzēt citas vienkāršotās izmaksas, kā vien 21.punktā paredzētās netiešās attiecināmās izmaksas.</w:t>
            </w:r>
            <w:r w:rsidR="00000000" w:rsidRPr="00000000" w:rsidDel="00000000">
              <w:rPr>
                <w:i w:val="1"/>
                <w:rtl w:val="0"/>
              </w:rPr>
              <w:t xml:space="preserve">Ņemot vērā, ka projekta vadības personāla izmaksas tiek dzēstas, 21.punktā tiek piemērota cits vienkāršoto izmaksu vienotās likmes veids; proti, piemērojot netiešo izmaksu vienoto likmi 7% apmērā no šajos noteikumos minētajām tiešajām attiecināmajām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SM, noteikumu projektā iekļaujot vienkāršoto likmes veidu - piemērojot netiešo izmaksu vienoto likmi 7% apmērā no šajos noteikumos minētajām tiešajām attiecināmajām izmaksām – bija atsaukusies uz FM iebildumu, pilnībā to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SM nesaskata šobrīd iespēju izmantot plašāku vienkāršoto izmaksu piemērošanu, kā arī FM nevienā no atzinumiem nav sniegusi konkrētu priekšlikumu par citu vienkāršoto izmaksu piemērošanu saistībā ar 2.3.1.3. pasākuma  “Veloinfrastruktūras attīstība”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Ja piemērot vienkāršotās izmaksas nav iespējams, lūdzam sniegt pamatojumu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izmaksas tiek dzēstas no projekta attiecināmajām izmaksām (līdz ar to mainās 19.punkta apakšpunktu numerācija), ņemot vērā ierobežoto finansējumu projekta mērķa un rādītāju sasniegšanai. Tāpat arī skaidrojam, ka nav nepieciešamība paredzēt citas vienkāršotās izmaksas, kā vien 21.punktā paredzētās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vadības personāla izmaksas tiek dzēstas, 21.punktā tiek piemērota cits vienkāršoto izmaksu vienotās likmes veids; proti, piemērojot netiešo izmaksu vienoto likmi 7% apmērā no šajos noteikumos minētajām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atlīdzības izmaksas, tostarp piemaksas un nodokļi,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izmaksām piemērot Eiropas Parlamenta un Padomes 2021.gada 24.jūnija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1.punktā noteikto iespēju, tas ir  izmantot līdz 20% vienoto likmi. Skaidrojam, ka šādas iespējas izmantošana samazinās administratīvo slogu investīcijas īstenošanā un uzraudzībā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1.3.punkta rindkopā (sākas ar vārdiem "(12) Par vienoto likmi…") sniegtā argumentācija par vienotās likmes nepiemērošanu projekta vadības un īstenošanas personāla izmaksām nav pietiekama, ņemot vērā, ka investīcijas ietvaros plānots viens finansējuma saņēmējs -valsts sabiedrība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 ir noteikta vienota atalgojuma politika iestādē, uz kā bāzes var veidot vienotās likmes aprēķinu projekta vadības un īstenošanas personālam. Ņemot vērā minēto, primāri aicinām piemērot Regulas Nr. 2021/1060 55.panta 1.punkta noteikto iespēju, tas ir, izmantojot līdz 20 % vienoto likmi, kas samazinās administratīvo slogu visiem iesaistītajiem (šajā gadījumā metodika nav jāizstrādā, taču likmes apmērs ir jāsaskaņo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izmaksas tiek dzēstas no projekta attiecināmajām izmaksām (līdz ar to mainās 19.punkta apakšpunktu numerācija), ņemot vērā ierobežoto finansējumu projekta mērķa un rādītāju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vides un informācijas piekļūstamības nodrošināšanas izmaksas atbilstoši būvprojektam;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izmaksas HP specifiskās darbības vides un informācijas ekspertu konsultāciju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informācijas piekļūstamības nodrošināšanas izmaksas, atbilstoši būvprojektam, </w:t>
            </w:r>
            <w:r w:rsidR="00000000" w:rsidRPr="00000000" w:rsidDel="00000000">
              <w:rPr>
                <w:b w:val="1"/>
                <w:rtl w:val="0"/>
              </w:rPr>
              <w:t xml:space="preserve">tai skaitā vides un informācijas ekspertu  konsultāciju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 precizējumu rezultātā mainījusies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vides un informācijas piekļūstamības nodrošināšanas izmaksas atbilstoši būvprojektam, tai skaitā vides un informācijas ekspertu  konsultāciju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atbilstoši Valsts mikromobilitātes infrastruktūras attīstības stratēģijai;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25.1. apakšpunktā  noteikto,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tām pašvaldībām, kas, saskaņā ar Mikromobilitātes attīstītības stratēģijā ietverto kartējumu, neietilpst prioritārajā kategorijā, būtu jāparedz atbalsts, lai nodrošinātu iedzīvotājiem ikdienas pārvietošanās alternatīvas un samazinātu privātā autotransporta izmantošanas īpatsvaru un transportlīdzekļu radīto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25.1.ņem vērā, ka atbalstāma ir atdalītas velosipēdu ceļu, tostarp kopīgu gājēju un velosipēdu ceļu, infrastruktūras izveide gar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iebildumu par maršrutu atbilstību mikromobilitātes infrastruktūras stratēģijai, vēlamies uzsvērt,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LPS 17.11.2021. ir </w:t>
            </w:r>
            <w:r w:rsidR="00000000" w:rsidRPr="00000000" w:rsidDel="00000000">
              <w:rPr>
                <w:b w:val="1"/>
                <w:rtl w:val="0"/>
              </w:rPr>
              <w:t xml:space="preserve">saskaņojusi šo mikromobilitātes stratēģiju</w:t>
            </w:r>
            <w:r w:rsidR="00000000" w:rsidRPr="00000000" w:rsidDel="00000000">
              <w:rPr>
                <w:rtl w:val="0"/>
              </w:rPr>
              <w:t xml:space="preserve"> - Satiksmes ministrijas informatīvo ziņojumu “Par valsts mikromobilitātes infrastruktūras attīstību” (21-TA-858, izskatīts Ministru kabinetā 15.02.2022.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Eiropas savienības fondu 2021.-2027.gada plānošanas perioda uzraudzības komitejas 30.01.2024. lēmumu </w:t>
            </w:r>
            <w:r w:rsidR="00000000" w:rsidRPr="00000000" w:rsidDel="00000000">
              <w:rPr>
                <w:b w:val="1"/>
                <w:rtl w:val="0"/>
              </w:rPr>
              <w:t xml:space="preserve">ir apstiprināti 2.3.1.3.pasākuma “Veloinfrastruktūras attīstība” projekta iesnieguma vērtēšanas kritēriji</w:t>
            </w:r>
            <w:r w:rsidR="00000000" w:rsidRPr="00000000" w:rsidDel="00000000">
              <w:rPr>
                <w:rtl w:val="0"/>
              </w:rPr>
              <w:t xml:space="preserve">, tostarp specifiskais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Nr.3.1. Projekta iesniegumā ir pamatota plānoto maršrutu atbilstība Valsts mikromobilitātes infrastruktūras attīstības stratēģijai*.</w:t>
            </w:r>
            <w:r w:rsidR="00000000" w:rsidRPr="00000000" w:rsidDel="00000000">
              <w:rPr>
                <w:i w:val="1"/>
                <w:rtl w:val="0"/>
              </w:rPr>
              <w:t xml:space="preserve">*Satiksmes ministrijas informatīvais ziņojums  “Par valsts mikromobilitātes infrastruktūras attīstību” (21-TA-858; izskatīts Ministru kabinetā 15.02.2022.).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LPS minēto par to, ka maršruta atbilstības nepieciešamība mikromobilitātes stratēģijai </w:t>
            </w:r>
            <w:r w:rsidR="00000000" w:rsidRPr="00000000" w:rsidDel="00000000">
              <w:rPr>
                <w:i w:val="1"/>
                <w:rtl w:val="0"/>
              </w:rPr>
              <w:t xml:space="preserve">“rada būtiskus ierobežojumus tām pašvaldībām, kas, saskaņā ar Mikromobilitātes attīstītības stratēģiju, nekvalificējas atbalstam, jo neietilpst nevienā valsts mikromobilitātes infrastruktūras maršrutu novietojumā</w:t>
            </w:r>
            <w:r w:rsidR="00000000" w:rsidRPr="00000000" w:rsidDel="00000000">
              <w:rPr>
                <w:rtl w:val="0"/>
              </w:rPr>
              <w:t xml:space="preserve">.”, vēršam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 nosaka galvenos prioritāros mikromobilitātes infrastruktūras  attīstības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Prioritārais valsts mikromobilitātes attīstības virziens ir noteikts galvenās nozīmes mikromobilitātes infrastruktūras maršrutu attīstība, kas savā starpā savieno apdzīvotas vietas ar vairāk nekā 5000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Sekundārais valsts mikromobilitātes attīstības virziens ir apdzīvotu vietu ar vairāk nekā 5000 iedzīvotājiem un to 10 km sasniedzamības robežu savienojošās mikromobilitātes infrastruktūras maršrutu attīstība, un kā trešā prioritāte ir noteikta fragmentācijas novēršana valsts esošajā mikromobilitātes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esošās valsts mikromobilitātes infrastruktūras savienošana, novēršot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LPS sniegtā iebilduma nav konstatējums, kurš konkrēti maršruts neatbilstu mikromobilitātes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arī skatīt Satiksmes ministrijas skaidrojumu, atbildot uz LPS iebildumu par Noteikumu projekta 14.punktu,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pašvaldībām sniegto atbalstu veloceļu infrastruktūras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LPS prasību par savienošanās (integrēšanās) nepieciešamību ar EuroVelo,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iespēju pašvaldībām (un ne tikai) velotūrisma attīstībai (EuroVelo) pieteikties citās programmās (Interreg).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skaidrojam, ka Mikromobilitātes attīstības stratēģija izstrādāta pamatojoties uz Ministru kabineta 2021.gada 21.oktobra rīkojumu (Nr.710), ar kuru Atbalstītas Transporta attīstības pamatnostādnes 2021. – 2027. gadam. Pamatnostādnēs saistībā ar 4. rīcības virzienu “Drošas un ilgtspējīgas transporta sistēmas pilnveidošana” tika paredzēts izstrādāt informatīvo ziņojumu par valsts mikromobilitātes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ir viena no multimodālas transporta sistēmas pamata sastāvdaļām un galvenais mikromobilitātes transportlīdzeklis. Ar mikromobilitātes transportlīdzekļiem kā velosipēds, elektroskrejritenis, var nodrošināt vidējo attālumu sasniedzamību, lai nokļūtu sabiedriskā transporta pieturā vai citā galamērķī, kā piemēram skola, darbs un tamlīdzīgi. Velosipēda izmantošana kā privātā auto alternatīva ikdienas braucieniem ir viens no ilgtspējīgas transporta sistēmas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mikromobilitātes infrastruktūras attīstības stratēģijā minētas galvenās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katru gadu, pieaugot velosipēdistu skaitam, p</w:t>
            </w:r>
            <w:r w:rsidR="00000000" w:rsidRPr="00000000" w:rsidDel="00000000">
              <w:rPr>
                <w:b w:val="1"/>
                <w:rtl w:val="0"/>
              </w:rPr>
              <w:t xml:space="preserve">alielinās arī ceļu satiksmes negadījumu skaits, kuros iesaistīti velosipēdisti;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w:t>
            </w:r>
            <w:r w:rsidR="00000000" w:rsidRPr="00000000" w:rsidDel="00000000">
              <w:rPr>
                <w:b w:val="1"/>
                <w:rtl w:val="0"/>
              </w:rPr>
              <w:t xml:space="preserve">mikromobilitātes infrastruktūra izveidota fragmentāri</w:t>
            </w:r>
            <w:r w:rsidR="00000000" w:rsidRPr="00000000" w:rsidDel="00000000">
              <w:rPr>
                <w:rtl w:val="0"/>
              </w:rPr>
              <w:t xml:space="preserve">, tāpēc </w:t>
            </w:r>
            <w:r w:rsidR="00000000" w:rsidRPr="00000000" w:rsidDel="00000000">
              <w:rPr>
                <w:b w:val="1"/>
                <w:rtl w:val="0"/>
              </w:rPr>
              <w:t xml:space="preserve">mikromobilitātei tiek izmantota šādai satiksmei neparedzēta un nedroša infrastruktūra</w:t>
            </w:r>
            <w:r w:rsidR="00000000" w:rsidRPr="00000000" w:rsidDel="00000000">
              <w:rPr>
                <w:rtl w:val="0"/>
              </w:rPr>
              <w:t xml:space="preserve">, piemēram, autoceļu nomales, neapgaismota infrastruktūra, vai arī nākas izvēlēties garākus, bet drošākus maršrutus vai pat šī iemesla dēļ izvēlēties pārvietoties ar citiem transporta veidiem, kur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stratēģijā piedāvātais risinājums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jo gājēju un velosipēdistu skaits pieaug līdz ar mikromobilitātes infrastruktūras attīstību un satiksmes drošības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Finansējums mikromobilitātes attīstībai ir ierobežots, tādēļ ir nepieciešams veidot mikromobilitātes infrastruktūras attīstības prioritātes</w:t>
            </w:r>
            <w:r w:rsidR="00000000" w:rsidRPr="00000000" w:rsidDel="00000000">
              <w:rPr>
                <w:rtl w:val="0"/>
              </w:rPr>
              <w:t xml:space="preserve">, </w:t>
            </w:r>
            <w:r w:rsidR="00000000" w:rsidRPr="00000000" w:rsidDel="00000000">
              <w:rPr>
                <w:b w:val="1"/>
                <w:rtl w:val="0"/>
              </w:rPr>
              <w:t xml:space="preserve">lai pēc iespējas lielākam iedzīvotāju skaitam nodrošinātu ikdienas mikromobilitātes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atbilstība mikromobilitātes stratēģija, ko saskaņojusi LPS, nevis rada būtiskus ierobežojumus, bet </w:t>
            </w:r>
            <w:r w:rsidR="00000000" w:rsidRPr="00000000" w:rsidDel="00000000">
              <w:rPr>
                <w:b w:val="1"/>
                <w:rtl w:val="0"/>
              </w:rPr>
              <w:t xml:space="preserve">tieši paredz līdzsvarotu mikromobilitātes infrastruktūras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un dzelzceļiem atbilstoši Valsts mikromobilitātes infrastruktūras attīstības stratēģijai;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atbilstoši Valsts mikromobilitātes infrastruktūras attīstības stratēģijai;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25.1. apakšpunktā  noteikto,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tām pašvaldībām, kas, saskaņā ar Mikromobilitātes attīstītības stratēģijā ietverto kartējumu, neietilpst prioritārajā kategorijā, būtu jāparedz atbalsts, lai nodrošinātu iedzīvotājiem ikdienas pārvietošanās alternatīvas un samazinātu privātā autotransporta izmantošanas īpatsvaru un transportlīdzekļu radīto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“25.1.ņem vērā, ka atbalstāma ir atdalītas velosipēdu ceļu, tostarp kopīgu gājēju un velosipēdu ceļu, infrastruktūras izveide gar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Satiksmes ministrijas skaidrojumu, atbildot uz LLPA iebildumu par Noteikumu projekta 14.punktu, tai skaitā par pašvaldībām/ pilsētām sniegto atbalstu veloceļu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LLPA 07.01.2022. ir saskaņojusi Satiksmes ministrijas informatīvo ziņojumu “Par valsts mikromobilitātes infrastruktūras attīstību” (21-TA-858, izskatīts Ministru kabinetā 15.02.2022.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un dzelzceļiem atbilstoši Valsts mikromobilitātes infrastruktūras attīstības stratēģijai;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ievēro horizontālo principu "Vienlīdzība, iekļaušana, nediskriminācija un pamattiesību ievērošana" un uzkrāj datus par projekta ietekmi uz horizontālā principa rādītāju – objektu skaitu, kuros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HP VINPI  uzraudzības rādītāja redakciju ar kritēriju vērtēšanas metodikā un HP vadlīnijās [1]  noteikto redakciju, kuras šobrīd nesakrīt.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skaits, kuros ERAF/KF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ievēro horizontālo principu "Vienlīdzība, iekļaušana, nediskriminācija un pamattiesību ievērošana" un uzkrāj datus par projekta ietekmi uz horizontālā principa rādītāju – objektu skaitu, kuros ERAF/KF ieguldījumu rezultātā ir nodrošināta vides un informācijas pieejamība;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nodrošina projekta īstenošanā radīto vērtību uzturēšanu, laikus plānojot uzturēšanas un periodiskus nodilušo konstrukciju atjaunošanas darbus un finansējumu šiem darbiem turpmākos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investīcijas ietvaros plānotos ieguldījumus infrastruktūras attīstībai un nepieciešamību nodrošināt to uzturēšanu arī pēc projekta īstenošanas, lūdzam papildināt noteikumu projekta 25.13.apakšpunktu vai izvērstāku informāciju norādīt anotācijā, no kādiem līdzekļiem tiks nodrošināta projekta īstenošanas rezultātā radīto vērtību uzturēšana.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(13)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nodrošina projekta īstenošanā radīto vērtību uzturēšanu, laikus plānojot uzturēšanas un periodiskus nodilušo konstrukciju atjaunošanas darbus un finansējumu šiem darbiem turpmākos piecus gadus pēc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Tāpat arī jāņem vērā, ka 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nosacījumu,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 kā arī saskaņā ar 2021. gada datiem neietilpst kategorijā kā apdzīvotā vieta ar iedzīvotāju skaitu virs 35 000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nepieciešama līdzsvarota valsts attīstība, īstenojot policentriskas valsts attīstības principu, nodrošinot atbalstu mikromobilitātes infrastruktūras tīkla izveidei. Uzskatām, ka papildu nepieciešams sniegt atbalstu tām pašvaldībām, kas ir savienotas vai integrējas Eiropas  velomaršrutu tīklā.</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iebildumu par maršrutu atbilstību mikromobilitātes infrastruktūras stratēģijai, vēlamies uzsvērt,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w:t>
            </w:r>
            <w:r w:rsidR="00000000" w:rsidRPr="00000000" w:rsidDel="00000000">
              <w:rPr>
                <w:b w:val="1"/>
                <w:rtl w:val="0"/>
              </w:rPr>
              <w:t xml:space="preserve">LLPA 07.01.2022. ir saskaņojusi šo mikromobilitātes stratēģiju</w:t>
            </w:r>
            <w:r w:rsidR="00000000" w:rsidRPr="00000000" w:rsidDel="00000000">
              <w:rPr>
                <w:rtl w:val="0"/>
              </w:rPr>
              <w:t xml:space="preserve"> - Satiksmes ministrijas informatīvo ziņojumu “Par valsts mikromobilitātes infrastruktūras attīstību” (21-TA-858, izskatīts Ministru kabinetā 15.02.2022.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Eiropas savienības fondu 2021.-2027.gada plānošanas perioda uzraudzības komitejas 30.01.2024. lēmumu</w:t>
            </w:r>
            <w:r w:rsidR="00000000" w:rsidRPr="00000000" w:rsidDel="00000000">
              <w:rPr>
                <w:b w:val="1"/>
                <w:rtl w:val="0"/>
              </w:rPr>
              <w:t xml:space="preserve"> ir apstiprināti 2.3.1.3.pasākuma “Veloinfrastruktūras attīstība” projekta iesnieguma vērtēšanas kritēriji</w:t>
            </w:r>
            <w:r w:rsidR="00000000" w:rsidRPr="00000000" w:rsidDel="00000000">
              <w:rPr>
                <w:rtl w:val="0"/>
              </w:rPr>
              <w:t xml:space="preserve">, tostarp specifiskais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Nr.3.1. Projekta iesniegumā ir pamatota plānoto maršrutu atbilstība Valsts mikromobilitātes infrastruktūras attīstības stratēģijai*.</w:t>
            </w:r>
            <w:r w:rsidR="00000000" w:rsidRPr="00000000" w:rsidDel="00000000">
              <w:rPr>
                <w:i w:val="1"/>
                <w:rtl w:val="0"/>
              </w:rPr>
              <w:t xml:space="preserve">*Satiksmes ministrijas informatīvais ziņojums  “Par valsts mikromobilitātes infrastruktūras attīstību” (21-TA-858; izskatīts Ministru kabinetā 15.02.2022.).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LLPA minēto par to, ka maršruta atbilstības nepieciešamība mikromobilitātes stratēģijai “</w:t>
            </w:r>
            <w:r w:rsidR="00000000" w:rsidRPr="00000000" w:rsidDel="00000000">
              <w:rPr>
                <w:i w:val="1"/>
                <w:rtl w:val="0"/>
              </w:rPr>
              <w:t xml:space="preserve">rada būtiskus ierobežojumus tām pašvaldībām, kas, saskaņā ar Mikromobilitātes attīstītības stratēģiju, nekvalificējas atbalstam, jo neietilpst nevienā valsts mikromobilitātes infrastruktūras maršrutu novietojumā, kā arī saskaņā ar 2021. gada datiem neietilpst kategorijā kā apdzīvotā vieta ar iedzīvotāju skaitu virs 35 000 iedzīvotājiem</w:t>
            </w:r>
            <w:r w:rsidR="00000000" w:rsidRPr="00000000" w:rsidDel="00000000">
              <w:rPr>
                <w:rtl w:val="0"/>
              </w:rPr>
              <w:t xml:space="preserve">”, vēršam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 nosaka galvenos prioritāros mikromobilitātes infrastruktūras  attīstības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Prioritārais valsts mikromobilitātes attīstības virziens ir noteikts galvenās nozīmes mikromobilitātes infrastruktūras maršrutu attīstība, kas </w:t>
            </w:r>
            <w:r w:rsidR="00000000" w:rsidRPr="00000000" w:rsidDel="00000000">
              <w:rPr>
                <w:b w:val="1"/>
                <w:rtl w:val="0"/>
              </w:rPr>
              <w:t xml:space="preserve">savā starpā savieno apdzīvotas vietas ar vairāk nekā 5000 iedzīvotājiem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Sekundārais valsts mikromobilitātes attīstības virziens ir </w:t>
            </w:r>
            <w:r w:rsidR="00000000" w:rsidRPr="00000000" w:rsidDel="00000000">
              <w:rPr>
                <w:b w:val="1"/>
                <w:rtl w:val="0"/>
              </w:rPr>
              <w:t xml:space="preserve">apdzīvotu vietu ar vairāk nekā 5000 iedzīvotājiem un to 10 km sasniedzamības robežu savienojošās mikromobilitātes infrastruktūras maršrutu attīstība</w:t>
            </w:r>
            <w:r w:rsidR="00000000" w:rsidRPr="00000000" w:rsidDel="00000000">
              <w:rPr>
                <w:rtl w:val="0"/>
              </w:rPr>
              <w:t xml:space="preserve">, un kā trešā prioritāte ir noteikta fragmentācijas novēršana valsts esošajā mikromobilitātes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Esošās valsts mikromobilitātes infrastruktūras savienošana, </w:t>
            </w:r>
            <w:r w:rsidR="00000000" w:rsidRPr="00000000" w:rsidDel="00000000">
              <w:rPr>
                <w:b w:val="1"/>
                <w:rtl w:val="0"/>
              </w:rPr>
              <w:t xml:space="preserve">novēršot fragmentāciju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LLPA sniegtā iebilduma nav konstatējums, kurš konkrēti maršruts neatbilstu mikromobilitātes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arī skatīt Satiksmes ministrijas skaidrojumu, atbildot uz LLPA iebildumu par Noteikumu projekta 14.punktu, tai skaitā par pašvaldībām, t.sk. pilsētām sniegto atbalstu veloceļu infrastruktūras attīstībai un 25.1.apakšpunktu.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mikromobilitātes stratēģija nosaka prioritātes, nevis rada būtiskus ierobežojumu pašvaldībām. Netiek arī paredzēts LLPA minētais ierobežojums apdzīvotām vietām ar iedzīvotāju skaitu virs 35 000.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skaidrojam, ka Mikromobilitātes attīstības stratēģija izstrādāta pamatojoties uz Ministru kabineta 2021.gada 21.oktobra rīkojumu (Nr. 710), ar kuru Atbalstītas Transporta attīstības pamatnostādnes 2021. – 2027. gadam. Pamatnostādenēs saistībā ar 4. rīcības virzienu “Drošas un ilgtspējīgas transporta sistēmas pilnveidošana” tika paredzēts izstrādāt informatīvo ziņojumu par valsts mikromobilitātes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ir viena no multimodālas transporta sistēmas pamata sastāvdaļām un galvenais mikromobilitātes transportlīdzeklis. Ar mikromobilitātes transportlīdzekļiem kā velosipēds, elektroskrejritenis, var nodrošināt vidējo attālumu sasniedzamību, lai nokļūtu sabiedriskā transporta pieturā vai citā galamērķī, kā piemēram skola, darbs un tamlīdzīgi. Velosipēda izmantošana kā privātā auto alternatīva ikdienas braucieniem ir viens no ilgtspējīgas transporta sistēmas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mikromobilitātes infrastruktūras attīstības stratēģijā minētas galvenās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katru gadu, pieaugot velosipēdistu skaitam, </w:t>
            </w:r>
            <w:r w:rsidR="00000000" w:rsidRPr="00000000" w:rsidDel="00000000">
              <w:rPr>
                <w:b w:val="1"/>
                <w:rtl w:val="0"/>
              </w:rPr>
              <w:t xml:space="preserve">palielinās arī ceļu satiksmes negadījumu skaits, kuros iesaistīti velosipēdisti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w:t>
            </w:r>
            <w:r w:rsidR="00000000" w:rsidRPr="00000000" w:rsidDel="00000000">
              <w:rPr>
                <w:b w:val="1"/>
                <w:rtl w:val="0"/>
              </w:rPr>
              <w:t xml:space="preserve">Mikromobilitātes infrastruktūra izveidota fragmentāri</w:t>
            </w:r>
            <w:r w:rsidR="00000000" w:rsidRPr="00000000" w:rsidDel="00000000">
              <w:rPr>
                <w:rtl w:val="0"/>
              </w:rPr>
              <w:t xml:space="preserve">, tāpēc </w:t>
            </w:r>
            <w:r w:rsidR="00000000" w:rsidRPr="00000000" w:rsidDel="00000000">
              <w:rPr>
                <w:b w:val="1"/>
                <w:rtl w:val="0"/>
              </w:rPr>
              <w:t xml:space="preserve">mikromobilitātei tiek izmantota šādai satiksmei neparedzēta un nedroša infrastruktūra</w:t>
            </w:r>
            <w:r w:rsidR="00000000" w:rsidRPr="00000000" w:rsidDel="00000000">
              <w:rPr>
                <w:rtl w:val="0"/>
              </w:rPr>
              <w:t xml:space="preserve">, piemēram, autoceļu nomales, neapgaismota infrastruktūra, vai arī nākas izvēlēties garākus, bet drošākus maršrutus vai pat šī iemesla dēļ izvēlēties pārvietoties ar citiem transporta veidiem, kur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stratēģijā piedāvātais risinājums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jo gājēju un velosipēdistu skaits pieaug līdz ar mikromobilitātes infrastruktūras attīstību un satiksmes drošības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Finansējums mikromobilitātes attīstībai ir ierobežots, tādēļ ir nepieciešams veidot mikromobilitātes infrastruktūras attīstības prioritātes</w:t>
            </w:r>
            <w:r w:rsidR="00000000" w:rsidRPr="00000000" w:rsidDel="00000000">
              <w:rPr>
                <w:b w:val="1"/>
                <w:rtl w:val="0"/>
              </w:rPr>
              <w:t xml:space="preserve">, lai pēc iespējas lielākam iedzīvotāju skaitam nodrošinātu ikdienas mikromobilitātes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atbilstība mikromobilitātes stratēģija, ko saskaņojusi LLPA, nevis rada būtiskus ierobežojumus, bet tieši </w:t>
            </w:r>
            <w:r w:rsidR="00000000" w:rsidRPr="00000000" w:rsidDel="00000000">
              <w:rPr>
                <w:b w:val="1"/>
                <w:rtl w:val="0"/>
              </w:rPr>
              <w:t xml:space="preserve">paredz līdzsvarotu mikromobilitātes infrastruktūras attīstību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risinājumu aprakstu atbilstoši Eiropas Savienības kohēzijas politikas programmā 2021.-2027.gadam 2.3.1. SAM  atbalstāmajās darbībās noteiktajam – “Velosipēdu ceļu izbūve gar autoceļiem un pašvaldību teritorijās atbilstoši spēkā esošajiem pašvaldību teritorijas attīstības plānošanas dokumentiem un/vai ilgtspējīgas pilsētas mobilitātes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tiesību aktā paredzēto mikromobilitātes infrastruktūras attīstību, t.sk. infrastruktūras savienojamību, lūdzam Ministru kabineta noteikumu projekta anotācijā ietvert informāciju par tiem velosipēdu ceļu  maršrutiem, ko plānots izbūvēt šī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Satiksmes ministrijas skaidrojumu, atbildot uz LLPA iebildumu par Noteikumu projekta 14.punktu, tai skaitā par pašvaldībām sniegto atbalstu veloceļu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fondu 2021.-2027.gada plānošanas perioda uzraudzības komitejas 30.01.2024. lēmumu apstiprinātie kritēriji paredz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ir pamatota plānoto maršrutu atbilstība Valsts mikromobilitātes infrastruktūras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informatīvais ziņojums  “Par valsts mikromobilitātes infrastruktūras attīstību” (21-TA-858; izskatīts Ministru kabinetā 15.02.2022.).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pasākuma ietvaros mikromobilitātes infrastruktūras (velosipēdu ceļu, tostarp kopīgu gājēju un velosipēdu ceļu, infrastruktūra) precīzi maršruti būs zināmi tikai pēc projekta iesnieguma sagatavošanas un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iesniedzējs ir Satiksmes ministrija, kuras vārdā atbilstoši likuma "Par autoceļiem " 7. panta trešajai daļai un Satiksmes ministrijas deleģēšanas līgumam darbojas valsts sabiedrība ar ierobežotu atbildību "Latvijas Valsts ceļi" (turpmāk - LVC), kas veiks Satiksmes ministrijas kā Eiropas Savienības fondu projekta iesniedzēja funkcijas. Projekta iesniedzējs pēc projekta iesnieguma apstiprināšanas ir finansējuma saņēmējs. Līdz ar to LVC gan sagatavos projekta iesniegumu, gan slēgs vienošanos ar sadarbības iestādi (CFLA) par projekta īstenošanu un attiecīgi īstenos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projekta iesniegumu, projekta iesniedzējs (LVC) 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iesniedz sadarbības iestādē vienu projekta iesniegumu saskaņā ar projekta iesnieguma atlases nolikuma prasībām un ņemot vērā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iekļauj visus nepieciešamos velosipēdu ceļu, tostarp kopīgas gājēju un velosipēdu ceļu, infrastruktūras maršrutus, lai nodrošinātu pasākuma mērķa, kā arī iznākuma un rezultāta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vienotu infrastruktūras attīstību, projektā iekļauj attiecīgo maršrutu posmus, kas atbilst Mikromobilitātes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w:t>
            </w:r>
            <w:r w:rsidR="00000000" w:rsidRPr="00000000" w:rsidDel="00000000">
              <w:rPr>
                <w:u w:val="single"/>
                <w:rtl w:val="0"/>
              </w:rPr>
              <w:t xml:space="preserve">iekļaujamo ceļa posmu izvēli veiks LVC</w:t>
            </w:r>
            <w:r w:rsidR="00000000" w:rsidRPr="00000000" w:rsidDel="00000000">
              <w:rPr>
                <w:rtl w:val="0"/>
              </w:rPr>
              <w:t xml:space="preserve">, ņemot vērā Noteikumu projekta prasības, tostarp, iepriekšējā rindkopā uzskaitītos nosacījumus. Tāpat arī 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atbalstāma ir atdalītas velosipēdu ceļu, tostarp kopīgu gājēju un velosipēdu ceļu, infrastruktūras izveide gar autoceļiem atbilstoši Valsts mikromobilitātes infrastruktūras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velosipēdu ceļu, tostarp kopīgu gājēju un velosipēdu ceļu, infrastruktūras maršrutu savienojamību – maršruti pēctecīgi turpinās un nodrošina savienojamību starp apdzīvotām teritorijām, piekļuvi sabiedriskajam transportam un mobilitātes punktiem, papildinot multimodālo savienojumu sniegtās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nosacījumu,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 kā arī saskaņā ar 2021. gada datiem neietilpst kategorijā kā apdzīvotā vieta ar iedzīvotāju skaitu virs 35 000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nepieciešama līdzsvarota valsts attīstība, īstenojot policentriskas valsts attīstības principu, nodrošinot atbalstu mikromobilitātes infrastruktūras tīkla izveidei. Uzskatām, ka papildu nepieciešams sniegt atbalstu tām pašvaldībām, kas ir savienotas vai integrējas Eiropas  velomaršrutu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Satiksmes ministrijas skaidrojumu, atbildot uz LLPA iebildumu par Noteikumu projekta 14.punktu, tai skaitā par pašvaldībām sniegto atbalstu veloceļu infrastruktūras attīstībai un 25.1.apakšpunktu.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skaidrojam, ka Mikromobilitātes attīstības stratēģija izstrādāta pamatojoties uz Ministru kabineta 2021.gada 21.oktobra rīkojumu (Nr. 710), ar kuru Atbalstītas Transporta attīstības pamatnostādnes 2021. – 2027. gadam. Pamatnostādenēs saistībā ar 4. rīcības virzienu “Drošas un ilgtspējīgas transporta sistēmas pilnveidošana” tika paredzēts izstrādāt informatīvo ziņojumu par valsts mikromobilitātes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ir viena no multimodālas transporta sistēmas pamata sastāvdaļām un galvenais mikromobilitātes transportlīdzeklis. Ar mikromobilitātes transportlīdzekļiem kā velosipēds, elektroskrejritenis, var nodrošināt vidējo attālumu sasniedzamību, lai nokļūtu sabiedriskā transporta pieturā vai citā galamērķī, kā piemēram skola, darbs un tamlīdzīgi. Velosipēda izmantošana kā privātā auto alternatīva ikdienas braucieniem ir viens no ilgtspējīgas transporta sistēmas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Velosipēds ir viena no multimodālas transporta sistēmas pamata sastāvdaļām un galvenais mikromobilitātes transportlīdzeklis. Ar mikromobilitātes transportlīdzekļiem kā velosipēds, elektroskrejritenis, var nodrošināt vidējo attālumu sasniedzamību, lai nokļūtu sabiedriskā transporta pieturā vai citā galamērķī, kā piemēram skola, darbs un tamlīdzīgi. Velosipēda izmantošana kā privātā auto alternatīva ikdienas braucieniem ir viens no ilgtspējīgas transporta sistēmas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mikromobilitātes infrastruktūras attīstības stratēģijā minētas galvenās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katru gadu, pieaugot velosipēdistu skaitam, </w:t>
            </w:r>
            <w:r w:rsidR="00000000" w:rsidRPr="00000000" w:rsidDel="00000000">
              <w:rPr>
                <w:b w:val="1"/>
                <w:rtl w:val="0"/>
              </w:rPr>
              <w:t xml:space="preserve">palielinās arī ceļu satiksmes negadījumu skaits, kuros iesaistīti velosipēdisti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Mikromobilitātes </w:t>
            </w:r>
            <w:r w:rsidR="00000000" w:rsidRPr="00000000" w:rsidDel="00000000">
              <w:rPr>
                <w:b w:val="1"/>
                <w:rtl w:val="0"/>
              </w:rPr>
              <w:t xml:space="preserve">infrastruktūra izveidota fragmentāri</w:t>
            </w:r>
            <w:r w:rsidR="00000000" w:rsidRPr="00000000" w:rsidDel="00000000">
              <w:rPr>
                <w:rtl w:val="0"/>
              </w:rPr>
              <w:t xml:space="preserve">, tāpēc </w:t>
            </w:r>
            <w:r w:rsidR="00000000" w:rsidRPr="00000000" w:rsidDel="00000000">
              <w:rPr>
                <w:b w:val="1"/>
                <w:rtl w:val="0"/>
              </w:rPr>
              <w:t xml:space="preserve">mikromobilitātei tiek izmantota šādai satiksmei neparedzēta un nedroša infrastruktūra</w:t>
            </w:r>
            <w:r w:rsidR="00000000" w:rsidRPr="00000000" w:rsidDel="00000000">
              <w:rPr>
                <w:rtl w:val="0"/>
              </w:rPr>
              <w:t xml:space="preserve">, piemēram, autoceļu nomales, neapgaismota infrastruktūra, vai arī nākas izvēlēties garākus, bet drošākus maršrutus vai pat šī iemesla dēļ izvēlēties pārvietoties ar citiem transporta veidiem, kur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stratēģijā piedāvātais risinājums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nosacījums veiksmīgai mikromobilitātes attīstībai ir kvalitatīva infrastruktūra, jo gājēju un velosipēdistu skaits pieaug līdz ar mikromobilitātes infrastruktūras attīstību un satiksmes drošības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Finansējums mikromobilitātes attīstībai ir ierobežots, tādēļ ir nepieciešams veidot mikromobilitātes infrastruktūras attīstības prioritātes</w:t>
            </w:r>
            <w:r w:rsidR="00000000" w:rsidRPr="00000000" w:rsidDel="00000000">
              <w:rPr>
                <w:rtl w:val="0"/>
              </w:rPr>
              <w:t xml:space="preserve">, </w:t>
            </w:r>
            <w:r w:rsidR="00000000" w:rsidRPr="00000000" w:rsidDel="00000000">
              <w:rPr>
                <w:b w:val="1"/>
                <w:rtl w:val="0"/>
              </w:rPr>
              <w:t xml:space="preserve">lai pēc iespējas lielākam iedzīvotāju skaitam nodrošinātu ikdienas mikromobilitātes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aspektus, stratēģija nosaka galvenos prioritāros mikromobilitātes infrastruktūras  attīstības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Prioritārais valsts mikromobilitātes attīstības virziens ir noteikts galvenās nozīmes mikromobilitātes infrastruktūras maršrutu attīstība, kas savā starpā savieno apdzīvotas vietas ar vairāk nekā 5000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Sekundārais valsts mikromobilitātes attīstības virziens ir apdzīvotu vietu ar vairāk nekā 5000 iedzīvotājiem un to 10 km sasniedzamības robežu savienojošās mikromobilitātes infrastruktūras maršrutu attīstība, un kā trešā prioritāte ir noteikta fragmentācijas novēršana valsts esošajā mikromobilitātes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projekta iesniegšanu pasākumā paredzētie ceļa posmi būs noteikti, lūdzam papildināt 1.3.sadaļu, ka pasākumā iekļauto ceļa posmu izvēli veiks valsts sabiedrība ar ierobežotu atbildību "Latvijas Valsts ceļi", tai skaitā norādot izvēlē pielietoto metodoloģiju un laika periodu līdz kuram izvēle tiks izdarīta.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2.3.1.3.pasākuma “Veloinfrastruktūras attīstība” (turpmāk – 2.3.1.3.pasākums)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165 000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2.3.1.3.pasākuma īstenošanas uzsākšanu un priekšfinansēšanu 2024.gada pirmajā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3.punktā paredzēto, vēršam uzmanību, ka saskaņā ar Ministru kabineta 2018.gada 17.jūlija noteikumu  Nr. 421 “Kārtība, kādā veic gadskārtējā valsts budžeta likumā noteiktās apropriācijas izmaiņas” 24.2. apakšpunktu Ministru kabinets lēmumu par līdzekļu piešķiršanu izņēmuma kārtā pirms Eiropas Savienības fondu projektu iesnieguma apstiprināšanas sadarbības iestādē pieņem, pamatojoties uz iesniegto argumentāciju un risku analīzi, līdz ar to attiecīgi lūdzam anotāciju papildināt ar argumentāciju, kāpēc līdzekļi jāpiešķir pirms projekta iesnieguma apstiprināšanas, kā arī sniegt informāciju par risku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2.3.1.3.pasākuma “Veloinfrastruktūras attīstība” (turpmāk – 2.3.1.3.pasākums)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165 000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2.3.1.3.pasākuma īstenošanas uzsākšanu un priekšfinansēšanu 2024.gada pirmajā pusgadā.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nepārtrauktu velosipēdu ceļu, tostarp kopīgu gājēju un velosipēdu ceļu, infrastruktūras izveidi gar autoceļiem, veicinot nemotorizēto mobilitāti.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mikromobilitātes infrastruktūras attīstības stratēģijā” noteiktais prioritārais maršruts Nr. 3. Valmiera - Rīga (92km), kura izpēte sākta 2021. gadā, posmā Cēsis - Valmiera vairākos posmos tiek paredzēts nevis tieši gar autoceļu, bet gar dzelzceļu.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attīstīt nepārtrauktu velosipēdu ceļu, tostarp kopīgu gājēju un velosipēdu ceļu, infrastruktūras izveidi gar autoceļiem </w:t>
            </w:r>
            <w:r w:rsidR="00000000" w:rsidRPr="00000000" w:rsidDel="00000000">
              <w:rPr>
                <w:b w:val="1"/>
                <w:rtl w:val="0"/>
              </w:rPr>
              <w:t xml:space="preserve">un dzelzceļiem</w:t>
            </w:r>
            <w:r w:rsidR="00000000" w:rsidRPr="00000000" w:rsidDel="00000000">
              <w:rPr>
                <w:rtl w:val="0"/>
              </w:rPr>
              <w:t xml:space="preserve">, veicinot nemotorizēto mobilitāti.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nepārtrauktu velosipēdu ceļu, tostarp kopīgu gājēju un velosipēdu ceļu, infrastruktūras izveidi gar autoceļiem un dzelzceļiem, veicinot nemotorizēto mobilitāti.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finansējums ir 26 461 636 EUR (tai skaitā elastības finansējums 4 173 671 EUR), tai skaitā Eiropas Reģionālās attīstības fonda (turpmāk – ERAF) finansējums 22 492 390 EUR (tai skaitā elastības finansējums 3 547 620 EUR) un nacionālais finansējums 3 969 246 EUR (tai skaitā elastības finansējums 626 051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nacionālais finansējums tiek plānots no valsts budžeta finansējuma, atkārtoti lūdzam precizēt noteikumu projekta 4., 5. un 6.punktu, norādot konkrētu nacionālā finansējuma avotu, proti, ka tas būs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finansējums ir 26 461 636 EUR (tai skaitā elastības finansējums 4 173 671 EUR), tai skaitā Eiropas Reģionālās attīstības fonda (turpmāk – ERAF) finansējums 22 492 390 EUR (tai skaitā elastības finansējums 3 547 620 EUR) un nacionālais finansējums (valsts budžeta finansējums) 3 969 246 EUR (tai skaitā elastības finansējums 626 051 EUR).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un pieejamais kopējais finansējums ir 26 461 636 EUR (tai skaitā elastības finansējums 4 173 671 EUR), tai skaitā Eiropas Reģionālās attīstības fonda (turpmāk – ERAF) finansējums 22 492 390 EUR (tai skaitā elastības finansējums 3 547 620 EUR) un nacionālais finansējums 3 969 246 EUR (tai skaitā elastības finansējums 626 051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ietvaros tiek plānots elastības finansējums, un atbilstoši noteikumu projekta 5.punktā norādītajam pieejamais kopējais finansējums ir 22 287 965 euro apmērā, lūdzam precizēt noteikumu projekta 4.punkta redakciju, norādot, ka kopējā summa 26 461 636 euro ir plānotais kopējais finansējums, nevis plānotais un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noteikumu projekta 4., 5. un 6.punktu, norādot nacionālā finansējuma avotu, t.sk. konkrēti norādīt, ja tiek plānots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noteikumu projekta 5.punktu izteikt piedāvātajā redakcijā, ņemot vērā, ka noteikumu projektā finansējumu plāno uz konkrēto specifisko atbalsta mērķi vai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pieejamais kopējais attiecināmais finansējums līdz 2025. gada 31. decembrim ir 22 287 965 EUR, tai skaitā ERAF finansējums 18 944 770 EUR un nacionālais finansējums 3 343 195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“Tiesību akta projekta ietekme uz valsts budžetu un pašvaldību budžetiem” tabulas 6.punkts papildināts, ka kā nacionālais finansējums tiek plānots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finansējums ir 26 461 636 EUR (tai skaitā elastības finansējums 4 173 671 EUR), tai skaitā Eiropas Reģionālās attīstības fonda (turpmāk – ERAF) finansējums 22 492 390 EUR (tai skaitā elastības finansējums 3 547 620 EUR) un nacionālais finansējums (valsts budžeta finansējums) 3 969 246 EUR (tai skaitā elastības finansējums 626 051 EUR).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būvniecības jomu reglamentējošajos normatīvajos aktos noteiktajā kārtībā, un projekts ir pabeigts.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10.punkta regulējums ir neskaidrs, jo faktiski izsaka divus dublējošos nosacījumus. Lai būvi nodotu ekspluatācijā tai ir jābūt uzbūvētai atbilstoši būvprojektam (paskaidrojuma raksts ir būvprojekta veids), būvdarbiem ir jābūt pabeigtiem pilnībā. Vienlaicīgi normatīvie akti būvniecības jomā pieļauj būvi nodot ekspluatācijā ar atliktiem darbiem, ja atlikto darbu pabeigšana nebija iespējama objektīvu laika apstākļu dēļ (piemēram, apzaļumošana, labiekārtošana).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 būve tiek pieņemta ekspluatācijā, tad būve ir uzbūvēta atbilstoši būvprojektam un ievērojot visus normatīvo aktu prasības. Attiecīgi, 10.punktā pietiek kā nosacījumu paredzēt, ka būve ir nodota ekspluatācijā.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ir vēlme ierobežot projektā akceptēto darba apjoma izmaiņas, tad tas jāizsaka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 visas noteikumu projekta 19.punktā norādītās izmaksas ir saistītas ar būvniecību (piemēram, velonovietņu uzstādīšana, video novērošanas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Iznākuma rādītājs ir sasniegts, kad saistībā ar šo noteikumu 8.1. apakšpunktā minēto veloceļu infrastruktūru ir izbūvētas visas projektā paredzētas būves, tās ir nodotas ekspluatācijā normatīvajos aktos būvniecības jomā noteiktajā kārtībā un projekts ir pabeigts.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ir izbūvētas visas projektā paredzētas būves, tās ir nodotas ekspluatācijā normatīvajos aktos būvniecības jomā noteiktajā kārtībā, un projekts ir pabeigts.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normatīvajos aktos noteiktajā kārtībā, un projekts ir pabeigts.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10. 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būvniecības jomu reglamentējošajos normatīvajos aktos noteiktajā kārtībā, un projekts ir pabeigts.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ir izbūvētas visas projektā paredzētas būves, tās ir nodotas ekspluatācijā normatīvajos aktos būvniecības jomā noteiktajā kārtībā, un projekts ir pabeigts.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izziņas un precizētā anotācijas teksta izrietošo informāciju, ka projekta iesniedzējs</w:t>
            </w:r>
            <w:r w:rsidR="00000000" w:rsidRPr="00000000" w:rsidDel="00000000">
              <w:rPr>
                <w:u w:val="single"/>
                <w:rtl w:val="0"/>
              </w:rPr>
              <w:t xml:space="preserve"> un finansējuma saņēmējs būs valsts sabiedrība ar ierobežotu atbildību "Latvijas Valsts ceļi"</w:t>
            </w:r>
            <w:r w:rsidR="00000000" w:rsidRPr="00000000" w:rsidDel="00000000">
              <w:rPr>
                <w:rtl w:val="0"/>
              </w:rPr>
              <w:t xml:space="preserve">, lūdzam precizēt anotāciju un nepieciešamības gadījumā arī noteikumu projektu, nosakot, ka projekta iesniedzējs (valsts sabiedrība ar ierobežotu atbildību "Latvijas Valsts ceļi") </w:t>
            </w:r>
            <w:r w:rsidR="00000000" w:rsidRPr="00000000" w:rsidDel="00000000">
              <w:rPr>
                <w:u w:val="single"/>
                <w:rtl w:val="0"/>
              </w:rPr>
              <w:t xml:space="preserve">slēdz līgumu par projekta īstenošanu, nevis vienošanos par projekta īstenošanu</w:t>
            </w:r>
            <w:r w:rsidR="00000000" w:rsidRPr="00000000" w:rsidDel="00000000">
              <w:rPr>
                <w:rtl w:val="0"/>
              </w:rPr>
              <w:t xml:space="preserve">. Atkātoti skaidrojam, ka no Eiropas Savienības fondu 2021.—2027. gada plānošanas perioda vadības likuma 18. panta pirmās daļas 1. un 2. punkta izriet, ka gadījumā, ja finansējuma saņēmējs ir fiziskā vai juridiskā persona, tiek slēgts līgums par projekta īstenošanu, savukārt gadījumā, ja finansējuma saņēmējs ir tiešās vai pastarpinātās pārvaldes iestāde, atvasināta publiska persona vai cita valsts iestāde, tiek slēgta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22.6.apakšpunkts precizēts.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atbalstāmās darbības ir investīciju veikšana velosipēdu ceļu, tostarp kopīgu gājēju un velosipēdu ceļu, infrastruktūrā gar autoceļiem, izbūvējot, pārbūvējot, atjaunojot, pilnveidojot un pielāgojot velosipēdu ceļu, tostarp kopīgu gājēju un velosipēdu ceļu,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atbalstāmās darbības ir investīciju veikšana velosipēdu ceļu, tostarp kopīgu gājēju un velosipēdu ceļu, infrastruktūrā gar autoceļiem </w:t>
            </w:r>
            <w:r w:rsidR="00000000" w:rsidRPr="00000000" w:rsidDel="00000000">
              <w:rPr>
                <w:b w:val="1"/>
                <w:rtl w:val="0"/>
              </w:rPr>
              <w:t xml:space="preserve">un dzelzceļiem</w:t>
            </w:r>
            <w:r w:rsidR="00000000" w:rsidRPr="00000000" w:rsidDel="00000000">
              <w:rPr>
                <w:rtl w:val="0"/>
              </w:rPr>
              <w:t xml:space="preserve">, izbūvējot, pārbūvējot, atjaunojot, pilnveidojot un pielāgojot velosipēdu ceļu, tostarp kopīgu gājēju un velosipēdu ceļu,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atbalstāmās darbības ir investīciju veikšana velosipēdu ceļu, tostarp kopīgu gājēju un velosipēdu ceļu, infrastruktūrā gar autoceļiem un dzelzceļiem, izbūvējot, pārbūvējot un atjaunojot velosipēdu ceļu, tostarp kopīgu gājēju un velosipēdu ceļu,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atbalstāmās darbības ir investīciju veikšana velosipēdu ceļu, tostarp kopīgu gājēju un velosipēdu ceļu, infrastruktūrā gar autoceļiem, izbūvējot, pārbūvējot, atjaunojot, pilnveidojot un pielāgojot velosipēdu ceļu, tostarp kopīgu gājēju un velosipēdu ceļu,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noteikumu projekta lietoto terminoloģiju. Saskaņā ar Būvniecības likuma 1.panta 2.punktu būvdarbi ir būvniecības procesa sastāvdaļa, darbi, kurus veic būvlaukumā vai būvē, lai </w:t>
            </w:r>
            <w:r w:rsidR="00000000" w:rsidRPr="00000000" w:rsidDel="00000000">
              <w:rPr>
                <w:u w:val="single"/>
                <w:rtl w:val="0"/>
              </w:rPr>
              <w:t xml:space="preserve">radītu būvi, novietotu iepriekš izgatavotu būvi vai tās daļu, pārbūvētu, atjaunotu, restaurētu, iekonservētu, nojauktu būvi vai ierīkotu inženiertīklu.</w:t>
            </w:r>
            <w:r w:rsidR="00000000" w:rsidRPr="00000000" w:rsidDel="00000000">
              <w:rPr>
                <w:rtl w:val="0"/>
              </w:rPr>
              <w:t xml:space="preserve"> Būvniecības procesā netiek lietoti termini "pielāgot" un "pilnveidot", faktiski, lai kādu būvi pielāgot kādai lietošanai vai pilnveidot būvi, tiks veikta būves pārbūve, atjaunošana vai restaurācija.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skaidri norāda, ka atbalstāmas darbības ir infrastruktūras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atbalstāmo darbību tvērumā ietilpst darbi, kas nav būvniecība, ierosinām to atrunāt noteikumu projekta 10.punktā. Ja atbalstāma ir tikai infrastruktūras objektu izbūve, ierosinām novērtēt jēdzienu "pielāgot" un "pilnveidot" lietošanas nepieciešamību. Kā alternatīvu piedāvājam apsvērt kā atbalstāmu darbību - labiekārtošanas darbus, attiecīgi lietojot terminu "labiekārtošana".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 tā dzēšot terminus “pielāgošana” un “pilnveidošana” (16.p., 19.5.p.).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atbalstāmās darbības ir investīciju veikšana velosipēdu ceļu, tostarp kopīgu gājēju un velosipēdu ceļu, infrastruktūrā gar autoceļiem un dzelzceļiem, izbūvējot, pārbūvējot un atjaunojot velosipēdu ceļu, tostarp kopīgu gājēju un velosipēdu ceļu,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iesniegumu pamatojošās dokumentācijas sagatavošanas izmaksas, tajā skaitā izmaksu un ieguvumu analīzes izstrādes izmaksas un tehniski ekonomiskā pamatojuma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(gan Ministru kabineta noteikumu projekta 19.2.apakšpunktu, gan sākotnējās ietekmes izvērtējumu (anotāciju)) ar nosacījumu, ka izmaksas par projekta iesnieguma informācijas sagatavošanu un aizpildīšanu Kohēzijas politikas fondu vadības informācijas sistēmā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iesniegumu pamatojošās dokumentācijas sagatavošanas izmaksas (izņemot projekta iesnieguma veidlapas aizpildīšanas izmaksas), tajā skaitā izmaksu un ieguvumu analīzes izstrādes izmaksas un tehniski ekonomiskā pamatojuma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Skaidrojumi par atsevišķām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iesniegumu pamatojošās dokumentācijas sagatavošanas izmaksas, tajā skaitā izmaksu un ieguvumu analīzes izstrādes izmaksas un tehniski ekonomiskā pamatojuma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jaunas būves būvniecības, esošas būves pārbūves, atjaunošanas, pilnveidošanas un pielāgošanas izmaksas atbilstoši būvprojektam: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terminu "pilnveidošana" un "pielāgošana" lietošanu, ņemot vērā, ka šādas darbības nav skaidrotas normatīvajos aktos būvniecības jomā, vai sniegt šo jēdzienu skaidrojumu noteikumu projektā. Kā alternatīvu ierosinām apsvērt termina "labiekārtošana" 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sniedzot atbildi uz EM komentāru par noteikumu projekta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jaunas būves būvniecības, esošas būves pārbūves un atjaunošanas izmaksas atbilstoši būvprojektam: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19.13. nekustamā īpašuma iegādes izmaksas ne vairāk kā 10 % apmērā no attiecināmo izmaksu kopsummas, ja nekustamā īpašuma iegāde ir nepieciešama un tieši saistīta ar projektā paredzēto darbību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skaidras un nepārprotamas informācijas izsekojamību noteikumu projekta 19.13.apakšpunktā norādīto izmaksu nepieciešamībai un to apjomam, lūdzam sākotnējās ietekmes izvērtējumā (anotācijā) norādīt pamatojumu noteikumu projekta 19.13.apakšpuntā minēto izmaksu nepieciešamībai specifiskā atbalsta mērķa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 attiecināmās izmaksas paredz arī nekustamā īpašuma iegādes izmaksas ne vairāk kā 10% apmērā no attiecināmo izmaksu kopsummas. Izmaksas noteikumu projektā iekļautas, ņemot vērā, ka izbūvei nepieciešamie posmi tiks identificēti tikai projekta iesnieguma sagatavošanas laikā, un pastāv iespēja, ka, lai nodrošinātu kāda nepieciešamā posma īstenošanu pasākuma mērķu un nosacījumu izpildei (t.sk. infrastruktūras maršrutu savienojamība), ir nepieciešama kāda nekustamā īpašuma (zemes) iegāde. Līdzīgi, saistībā ar veloceļu infrastruktūras izbūvi, šādas izmaksas tiek paredzētas arī Atveseļošanas fonda 1.1.1.3.i investīcijā saskaņā ar Ministru kabineta 07.02.2023. noteikumu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28.13.apakšpunktu.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&gt;1.3.sadaļa &gt; Risinājuma apraksts &gt; Skaidrojumi par atsevišķām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nekustamā īpašuma iegādes izmaksas ne vairāk kā 10 % apmērā no attiecināmo izmaksu kopsummas, ja nekustamā īpašuma iegāde ir nepieciešama un tieši saistīta ar projektā paredzēto darbību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7 % apmērā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punktu papildināt ar papildus teikumu - Netiešās izmaksas ir tādas, kas nav noteiktas kā tiešās, bet ir tieši saistītas ar projekta īstenošanu un nepieciešamas rezultātu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7 % apmērā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minētajām tiešajām attiecināmajām izmaksām. Netiešās izmaksas ir tādas, kas nav noteiktas kā tiešās, bet ir tieši saistītas ar projekta īstenošanu un nepieciešamas rezultātu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tās nepārsniedz šo noteikumu </w:t>
            </w:r>
            <w:r w:rsidR="00000000" w:rsidRPr="00000000" w:rsidDel="00000000">
              <w:rPr>
                <w:rtl w:val="0"/>
              </w:rPr>
              <w:t xml:space="preserve">19.13.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skaidras norādes par izmaksu attiecināšanu projekta ietvaros, aicinām papildināt noteikumu projekta 22.3.apakšpunktu ar atsauci arī uz noteikumu projekta 19.1.apakšpunktā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ir dzēstas no Noteikumu projekta (NP). Apakšpunkts papildināts arī ar netiešo izmaksu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tās nepārsniedz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23.punktu piedāvātajā redakcijā (t.sk., precizējot norādīto informāciju arī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uzskatāms par attiecināmām izmaksām saskaņā ar Regulas Nr. 2021/1060 64. panta 1. punkta "c" apakšpunktā ietvertajiem nosacījumiem, ja vien nav atgūstamas saskaņā ar valsts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uzskatāms par attiecināmām izmaksām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w:t>
            </w:r>
            <w:r w:rsidR="00000000" w:rsidRPr="00000000" w:rsidDel="00000000">
              <w:rPr>
                <w:rtl w:val="0"/>
              </w:rPr>
              <w:t xml:space="preserve">  64. panta 1. punkta "c" apakšpunktā ietvertajiem nosacījumiem, ja vien nav atgūstamas saskaņā ar valsts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atbilstoši Valsts mikromobilitātes infrastruktūras attīstības stratēģijai;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w:t>
            </w:r>
            <w:r w:rsidR="00000000" w:rsidRPr="00000000" w:rsidDel="00000000">
              <w:rPr>
                <w:b w:val="1"/>
                <w:rtl w:val="0"/>
              </w:rPr>
              <w:t xml:space="preserve">un dzelzceļiem </w:t>
            </w:r>
            <w:r w:rsidR="00000000" w:rsidRPr="00000000" w:rsidDel="00000000">
              <w:rPr>
                <w:rtl w:val="0"/>
              </w:rPr>
              <w:t xml:space="preserve">atbilstoši Valsts mikromobilitātes infrastruktūras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25.1.apakšpunkts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ņem vērā, ka atbalstāma ir atdalītas velosipēdu ceļu, tostarp kopīgu gājēju un velosipēdu ceļu, infrastruktūras izveide gar autoceļiem un dzelzceļiem atbilstoši Valsts mikromobilitātes infrastruktūras attīstības stratēģijai;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25.5.2.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investīcijas īstenošanas laikā tiks nodrošinātas nepieciešamās darbības un ievēroti nosacījumi, kas identificēti horizontālā principa “Nenodarīt būtisku kaitējumu” (Do no significant harm – DNSH) novērtējumā, lai nodrošinātu, ka tiek novērsta vai mazināta pasākuma ietvaros atbalstāmo darbību ietekme uz vidi (piemēram, 1) atkritumu rašanās būvniecības laikā tiks ierobežota saskaņā ar ES būvniecības un nojaukšanas atkritumu apsaimniekošanas protokolu un tiks veicināta atkārtota materiālu izmantošana un augstas kvalitātes pārstrāde, piemērojot materiālu atlasi, izmantojot labākās pieejamās būvgružiem paredzētās šķirošanas sistēmas; 2) jau projektēšanas stadijā tiks ņemti vērā ar klimata pārmaiņām saistītie riski un tiks noteikti arī ar būvniecību, uzturēšanu un ekspluatāciju saistītie riski,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Uzraudzības komitejas rakstiskās procedūras ietvaros ir saņemts Vides konsultatīvās padomes viedoklis par investīcijas kritērijiem un videi draudzīgu risinājumu piemērošanas nepieciešamību (nosūtīts Satiksmes ministrijai ar 2024.gada 16.janvāra elektroniskā pasta vēstuli). Aicinām Satiksmes ministriju izvērtēt, vai Vides konsultatīvās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izteiktais viedoklis ir integrējams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skaidrai informācijas izsekojamībai, lūdzam papildināt anotāciju ar norādi, vai plānotajām investīcijām būs tieša, netieša, vai nebūs ietekmes uz horizontālo principu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horizontālo principu “Nenodarīt būtisku kaitējumu”, tai skaitā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(11) Horizontālais princips (HP).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Vides konsultatīvās padomes (VKP) viedokli par investīcijas kritērijiem un videi draudzīgu risinājumu piemērošanas nepieciešamību, informējam, ka Noteikumu projekts nav papildināms, ņemot vērā Satiksmes ministrijas 2024.gada 29.janvārī sniegto atbildi (elektroniskā pasta vēstule VKP). Pamatojoties uz VSIA “Latvijas Valsts ceļi” (LVC) viedokli, secināms, ka iekļaujot VKP prasības, LVC nevarētu par katru prasību sniegt apliecinājumu par katras prasības izpildi. Līdz ar to Satiksmes ministrija, diemžēl nevar iekļaut minētās prasības kritērijos (tāpat arī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25.5.2. nenodarīt būtisku kaitējumu;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 noteikumu projekta 25.8. apakšpunkta svītrot vārdus un iekavas "(ja attiecināms)". Atkārtoti vēršam uzmanību, ka finansējuma saņēmēja tiesībām uz konkrēto objektu vai īpašumu jābūt nostiprinātām Zemesgrāmatā. Ja minētajam nosacījumam - tiesību nostiprināšanai Zemesgrāmatā -  saskaņā ar nacionālo regulējumu ir izņēmums, tas attiecīgi aprakstāms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25.8. 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25.8.apakšpunktu, ņemot vērā, ka finansējuma saņēmēja tiesībām uz konkrēto objektu vai īpašumu jābūt nostiprinātām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Finansējuma saņēmēja tiesībām uz konkrēto īpašumu jābūt nostiprinātām Zemesgrāmatā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arī precizēta. Skat. Anotācija &gt; 1.3.sadaļa &gt; Risinājuma apraksts &gt; (14) Zemesgrāmata.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arī inovatīva iepirkuma nosacījumu piemērošanas iekļaušanu noteikumu projektā, vai arī norādīt, kāpēc tas netiek plānots un to nav iespējams piemērot.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atsevišķi netiek norādīti inovatīva iepirkuma nosacījumi, tā kā šobrīd nevar konstatēt to pielietošanas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ņemti vērā EM priekšlikumi attiecībā uz noteikumu projekta redakciju, 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klasiski 7% netiešo izmaksu vienoto likmi piemēro ESF+ tipa projektiem, taču nav aizliegts arī šo likmi izmantot infrastruktūras projektiem. Ņemot vērā, ka netiešo izmaksu summa no šī projekta attiecināmajām izmaksām sastāda ievērojamu summu, aicinām vismaz indikatīvi anotācijā norādīt, kādas izmaksas tiks segtas ar netiešajām izmaksām. Vēršam uzmanību, ka netiešās izmaksas ir jāizmanto tam paredzētajam mērķim atbilstoši drošas finanšu pārvaldības principiem, novēršot vienas izmaksu pozīcijas dubultu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anotācijas 1.3.sadaļas rindkopā, kas sākas ar vārdiem "(12) Par vienoto likmi"  atsaukties uz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a) apakšpunktu, kas nosaka, ka netiešās izmaksas var tikt aprēķinātas kā vienotā likme līdz 7 % no attiecināmajām tiešajām izmaksām, nevis uz vadlīnijām.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pārskatīt un precizēt formulējumu/aprakstu attiecībā uz investīciju sinerģiju, papildinātību, ņemot vērā, ka noteikumu projektā plānotājām investīcijām ir konstatējama sinerģija un papildinātība, piemēram, ar Atveseļošanas fonda ietvaros plānotajiem ieguldījumiem veloinfrastruktūras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&gt;1.3.sadaļa &gt; Risinājuma apraksts &gt; Citi faktori.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finanšu plūsmas nosacījumu nodrošināšanu pirms projekta apstiprināšanas, kā arī atbildīgās iestādes pienākumus un atbildību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Ministru kabineta sēdes protokollēmuma projektu papildināt ar punktu, kas nosaka finanšu plūsmas pirms projekta apstiprināšanas nodrošināšanas nosacījumus, kā arī pienākumu un atbildību atbildīgajai iestādei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1.6.sadaļa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velosipēdu un gājēju infrastruktūras piekļūstamību un drošību visiem cilvēkiem , kā to paredz Vispārīgo teritorijas plānošanas, izmantošanas un apbūves noteikumu  4. un 98. punkti, aicinām papildināt Risinājumu aprakstu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Jaunveidotā velosipēdu un gājēju infrastruktūra nodrošinās iespēju brīvi pārvietoties visiem cilvēkiem, neatkarīgi no vecuma vai pārvietošanas spējām. Velosipēdu un gājēju infrastruktūra tiks paredzēta bez šķēršiem (piemēram stabi, reklāmas stendi, puķu podi u. c.), ietves šķērsslīpums nepārsniegs 3%, ietves platums būs ne mazāk kā 1,20 m (ieteicamais platums 1,80 m, lai brīvi varētu pārvietoties cilvēki, kas izmanto riteņkrēslus, staiguļus, suņus pavadoņus u.c.), kā arī lietus ūdens novadīšanas teknes būs lēzenas (vienā līmenī ar ietvi vai velosipēda celiņu (piemēram, nosegtas ar metāla režģi).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VSIA “Latvijas Valsts ceļi” (LVC) sniegtajam skaidrojumam anotācijā nebūtu jānorāda konkrēti risinājumu parametri, jo LVC savos būvprojektu izstrādes darba uzdevumos balstās uz būvniecības nozarē esošajiem standartiem un vadlīnijām, tostarp "Vides pieejamības vadlīnijas publiskām būvēm un telpām un publiskai ārtelpai”*. Darba uzdevumā ir prasība izstrādāt risinājumus mazāk aizsargāto satiksmes dalībnieku infrastruktūrai, kā arī risinājumos jāievērtē vides pieejamības prasības (cilvēkiem ar kustību traucējumiem, vājredzīgiem gājējiem).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*Pieejamas: https://www.lm.gov.lv/sites/lm/files/data_content/pieejamiba_12042018_lm_vadlinijas1.pdf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saņēmējs, veidojot velosipēdu un gājēju infrastruktūru ņemtu vērā personu ar invaliditāti, tai skaitā personu, kas pārvietojas riteņkrēslā vajadzības un pārdomātu piekļūstamības risinājumus, lūgums papildināt Problēmas apraksta sadaļu un turpmāk tekstā papildināt velosipēdu infrastruktūras lietotāju sarakstu ar "invalīdu riteņkrēsls".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(velosipēdi, skrejriteņi, invalīdu riteņkrēsls u.c. rīki, pārvietošanās kājām)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problēmas apraksta sadaļā norādīts arī, ka galvenais nosacījums veiksmīgai mikromobilitātes attīstībai ir kvalitatīva infrastruktūra, jo gājēju un velosipēdistu skaits pieaug līdz ar mikromobilitātes infrastruktūras attīstību, kas ir piekļūstama personām ar invaliditāti, tai skaitā tiem, kas pārvietojās riteņkrēslos, un satiksmes drošības uzlabošanos. Līdz ar to, veicot mikromobilitātes būvniecību, nepieciešams paredzēt tās pieejamību arī cilvēkiem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“cilvēki ar kustību traucējumiem” tiek saprasts - gan cilvēki, kas pārvietojas ar invalīdu ratiņkrēslu palīdzību, gan cilvēki, kas pārvietojas ar, piemēram, kruķu palīdzību, kā arī veci cilvēki u.c. Līdz ar to cilvēki ar kustības traucējumiem (tai skaitā, kas pārvietojas invalīdu ratiņkrēslā) arī ietilpst terminā “infrastruktūras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 savos darba uzdevumos balstās uz būvniecības nozarē esošajiem standartiem un vadlīnijām.  Kā piemēram, "Vides pieejamības vadlīnijas publiskām būvēm un telpām un publiskai ārtelpai”. Darba uzdevumā ir prasība izstrādāt risinājumus mazāk aizsargāto satiksmes dalībnieku infrastruktūrai. Risinājumos jāievērtē vides pieejamības prasības (cilvēkiem ar kustību traucējumiem, vājredzīgiem gājējiem).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plānots nodrošināt datu uzkrāšanu par pasākuma ietvaros sasniedzamo rezultāta rādītāju par lietotāju skaitu, ņemot vērā, ka atbilstoši noteikumu projekta 25.3. apakšpunktam finansējuma saņēmējam ir pienākums uzkrāt datus par projektā sasniegtajiem noteikumu projekta 8. 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papildināt noteikumu projektu ar iespēju finansējuma saņēmējam pasākuma ietvaros attiecināt izmaksas par noteikumu projekta 8.2.apakšpunkta rezultāta rādītāja uzskaites/uzkrāšanas ierīču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(15) Lietotāju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attiecināt velosipēdu satiksmes intensitātes automātiskās uzskaites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velosipēdu infrastruktūru lieto arī personas ar invaliditāti, tas skaitā, kas lieto riteņkrēslu, kā arī vecāki ar maziem bērniem, lūgums papildināt Risinājumu apraksta sadaļu ar informāciju par to, kā jāprojektē un jāizbūvē velosipēdu un gājēju infrastruktūra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Izveidotā velosipēdu ceļu infrastruktūra ir jāprojektē un jāizbūvē tā, lai nodrošinātu komfortu un drošību visiem cilvēkiem neatkarīgi no vecuma vai pārvietošanās 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Risinājuma apraksts &gt; Citi faktori &gt; (11) Horizontālais princips (HP).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nodrošīnātu perosnu ar invalidtāti tiesības uz pārvietošanās brīvību , kā to paredz ANO Konvencijas par personu ar invaliditāti tiesībām 20. pants, lūgums papildināt Problēmas apraksta sadaļu "Galvenais nosacījums veiksmīgai mikromobilitātes attīstībai ir kvalitatīva infrastruktūra, jo gājēju un velosipēdistu skaits pieaug līdz ar mikromobilitātes infrastruktūras attīstību un satiksmes drošības uzlabošanos" ar teikumu "kas ir piekļūstama personām ar invaliditāti, tai skaitā tiem, kas pārvietojās riteņkrēslos".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1.3.sadaļa &gt;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 5.punktā norādīto informāciju 2024. gadam, pārceļot finansējumu no ailes “saskaņā ar valsts budžetu kārtējam gadam” uz aili “izmaiņas kārtējā gadā, salīdzinot ar valsts budžetu kārtējam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kā kārtējo gadu norādot 2024.gadu, kā arī precizējot 6.punktā tabulā “Pieejamais kopējais attiecināmais finansējums sadalījumā pa gadiem (indikatīvi*)” norādīto finansējumu pa gadiem, lai sanāktu atbilstoši norādītais finansējums kopā, vienlaikus ar to salāgojot informāciju 1. –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6.1.apakšpunktu ar informāciju par attiecīgās nozares/ jomas pārstāvošu biedrību, nodibinājumu, nevalstisko organizāciju iesaisti noteikumu projekta izstrādē, t.sk. ņemot vērā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,papildus jau definētajām specifiskajām un vispārīgajām horizontālā principa “Vienlīdzība, iekļaušana, nediskriminācija un pamattiesību ievērošana” darbībām, iekļaut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dzimumu līdztiesību aprakstu atbilstoši LM/TM vadlīnijām [1], iekļaujot arī vispārīgās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pasākuma ietekmes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 paredzot elastīga un nepilna laika darba iespēju nodrošināšanu vecākiem ar bērniem un personām, kuras aprūpē tuviniekus.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HP VINPI  uzraudzības rādītāja redakciju ar kritēriju vērtēšanas metodikā un HP vadlīnijās [1]  noteikto redakciju, kuras šobrīd nesakrīt.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skaits, kuros ERAF/KF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23-TA-2619</w:t>
    </w:r>
    <w:r>
      <w:br/>
    </w:r>
    <w:r w:rsidR="00000000" w:rsidRPr="00000000" w:rsidDel="00000000">
      <w:rPr>
        <w:rtl w:val="0"/>
      </w:rPr>
      <w:t xml:space="preserve">14.06.2024. 14.25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23-TA-2619</w:t>
    </w:r>
    <w:r>
      <w:br/>
    </w:r>
    <w:r w:rsidR="00000000" w:rsidRPr="00000000" w:rsidDel="00000000">
      <w:rPr>
        <w:rtl w:val="0"/>
      </w:rPr>
      <w:t xml:space="preserve">14.06.2024. 14.25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Izziņa_23-TA-2619.docx</dc:title>
</cp:coreProperties>
</file>

<file path=docProps/custom.xml><?xml version="1.0" encoding="utf-8"?>
<Properties xmlns="http://schemas.openxmlformats.org/officeDocument/2006/custom-properties" xmlns:vt="http://schemas.openxmlformats.org/officeDocument/2006/docPropsVTypes"/>
</file>