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7A5" w:rsidRDefault="00DD07A5" w:rsidP="00DD07A5">
      <w:pPr>
        <w:spacing w:after="0"/>
        <w:rPr>
          <w:color w:val="1F497D"/>
        </w:rPr>
      </w:pPr>
      <w:bookmarkStart w:id="0" w:name="_MailEndCompose"/>
    </w:p>
    <w:bookmarkEnd w:id="0"/>
    <w:p w:rsidR="00DD07A5" w:rsidRDefault="00DD07A5" w:rsidP="00DD07A5">
      <w:pPr>
        <w:spacing w:after="0"/>
        <w:rPr>
          <w:rFonts w:ascii="Calibri" w:eastAsia="Times New Roman" w:hAnsi="Calibri" w:cs="Calibri"/>
          <w:lang w:val="en-US" w:eastAsia="lv-LV"/>
        </w:rPr>
      </w:pPr>
      <w:r>
        <w:rPr>
          <w:rFonts w:ascii="Calibri" w:eastAsia="Times New Roman" w:hAnsi="Calibri" w:cs="Calibri"/>
          <w:b/>
          <w:bCs/>
          <w:lang w:val="en-US"/>
        </w:rPr>
        <w:t>From:</w:t>
      </w:r>
      <w:r>
        <w:rPr>
          <w:rFonts w:ascii="Calibri" w:eastAsia="Times New Roman" w:hAnsi="Calibri" w:cs="Calibri"/>
          <w:lang w:val="en-US"/>
        </w:rPr>
        <w:t xml:space="preserve"> Ilze Māliņa &lt;Ilze.Malina@TM.GOV.LV&gt; </w:t>
      </w:r>
      <w:r>
        <w:rPr>
          <w:rFonts w:ascii="Calibri" w:eastAsia="Times New Roman" w:hAnsi="Calibri" w:cs="Calibri"/>
          <w:lang w:val="en-US"/>
        </w:rPr>
        <w:br/>
      </w:r>
      <w:r>
        <w:rPr>
          <w:rFonts w:ascii="Calibri" w:eastAsia="Times New Roman" w:hAnsi="Calibri" w:cs="Calibri"/>
          <w:b/>
          <w:bCs/>
          <w:lang w:val="en-US"/>
        </w:rPr>
        <w:t>Sent:</w:t>
      </w:r>
      <w:r>
        <w:rPr>
          <w:rFonts w:ascii="Calibri" w:eastAsia="Times New Roman" w:hAnsi="Calibri" w:cs="Calibri"/>
          <w:lang w:val="en-US"/>
        </w:rPr>
        <w:t xml:space="preserve"> Friday, October 8, 2021 4:05 PM</w:t>
      </w:r>
      <w:r>
        <w:rPr>
          <w:rFonts w:ascii="Calibri" w:eastAsia="Times New Roman" w:hAnsi="Calibri" w:cs="Calibri"/>
          <w:lang w:val="en-US"/>
        </w:rPr>
        <w:br/>
      </w:r>
      <w:r>
        <w:rPr>
          <w:rFonts w:ascii="Calibri" w:eastAsia="Times New Roman" w:hAnsi="Calibri" w:cs="Calibri"/>
          <w:b/>
          <w:bCs/>
          <w:lang w:val="en-US"/>
        </w:rPr>
        <w:t>To:</w:t>
      </w:r>
      <w:r>
        <w:rPr>
          <w:rFonts w:ascii="Calibri" w:eastAsia="Times New Roman" w:hAnsi="Calibri" w:cs="Calibri"/>
          <w:lang w:val="en-US"/>
        </w:rPr>
        <w:t xml:space="preserve"> VARAM &lt;pasts@varam.gov.lv&gt;</w:t>
      </w:r>
      <w:r>
        <w:rPr>
          <w:rFonts w:ascii="Calibri" w:eastAsia="Times New Roman" w:hAnsi="Calibri" w:cs="Calibri"/>
          <w:lang w:val="en-US"/>
        </w:rPr>
        <w:br/>
      </w:r>
      <w:r>
        <w:rPr>
          <w:rFonts w:ascii="Calibri" w:eastAsia="Times New Roman" w:hAnsi="Calibri" w:cs="Calibri"/>
          <w:b/>
          <w:bCs/>
          <w:lang w:val="en-US"/>
        </w:rPr>
        <w:t>Cc:</w:t>
      </w:r>
      <w:r>
        <w:rPr>
          <w:rFonts w:ascii="Calibri" w:eastAsia="Times New Roman" w:hAnsi="Calibri" w:cs="Calibri"/>
          <w:lang w:val="en-US"/>
        </w:rPr>
        <w:t xml:space="preserve"> TM KANCELEJA &lt;pasts@tm.gov.lv&gt;; Rihards Guds &lt;Rihards.Guds@varam.gov.lv&gt;</w:t>
      </w:r>
      <w:r>
        <w:rPr>
          <w:rFonts w:ascii="Calibri" w:eastAsia="Times New Roman" w:hAnsi="Calibri" w:cs="Calibri"/>
          <w:lang w:val="en-US"/>
        </w:rPr>
        <w:br/>
      </w:r>
      <w:r>
        <w:rPr>
          <w:rFonts w:ascii="Calibri" w:eastAsia="Times New Roman" w:hAnsi="Calibri" w:cs="Calibri"/>
          <w:b/>
          <w:bCs/>
          <w:lang w:val="en-US"/>
        </w:rPr>
        <w:t>Subject:</w:t>
      </w:r>
      <w:r>
        <w:rPr>
          <w:rFonts w:ascii="Calibri" w:eastAsia="Times New Roman" w:hAnsi="Calibri" w:cs="Calibri"/>
          <w:lang w:val="en-US"/>
        </w:rPr>
        <w:t xml:space="preserve"> Atb.: Likumprojekta “Grozījumi Valsts informācijas sistēmu likumā” (VSS – 413) saskaņošana</w:t>
      </w:r>
    </w:p>
    <w:p w:rsidR="00DD07A5" w:rsidRDefault="00DD07A5" w:rsidP="00DD07A5">
      <w:pPr>
        <w:spacing w:after="0"/>
        <w:rPr>
          <w:rFonts w:ascii="Times New Roman" w:hAnsi="Times New Roman" w:cs="Times New Roman"/>
          <w:sz w:val="24"/>
          <w:szCs w:val="24"/>
        </w:rPr>
      </w:pP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 xml:space="preserve">Tieslietu ministrija saskaņā ar Vides aizsardzības un reģionālās attīstības ministrijas 2021. gada 4. oktobra elektronisko sūtījumu ir izskatījusi precizēto likumprojektu "Grozījumi Valsts informācijas sistēmu likumā" (turpmāk – projekts) un informē, ka atbalsta projekta virzību bez iebildumiem. </w:t>
      </w: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 xml:space="preserve">Vienlaikus izsakām šādus priekšlikumus: </w:t>
      </w: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1. Ievērojot, ka p</w:t>
      </w:r>
      <w:r>
        <w:rPr>
          <w:rFonts w:ascii="Calibri" w:hAnsi="Calibri" w:cs="Calibri"/>
          <w:shd w:val="clear" w:color="auto" w:fill="FFFFFF"/>
        </w:rPr>
        <w:t xml:space="preserve">rojekta 1. pantā paredzētajā </w:t>
      </w:r>
      <w:r>
        <w:rPr>
          <w:rFonts w:ascii="Calibri" w:hAnsi="Calibri" w:cs="Calibri"/>
          <w:color w:val="000000"/>
        </w:rPr>
        <w:t xml:space="preserve">Valsts informācijas sistēmu likuma (turpmāk – likums) 1. panta 1. punktā ir minēts termins "valsts informācijas sistēma", un projekta 1. pantā paredzētajā likuma 1. panta 13. punktā ir minēts termins "institūcijas informācijas sistēma", lūdzam šos terminus lietot visā projektā (piemēram, projekta 2. pantā paredzētajā likuma 2. panta otrās daļas 1. punktā, projekta 4. pantā paredzētajā likuma 4. panta nosaukumā, pirmajā un otrajā daļā u.c.). </w:t>
      </w: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2. V</w:t>
      </w:r>
      <w:r>
        <w:rPr>
          <w:rFonts w:ascii="Calibri" w:hAnsi="Calibri" w:cs="Calibri"/>
          <w:shd w:val="clear" w:color="auto" w:fill="FDFCFD"/>
        </w:rPr>
        <w:t xml:space="preserve">ēršam uzmanību uz to, ka </w:t>
      </w:r>
      <w:r>
        <w:rPr>
          <w:rFonts w:ascii="Calibri" w:hAnsi="Calibri" w:cs="Calibri"/>
          <w:bdr w:val="none" w:sz="0" w:space="0" w:color="auto" w:frame="1"/>
          <w:shd w:val="clear" w:color="auto" w:fill="FFFFFF"/>
        </w:rPr>
        <w:t xml:space="preserve">Ministru kabineta 2009. gada 3. februāra noteikumu Nr. 108 "Normatīvo aktu projektu sagatavošanas noteikumi" </w:t>
      </w:r>
      <w:r>
        <w:rPr>
          <w:rFonts w:ascii="Calibri" w:hAnsi="Calibri" w:cs="Calibri"/>
          <w:shd w:val="clear" w:color="auto" w:fill="FFFFFF"/>
        </w:rPr>
        <w:t>44. punkts noteic, ka saīsinājumā abreviatūras neizmanto. Saīsinājumā pieļaujams izmantot vispārzināmas abreviatūras. Ievērojot minēto, lūdzam izvērtēt projekta 1. pantā paredzētajā likuma 1. panta 12. punktā ietv</w:t>
      </w:r>
      <w:bookmarkStart w:id="1" w:name="_GoBack"/>
      <w:bookmarkEnd w:id="1"/>
      <w:r>
        <w:rPr>
          <w:rFonts w:ascii="Calibri" w:hAnsi="Calibri" w:cs="Calibri"/>
          <w:shd w:val="clear" w:color="auto" w:fill="FFFFFF"/>
        </w:rPr>
        <w:t>erto norādi par saīsinājuma "IKT" lietošanu un attiecīgi precizēt projektu.</w:t>
      </w:r>
      <w:r>
        <w:rPr>
          <w:rFonts w:ascii="Calibri" w:hAnsi="Calibri" w:cs="Calibri"/>
          <w:color w:val="000000"/>
        </w:rPr>
        <w:t xml:space="preserve"> </w:t>
      </w: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 xml:space="preserve">3. Lūdzam precizēt projekta 1. pantā paredzētajā likuma 1. panta 16. punktā, projekta 3. pantā paredzētajā likuma 3. panta pirmajā daļā un projekta 14. pantā paredzētajā likuma 18. panta otrajā daļā ietverto atsauci uz normatīvajiem aktiem atbilstoši </w:t>
      </w:r>
      <w:r>
        <w:rPr>
          <w:rFonts w:ascii="Calibri" w:hAnsi="Calibri" w:cs="Calibri"/>
          <w:bdr w:val="none" w:sz="0" w:space="0" w:color="auto" w:frame="1"/>
          <w:shd w:val="clear" w:color="auto" w:fill="FFFFFF"/>
        </w:rPr>
        <w:t>Ministru kabineta 2009. gada 3. februāra noteikumu Nr. 108 "Normatīvo aktu projektu sagatavošanas noteikumi" 2.8. apakšnodaļā noteiktajām prasībām.</w:t>
      </w:r>
      <w:r>
        <w:rPr>
          <w:rFonts w:ascii="Calibri" w:hAnsi="Calibri" w:cs="Calibri"/>
          <w:color w:val="000000"/>
        </w:rPr>
        <w:t xml:space="preserve"> </w:t>
      </w: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 xml:space="preserve">4. Lūdzam izvērtēt, vai projekta 14. pantā paredzētajā likuma 18. panta ceturtajā daļā un piektās daļas 3. punktā ietvertais pilnvarojums Ministru kabinetam savstarpēji nepārklājas, un nepieciešamības gadījumā attiecīgi precizēt to. </w:t>
      </w: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 xml:space="preserve">5. Projekta 14. panta 18. panta sestā daļa noteic, ka valsts platformas pārzinis par valsts platformas izmantošanas pakalpojuma nodrošināšanu var prasīt maksu, kas nepārsniedz ar šī pakalpojuma sniegšanu saistītās izmaksas. Savukārt </w:t>
      </w:r>
      <w:r>
        <w:rPr>
          <w:rFonts w:ascii="Calibri" w:hAnsi="Calibri" w:cs="Calibri"/>
          <w:shd w:val="clear" w:color="auto" w:fill="FDFCFD"/>
        </w:rPr>
        <w:t>projekta</w:t>
      </w:r>
      <w:r>
        <w:rPr>
          <w:rFonts w:ascii="Calibri" w:hAnsi="Calibri" w:cs="Calibri"/>
          <w:color w:val="000000"/>
        </w:rPr>
        <w:t xml:space="preserve"> sākotnējās </w:t>
      </w:r>
      <w:r>
        <w:rPr>
          <w:rFonts w:ascii="Calibri" w:hAnsi="Calibri" w:cs="Calibri"/>
          <w:i/>
          <w:iCs/>
          <w:color w:val="000000"/>
        </w:rPr>
        <w:t>(ex-ante)</w:t>
      </w:r>
      <w:r>
        <w:rPr>
          <w:rFonts w:ascii="Calibri" w:hAnsi="Calibri" w:cs="Calibri"/>
          <w:color w:val="000000"/>
        </w:rPr>
        <w:t xml:space="preserve"> ietekmes novērtējuma ziņojuma (turpmāk – anotācija) I sadaļas 2. punktā ir norādīts, ka noteiktos gadījumos valsts platformu atvēršanas finansēšana var netikt nodrošināta no valsts budžeta līdzekļiem, tādēļ valsts platformas pārzinim tiek dotas tiesības noteikt samaksu par valsts platformas izmantošanu, sniedzot maksas pakalpojumus atbilstoši Likumam par budžetu un finanšu vadību. Atbilstošo maksas pakalpojuma apmēru institūcijai būs jānosaka Ministru kabineta noteikumos par attiecīgās institūcijas maksas pakalpojumu cenrādi. Vēršam uzmanību uz to, ka ar projektā lietoto terminu "institūcija" saprot ne tikai valsts tiešās pārvaldes iestādes. Savukārt Likuma par budžetu un finanšu vadību 5. panta devītā daļa noteic, ka </w:t>
      </w:r>
      <w:r>
        <w:rPr>
          <w:rFonts w:ascii="Calibri" w:hAnsi="Calibri" w:cs="Calibri"/>
          <w:u w:val="single"/>
          <w:shd w:val="clear" w:color="auto" w:fill="FFFFFF"/>
        </w:rPr>
        <w:t>Ministru kabinets izdod noteikumus par valsts tiešās pārvaldes iestāžu sniegto maksas pakalpojumu cenrāžu apstiprināšanu</w:t>
      </w:r>
      <w:r>
        <w:rPr>
          <w:rFonts w:ascii="Calibri" w:hAnsi="Calibri" w:cs="Calibri"/>
          <w:shd w:val="clear" w:color="auto" w:fill="FFFFFF"/>
        </w:rPr>
        <w:t xml:space="preserve">. Ievērojot minēto, lūdzam izvērtēt </w:t>
      </w:r>
      <w:r>
        <w:rPr>
          <w:rFonts w:ascii="Calibri" w:hAnsi="Calibri" w:cs="Calibri"/>
          <w:color w:val="000000"/>
        </w:rPr>
        <w:t xml:space="preserve">projekta 14. </w:t>
      </w:r>
      <w:r>
        <w:rPr>
          <w:rFonts w:ascii="Calibri" w:hAnsi="Calibri" w:cs="Calibri"/>
          <w:color w:val="000000"/>
        </w:rPr>
        <w:lastRenderedPageBreak/>
        <w:t>pantā paredzētajā likuma 18. panta sestajā daļā ietverto regulējumu un anotācijas I sadaļas 2. punktā ietverto informāciju un nepieciešamības gadījumā precizēt to.</w:t>
      </w:r>
      <w:r>
        <w:rPr>
          <w:rFonts w:ascii="Calibri" w:eastAsia="SimSun" w:hAnsi="Calibri" w:cs="Calibri"/>
          <w:color w:val="000000"/>
        </w:rPr>
        <w:t xml:space="preserve"> </w:t>
      </w: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 xml:space="preserve">6. </w:t>
      </w:r>
      <w:r>
        <w:rPr>
          <w:rFonts w:ascii="Calibri" w:hAnsi="Calibri" w:cs="Calibri"/>
          <w:bdr w:val="none" w:sz="0" w:space="0" w:color="auto" w:frame="1"/>
          <w:shd w:val="clear" w:color="auto" w:fill="FFFFFF"/>
        </w:rPr>
        <w:t>Vēršam uzmanību uz to, ka Ministru kabineta 2009. gada 3. februāra noteikumu Nr. 108 "Normatīvo aktu projektu sagatavošanas noteikumi" 66</w:t>
      </w:r>
      <w:r>
        <w:rPr>
          <w:rFonts w:ascii="Calibri" w:hAnsi="Calibri" w:cs="Calibri"/>
          <w:shd w:val="clear" w:color="auto" w:fill="FFFFFF"/>
        </w:rPr>
        <w:t>. punkts noteic, ka grozījumu likumprojektu nesagatavo, ja tā normu apjoms pārsniegtu pusi no spēkā esošā likuma normu apjoma. Šādā gadījumā sagatavo jaunu likumprojektu. Ievērojot minēto, kā arī projektā paredzēto grozījumu apjomu likumā, lūdzam izvērtēt iespēju sagatavot jaunu likumprojektu.</w:t>
      </w:r>
      <w:r>
        <w:rPr>
          <w:rFonts w:ascii="Calibri" w:hAnsi="Calibri" w:cs="Calibri"/>
          <w:color w:val="000000"/>
        </w:rPr>
        <w:t xml:space="preserve"> </w:t>
      </w: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 xml:space="preserve">7. Vēršam uzmanību uz to, ka, piemēram, projekta 15. pantā paredzētais likuma pārejas noteikumu 13. punkts noteic, ka </w:t>
      </w:r>
      <w:r>
        <w:rPr>
          <w:rFonts w:ascii="Calibri" w:hAnsi="Calibri" w:cs="Calibri"/>
          <w:color w:val="000000"/>
          <w:u w:val="single"/>
        </w:rPr>
        <w:t>Ministru kabinets līdz 2022. gada 1. septembrim izdod</w:t>
      </w:r>
      <w:r>
        <w:rPr>
          <w:rFonts w:ascii="Calibri" w:hAnsi="Calibri" w:cs="Calibri"/>
          <w:color w:val="000000"/>
        </w:rPr>
        <w:t xml:space="preserve"> šā likuma 18. panta ceturtajā daļā paredzētos noteikumus. Savukārt no anotācijas IV sadaļas 1. punktā ietvertās informācijas izriet, ka attiecīgie </w:t>
      </w:r>
      <w:r>
        <w:rPr>
          <w:rFonts w:ascii="Calibri" w:hAnsi="Calibri" w:cs="Calibri"/>
          <w:color w:val="000000"/>
          <w:u w:val="single"/>
        </w:rPr>
        <w:t>Ministru kabineta noteikumi tiks izstrādāti, nevis izdoti līdz 2022. gada 1. septembrim</w:t>
      </w:r>
      <w:r>
        <w:rPr>
          <w:rFonts w:ascii="Calibri" w:hAnsi="Calibri" w:cs="Calibri"/>
          <w:color w:val="000000"/>
        </w:rPr>
        <w:t xml:space="preserve">. Ievērojot minēto, lūdzam precizēt anotācijas IV sadaļas 1. punktā ietverto informāciju. </w:t>
      </w:r>
    </w:p>
    <w:p w:rsidR="00DD07A5" w:rsidRDefault="00DD07A5" w:rsidP="00DD07A5">
      <w:pPr>
        <w:pStyle w:val="NoSpacing"/>
        <w:ind w:firstLine="720"/>
        <w:jc w:val="both"/>
        <w:rPr>
          <w:rFonts w:ascii="Calibri" w:hAnsi="Calibri" w:cs="Calibri"/>
          <w:color w:val="000000"/>
          <w:sz w:val="22"/>
          <w:szCs w:val="22"/>
        </w:rPr>
      </w:pPr>
      <w:r>
        <w:rPr>
          <w:rFonts w:ascii="Calibri" w:hAnsi="Calibri" w:cs="Calibri"/>
          <w:color w:val="000000"/>
        </w:rPr>
        <w:t xml:space="preserve">8. </w:t>
      </w:r>
      <w:r>
        <w:rPr>
          <w:rFonts w:ascii="Calibri" w:hAnsi="Calibri" w:cs="Calibri"/>
          <w:bdr w:val="none" w:sz="0" w:space="0" w:color="auto" w:frame="1"/>
          <w:shd w:val="clear" w:color="auto" w:fill="FFFFFF"/>
        </w:rPr>
        <w:t xml:space="preserve">Lūdzam precizēt </w:t>
      </w:r>
      <w:r>
        <w:rPr>
          <w:rFonts w:ascii="Calibri" w:hAnsi="Calibri" w:cs="Calibri"/>
          <w:color w:val="000000"/>
        </w:rPr>
        <w:t>anotācijas</w:t>
      </w:r>
      <w:r>
        <w:rPr>
          <w:rFonts w:ascii="Calibri" w:hAnsi="Calibri" w:cs="Calibri"/>
          <w:bdr w:val="none" w:sz="0" w:space="0" w:color="auto" w:frame="1"/>
          <w:shd w:val="clear" w:color="auto" w:fill="FFFFFF"/>
        </w:rPr>
        <w:t xml:space="preserve"> I sadaļas 2. punktu atbilstoši Ministru kabineta 2009. gada 15. decembra instrukcijas Nr. 19 "Tiesību akta projekta sākotnējās ietekmes izvērtēšanas kārtība" (turpmāk – instrukcija) 14. punktā noteiktajām prasībām, anotācijas II sadaļas 2. punktu – atbilstoši instrukcijas 22. punktā noteiktajām prasībām, kā arī anotācijas IV sadaļas 1. punktu – atbilstoši instrukcijas 54. punktā noteiktajām prasībām.</w:t>
      </w:r>
      <w:r>
        <w:rPr>
          <w:rFonts w:ascii="Calibri" w:hAnsi="Calibri" w:cs="Calibri"/>
          <w:color w:val="000000"/>
          <w:bdr w:val="none" w:sz="0" w:space="0" w:color="auto" w:frame="1"/>
          <w:shd w:val="clear" w:color="auto" w:fill="FFFFFF"/>
        </w:rPr>
        <w:t xml:space="preserve"> </w:t>
      </w:r>
    </w:p>
    <w:p w:rsidR="00DD07A5" w:rsidRDefault="00DD07A5" w:rsidP="00DD07A5">
      <w:pPr>
        <w:spacing w:after="0"/>
        <w:rPr>
          <w:rFonts w:ascii="Calibri" w:eastAsia="Times New Roman" w:hAnsi="Calibri" w:cs="Calibri"/>
          <w:color w:val="000000"/>
          <w:sz w:val="24"/>
          <w:szCs w:val="24"/>
        </w:rPr>
      </w:pPr>
    </w:p>
    <w:p w:rsidR="00DD07A5" w:rsidRDefault="00DD07A5" w:rsidP="00DD07A5">
      <w:pPr>
        <w:pStyle w:val="NormalWeb"/>
        <w:jc w:val="both"/>
        <w:rPr>
          <w:rFonts w:ascii="Calibri" w:hAnsi="Calibri" w:cs="Calibri"/>
          <w:color w:val="000000"/>
          <w:sz w:val="22"/>
          <w:szCs w:val="22"/>
        </w:rPr>
      </w:pPr>
      <w:r>
        <w:rPr>
          <w:rFonts w:ascii="Arial" w:hAnsi="Arial" w:cs="Arial"/>
          <w:color w:val="000000"/>
          <w:sz w:val="20"/>
          <w:szCs w:val="20"/>
        </w:rPr>
        <w:t>Ar cieņu</w:t>
      </w:r>
    </w:p>
    <w:p w:rsidR="00DD07A5" w:rsidRDefault="00DD07A5" w:rsidP="00DD07A5">
      <w:pPr>
        <w:pStyle w:val="NormalWeb"/>
        <w:shd w:val="clear" w:color="auto" w:fill="FFFFFF"/>
        <w:rPr>
          <w:rFonts w:ascii="Calibri" w:hAnsi="Calibri" w:cs="Calibri"/>
          <w:color w:val="000000"/>
          <w:sz w:val="22"/>
          <w:szCs w:val="22"/>
        </w:rPr>
      </w:pPr>
      <w:r>
        <w:rPr>
          <w:rFonts w:ascii="Arial" w:hAnsi="Arial" w:cs="Arial"/>
          <w:b/>
          <w:bCs/>
          <w:color w:val="201F1E"/>
          <w:sz w:val="20"/>
          <w:szCs w:val="20"/>
          <w:bdr w:val="none" w:sz="0" w:space="0" w:color="auto" w:frame="1"/>
        </w:rPr>
        <w:t>Ilze Māliņa</w:t>
      </w:r>
    </w:p>
    <w:p w:rsidR="00DD07A5" w:rsidRDefault="00DD07A5" w:rsidP="00DD07A5">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Tieslietu ministrijas</w:t>
      </w:r>
    </w:p>
    <w:p w:rsidR="00DD07A5" w:rsidRDefault="00DD07A5" w:rsidP="00DD07A5">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Valststiesību departamenta</w:t>
      </w:r>
    </w:p>
    <w:p w:rsidR="00DD07A5" w:rsidRDefault="00DD07A5" w:rsidP="00DD07A5">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Administratīvo tiesību nodaļas juriste</w:t>
      </w:r>
    </w:p>
    <w:p w:rsidR="00DD07A5" w:rsidRDefault="00DD07A5" w:rsidP="00DD07A5">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tālr. 67036910</w:t>
      </w:r>
    </w:p>
    <w:p w:rsidR="00DD07A5" w:rsidRDefault="00DD07A5" w:rsidP="00DD07A5">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Juridiskā adrese: Brīvības bulvārī 36, Rīgā, LV-1536</w:t>
      </w:r>
    </w:p>
    <w:p w:rsidR="00DD07A5" w:rsidRDefault="00DD07A5" w:rsidP="00DD07A5">
      <w:pPr>
        <w:pStyle w:val="NormalWeb"/>
        <w:shd w:val="clear" w:color="auto" w:fill="FFFFFF"/>
        <w:rPr>
          <w:rFonts w:ascii="Calibri" w:hAnsi="Calibri" w:cs="Calibri"/>
          <w:color w:val="000000"/>
          <w:sz w:val="22"/>
          <w:szCs w:val="22"/>
        </w:rPr>
      </w:pPr>
      <w:r>
        <w:rPr>
          <w:rFonts w:ascii="Arial" w:hAnsi="Arial" w:cs="Arial"/>
          <w:color w:val="201F1E"/>
          <w:sz w:val="20"/>
          <w:szCs w:val="20"/>
          <w:bdr w:val="none" w:sz="0" w:space="0" w:color="auto" w:frame="1"/>
        </w:rPr>
        <w:t>Atrašanās vieta: Raiņa bulvārī 15, Rīgā, LV-1050</w:t>
      </w:r>
    </w:p>
    <w:p w:rsidR="002F0D40" w:rsidRPr="00DD07A5" w:rsidRDefault="002F0D40" w:rsidP="00DD07A5">
      <w:pPr>
        <w:spacing w:after="0"/>
      </w:pPr>
    </w:p>
    <w:sectPr w:rsidR="002F0D40" w:rsidRPr="00DD07A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C10" w:rsidRDefault="00944C10" w:rsidP="0045063A">
      <w:pPr>
        <w:spacing w:after="0" w:line="240" w:lineRule="auto"/>
      </w:pPr>
      <w:r>
        <w:separator/>
      </w:r>
    </w:p>
  </w:endnote>
  <w:endnote w:type="continuationSeparator" w:id="0">
    <w:p w:rsidR="00944C10" w:rsidRDefault="00944C10"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C10" w:rsidRDefault="00944C10" w:rsidP="0045063A">
      <w:pPr>
        <w:spacing w:after="0" w:line="240" w:lineRule="auto"/>
      </w:pPr>
      <w:r>
        <w:separator/>
      </w:r>
    </w:p>
  </w:footnote>
  <w:footnote w:type="continuationSeparator" w:id="0">
    <w:p w:rsidR="00944C10" w:rsidRDefault="00944C10" w:rsidP="00450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1308F8"/>
    <w:multiLevelType w:val="hybridMultilevel"/>
    <w:tmpl w:val="9B14BB7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46871D1"/>
    <w:multiLevelType w:val="hybridMultilevel"/>
    <w:tmpl w:val="F6C8F3DA"/>
    <w:lvl w:ilvl="0" w:tplc="70D87C10">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0A3677"/>
    <w:rsid w:val="00270CB6"/>
    <w:rsid w:val="00283BD0"/>
    <w:rsid w:val="002D6F4C"/>
    <w:rsid w:val="002F0D40"/>
    <w:rsid w:val="00353FDA"/>
    <w:rsid w:val="00397677"/>
    <w:rsid w:val="0041742A"/>
    <w:rsid w:val="0045063A"/>
    <w:rsid w:val="005105FE"/>
    <w:rsid w:val="007522D5"/>
    <w:rsid w:val="007B2B4C"/>
    <w:rsid w:val="007F22CE"/>
    <w:rsid w:val="008B2FD0"/>
    <w:rsid w:val="00944C10"/>
    <w:rsid w:val="009753AA"/>
    <w:rsid w:val="00A31382"/>
    <w:rsid w:val="00B07E5A"/>
    <w:rsid w:val="00BA1C38"/>
    <w:rsid w:val="00C83A52"/>
    <w:rsid w:val="00CB03DA"/>
    <w:rsid w:val="00DD07A5"/>
    <w:rsid w:val="00E97D7E"/>
    <w:rsid w:val="00F03DD2"/>
    <w:rsid w:val="00F07926"/>
    <w:rsid w:val="00F13048"/>
    <w:rsid w:val="00FA17E7"/>
    <w:rsid w:val="00FF71E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FB17A"/>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 w:type="paragraph" w:styleId="NormalWeb">
    <w:name w:val="Normal (Web)"/>
    <w:basedOn w:val="Normal"/>
    <w:uiPriority w:val="99"/>
    <w:unhideWhenUsed/>
    <w:rsid w:val="00A31382"/>
    <w:pPr>
      <w:spacing w:after="0" w:line="240" w:lineRule="auto"/>
    </w:pPr>
    <w:rPr>
      <w:rFonts w:ascii="Times New Roman" w:hAnsi="Times New Roman" w:cs="Times New Roman"/>
      <w:sz w:val="24"/>
      <w:szCs w:val="24"/>
      <w:lang w:eastAsia="lv-LV"/>
    </w:rPr>
  </w:style>
  <w:style w:type="paragraph" w:customStyle="1" w:styleId="xmsonormal">
    <w:name w:val="xmsonormal"/>
    <w:basedOn w:val="Normal"/>
    <w:uiPriority w:val="99"/>
    <w:semiHidden/>
    <w:rsid w:val="00A31382"/>
    <w:pPr>
      <w:spacing w:after="0" w:line="240" w:lineRule="auto"/>
    </w:pPr>
    <w:rPr>
      <w:rFonts w:ascii="Times New Roman" w:hAnsi="Times New Roman" w:cs="Times New Roman"/>
      <w:sz w:val="24"/>
      <w:szCs w:val="24"/>
      <w:lang w:eastAsia="lv-LV"/>
    </w:rPr>
  </w:style>
  <w:style w:type="paragraph" w:styleId="NoSpacing">
    <w:name w:val="No Spacing"/>
    <w:basedOn w:val="Normal"/>
    <w:uiPriority w:val="1"/>
    <w:qFormat/>
    <w:rsid w:val="00BA1C38"/>
    <w:pPr>
      <w:spacing w:after="0" w:line="240" w:lineRule="auto"/>
    </w:pPr>
    <w:rPr>
      <w:rFonts w:ascii="Times New Roman" w:hAnsi="Times New Roman" w:cs="Times New Roman"/>
      <w:sz w:val="24"/>
      <w:szCs w:val="24"/>
      <w:lang w:eastAsia="lv-LV"/>
    </w:rPr>
  </w:style>
  <w:style w:type="paragraph" w:styleId="Footer">
    <w:name w:val="footer"/>
    <w:basedOn w:val="Normal"/>
    <w:link w:val="FooterChar1"/>
    <w:uiPriority w:val="99"/>
    <w:semiHidden/>
    <w:unhideWhenUsed/>
    <w:rsid w:val="00270CB6"/>
    <w:pPr>
      <w:spacing w:after="0" w:line="240" w:lineRule="auto"/>
    </w:pPr>
    <w:rPr>
      <w:rFonts w:ascii="Times New Roman" w:hAnsi="Times New Roman" w:cs="Times New Roman"/>
      <w:sz w:val="24"/>
      <w:szCs w:val="24"/>
      <w:lang w:eastAsia="lv-LV"/>
    </w:rPr>
  </w:style>
  <w:style w:type="character" w:customStyle="1" w:styleId="FooterChar">
    <w:name w:val="Footer Char"/>
    <w:basedOn w:val="DefaultParagraphFont"/>
    <w:uiPriority w:val="99"/>
    <w:semiHidden/>
    <w:rsid w:val="00270CB6"/>
  </w:style>
  <w:style w:type="character" w:customStyle="1" w:styleId="FooterChar1">
    <w:name w:val="Footer Char1"/>
    <w:basedOn w:val="DefaultParagraphFont"/>
    <w:link w:val="Footer"/>
    <w:uiPriority w:val="99"/>
    <w:semiHidden/>
    <w:locked/>
    <w:rsid w:val="00270CB6"/>
    <w:rPr>
      <w:rFonts w:ascii="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44037">
      <w:bodyDiv w:val="1"/>
      <w:marLeft w:val="0"/>
      <w:marRight w:val="0"/>
      <w:marTop w:val="0"/>
      <w:marBottom w:val="0"/>
      <w:divBdr>
        <w:top w:val="none" w:sz="0" w:space="0" w:color="auto"/>
        <w:left w:val="none" w:sz="0" w:space="0" w:color="auto"/>
        <w:bottom w:val="none" w:sz="0" w:space="0" w:color="auto"/>
        <w:right w:val="none" w:sz="0" w:space="0" w:color="auto"/>
      </w:divBdr>
    </w:div>
    <w:div w:id="260575217">
      <w:bodyDiv w:val="1"/>
      <w:marLeft w:val="0"/>
      <w:marRight w:val="0"/>
      <w:marTop w:val="0"/>
      <w:marBottom w:val="0"/>
      <w:divBdr>
        <w:top w:val="none" w:sz="0" w:space="0" w:color="auto"/>
        <w:left w:val="none" w:sz="0" w:space="0" w:color="auto"/>
        <w:bottom w:val="none" w:sz="0" w:space="0" w:color="auto"/>
        <w:right w:val="none" w:sz="0" w:space="0" w:color="auto"/>
      </w:divBdr>
    </w:div>
    <w:div w:id="652759936">
      <w:bodyDiv w:val="1"/>
      <w:marLeft w:val="0"/>
      <w:marRight w:val="0"/>
      <w:marTop w:val="0"/>
      <w:marBottom w:val="0"/>
      <w:divBdr>
        <w:top w:val="none" w:sz="0" w:space="0" w:color="auto"/>
        <w:left w:val="none" w:sz="0" w:space="0" w:color="auto"/>
        <w:bottom w:val="none" w:sz="0" w:space="0" w:color="auto"/>
        <w:right w:val="none" w:sz="0" w:space="0" w:color="auto"/>
      </w:divBdr>
    </w:div>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1667953">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005206749">
      <w:bodyDiv w:val="1"/>
      <w:marLeft w:val="0"/>
      <w:marRight w:val="0"/>
      <w:marTop w:val="0"/>
      <w:marBottom w:val="0"/>
      <w:divBdr>
        <w:top w:val="none" w:sz="0" w:space="0" w:color="auto"/>
        <w:left w:val="none" w:sz="0" w:space="0" w:color="auto"/>
        <w:bottom w:val="none" w:sz="0" w:space="0" w:color="auto"/>
        <w:right w:val="none" w:sz="0" w:space="0" w:color="auto"/>
      </w:divBdr>
    </w:div>
    <w:div w:id="1193567944">
      <w:bodyDiv w:val="1"/>
      <w:marLeft w:val="0"/>
      <w:marRight w:val="0"/>
      <w:marTop w:val="0"/>
      <w:marBottom w:val="0"/>
      <w:divBdr>
        <w:top w:val="none" w:sz="0" w:space="0" w:color="auto"/>
        <w:left w:val="none" w:sz="0" w:space="0" w:color="auto"/>
        <w:bottom w:val="none" w:sz="0" w:space="0" w:color="auto"/>
        <w:right w:val="none" w:sz="0" w:space="0" w:color="auto"/>
      </w:divBdr>
    </w:div>
    <w:div w:id="1289238827">
      <w:bodyDiv w:val="1"/>
      <w:marLeft w:val="0"/>
      <w:marRight w:val="0"/>
      <w:marTop w:val="0"/>
      <w:marBottom w:val="0"/>
      <w:divBdr>
        <w:top w:val="none" w:sz="0" w:space="0" w:color="auto"/>
        <w:left w:val="none" w:sz="0" w:space="0" w:color="auto"/>
        <w:bottom w:val="none" w:sz="0" w:space="0" w:color="auto"/>
        <w:right w:val="none" w:sz="0" w:space="0" w:color="auto"/>
      </w:divBdr>
    </w:div>
    <w:div w:id="1308170186">
      <w:bodyDiv w:val="1"/>
      <w:marLeft w:val="0"/>
      <w:marRight w:val="0"/>
      <w:marTop w:val="0"/>
      <w:marBottom w:val="0"/>
      <w:divBdr>
        <w:top w:val="none" w:sz="0" w:space="0" w:color="auto"/>
        <w:left w:val="none" w:sz="0" w:space="0" w:color="auto"/>
        <w:bottom w:val="none" w:sz="0" w:space="0" w:color="auto"/>
        <w:right w:val="none" w:sz="0" w:space="0" w:color="auto"/>
      </w:divBdr>
    </w:div>
    <w:div w:id="1318341927">
      <w:bodyDiv w:val="1"/>
      <w:marLeft w:val="0"/>
      <w:marRight w:val="0"/>
      <w:marTop w:val="0"/>
      <w:marBottom w:val="0"/>
      <w:divBdr>
        <w:top w:val="none" w:sz="0" w:space="0" w:color="auto"/>
        <w:left w:val="none" w:sz="0" w:space="0" w:color="auto"/>
        <w:bottom w:val="none" w:sz="0" w:space="0" w:color="auto"/>
        <w:right w:val="none" w:sz="0" w:space="0" w:color="auto"/>
      </w:divBdr>
    </w:div>
    <w:div w:id="1463495441">
      <w:bodyDiv w:val="1"/>
      <w:marLeft w:val="0"/>
      <w:marRight w:val="0"/>
      <w:marTop w:val="0"/>
      <w:marBottom w:val="0"/>
      <w:divBdr>
        <w:top w:val="none" w:sz="0" w:space="0" w:color="auto"/>
        <w:left w:val="none" w:sz="0" w:space="0" w:color="auto"/>
        <w:bottom w:val="none" w:sz="0" w:space="0" w:color="auto"/>
        <w:right w:val="none" w:sz="0" w:space="0" w:color="auto"/>
      </w:divBdr>
    </w:div>
    <w:div w:id="1639141130">
      <w:bodyDiv w:val="1"/>
      <w:marLeft w:val="0"/>
      <w:marRight w:val="0"/>
      <w:marTop w:val="0"/>
      <w:marBottom w:val="0"/>
      <w:divBdr>
        <w:top w:val="none" w:sz="0" w:space="0" w:color="auto"/>
        <w:left w:val="none" w:sz="0" w:space="0" w:color="auto"/>
        <w:bottom w:val="none" w:sz="0" w:space="0" w:color="auto"/>
        <w:right w:val="none" w:sz="0" w:space="0" w:color="auto"/>
      </w:divBdr>
    </w:div>
    <w:div w:id="1644699971">
      <w:bodyDiv w:val="1"/>
      <w:marLeft w:val="0"/>
      <w:marRight w:val="0"/>
      <w:marTop w:val="0"/>
      <w:marBottom w:val="0"/>
      <w:divBdr>
        <w:top w:val="none" w:sz="0" w:space="0" w:color="auto"/>
        <w:left w:val="none" w:sz="0" w:space="0" w:color="auto"/>
        <w:bottom w:val="none" w:sz="0" w:space="0" w:color="auto"/>
        <w:right w:val="none" w:sz="0" w:space="0" w:color="auto"/>
      </w:divBdr>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1799370826">
      <w:bodyDiv w:val="1"/>
      <w:marLeft w:val="0"/>
      <w:marRight w:val="0"/>
      <w:marTop w:val="0"/>
      <w:marBottom w:val="0"/>
      <w:divBdr>
        <w:top w:val="none" w:sz="0" w:space="0" w:color="auto"/>
        <w:left w:val="none" w:sz="0" w:space="0" w:color="auto"/>
        <w:bottom w:val="none" w:sz="0" w:space="0" w:color="auto"/>
        <w:right w:val="none" w:sz="0" w:space="0" w:color="auto"/>
      </w:divBdr>
    </w:div>
    <w:div w:id="2068337271">
      <w:bodyDiv w:val="1"/>
      <w:marLeft w:val="0"/>
      <w:marRight w:val="0"/>
      <w:marTop w:val="0"/>
      <w:marBottom w:val="0"/>
      <w:divBdr>
        <w:top w:val="none" w:sz="0" w:space="0" w:color="auto"/>
        <w:left w:val="none" w:sz="0" w:space="0" w:color="auto"/>
        <w:bottom w:val="none" w:sz="0" w:space="0" w:color="auto"/>
        <w:right w:val="none" w:sz="0" w:space="0" w:color="auto"/>
      </w:divBdr>
    </w:div>
    <w:div w:id="21036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3252</Words>
  <Characters>1854</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2021-10-13T14:38:00Z</dcterms:created>
  <dcterms:modified xsi:type="dcterms:W3CDTF">2021-10-13T14:38:00Z</dcterms:modified>
</cp:coreProperties>
</file>