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C38" w:rsidRDefault="00BA1C38" w:rsidP="00BA1C38">
      <w:pPr>
        <w:spacing w:after="0"/>
        <w:rPr>
          <w:rFonts w:ascii="Calibri" w:eastAsia="Times New Roman" w:hAnsi="Calibri" w:cs="Calibri"/>
          <w:lang w:val="en-US"/>
        </w:rPr>
      </w:pPr>
      <w:r>
        <w:rPr>
          <w:rFonts w:ascii="Calibri" w:eastAsia="Times New Roman" w:hAnsi="Calibri" w:cs="Calibri"/>
          <w:b/>
          <w:bCs/>
          <w:lang w:val="en-US"/>
        </w:rPr>
        <w:t>From:</w:t>
      </w:r>
      <w:r>
        <w:rPr>
          <w:rFonts w:ascii="Calibri" w:eastAsia="Times New Roman" w:hAnsi="Calibri" w:cs="Calibri"/>
          <w:lang w:val="en-US"/>
        </w:rPr>
        <w:t xml:space="preserve"> Ilze Māliņa &lt;Ilze.Malina@TM.GOV.LV&gt; </w:t>
      </w:r>
      <w:r>
        <w:rPr>
          <w:rFonts w:ascii="Calibri" w:eastAsia="Times New Roman" w:hAnsi="Calibri" w:cs="Calibri"/>
          <w:lang w:val="en-US"/>
        </w:rPr>
        <w:br/>
      </w:r>
      <w:r>
        <w:rPr>
          <w:rFonts w:ascii="Calibri" w:eastAsia="Times New Roman" w:hAnsi="Calibri" w:cs="Calibri"/>
          <w:b/>
          <w:bCs/>
          <w:lang w:val="en-US"/>
        </w:rPr>
        <w:t>Sent:</w:t>
      </w:r>
      <w:r>
        <w:rPr>
          <w:rFonts w:ascii="Calibri" w:eastAsia="Times New Roman" w:hAnsi="Calibri" w:cs="Calibri"/>
          <w:lang w:val="en-US"/>
        </w:rPr>
        <w:t xml:space="preserve"> Friday, September 17, 2021 1:20 PM</w:t>
      </w:r>
      <w:bookmarkStart w:id="0" w:name="_GoBack"/>
      <w:bookmarkEnd w:id="0"/>
      <w:r>
        <w:rPr>
          <w:rFonts w:ascii="Calibri" w:eastAsia="Times New Roman" w:hAnsi="Calibri" w:cs="Calibri"/>
          <w:lang w:val="en-US"/>
        </w:rPr>
        <w:br/>
      </w:r>
      <w:r>
        <w:rPr>
          <w:rFonts w:ascii="Calibri" w:eastAsia="Times New Roman" w:hAnsi="Calibri" w:cs="Calibri"/>
          <w:b/>
          <w:bCs/>
          <w:lang w:val="en-US"/>
        </w:rPr>
        <w:t>To:</w:t>
      </w:r>
      <w:r>
        <w:rPr>
          <w:rFonts w:ascii="Calibri" w:eastAsia="Times New Roman" w:hAnsi="Calibri" w:cs="Calibri"/>
          <w:lang w:val="en-US"/>
        </w:rPr>
        <w:t xml:space="preserve"> VARAM &lt;pasts@varam.gov.lv&gt;</w:t>
      </w:r>
      <w:r>
        <w:rPr>
          <w:rFonts w:ascii="Calibri" w:eastAsia="Times New Roman" w:hAnsi="Calibri" w:cs="Calibri"/>
          <w:lang w:val="en-US"/>
        </w:rPr>
        <w:br/>
      </w:r>
      <w:r>
        <w:rPr>
          <w:rFonts w:ascii="Calibri" w:eastAsia="Times New Roman" w:hAnsi="Calibri" w:cs="Calibri"/>
          <w:b/>
          <w:bCs/>
          <w:lang w:val="en-US"/>
        </w:rPr>
        <w:t>Cc:</w:t>
      </w:r>
      <w:r>
        <w:rPr>
          <w:rFonts w:ascii="Calibri" w:eastAsia="Times New Roman" w:hAnsi="Calibri" w:cs="Calibri"/>
          <w:lang w:val="en-US"/>
        </w:rPr>
        <w:t xml:space="preserve"> TM KANCELEJA &lt;pasts@tm.gov.lv&gt;; Rihards Guds &lt;Rihards.Guds@varam.gov.lv&gt;</w:t>
      </w:r>
      <w:r>
        <w:rPr>
          <w:rFonts w:ascii="Calibri" w:eastAsia="Times New Roman" w:hAnsi="Calibri" w:cs="Calibri"/>
          <w:lang w:val="en-US"/>
        </w:rPr>
        <w:br/>
      </w:r>
      <w:r>
        <w:rPr>
          <w:rFonts w:ascii="Calibri" w:eastAsia="Times New Roman" w:hAnsi="Calibri" w:cs="Calibri"/>
          <w:b/>
          <w:bCs/>
          <w:lang w:val="en-US"/>
        </w:rPr>
        <w:t>Subject:</w:t>
      </w:r>
      <w:r>
        <w:rPr>
          <w:rFonts w:ascii="Calibri" w:eastAsia="Times New Roman" w:hAnsi="Calibri" w:cs="Calibri"/>
          <w:lang w:val="en-US"/>
        </w:rPr>
        <w:t xml:space="preserve"> Atb.: Likumprojekta “Grozījumi Valsts informācijas sistēmu likumā” (VSS – 413) saskaņošana</w:t>
      </w:r>
    </w:p>
    <w:p w:rsidR="00BA1C38" w:rsidRDefault="00BA1C38" w:rsidP="00BA1C38">
      <w:pPr>
        <w:spacing w:after="0"/>
        <w:rPr>
          <w:rFonts w:ascii="Times New Roman" w:hAnsi="Times New Roman" w:cs="Times New Roman"/>
          <w:sz w:val="24"/>
          <w:szCs w:val="24"/>
        </w:rPr>
      </w:pP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Tieslietu ministrija saskaņā ar Vides aizsardzības un reģionālās attīstības ministrijas 2021. gada 10. septembra elektronisko sūtījumu ir izskatījusi precizēto likumprojektu "Grozījumi Valsts informācijas sistēmu likumā" (turpmāk – projekts) un informē, ka atbalsta projekta virzību bez iebildumiem.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Vienlaikus izsakām šādus priekšlikumus: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1. Ievērojot, ka p</w:t>
      </w:r>
      <w:r>
        <w:rPr>
          <w:rFonts w:ascii="Calibri" w:hAnsi="Calibri" w:cstheme="minorHAnsi"/>
          <w:shd w:val="clear" w:color="auto" w:fill="FFFFFF"/>
        </w:rPr>
        <w:t xml:space="preserve">rojekta 1. pantā paredzētajā </w:t>
      </w:r>
      <w:r>
        <w:rPr>
          <w:rFonts w:ascii="Calibri" w:hAnsi="Calibri" w:cstheme="minorHAnsi"/>
          <w:color w:val="000000"/>
        </w:rPr>
        <w:t>Valsts informācijas sistēmu likuma (turpmāk – likums) 1. panta 1. punktā ir minēts termins "valsts informācijas sistēma", un projekta 1. pantā paredzētajā likuma 1. panta 13. punktā ir minēts termins "institūcijas informācijas sistēma", lūdzam šos terminus lietot visā projektā (piemēram, projekta 2. pantā paredzētajā likuma 2. panta otrās daļas 1. punktā, projekta 4. pantā paredzētajā likuma 4. panta nosaukumā, pirmajā un otrajā daļā u.c.).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2. Atkārtoti </w:t>
      </w:r>
      <w:r>
        <w:rPr>
          <w:rFonts w:ascii="Calibri" w:hAnsi="Calibri" w:cstheme="minorHAnsi"/>
          <w:shd w:val="clear" w:color="auto" w:fill="FDFCFD"/>
        </w:rPr>
        <w:t xml:space="preserve">vēršam uzmanību uz to, ka </w:t>
      </w:r>
      <w:r>
        <w:rPr>
          <w:rFonts w:ascii="Calibri" w:hAnsi="Calibri" w:cstheme="minorHAnsi"/>
          <w:bdr w:val="none" w:sz="0" w:space="0" w:color="auto" w:frame="1"/>
          <w:shd w:val="clear" w:color="auto" w:fill="FFFFFF"/>
        </w:rPr>
        <w:t xml:space="preserve">Ministru kabineta 2009. gada 3. februāra noteikumu Nr. 108 "Normatīvo aktu projektu sagatavošanas noteikumi" </w:t>
      </w:r>
      <w:r>
        <w:rPr>
          <w:rFonts w:ascii="Calibri" w:hAnsi="Calibri" w:cstheme="minorHAnsi"/>
          <w:shd w:val="clear" w:color="auto" w:fill="FFFFFF"/>
        </w:rPr>
        <w:t>44. punkts noteic, ka saīsinājumā abreviatūras neizmanto. Saīsinājumā pieļaujams izmantot vispārzināmas abreviatūras. Ievērojot minēto, lūdzam izvērtēt projekta 1. pantā paredzētajā likuma 1. panta 12. punktā ietverto norādi par saīsinājuma "IKT" lietošanu un attiecīgi precizēt projektu.</w:t>
      </w:r>
      <w:r>
        <w:rPr>
          <w:rFonts w:ascii="Calibri" w:hAnsi="Calibri" w:cstheme="minorHAnsi"/>
          <w:color w:val="000000"/>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3. Lūdzam precizēt projekta 1. pantā paredzētajā likuma 1. panta 16. punktā, projekta 3. pantā paredzētajā likuma 3. panta pirmajā daļā un projekta 14. pantā paredzētajā likuma 18. panta otrajā daļā ietverto atsauci uz normatīvajiem aktiem atbilstoši </w:t>
      </w:r>
      <w:r>
        <w:rPr>
          <w:rFonts w:ascii="Calibri" w:hAnsi="Calibri" w:cstheme="minorHAnsi"/>
          <w:bdr w:val="none" w:sz="0" w:space="0" w:color="auto" w:frame="1"/>
          <w:shd w:val="clear" w:color="auto" w:fill="FFFFFF"/>
        </w:rPr>
        <w:t>Ministru kabineta 2009. gada 3. februāra noteikumu Nr. 108 "Normatīvo aktu projektu sagatavošanas noteikumi" 2.8. apakšnodaļā noteiktajām prasībām.</w:t>
      </w:r>
      <w:r>
        <w:rPr>
          <w:rFonts w:ascii="Calibri" w:hAnsi="Calibri" w:cstheme="minorHAnsi"/>
          <w:color w:val="000000"/>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4. Ievērojot, ka projekta 1. pantā paredzētajā likuma 1. panta 13. punktā ir minēts termins "institūcijas informācijas sistēma", nav skaidrs, kas ir projekta 3. pantā paredzētajā likuma 3. panta otrajā daļā minētās informācijas sistēmas. Atbilstoši minētajam lūdzam precizēt projekta 3. pantā paredzētajā likuma 3. panta otrajā daļā ietverto regulējumu vai papildināt </w:t>
      </w:r>
      <w:r>
        <w:rPr>
          <w:rFonts w:ascii="Calibri" w:hAnsi="Calibri" w:cstheme="minorHAnsi"/>
          <w:shd w:val="clear" w:color="auto" w:fill="FDFCFD"/>
        </w:rPr>
        <w:t>projekta</w:t>
      </w:r>
      <w:r>
        <w:rPr>
          <w:rFonts w:ascii="Calibri" w:hAnsi="Calibri" w:cstheme="minorHAnsi"/>
          <w:color w:val="000000"/>
        </w:rPr>
        <w:t xml:space="preserve"> sākotnējās </w:t>
      </w:r>
      <w:r>
        <w:rPr>
          <w:rFonts w:ascii="Calibri" w:hAnsi="Calibri" w:cstheme="minorHAnsi"/>
          <w:i/>
          <w:iCs/>
          <w:color w:val="000000"/>
        </w:rPr>
        <w:t>(ex-ante)</w:t>
      </w:r>
      <w:r>
        <w:rPr>
          <w:rFonts w:ascii="Calibri" w:hAnsi="Calibri" w:cstheme="minorHAnsi"/>
          <w:color w:val="000000"/>
        </w:rPr>
        <w:t xml:space="preserve"> ietekmes novērtējuma ziņojumu (turpmāk – anotācija) ar atbilstošu skaidrojumu.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5. </w:t>
      </w:r>
      <w:r>
        <w:rPr>
          <w:rFonts w:ascii="Calibri" w:hAnsi="Calibri" w:cstheme="minorHAnsi"/>
          <w:bdr w:val="none" w:sz="0" w:space="0" w:color="auto" w:frame="1"/>
          <w:shd w:val="clear" w:color="auto" w:fill="FFFFFF"/>
        </w:rPr>
        <w:t>Vēršam uzmanību uz to, ka Ministru kabineta 2009. gada 3. februāra noteikumu Nr. 108 "Normatīvo aktu projektu sagatavošanas noteikumi" 66</w:t>
      </w:r>
      <w:r>
        <w:rPr>
          <w:rFonts w:ascii="Calibri" w:hAnsi="Calibri" w:cstheme="minorHAnsi"/>
          <w:shd w:val="clear" w:color="auto" w:fill="FFFFFF"/>
        </w:rPr>
        <w:t>. punkts noteic, ka grozījumu likumprojektu nesagatavo, ja tā normu apjoms pārsniegtu pusi no spēkā esošā likuma normu apjoma. Šādā gadījumā sagatavo jaunu likumprojektu. Ievērojot minēto, kā arī projektā paredzēto grozījumu apjomu likumā, lūdzam izvērtēt iespēju sagatavot jaunu likumprojektu.</w:t>
      </w:r>
      <w:r>
        <w:rPr>
          <w:rFonts w:ascii="Calibri" w:hAnsi="Calibri" w:cstheme="minorHAnsi"/>
          <w:color w:val="000000"/>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6. Anotācijas I sadaļas 2. punktā ir minēts, ka institūcijas informācijas sistēmām, tiek plānots noteikt atvieglotas uzraudzības un informācijas kvalitātes prasības salīdzinājumā ar valsts informācijas sistēmām, </w:t>
      </w:r>
      <w:r>
        <w:rPr>
          <w:rFonts w:ascii="Calibri" w:hAnsi="Calibri" w:cstheme="minorHAnsi"/>
          <w:color w:val="000000"/>
          <w:u w:val="single"/>
        </w:rPr>
        <w:t xml:space="preserve">attiecīgi grozot Ministru kabineta 2021. gada 31. augusta noteikumus Nr. 597 "Valsts informācijas sistēmu </w:t>
      </w:r>
      <w:r>
        <w:rPr>
          <w:rFonts w:ascii="Calibri" w:hAnsi="Calibri" w:cstheme="minorHAnsi"/>
          <w:color w:val="000000"/>
          <w:u w:val="single"/>
        </w:rPr>
        <w:lastRenderedPageBreak/>
        <w:t>attīstības projektu uzraudzības kārtība" un Ministru kabineta 2005. gada 11. oktobra noteikumus Nr. 764 "Valsts informācijas sistēmu vispārējās tehniskās prasības"</w:t>
      </w:r>
      <w:r>
        <w:rPr>
          <w:rFonts w:ascii="Calibri" w:hAnsi="Calibri" w:cstheme="minorHAnsi"/>
          <w:color w:val="000000"/>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Ministru kabineta 2021. gada 31. augusta noteikumi Nr. 597 "Valsts informācijas sistēmu attīstības projektu uzraudzības kārtība" un Ministru kabineta 2005. gada 11. oktobra noteikumi Nr. 764 "Valsts informācijas sistēmu vispārējās tehniskās prasības" ir izdoti saskaņā ar likuma 4. panta otro daļu.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Savukārt </w:t>
      </w:r>
      <w:r>
        <w:rPr>
          <w:rFonts w:ascii="Calibri" w:hAnsi="Calibri" w:cstheme="minorHAnsi"/>
          <w:shd w:val="clear" w:color="auto" w:fill="FFFFFF"/>
        </w:rPr>
        <w:t>projekta 4. pantā paredzētajā likuma 4. panta otrajā daļā ietvertais pilnvarojums Ministru kabinetam izdot noteikumus</w:t>
      </w:r>
      <w:r>
        <w:rPr>
          <w:rFonts w:ascii="Calibri" w:hAnsi="Calibri" w:cstheme="minorHAnsi"/>
          <w:b/>
          <w:bCs/>
          <w:shd w:val="clear" w:color="auto" w:fill="FFFFFF"/>
        </w:rPr>
        <w:t xml:space="preserve"> </w:t>
      </w:r>
      <w:r>
        <w:rPr>
          <w:rFonts w:ascii="Calibri" w:hAnsi="Calibri" w:cstheme="minorHAnsi"/>
          <w:shd w:val="clear" w:color="auto" w:fill="FFFFFF"/>
        </w:rPr>
        <w:t>tiek izteikts jaunā redakcijā.</w:t>
      </w:r>
      <w:r>
        <w:rPr>
          <w:rFonts w:ascii="Calibri" w:hAnsi="Calibri" w:cstheme="minorHAnsi"/>
          <w:color w:val="000000"/>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Atkārtoti vēršam uzmanību uz to, ka Oficiālo publikāciju un tiesiskās informācijas likuma 9. panta piektā daļa noteic, ka, </w:t>
      </w:r>
      <w:r>
        <w:rPr>
          <w:rFonts w:ascii="Calibri" w:hAnsi="Calibri" w:cstheme="minorHAnsi"/>
          <w:color w:val="000000"/>
          <w:u w:val="single"/>
        </w:rPr>
        <w:t>j</w:t>
      </w:r>
      <w:r>
        <w:rPr>
          <w:rFonts w:ascii="Calibri" w:hAnsi="Calibri" w:cstheme="minorHAnsi"/>
          <w:u w:val="single"/>
          <w:shd w:val="clear" w:color="auto" w:fill="FFFFFF"/>
        </w:rPr>
        <w:t>a spēku zaudē normatīvā akta izdošanas tiesiskais pamats (augstāka juridiska spēka tiesību norma, uz kuras pamata izdots cits normatīvais akts), tad spēku zaudē arī uz šā pamata izdotais normatīvais akts vai tā daļa</w:t>
      </w:r>
      <w:r>
        <w:rPr>
          <w:rFonts w:ascii="Calibri" w:hAnsi="Calibri" w:cstheme="minorHAnsi"/>
          <w:shd w:val="clear" w:color="auto" w:fill="FFFFFF"/>
        </w:rPr>
        <w:t>. Ievērojot minēto, kā arī to, ka projekta 4. pantā paredzētajā likuma 4. panta otrajā daļā ietvertais pilnvarojums Ministru kabinetam izdot noteikumus</w:t>
      </w:r>
      <w:r>
        <w:rPr>
          <w:rFonts w:ascii="Calibri" w:hAnsi="Calibri" w:cstheme="minorHAnsi"/>
          <w:b/>
          <w:bCs/>
          <w:shd w:val="clear" w:color="auto" w:fill="FFFFFF"/>
        </w:rPr>
        <w:t xml:space="preserve"> </w:t>
      </w:r>
      <w:r>
        <w:rPr>
          <w:rFonts w:ascii="Calibri" w:hAnsi="Calibri" w:cstheme="minorHAnsi"/>
          <w:shd w:val="clear" w:color="auto" w:fill="FFFFFF"/>
        </w:rPr>
        <w:t>tiek izteikts jaunā redakcijā, attiecīgie Ministru kabineta noteikumi zaudēs spēku. Līdz ar to būs nepieciešams izdot jaunus Ministru kabineta noteikumus. Ievērojot minēto, atkārtoti lūdzam precizēt anotācijas I sadaļas 2. punktā un II sadaļas 2. punktā ietverto informāciju.</w:t>
      </w:r>
      <w:r>
        <w:rPr>
          <w:rFonts w:ascii="Calibri" w:hAnsi="Calibri" w:cstheme="minorHAnsi"/>
          <w:color w:val="000000"/>
          <w:shd w:val="clear" w:color="auto" w:fill="FFFFFF"/>
        </w:rPr>
        <w:t>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7. Ievērojot, ka projekta 14. pantam nav daļu, lūdzam precizēt anotācijas I sadaļas 2. punktā ietverto informāciju par to, ka projekta 14. pantam ir ceturtā daļa.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8. Ievērojot, ka likuma pantu nav iespējams papildināt ar citiem pantiem, lūdzam precizēt anotācijas I sadaļas 2. punktā ietverto informāciju par to, ka projekts paredz papildināt likuma 5. pantu ar 1.</w:t>
      </w:r>
      <w:r>
        <w:rPr>
          <w:rFonts w:ascii="Calibri" w:hAnsi="Calibri" w:cstheme="minorHAnsi"/>
          <w:color w:val="000000"/>
          <w:vertAlign w:val="superscript"/>
        </w:rPr>
        <w:t>1</w:t>
      </w:r>
      <w:r>
        <w:rPr>
          <w:rFonts w:ascii="Calibri" w:hAnsi="Calibri" w:cstheme="minorHAnsi"/>
          <w:color w:val="000000"/>
        </w:rPr>
        <w:t xml:space="preserve"> un 2.</w:t>
      </w:r>
      <w:r>
        <w:rPr>
          <w:rFonts w:ascii="Calibri" w:hAnsi="Calibri" w:cstheme="minorHAnsi"/>
          <w:color w:val="000000"/>
          <w:vertAlign w:val="superscript"/>
        </w:rPr>
        <w:t>1</w:t>
      </w:r>
      <w:r>
        <w:rPr>
          <w:rFonts w:ascii="Calibri" w:hAnsi="Calibri" w:cstheme="minorHAnsi"/>
          <w:color w:val="000000"/>
        </w:rPr>
        <w:t> pantu.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9. Lūdzam precizēt anotācijas II sadaļas 2. punktā ietverto informāciju, jo tajā minētie Ministru kabineta 2006. gada 24. janvāra noteikumi Nr. 71 "Valsts informācijas sistēmu attīstības projektu uzraudzības kārtība" ir zaudējuši spēku.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 xml:space="preserve">10. Vēršam uzmanību uz to, ka, piemēram, projekta 15. pantā paredzētais likuma pārejas noteikumu 12. punkts noteic, ka </w:t>
      </w:r>
      <w:r>
        <w:rPr>
          <w:rFonts w:ascii="Calibri" w:hAnsi="Calibri" w:cstheme="minorHAnsi"/>
          <w:color w:val="000000"/>
          <w:u w:val="single"/>
        </w:rPr>
        <w:t>Ministru kabinets līdz 2022. gada 1. septembrim izdod</w:t>
      </w:r>
      <w:r>
        <w:rPr>
          <w:rFonts w:ascii="Calibri" w:hAnsi="Calibri" w:cstheme="minorHAnsi"/>
          <w:color w:val="000000"/>
        </w:rPr>
        <w:t xml:space="preserve"> šā likuma 18. panta trešajā daļā paredzētos noteikumus. Savukārt no anotācijas IV sadaļas 1. punktā ietvertās informācijas izriet, ka attiecīgie </w:t>
      </w:r>
      <w:r>
        <w:rPr>
          <w:rFonts w:ascii="Calibri" w:hAnsi="Calibri" w:cstheme="minorHAnsi"/>
          <w:color w:val="000000"/>
          <w:u w:val="single"/>
        </w:rPr>
        <w:t>Ministru kabineta noteikumi tiks izstrādāti, nevis izdoti līdz 2022. gada 1. septembrim</w:t>
      </w:r>
      <w:r>
        <w:rPr>
          <w:rFonts w:ascii="Calibri" w:hAnsi="Calibri" w:cstheme="minorHAnsi"/>
          <w:color w:val="000000"/>
        </w:rPr>
        <w:t>. Ievērojot minēto, lūdzam precizēt anotācijas IV sadaļas 1. punktā ietverto informāciju. </w:t>
      </w:r>
    </w:p>
    <w:p w:rsidR="00BA1C38" w:rsidRDefault="00BA1C38" w:rsidP="00BA1C38">
      <w:pPr>
        <w:pStyle w:val="NoSpacing"/>
        <w:ind w:firstLine="720"/>
        <w:jc w:val="both"/>
        <w:rPr>
          <w:rFonts w:ascii="Calibri" w:hAnsi="Calibri" w:cs="Calibri"/>
          <w:color w:val="000000"/>
          <w:sz w:val="22"/>
          <w:szCs w:val="22"/>
        </w:rPr>
      </w:pPr>
      <w:r>
        <w:rPr>
          <w:rFonts w:ascii="Calibri" w:hAnsi="Calibri" w:cstheme="minorHAnsi"/>
          <w:color w:val="000000"/>
        </w:rPr>
        <w:t>11. </w:t>
      </w:r>
      <w:r>
        <w:rPr>
          <w:rFonts w:ascii="Calibri" w:hAnsi="Calibri" w:cstheme="minorHAnsi"/>
          <w:bdr w:val="none" w:sz="0" w:space="0" w:color="auto" w:frame="1"/>
          <w:shd w:val="clear" w:color="auto" w:fill="FFFFFF"/>
        </w:rPr>
        <w:t xml:space="preserve">Lūdzam precizēt </w:t>
      </w:r>
      <w:r>
        <w:rPr>
          <w:rFonts w:ascii="Calibri" w:hAnsi="Calibri" w:cstheme="minorHAnsi"/>
          <w:color w:val="000000"/>
        </w:rPr>
        <w:t>anotācijas</w:t>
      </w:r>
      <w:r>
        <w:rPr>
          <w:rFonts w:ascii="Calibri" w:hAnsi="Calibri" w:cstheme="minorHAnsi"/>
          <w:bdr w:val="none" w:sz="0" w:space="0" w:color="auto" w:frame="1"/>
          <w:shd w:val="clear" w:color="auto" w:fill="FFFFFF"/>
        </w:rPr>
        <w:t xml:space="preserve"> I sadaļas 2. punktu atbilstoši Ministru kabineta 2009. gada 15. decembra instrukcijas Nr. 19 "Tiesību akta projekta sākotnējās ietekmes izvērtēšanas kārtība" (turpmāk – instrukcija) 14. punktā noteiktajām prasībām, anotācijas II sadaļas 2. punktu – atbilstoši instrukcijas 22. punktā noteiktajām prasībām, kā arī anotācijas IV sadaļas 1. punktu – atbilstoši instrukcijas 54. punktā noteiktajām prasībām.</w:t>
      </w:r>
      <w:r>
        <w:rPr>
          <w:rFonts w:ascii="Calibri" w:hAnsi="Calibri" w:cstheme="minorHAnsi"/>
          <w:color w:val="000000"/>
          <w:bdr w:val="none" w:sz="0" w:space="0" w:color="auto" w:frame="1"/>
          <w:shd w:val="clear" w:color="auto" w:fill="FFFFFF"/>
        </w:rPr>
        <w:t> </w:t>
      </w:r>
    </w:p>
    <w:p w:rsidR="00BA1C38" w:rsidRDefault="00BA1C38" w:rsidP="00BA1C38">
      <w:pPr>
        <w:spacing w:after="0"/>
        <w:rPr>
          <w:rFonts w:ascii="Calibri" w:eastAsia="Times New Roman" w:hAnsi="Calibri" w:cs="Calibri"/>
          <w:color w:val="000000"/>
          <w:sz w:val="24"/>
          <w:szCs w:val="24"/>
        </w:rPr>
      </w:pPr>
    </w:p>
    <w:p w:rsidR="00BA1C38" w:rsidRDefault="00BA1C38" w:rsidP="00BA1C38">
      <w:pPr>
        <w:pStyle w:val="NormalWeb"/>
        <w:jc w:val="both"/>
        <w:rPr>
          <w:rFonts w:ascii="Calibri" w:hAnsi="Calibri" w:cs="Calibri"/>
          <w:color w:val="000000"/>
          <w:sz w:val="22"/>
          <w:szCs w:val="22"/>
        </w:rPr>
      </w:pPr>
      <w:r>
        <w:rPr>
          <w:rFonts w:ascii="Arial" w:hAnsi="Arial" w:cs="Arial"/>
          <w:color w:val="000000"/>
          <w:sz w:val="20"/>
          <w:szCs w:val="20"/>
        </w:rPr>
        <w:t>Ar cieņu</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b/>
          <w:bCs/>
          <w:color w:val="201F1E"/>
          <w:sz w:val="20"/>
          <w:szCs w:val="20"/>
          <w:bdr w:val="none" w:sz="0" w:space="0" w:color="auto" w:frame="1"/>
        </w:rPr>
        <w:t>Ilze Māliņa</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Tieslietu ministrijas</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Valststiesību departamenta</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Administratīvo tiesību nodaļas juriste</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tālr. 67036910</w:t>
      </w:r>
    </w:p>
    <w:p w:rsid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Juridiskā adrese: Brīvības bulvārī 36, Rīgā, LV-1536</w:t>
      </w:r>
    </w:p>
    <w:p w:rsidR="002F0D40" w:rsidRPr="00BA1C38" w:rsidRDefault="00BA1C38" w:rsidP="00BA1C38">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Atrašanās vieta: Raiņa bulvārī 15, Rīgā, LV-1050</w:t>
      </w:r>
    </w:p>
    <w:sectPr w:rsidR="002F0D40" w:rsidRPr="00BA1C3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F9D" w:rsidRDefault="00C26F9D" w:rsidP="0045063A">
      <w:pPr>
        <w:spacing w:after="0" w:line="240" w:lineRule="auto"/>
      </w:pPr>
      <w:r>
        <w:separator/>
      </w:r>
    </w:p>
  </w:endnote>
  <w:endnote w:type="continuationSeparator" w:id="0">
    <w:p w:rsidR="00C26F9D" w:rsidRDefault="00C26F9D"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F9D" w:rsidRDefault="00C26F9D" w:rsidP="0045063A">
      <w:pPr>
        <w:spacing w:after="0" w:line="240" w:lineRule="auto"/>
      </w:pPr>
      <w:r>
        <w:separator/>
      </w:r>
    </w:p>
  </w:footnote>
  <w:footnote w:type="continuationSeparator" w:id="0">
    <w:p w:rsidR="00C26F9D" w:rsidRDefault="00C26F9D"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283BD0"/>
    <w:rsid w:val="002D6F4C"/>
    <w:rsid w:val="002F0D40"/>
    <w:rsid w:val="00353FDA"/>
    <w:rsid w:val="00397677"/>
    <w:rsid w:val="0041742A"/>
    <w:rsid w:val="0045063A"/>
    <w:rsid w:val="005105FE"/>
    <w:rsid w:val="007522D5"/>
    <w:rsid w:val="007B2B4C"/>
    <w:rsid w:val="008B2FD0"/>
    <w:rsid w:val="009753AA"/>
    <w:rsid w:val="00A31382"/>
    <w:rsid w:val="00BA1C38"/>
    <w:rsid w:val="00C26F9D"/>
    <w:rsid w:val="00CB03DA"/>
    <w:rsid w:val="00E97D7E"/>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4057</Words>
  <Characters>2313</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2021-10-13T14:12:00Z</dcterms:created>
  <dcterms:modified xsi:type="dcterms:W3CDTF">2021-10-13T14:12:00Z</dcterms:modified>
</cp:coreProperties>
</file>