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382" w:rsidRDefault="00A31382" w:rsidP="00A31382">
      <w:pPr>
        <w:spacing w:after="0"/>
        <w:rPr>
          <w:rFonts w:ascii="Calibri" w:eastAsia="Times New Roman" w:hAnsi="Calibri" w:cs="Calibri"/>
          <w:lang w:val="en-US"/>
        </w:rPr>
      </w:pPr>
      <w:r>
        <w:rPr>
          <w:rFonts w:ascii="Calibri" w:eastAsia="Times New Roman" w:hAnsi="Calibri" w:cs="Calibri"/>
          <w:b/>
          <w:bCs/>
          <w:lang w:val="en-US"/>
        </w:rPr>
        <w:t>From:</w:t>
      </w:r>
      <w:r>
        <w:rPr>
          <w:rFonts w:ascii="Calibri" w:eastAsia="Times New Roman" w:hAnsi="Calibri" w:cs="Calibri"/>
          <w:lang w:val="en-US"/>
        </w:rPr>
        <w:t xml:space="preserve"> Juta Ķupe &lt;Juta.Kupe@tm.gov.lv&gt; </w:t>
      </w:r>
      <w:r>
        <w:rPr>
          <w:rFonts w:ascii="Calibri" w:eastAsia="Times New Roman" w:hAnsi="Calibri" w:cs="Calibri"/>
          <w:lang w:val="en-US"/>
        </w:rPr>
        <w:br/>
      </w:r>
      <w:r>
        <w:rPr>
          <w:rFonts w:ascii="Calibri" w:eastAsia="Times New Roman" w:hAnsi="Calibri" w:cs="Calibri"/>
          <w:b/>
          <w:bCs/>
          <w:lang w:val="en-US"/>
        </w:rPr>
        <w:t>Sent:</w:t>
      </w:r>
      <w:r>
        <w:rPr>
          <w:rFonts w:ascii="Calibri" w:eastAsia="Times New Roman" w:hAnsi="Calibri" w:cs="Calibri"/>
          <w:lang w:val="en-US"/>
        </w:rPr>
        <w:t xml:space="preserve"> Monday, August 9, 2021 4:10 PM</w:t>
      </w:r>
      <w:r>
        <w:rPr>
          <w:rFonts w:ascii="Calibri" w:eastAsia="Times New Roman" w:hAnsi="Calibri" w:cs="Calibri"/>
          <w:lang w:val="en-US"/>
        </w:rPr>
        <w:br/>
      </w:r>
      <w:r>
        <w:rPr>
          <w:rFonts w:ascii="Calibri" w:eastAsia="Times New Roman" w:hAnsi="Calibri" w:cs="Calibri"/>
          <w:b/>
          <w:bCs/>
          <w:lang w:val="en-US"/>
        </w:rPr>
        <w:t>To:</w:t>
      </w:r>
      <w:r>
        <w:rPr>
          <w:rFonts w:ascii="Calibri" w:eastAsia="Times New Roman" w:hAnsi="Calibri" w:cs="Calibri"/>
          <w:lang w:val="en-US"/>
        </w:rPr>
        <w:t xml:space="preserve"> VARAM &lt;pasts@varam.gov.lv&gt;; Rihards Guds &lt;Rihards.Guds@varam.gov.lv&gt;</w:t>
      </w:r>
      <w:r>
        <w:rPr>
          <w:rFonts w:ascii="Calibri" w:eastAsia="Times New Roman" w:hAnsi="Calibri" w:cs="Calibri"/>
          <w:lang w:val="en-US"/>
        </w:rPr>
        <w:br/>
      </w:r>
      <w:r>
        <w:rPr>
          <w:rFonts w:ascii="Calibri" w:eastAsia="Times New Roman" w:hAnsi="Calibri" w:cs="Calibri"/>
          <w:b/>
          <w:bCs/>
          <w:lang w:val="en-US"/>
        </w:rPr>
        <w:t>Cc:</w:t>
      </w:r>
      <w:r>
        <w:rPr>
          <w:rFonts w:ascii="Calibri" w:eastAsia="Times New Roman" w:hAnsi="Calibri" w:cs="Calibri"/>
          <w:lang w:val="en-US"/>
        </w:rPr>
        <w:t xml:space="preserve"> TM KANCELEJA &lt;pasts@tm.gov.lv&gt;; Ilze Māliņa &lt;Ilze.Malina@TM.GOV.LV&gt;; Kristīne Sutugina &lt;Kristine.Sutugina@dvi.gov.lv&gt;</w:t>
      </w:r>
      <w:r>
        <w:rPr>
          <w:rFonts w:ascii="Calibri" w:eastAsia="Times New Roman" w:hAnsi="Calibri" w:cs="Calibri"/>
          <w:lang w:val="en-US"/>
        </w:rPr>
        <w:br/>
      </w:r>
      <w:r>
        <w:rPr>
          <w:rFonts w:ascii="Calibri" w:eastAsia="Times New Roman" w:hAnsi="Calibri" w:cs="Calibri"/>
          <w:b/>
          <w:bCs/>
          <w:lang w:val="en-US"/>
        </w:rPr>
        <w:t>Subject:</w:t>
      </w:r>
      <w:r>
        <w:rPr>
          <w:rFonts w:ascii="Calibri" w:eastAsia="Times New Roman" w:hAnsi="Calibri" w:cs="Calibri"/>
          <w:lang w:val="en-US"/>
        </w:rPr>
        <w:t xml:space="preserve"> Pārs.: Likumprojekta “Grozījumi Valsts informācijas sistēmu likumā” (VSS – 413) saskaņošana</w:t>
      </w:r>
      <w:bookmarkStart w:id="0" w:name="_GoBack"/>
      <w:bookmarkEnd w:id="0"/>
    </w:p>
    <w:p w:rsidR="00A31382" w:rsidRDefault="00A31382" w:rsidP="00A31382">
      <w:pPr>
        <w:spacing w:after="0"/>
        <w:rPr>
          <w:rFonts w:ascii="Times New Roman" w:hAnsi="Times New Roman" w:cs="Times New Roman"/>
          <w:sz w:val="24"/>
          <w:szCs w:val="24"/>
        </w:rPr>
      </w:pPr>
    </w:p>
    <w:p w:rsidR="00A31382" w:rsidRDefault="00A31382" w:rsidP="00A31382">
      <w:pPr>
        <w:spacing w:after="0"/>
        <w:rPr>
          <w:rFonts w:ascii="Calibri" w:eastAsia="Times New Roman" w:hAnsi="Calibri" w:cs="Calibri"/>
          <w:color w:val="000000"/>
        </w:rPr>
      </w:pPr>
      <w:r>
        <w:rPr>
          <w:rFonts w:eastAsia="Times New Roman"/>
          <w:color w:val="000000"/>
          <w:shd w:val="clear" w:color="auto" w:fill="FFFFFF"/>
        </w:rPr>
        <w:t>Sveici</w:t>
      </w:r>
      <w:r>
        <w:t>nāti!</w:t>
      </w:r>
    </w:p>
    <w:p w:rsidR="00A31382" w:rsidRDefault="00A31382" w:rsidP="00A31382">
      <w:pPr>
        <w:shd w:val="clear" w:color="auto" w:fill="FFFFFF"/>
        <w:spacing w:after="0"/>
        <w:rPr>
          <w:rFonts w:ascii="Calibri" w:eastAsia="Times New Roman" w:hAnsi="Calibri" w:cs="Calibri"/>
          <w:color w:val="000000"/>
        </w:rPr>
      </w:pPr>
    </w:p>
    <w:p w:rsidR="00A31382" w:rsidRDefault="00A31382" w:rsidP="00A31382">
      <w:pPr>
        <w:shd w:val="clear" w:color="auto" w:fill="FFFFFF"/>
        <w:spacing w:after="0"/>
        <w:rPr>
          <w:rFonts w:ascii="Calibri" w:eastAsia="Times New Roman" w:hAnsi="Calibri" w:cs="Calibri"/>
          <w:color w:val="000000"/>
        </w:rPr>
      </w:pPr>
      <w:r>
        <w:rPr>
          <w:rFonts w:eastAsia="Times New Roman"/>
          <w:color w:val="000000"/>
          <w:shd w:val="clear" w:color="auto" w:fill="FFFFFF"/>
        </w:rPr>
        <w:t>Tieslietu ministrija ir izskatījusi 2021. gada 28. jūlijā saņemto </w:t>
      </w:r>
      <w:r>
        <w:rPr>
          <w:rFonts w:eastAsia="Times New Roman"/>
          <w:color w:val="000000"/>
        </w:rPr>
        <w:t>Vides aizsardzības un reģionālās attīstības ministrijas precizēto likumprojektu "Grozījumi Valsts informācijas sistēmu likumā" (VSS-413) (turpmāk – projekts), </w:t>
      </w:r>
      <w:r>
        <w:rPr>
          <w:rFonts w:eastAsia="Times New Roman"/>
          <w:color w:val="000000"/>
          <w:bdr w:val="none" w:sz="0" w:space="0" w:color="auto" w:frame="1"/>
        </w:rPr>
        <w:t>tam pievienoto anotāciju un izziņu par atzinumos sniegtajiem iebildumiem un </w:t>
      </w:r>
      <w:r>
        <w:rPr>
          <w:rFonts w:eastAsia="Times New Roman"/>
          <w:b/>
          <w:bCs/>
          <w:color w:val="000000"/>
          <w:u w:val="single"/>
          <w:bdr w:val="none" w:sz="0" w:space="0" w:color="auto" w:frame="1"/>
        </w:rPr>
        <w:t>atbalsta to tālāku virzību, izsakot šādus iebildumus:</w:t>
      </w:r>
    </w:p>
    <w:p w:rsidR="00A31382" w:rsidRDefault="00A31382" w:rsidP="00A31382">
      <w:pPr>
        <w:spacing w:after="0"/>
        <w:rPr>
          <w:rFonts w:ascii="Calibri" w:eastAsia="Times New Roman" w:hAnsi="Calibri" w:cs="Calibri"/>
          <w:color w:val="000000"/>
        </w:rPr>
      </w:pPr>
    </w:p>
    <w:p w:rsidR="00A31382" w:rsidRDefault="00A31382" w:rsidP="00A31382">
      <w:pPr>
        <w:pStyle w:val="xmsonormal"/>
        <w:shd w:val="clear" w:color="auto" w:fill="FFFFFF"/>
        <w:ind w:firstLine="720"/>
        <w:jc w:val="both"/>
        <w:rPr>
          <w:color w:val="000000"/>
        </w:rPr>
      </w:pPr>
      <w:r>
        <w:rPr>
          <w:color w:val="000000"/>
          <w:bdr w:val="none" w:sz="0" w:space="0" w:color="auto" w:frame="1"/>
        </w:rPr>
        <w:t>1. Lūdzam izvērtēt projekta 1. pantā izteikto Valsts informācijas sistēmu likuma (turpmāk – likums) 13. punktu, kurā ietverta institūcijas informācijas sistēmas definīcija, jo tas ir neskaidrs.</w:t>
      </w:r>
      <w:r>
        <w:t> </w:t>
      </w:r>
    </w:p>
    <w:p w:rsidR="00A31382" w:rsidRDefault="00A31382" w:rsidP="00A31382">
      <w:pPr>
        <w:pStyle w:val="xmsonormal"/>
        <w:shd w:val="clear" w:color="auto" w:fill="FFFFFF"/>
        <w:ind w:firstLine="720"/>
        <w:jc w:val="both"/>
        <w:rPr>
          <w:color w:val="000000"/>
        </w:rPr>
      </w:pPr>
      <w:r>
        <w:rPr>
          <w:color w:val="201F1E"/>
          <w:bdr w:val="none" w:sz="0" w:space="0" w:color="auto" w:frame="1"/>
        </w:rPr>
        <w:t> </w:t>
      </w:r>
    </w:p>
    <w:p w:rsidR="00A31382" w:rsidRDefault="00A31382" w:rsidP="00A31382">
      <w:pPr>
        <w:pStyle w:val="xmsonormal"/>
        <w:shd w:val="clear" w:color="auto" w:fill="FFFFFF"/>
        <w:ind w:firstLine="720"/>
        <w:jc w:val="both"/>
        <w:rPr>
          <w:color w:val="000000"/>
        </w:rPr>
      </w:pPr>
      <w:r>
        <w:rPr>
          <w:color w:val="201F1E"/>
          <w:bdr w:val="none" w:sz="0" w:space="0" w:color="auto" w:frame="1"/>
        </w:rPr>
        <w:t>2. Uzturam izziņas 22. punktā ietverto Tieslietu ministrijas iebildumu (tostarp izziņas 1. punktā ietverto Datu valsts inspekcijas izteikto iebildumu, kas pēc būtības tika izteikts Tieslietu ministrijas iebildumā), jo tas pēc būtības nav ņemts vērā. </w:t>
      </w:r>
    </w:p>
    <w:p w:rsidR="00A31382" w:rsidRDefault="00A31382" w:rsidP="00A31382">
      <w:pPr>
        <w:pStyle w:val="xmsonormal"/>
        <w:shd w:val="clear" w:color="auto" w:fill="FFFFFF"/>
        <w:ind w:firstLine="709"/>
        <w:jc w:val="both"/>
        <w:rPr>
          <w:color w:val="000000"/>
        </w:rPr>
      </w:pPr>
      <w:r>
        <w:rPr>
          <w:color w:val="201F1E"/>
          <w:bdr w:val="none" w:sz="0" w:space="0" w:color="auto" w:frame="1"/>
        </w:rPr>
        <w:t xml:space="preserve">Atkārtoti vēršam uzmanību, ka nav pieļaujama tādas valsts informācijas sistēmas izveide, kurā plānots apstrādāt personas datus, pamatojoties uz politikas plānošanas dokumentiem. Vienlaikus vēršam uzmanību, ka personas datu aizsardzība ir nozīmīga pamattiesība, kas var tikt ierobežota tikai ar likumu vai uz likuma pamata un nav pieļaujams anotācijā minētais skaidrojums, ka, lai atvieglotu valsts informācijas sistēmu izveidošanas uzsākšanas procesu, ir paredzēta iespēja valsts informācijas sistēmas izveidot, </w:t>
      </w:r>
      <w:r>
        <w:rPr>
          <w:color w:val="201F1E"/>
          <w:u w:val="single"/>
          <w:bdr w:val="none" w:sz="0" w:space="0" w:color="auto" w:frame="1"/>
        </w:rPr>
        <w:t>pamatojoties arī uz politikas plānošanas dokumentiem</w:t>
      </w:r>
      <w:r>
        <w:rPr>
          <w:color w:val="201F1E"/>
          <w:bdr w:val="none" w:sz="0" w:space="0" w:color="auto" w:frame="1"/>
        </w:rPr>
        <w:t>.</w:t>
      </w:r>
      <w:r>
        <w:rPr>
          <w:color w:val="000000"/>
        </w:rPr>
        <w:t> </w:t>
      </w:r>
    </w:p>
    <w:p w:rsidR="00A31382" w:rsidRDefault="00A31382" w:rsidP="00A31382">
      <w:pPr>
        <w:pStyle w:val="xmsonormal"/>
        <w:shd w:val="clear" w:color="auto" w:fill="FFFFFF"/>
        <w:ind w:firstLine="709"/>
        <w:jc w:val="both"/>
        <w:rPr>
          <w:color w:val="000000"/>
        </w:rPr>
      </w:pPr>
      <w:r>
        <w:rPr>
          <w:color w:val="201F1E"/>
          <w:bdr w:val="none" w:sz="0" w:space="0" w:color="auto" w:frame="1"/>
        </w:rPr>
        <w:t>Projekta 5. pantā izteiktais likuma 5. pants ir papildināts ar jaunu 1.</w:t>
      </w:r>
      <w:r>
        <w:rPr>
          <w:color w:val="201F1E"/>
          <w:bdr w:val="none" w:sz="0" w:space="0" w:color="auto" w:frame="1"/>
          <w:vertAlign w:val="superscript"/>
        </w:rPr>
        <w:t>1 </w:t>
      </w:r>
      <w:r>
        <w:rPr>
          <w:color w:val="201F1E"/>
          <w:bdr w:val="none" w:sz="0" w:space="0" w:color="auto" w:frame="1"/>
        </w:rPr>
        <w:t>daļu. Vienlaikus anotācijā tiek skaidrots: "</w:t>
      </w:r>
      <w:r>
        <w:rPr>
          <w:i/>
          <w:iCs/>
          <w:color w:val="201F1E"/>
          <w:u w:val="single"/>
          <w:bdr w:val="none" w:sz="0" w:space="0" w:color="auto" w:frame="1"/>
        </w:rPr>
        <w:t>lai nodrošinātu atbilstošu valsts informācijas sistēmu izmantošanu</w:t>
      </w:r>
      <w:r>
        <w:rPr>
          <w:i/>
          <w:iCs/>
          <w:color w:val="201F1E"/>
          <w:bdr w:val="none" w:sz="0" w:space="0" w:color="auto" w:frame="1"/>
        </w:rPr>
        <w:t>, Valsts informācijas sistēmu likums (turpmāk – VISL)  5. panta 1</w:t>
      </w:r>
      <w:r>
        <w:rPr>
          <w:i/>
          <w:iCs/>
          <w:color w:val="201F1E"/>
          <w:bdr w:val="none" w:sz="0" w:space="0" w:color="auto" w:frame="1"/>
          <w:vertAlign w:val="superscript"/>
        </w:rPr>
        <w:t>1</w:t>
      </w:r>
      <w:r>
        <w:rPr>
          <w:i/>
          <w:iCs/>
          <w:color w:val="201F1E"/>
          <w:bdr w:val="none" w:sz="0" w:space="0" w:color="auto" w:frame="1"/>
        </w:rPr>
        <w:t>. daļa, </w:t>
      </w:r>
      <w:r>
        <w:rPr>
          <w:i/>
          <w:iCs/>
          <w:color w:val="201F1E"/>
          <w:u w:val="single"/>
          <w:bdr w:val="none" w:sz="0" w:space="0" w:color="auto" w:frame="1"/>
        </w:rPr>
        <w:t>paredz obligātu ārējo normatīvo aktu izstrādi. </w:t>
      </w:r>
      <w:r>
        <w:rPr>
          <w:i/>
          <w:iCs/>
          <w:color w:val="201F1E"/>
          <w:bdr w:val="none" w:sz="0" w:space="0" w:color="auto" w:frame="1"/>
        </w:rPr>
        <w:t>Īstenojot valsts IKT resursu atvēršanas politiku privātajam sektoram, ir nepieciešams ieviest valsts IKT koplietošanas resursa jeb "valsts platforma" jēdzienu, kā arī noteikt kārtību un kritērijus valsts platformu izmantošanai, lai mazinātu ar to saistītos drošības riskus. Valsts platformu atvēršana ir jauns darbības virziens pārvaldes digitālajā transformācijā, kas papildina iepriekšējos attīstības posmus (pamatdarbības procesu digitalizāciju un e-pakalpojumu attīstību), un kas prasa pilnveidot tiesisko regulējumu."</w:t>
      </w:r>
      <w:r>
        <w:rPr>
          <w:rFonts w:ascii="Calibri" w:hAnsi="Calibri" w:cs="Calibri"/>
          <w:color w:val="201F1E"/>
          <w:sz w:val="22"/>
          <w:szCs w:val="22"/>
        </w:rPr>
        <w:t> </w:t>
      </w:r>
    </w:p>
    <w:p w:rsidR="00A31382" w:rsidRDefault="00A31382" w:rsidP="00A31382">
      <w:pPr>
        <w:pStyle w:val="xmsonormal"/>
        <w:shd w:val="clear" w:color="auto" w:fill="FFFFFF"/>
        <w:ind w:firstLine="709"/>
        <w:jc w:val="both"/>
        <w:rPr>
          <w:color w:val="000000"/>
        </w:rPr>
      </w:pPr>
      <w:r>
        <w:rPr>
          <w:color w:val="201F1E"/>
          <w:bdr w:val="none" w:sz="0" w:space="0" w:color="auto" w:frame="1"/>
        </w:rPr>
        <w:t>Vēršam uzmanību, ka anotācijā ietvertais skaidrojums attiecībā uz projekta 5. pantā izteikto likuma 5. panta pirmo daļu un 5. panta 1.</w:t>
      </w:r>
      <w:r>
        <w:rPr>
          <w:color w:val="201F1E"/>
          <w:bdr w:val="none" w:sz="0" w:space="0" w:color="auto" w:frame="1"/>
          <w:vertAlign w:val="superscript"/>
        </w:rPr>
        <w:t>1 </w:t>
      </w:r>
      <w:r>
        <w:rPr>
          <w:color w:val="201F1E"/>
          <w:bdr w:val="none" w:sz="0" w:space="0" w:color="auto" w:frame="1"/>
        </w:rPr>
        <w:t xml:space="preserve">daļu ir savstarpēji pretrunīgs. Ievērojot minēto, atkārtoti lūdzam skaidrot, kas ir domāts ar to, ka </w:t>
      </w:r>
      <w:r>
        <w:rPr>
          <w:i/>
          <w:iCs/>
          <w:color w:val="201F1E"/>
          <w:bdr w:val="none" w:sz="0" w:space="0" w:color="auto" w:frame="1"/>
        </w:rPr>
        <w:t>"</w:t>
      </w:r>
      <w:r>
        <w:rPr>
          <w:color w:val="201F1E"/>
          <w:bdr w:val="none" w:sz="0" w:space="0" w:color="auto" w:frame="1"/>
        </w:rPr>
        <w:t>v</w:t>
      </w:r>
      <w:r>
        <w:rPr>
          <w:i/>
          <w:iCs/>
          <w:color w:val="201F1E"/>
          <w:bdr w:val="none" w:sz="0" w:space="0" w:color="auto" w:frame="1"/>
        </w:rPr>
        <w:t>alsts informācijas sistēmu </w:t>
      </w:r>
      <w:r>
        <w:rPr>
          <w:i/>
          <w:iCs/>
          <w:color w:val="201F1E"/>
          <w:u w:val="single"/>
          <w:bdr w:val="none" w:sz="0" w:space="0" w:color="auto" w:frame="1"/>
        </w:rPr>
        <w:t>sāk izmantot</w:t>
      </w:r>
      <w:r>
        <w:rPr>
          <w:i/>
          <w:iCs/>
          <w:color w:val="201F1E"/>
          <w:bdr w:val="none" w:sz="0" w:space="0" w:color="auto" w:frame="1"/>
        </w:rPr>
        <w:t>, pamatojoties uz ārējiem normatīvajiem aktiem", </w:t>
      </w:r>
      <w:r>
        <w:rPr>
          <w:color w:val="201F1E"/>
          <w:bdr w:val="none" w:sz="0" w:space="0" w:color="auto" w:frame="1"/>
        </w:rPr>
        <w:t>kā arī izvērtēt pēc būtības projekta 5. pantā ietvertā likuma 5. panta 1.</w:t>
      </w:r>
      <w:r>
        <w:rPr>
          <w:color w:val="201F1E"/>
          <w:bdr w:val="none" w:sz="0" w:space="0" w:color="auto" w:frame="1"/>
          <w:vertAlign w:val="superscript"/>
        </w:rPr>
        <w:t>1 </w:t>
      </w:r>
      <w:r>
        <w:rPr>
          <w:color w:val="201F1E"/>
          <w:bdr w:val="none" w:sz="0" w:space="0" w:color="auto" w:frame="1"/>
        </w:rPr>
        <w:t>daļas lietderību. </w:t>
      </w:r>
    </w:p>
    <w:p w:rsidR="00A31382" w:rsidRDefault="00A31382" w:rsidP="00A31382">
      <w:pPr>
        <w:pStyle w:val="xmsonormal"/>
        <w:shd w:val="clear" w:color="auto" w:fill="FFFFFF"/>
        <w:ind w:firstLine="709"/>
        <w:jc w:val="both"/>
        <w:rPr>
          <w:color w:val="000000"/>
        </w:rPr>
      </w:pPr>
      <w:r>
        <w:rPr>
          <w:color w:val="201F1E"/>
          <w:bdr w:val="none" w:sz="0" w:space="0" w:color="auto" w:frame="1"/>
        </w:rPr>
        <w:t> </w:t>
      </w:r>
    </w:p>
    <w:p w:rsidR="00A31382" w:rsidRDefault="00A31382" w:rsidP="00A31382">
      <w:pPr>
        <w:pStyle w:val="xmsonormal"/>
        <w:shd w:val="clear" w:color="auto" w:fill="FFFFFF"/>
        <w:ind w:firstLine="709"/>
        <w:jc w:val="both"/>
        <w:rPr>
          <w:color w:val="000000"/>
        </w:rPr>
      </w:pPr>
      <w:r>
        <w:rPr>
          <w:color w:val="201F1E"/>
          <w:bdr w:val="none" w:sz="0" w:space="0" w:color="auto" w:frame="1"/>
        </w:rPr>
        <w:t xml:space="preserve">Vienlaikus projekta 13. pantā izteiktā likuma 18. panta otra daļa joprojām noteic, ka </w:t>
      </w:r>
      <w:r>
        <w:rPr>
          <w:i/>
          <w:iCs/>
          <w:color w:val="201F1E"/>
          <w:bdr w:val="none" w:sz="0" w:space="0" w:color="auto" w:frame="1"/>
        </w:rPr>
        <w:t xml:space="preserve">"privātpersona, kurai nav deleģēta valsts pārvaldes funkcija, izmanto valsts </w:t>
      </w:r>
      <w:r>
        <w:rPr>
          <w:i/>
          <w:iCs/>
          <w:color w:val="201F1E"/>
          <w:bdr w:val="none" w:sz="0" w:space="0" w:color="auto" w:frame="1"/>
        </w:rPr>
        <w:lastRenderedPageBreak/>
        <w:t>platformu normatīvajos aktos, kas nosaka attiecīgās valsts platfor</w:t>
      </w:r>
      <w:r>
        <w:rPr>
          <w:i/>
          <w:iCs/>
          <w:color w:val="000000"/>
        </w:rPr>
        <w:t>mas darbību, noteiktajā kārtībā"</w:t>
      </w:r>
      <w:r>
        <w:rPr>
          <w:color w:val="000000"/>
        </w:rPr>
        <w:t>. </w:t>
      </w:r>
    </w:p>
    <w:p w:rsidR="00A31382" w:rsidRDefault="00A31382" w:rsidP="00A31382">
      <w:pPr>
        <w:pStyle w:val="xmsonormal"/>
        <w:shd w:val="clear" w:color="auto" w:fill="FFFFFF"/>
        <w:ind w:firstLine="709"/>
        <w:jc w:val="both"/>
        <w:rPr>
          <w:color w:val="000000"/>
        </w:rPr>
      </w:pPr>
      <w:r>
        <w:rPr>
          <w:color w:val="201F1E"/>
          <w:bdr w:val="none" w:sz="0" w:space="0" w:color="auto" w:frame="1"/>
        </w:rPr>
        <w:t>Ievērojot minēto, kā arī to, ka Tieslietu ministrijas izteiktais iebildums arī daļā par šo tiesību normu pēc būtības nav ņemts vērā, tas tiek uzturēts (sk. izziņas 22. punktā ietverto Tieslietu ministrijas iebildumu, kā arī izziņas 2. punktā ietverto Datu valsts inspekcijas izteikto iebildumu). </w:t>
      </w:r>
    </w:p>
    <w:p w:rsidR="00A31382" w:rsidRDefault="00A31382" w:rsidP="00A31382">
      <w:pPr>
        <w:pStyle w:val="xmsonormal"/>
        <w:shd w:val="clear" w:color="auto" w:fill="FFFFFF"/>
        <w:ind w:firstLine="709"/>
        <w:jc w:val="both"/>
        <w:rPr>
          <w:color w:val="000000"/>
        </w:rPr>
      </w:pPr>
      <w:r>
        <w:rPr>
          <w:color w:val="201F1E"/>
          <w:bdr w:val="none" w:sz="0" w:space="0" w:color="auto" w:frame="1"/>
        </w:rPr>
        <w:t>Atkārtoti vēršam uzmanību, ka nav saprotams, vai valsts platforma ir veidojama tikai, pamatojoties uz normatīvajiem aktiem, kamēr VIS var tikt izveidota saskaņā ar politikas plānošanas dokumentiem. Tieslietu ministrijas ieskatā, ir veidojams vienveidīgs regulējums gan attiecībā uz VIS, gan valsts platformām. Ievērojot minēto, projekts precizējams vai anotācijā ir iekļaujams attiecīgs skaidrojums. </w:t>
      </w:r>
    </w:p>
    <w:p w:rsidR="00A31382" w:rsidRDefault="00A31382" w:rsidP="00A31382">
      <w:pPr>
        <w:pStyle w:val="xmsonormal"/>
        <w:shd w:val="clear" w:color="auto" w:fill="FFFFFF"/>
        <w:ind w:firstLine="720"/>
        <w:jc w:val="both"/>
        <w:rPr>
          <w:color w:val="000000"/>
        </w:rPr>
      </w:pPr>
      <w:r>
        <w:rPr>
          <w:color w:val="201F1E"/>
          <w:bdr w:val="none" w:sz="0" w:space="0" w:color="auto" w:frame="1"/>
        </w:rPr>
        <w:t>Tieslietu ministrija atkārtoti informē, ka Datu valsts inspekcija ir gatava izvērtēt un pārrunāt ar Vides aizsardzības un reģionālās attīstības ministriju konceptuālu pieeju šim jautājumam, ja Vides aizsardzības un reģionālās attīstības ministrijai ir citi apsvērumi un argumenti likuma grozījumu veikšanai. </w:t>
      </w:r>
    </w:p>
    <w:p w:rsidR="00A31382" w:rsidRDefault="00A31382" w:rsidP="00A31382">
      <w:pPr>
        <w:pStyle w:val="xmsonormal"/>
        <w:shd w:val="clear" w:color="auto" w:fill="FFFFFF"/>
        <w:ind w:firstLine="720"/>
        <w:jc w:val="both"/>
        <w:rPr>
          <w:color w:val="000000"/>
        </w:rPr>
      </w:pPr>
      <w:r>
        <w:rPr>
          <w:color w:val="201F1E"/>
          <w:bdr w:val="none" w:sz="0" w:space="0" w:color="auto" w:frame="1"/>
        </w:rPr>
        <w:t> </w:t>
      </w:r>
    </w:p>
    <w:p w:rsidR="00A31382" w:rsidRDefault="00A31382" w:rsidP="00A31382">
      <w:pPr>
        <w:pStyle w:val="xmsonormal"/>
        <w:shd w:val="clear" w:color="auto" w:fill="FFFFFF"/>
        <w:ind w:firstLine="720"/>
        <w:jc w:val="both"/>
        <w:rPr>
          <w:color w:val="000000"/>
        </w:rPr>
      </w:pPr>
      <w:r>
        <w:rPr>
          <w:color w:val="201F1E"/>
          <w:bdr w:val="none" w:sz="0" w:space="0" w:color="auto" w:frame="1"/>
        </w:rPr>
        <w:t>3. Vēršam uzmanību, ka no Administratīvā procesa likuma 11. pantā ietvertā likuma atrunas principa cita starpā izriet, ka privātpersonai nelabvēlīgu administratīvo aktu iestāde var izdot uz Satversmes, likuma, kā arī uz starptautisko tiesību normas pamata. Ministru kabineta noteikumi var būt par pamatu šādam administratīvajam aktam tikai tad, ja Satversmē, likumā vai starptautisko tiesību normā tieši vai netieši ir ietverts pilnvarojums Ministru kabinetam, izdodot noteikumus, tajos paredzēt šādus administratīvos aktus vai faktisko rīcību. </w:t>
      </w:r>
    </w:p>
    <w:p w:rsidR="00A31382" w:rsidRDefault="00A31382" w:rsidP="00A31382">
      <w:pPr>
        <w:pStyle w:val="xmsonormal"/>
        <w:shd w:val="clear" w:color="auto" w:fill="FFFFFF"/>
        <w:ind w:firstLine="720"/>
        <w:jc w:val="both"/>
        <w:rPr>
          <w:color w:val="000000"/>
        </w:rPr>
      </w:pPr>
      <w:r>
        <w:rPr>
          <w:color w:val="201F1E"/>
          <w:bdr w:val="none" w:sz="0" w:space="0" w:color="auto" w:frame="1"/>
        </w:rPr>
        <w:t>Ievērojot minēto, lūdzam izvērtēt projekta 13. punktā izteiktajā likuma 18. panta trešajā daļā ietvertā pilnvarojuma Ministru kabinetam apjomu. Ja ir paredzēts, ka Ministru kabinets noteiks gadījumus, kad atļauju izmantot valsts platformu varēs atcelt vai anulēt, tas ir jāietver likuma normā, kurā ietverts pilnvarojums Ministru kabinetam.  </w:t>
      </w:r>
    </w:p>
    <w:p w:rsidR="00A31382" w:rsidRDefault="00A31382" w:rsidP="00A31382">
      <w:pPr>
        <w:pStyle w:val="xmsonormal"/>
        <w:shd w:val="clear" w:color="auto" w:fill="FFFFFF"/>
        <w:ind w:firstLine="720"/>
        <w:jc w:val="both"/>
        <w:rPr>
          <w:color w:val="000000"/>
        </w:rPr>
      </w:pPr>
      <w:r>
        <w:rPr>
          <w:color w:val="201F1E"/>
          <w:bdr w:val="none" w:sz="0" w:space="0" w:color="auto" w:frame="1"/>
        </w:rPr>
        <w:t> </w:t>
      </w:r>
    </w:p>
    <w:p w:rsidR="00A31382" w:rsidRDefault="00A31382" w:rsidP="00A31382">
      <w:pPr>
        <w:pStyle w:val="xmsonormal"/>
        <w:shd w:val="clear" w:color="auto" w:fill="FFFFFF"/>
        <w:ind w:firstLine="720"/>
        <w:jc w:val="both"/>
        <w:rPr>
          <w:color w:val="000000"/>
        </w:rPr>
      </w:pPr>
      <w:r>
        <w:rPr>
          <w:color w:val="201F1E"/>
          <w:bdr w:val="none" w:sz="0" w:space="0" w:color="auto" w:frame="1"/>
        </w:rPr>
        <w:t>4. Atkārtoti vēršam uzmanību uz to, ka projekta 14. pantā paredzētie pārejas noteikumi ir neskaidri. Nav skaidrs, kā var izstrādāt attiecīgās atļaujas piešķiršanas kritērijus, ja vēl nebūs izstrādāti valsts platformas izmantošanas kritēriji, kā to šobrīd paredz projekta 14. punktā ietvertais pārejas noteikumu 12. un 13. punkts, proti, abi noteikumi jāizdod vienlaikus. Jānorāda, ka skaidrojums nav sniegts arī anotācijā. </w:t>
      </w:r>
    </w:p>
    <w:p w:rsidR="00A31382" w:rsidRDefault="00A31382" w:rsidP="00A31382">
      <w:pPr>
        <w:pStyle w:val="xmsonormal"/>
        <w:shd w:val="clear" w:color="auto" w:fill="FFFFFF"/>
        <w:ind w:firstLine="720"/>
        <w:jc w:val="both"/>
        <w:rPr>
          <w:color w:val="000000"/>
        </w:rPr>
      </w:pPr>
      <w:r>
        <w:rPr>
          <w:color w:val="201F1E"/>
          <w:bdr w:val="none" w:sz="0" w:space="0" w:color="auto" w:frame="1"/>
        </w:rPr>
        <w:t>Ievērojot minēto, lūdzam atkārtoti izvērtēt projekta 14. pantā paredzētajos likuma pārejas noteikumos ietverto regulējumu un attiecīgi precizēt to, kā arī papildināt anotāciju ar atbilstošu skaidrojumu. </w:t>
      </w:r>
    </w:p>
    <w:p w:rsidR="00A31382" w:rsidRDefault="00A31382" w:rsidP="00A31382">
      <w:pPr>
        <w:pStyle w:val="xmsonormal"/>
        <w:shd w:val="clear" w:color="auto" w:fill="FFFFFF"/>
        <w:ind w:firstLine="720"/>
        <w:jc w:val="both"/>
        <w:rPr>
          <w:color w:val="000000"/>
        </w:rPr>
      </w:pPr>
      <w:r>
        <w:rPr>
          <w:color w:val="201F1E"/>
          <w:bdr w:val="none" w:sz="0" w:space="0" w:color="auto" w:frame="1"/>
        </w:rPr>
        <w:t> </w:t>
      </w:r>
    </w:p>
    <w:p w:rsidR="00A31382" w:rsidRDefault="00A31382" w:rsidP="00A31382">
      <w:pPr>
        <w:pStyle w:val="xmsonormal"/>
        <w:shd w:val="clear" w:color="auto" w:fill="FFFFFF"/>
        <w:ind w:firstLine="720"/>
        <w:jc w:val="both"/>
        <w:rPr>
          <w:color w:val="000000"/>
        </w:rPr>
      </w:pPr>
      <w:r>
        <w:rPr>
          <w:color w:val="201F1E"/>
          <w:bdr w:val="none" w:sz="0" w:space="0" w:color="auto" w:frame="1"/>
        </w:rPr>
        <w:t>Vienlaikus izsakām šādus priekšlikumus: </w:t>
      </w:r>
    </w:p>
    <w:p w:rsidR="00A31382" w:rsidRDefault="00A31382" w:rsidP="00A31382">
      <w:pPr>
        <w:pStyle w:val="xmsonormal"/>
        <w:shd w:val="clear" w:color="auto" w:fill="FFFFFF"/>
        <w:ind w:firstLine="720"/>
        <w:jc w:val="both"/>
        <w:rPr>
          <w:color w:val="000000"/>
        </w:rPr>
      </w:pPr>
      <w:r>
        <w:rPr>
          <w:color w:val="201F1E"/>
          <w:bdr w:val="none" w:sz="0" w:space="0" w:color="auto" w:frame="1"/>
        </w:rPr>
        <w:t>1. Vēršam uzmanību uz to, ka Ministru kabineta 2009. gada 3. februāra noteikumu Nr. 108 "Normatīvo aktu projektu sagatavošanas noteikumi" (noteikumi Nr. 108) 44. punkts noteic, ka saīsinājumā abreviatūras neizmanto. Saīsinājumā pieļaujams izmantot vispārzināmas abreviatūras. Ievērojot minēto, lūdzam izvērtēt projektā paredzētā saīsinājuma "IKT" lietošanu un attiecīgi precizēt projektu. </w:t>
      </w:r>
    </w:p>
    <w:p w:rsidR="00A31382" w:rsidRDefault="00A31382" w:rsidP="00A31382">
      <w:pPr>
        <w:pStyle w:val="xmsonormal"/>
        <w:shd w:val="clear" w:color="auto" w:fill="FFFFFF"/>
        <w:ind w:firstLine="720"/>
        <w:jc w:val="both"/>
        <w:rPr>
          <w:color w:val="000000"/>
        </w:rPr>
      </w:pPr>
      <w:r>
        <w:rPr>
          <w:color w:val="201F1E"/>
          <w:bdr w:val="none" w:sz="0" w:space="0" w:color="auto" w:frame="1"/>
        </w:rPr>
        <w:t>2. Lūdzam precizēt projekta 1. pantā paredzētajā likuma 1. panta 16. punktā, projekta 3. pantā paredzētajā likuma 3. panta pirmajā daļā un projekta 13. pantā paredzētajā likuma 18. panta otrajā daļā ietverto atsauci uz normatīvajiem aktiem atbilstoši noteikumu Nr. 108 2.8. apakšnodaļā noteiktajām prasībām. </w:t>
      </w:r>
    </w:p>
    <w:p w:rsidR="00A31382" w:rsidRDefault="00A31382" w:rsidP="00A31382">
      <w:pPr>
        <w:pStyle w:val="xmsonormal"/>
        <w:shd w:val="clear" w:color="auto" w:fill="FFFFFF"/>
        <w:ind w:firstLine="720"/>
        <w:jc w:val="both"/>
        <w:rPr>
          <w:color w:val="000000"/>
        </w:rPr>
      </w:pPr>
      <w:r>
        <w:rPr>
          <w:color w:val="201F1E"/>
          <w:bdr w:val="none" w:sz="0" w:space="0" w:color="auto" w:frame="1"/>
        </w:rPr>
        <w:t xml:space="preserve">3. Vēršam uzmanību uz to, ka noteikumu Nr. 108 66. punkts noteic, ka grozījumu likumprojektu nesagatavo, ja tā normu apjoms pārsniegtu pusi no spēkā </w:t>
      </w:r>
      <w:r>
        <w:rPr>
          <w:color w:val="201F1E"/>
          <w:bdr w:val="none" w:sz="0" w:space="0" w:color="auto" w:frame="1"/>
        </w:rPr>
        <w:lastRenderedPageBreak/>
        <w:t>esošā likuma normu apjoma. Šādā gadījumā sagatavo jaunu likumprojektu. Ievērojot minēto, kā arī projektā paredzēto grozījumu apjomu likumā, lūdzam izvērtēt iespēju sagatavot jaunu likumprojektu. </w:t>
      </w:r>
    </w:p>
    <w:p w:rsidR="00A31382" w:rsidRDefault="00A31382" w:rsidP="00A31382">
      <w:pPr>
        <w:pStyle w:val="xmsonormal"/>
        <w:shd w:val="clear" w:color="auto" w:fill="FFFFFF"/>
        <w:ind w:firstLine="720"/>
        <w:jc w:val="both"/>
        <w:rPr>
          <w:color w:val="000000"/>
        </w:rPr>
      </w:pPr>
      <w:r>
        <w:rPr>
          <w:color w:val="201F1E"/>
          <w:bdr w:val="none" w:sz="0" w:space="0" w:color="auto" w:frame="1"/>
        </w:rPr>
        <w:t>4. Atkārtoti lūdzam precizēt anotācijas I sadaļas 2. punktu atbilstoši Ministru kabineta 2009. gada 15. decembra instrukcijas Nr. 19 "Tiesību akta projekta sākotnējās ietekmes izvērtēšanas kārtība" (turpmāk – instrukcija) 14. punktā noteiktajām prasībām, anotācijas II sadaļas 2. punktu – atbilstoši instrukcijas 22. punktā noteiktajām prasībām, anotācijas IV sadaļas 1. punktu – atbilstoši instrukcijas 54. punktā noteiktajām prasībām, anotācijas VI sadaļas 1. punktu – atbilstoši instrukcijas 60. punktā noteiktajām prasībām, kā arī anotācijas VI sadaļas 2. punktu – atbilstoši instrukcijas 61. punktā noteiktajām prasībām. </w:t>
      </w:r>
    </w:p>
    <w:p w:rsidR="00A31382" w:rsidRDefault="00A31382" w:rsidP="00A31382">
      <w:pPr>
        <w:pStyle w:val="xmsonormal"/>
        <w:shd w:val="clear" w:color="auto" w:fill="FFFFFF"/>
        <w:ind w:firstLine="720"/>
        <w:jc w:val="both"/>
        <w:rPr>
          <w:color w:val="000000"/>
        </w:rPr>
      </w:pPr>
      <w:r>
        <w:rPr>
          <w:color w:val="201F1E"/>
          <w:bdr w:val="none" w:sz="0" w:space="0" w:color="auto" w:frame="1"/>
        </w:rPr>
        <w:br/>
      </w:r>
    </w:p>
    <w:p w:rsidR="00A31382" w:rsidRDefault="00A31382" w:rsidP="00A31382">
      <w:pPr>
        <w:pStyle w:val="xmsonormal"/>
        <w:shd w:val="clear" w:color="auto" w:fill="FFFFFF"/>
        <w:ind w:firstLine="720"/>
        <w:jc w:val="both"/>
        <w:rPr>
          <w:color w:val="000000"/>
        </w:rPr>
      </w:pPr>
      <w:r>
        <w:rPr>
          <w:i/>
          <w:iCs/>
          <w:color w:val="201F1E"/>
          <w:bdr w:val="none" w:sz="0" w:space="0" w:color="auto" w:frame="1"/>
        </w:rPr>
        <w:t>Atzinumu sagatavoja: Datu valsts inspekcijas Starptautiskās sadarbības nodaļas galvenais speciālists starptautiskās sadarbības jautājumos </w:t>
      </w:r>
      <w:r>
        <w:rPr>
          <w:b/>
          <w:bCs/>
          <w:i/>
          <w:iCs/>
          <w:color w:val="201F1E"/>
          <w:bdr w:val="none" w:sz="0" w:space="0" w:color="auto" w:frame="1"/>
          <w:shd w:val="clear" w:color="auto" w:fill="FFFFFF"/>
        </w:rPr>
        <w:t>K. Sutugina</w:t>
      </w:r>
      <w:r>
        <w:rPr>
          <w:i/>
          <w:iCs/>
          <w:color w:val="201F1E"/>
          <w:bdr w:val="none" w:sz="0" w:space="0" w:color="auto" w:frame="1"/>
          <w:shd w:val="clear" w:color="auto" w:fill="FFFFFF"/>
        </w:rPr>
        <w:t xml:space="preserve"> (</w:t>
      </w:r>
      <w:r>
        <w:rPr>
          <w:i/>
          <w:iCs/>
          <w:color w:val="201F1E"/>
          <w:bdr w:val="none" w:sz="0" w:space="0" w:color="auto" w:frame="1"/>
        </w:rPr>
        <w:t xml:space="preserve">67686091, </w:t>
      </w:r>
      <w:hyperlink r:id="rId6" w:history="1">
        <w:r>
          <w:rPr>
            <w:rStyle w:val="Hyperlink"/>
            <w:i/>
            <w:iCs/>
            <w:bdr w:val="none" w:sz="0" w:space="0" w:color="auto" w:frame="1"/>
          </w:rPr>
          <w:t>kristine.sutugina@dvi.gov.lv</w:t>
        </w:r>
      </w:hyperlink>
      <w:r>
        <w:rPr>
          <w:i/>
          <w:iCs/>
          <w:color w:val="201F1E"/>
          <w:bdr w:val="none" w:sz="0" w:space="0" w:color="auto" w:frame="1"/>
        </w:rPr>
        <w:t xml:space="preserve">) un Tieslietu ministrijas Valststiesību departamenta Administratīvo tiesību nodaļas juriste </w:t>
      </w:r>
      <w:r>
        <w:rPr>
          <w:b/>
          <w:bCs/>
          <w:i/>
          <w:iCs/>
          <w:color w:val="201F1E"/>
          <w:bdr w:val="none" w:sz="0" w:space="0" w:color="auto" w:frame="1"/>
        </w:rPr>
        <w:t>J.Ķupe</w:t>
      </w:r>
      <w:r>
        <w:rPr>
          <w:i/>
          <w:iCs/>
          <w:color w:val="201F1E"/>
          <w:bdr w:val="none" w:sz="0" w:space="0" w:color="auto" w:frame="1"/>
        </w:rPr>
        <w:t xml:space="preserve"> (67036937,  </w:t>
      </w:r>
      <w:hyperlink r:id="rId7" w:history="1">
        <w:r>
          <w:rPr>
            <w:rStyle w:val="Hyperlink"/>
            <w:i/>
            <w:iCs/>
            <w:bdr w:val="none" w:sz="0" w:space="0" w:color="auto" w:frame="1"/>
          </w:rPr>
          <w:t>Juta.Kupe@tm.gov.lv</w:t>
        </w:r>
      </w:hyperlink>
      <w:r>
        <w:rPr>
          <w:i/>
          <w:iCs/>
          <w:color w:val="201F1E"/>
          <w:bdr w:val="none" w:sz="0" w:space="0" w:color="auto" w:frame="1"/>
        </w:rPr>
        <w:t>).</w:t>
      </w:r>
    </w:p>
    <w:p w:rsidR="00A31382" w:rsidRDefault="00A31382" w:rsidP="00A31382">
      <w:pPr>
        <w:spacing w:after="0"/>
        <w:rPr>
          <w:rFonts w:ascii="Calibri" w:eastAsia="Times New Roman" w:hAnsi="Calibri" w:cs="Calibri"/>
          <w:color w:val="000000"/>
        </w:rPr>
      </w:pPr>
    </w:p>
    <w:p w:rsidR="00A31382" w:rsidRDefault="00A31382" w:rsidP="00A31382">
      <w:pPr>
        <w:pStyle w:val="NormalWeb"/>
        <w:shd w:val="clear" w:color="auto" w:fill="FFFFFF"/>
        <w:rPr>
          <w:rFonts w:ascii="Calibri" w:hAnsi="Calibri" w:cs="Calibri"/>
          <w:color w:val="000000"/>
        </w:rPr>
      </w:pPr>
      <w:r>
        <w:rPr>
          <w:b/>
          <w:bCs/>
          <w:i/>
          <w:iCs/>
          <w:color w:val="000000"/>
          <w:shd w:val="clear" w:color="auto" w:fill="FFFFFF"/>
        </w:rPr>
        <w:t>Ar cieņu</w:t>
      </w:r>
    </w:p>
    <w:p w:rsidR="00A31382" w:rsidRDefault="00A31382" w:rsidP="00A31382">
      <w:pPr>
        <w:pStyle w:val="NormalWeb"/>
        <w:shd w:val="clear" w:color="auto" w:fill="FFFFFF"/>
        <w:rPr>
          <w:rFonts w:ascii="Calibri" w:hAnsi="Calibri" w:cs="Calibri"/>
          <w:color w:val="000000"/>
        </w:rPr>
      </w:pPr>
      <w:r>
        <w:rPr>
          <w:b/>
          <w:bCs/>
          <w:i/>
          <w:iCs/>
          <w:color w:val="000000"/>
          <w:shd w:val="clear" w:color="auto" w:fill="FFFFFF"/>
        </w:rPr>
        <w:t>Ilzes Māliņas p.i.</w:t>
      </w:r>
    </w:p>
    <w:p w:rsidR="00A31382" w:rsidRDefault="00A31382" w:rsidP="00A31382">
      <w:pPr>
        <w:pStyle w:val="NormalWeb"/>
        <w:shd w:val="clear" w:color="auto" w:fill="FFFFFF"/>
        <w:rPr>
          <w:color w:val="002060"/>
          <w:sz w:val="22"/>
          <w:szCs w:val="22"/>
        </w:rPr>
      </w:pPr>
      <w:r>
        <w:rPr>
          <w:b/>
          <w:bCs/>
          <w:i/>
          <w:iCs/>
          <w:color w:val="000000"/>
          <w:shd w:val="clear" w:color="auto" w:fill="FFFFFF"/>
        </w:rPr>
        <w:t>Juta Ķupe</w:t>
      </w:r>
    </w:p>
    <w:p w:rsidR="00A31382" w:rsidRDefault="00A31382" w:rsidP="00A31382">
      <w:pPr>
        <w:pStyle w:val="NormalWeb"/>
        <w:shd w:val="clear" w:color="auto" w:fill="FFFFFF"/>
        <w:rPr>
          <w:rFonts w:ascii="Calibri" w:hAnsi="Calibri" w:cs="Calibri"/>
          <w:color w:val="002060"/>
          <w:sz w:val="22"/>
          <w:szCs w:val="22"/>
        </w:rPr>
      </w:pPr>
      <w:r>
        <w:rPr>
          <w:b/>
          <w:bCs/>
          <w:i/>
          <w:iCs/>
          <w:color w:val="000000"/>
          <w:shd w:val="clear" w:color="auto" w:fill="FFFFFF"/>
        </w:rPr>
        <w:t>Tieslietu ministrijas</w:t>
      </w:r>
      <w:r>
        <w:rPr>
          <w:b/>
          <w:bCs/>
          <w:i/>
          <w:iCs/>
          <w:color w:val="000000"/>
          <w:sz w:val="20"/>
          <w:szCs w:val="20"/>
        </w:rPr>
        <w:br/>
      </w:r>
      <w:r>
        <w:rPr>
          <w:b/>
          <w:bCs/>
          <w:i/>
          <w:iCs/>
          <w:color w:val="000000"/>
          <w:shd w:val="clear" w:color="auto" w:fill="FFFFFF"/>
        </w:rPr>
        <w:t>Valststiesību departamenta</w:t>
      </w:r>
    </w:p>
    <w:p w:rsidR="00A31382" w:rsidRDefault="00A31382" w:rsidP="00A31382">
      <w:pPr>
        <w:pStyle w:val="NormalWeb"/>
        <w:shd w:val="clear" w:color="auto" w:fill="FFFFFF"/>
        <w:rPr>
          <w:rFonts w:ascii="Calibri" w:hAnsi="Calibri" w:cs="Calibri"/>
          <w:color w:val="002060"/>
          <w:sz w:val="22"/>
          <w:szCs w:val="22"/>
        </w:rPr>
      </w:pPr>
      <w:r>
        <w:rPr>
          <w:b/>
          <w:bCs/>
          <w:i/>
          <w:iCs/>
          <w:color w:val="000000"/>
          <w:shd w:val="clear" w:color="auto" w:fill="FFFFFF"/>
        </w:rPr>
        <w:t>Administratīvo tiesību nodaļas juriste</w:t>
      </w:r>
    </w:p>
    <w:p w:rsidR="00A31382" w:rsidRDefault="00A31382" w:rsidP="00A31382">
      <w:pPr>
        <w:pStyle w:val="NormalWeb"/>
        <w:shd w:val="clear" w:color="auto" w:fill="FFFFFF"/>
        <w:rPr>
          <w:rFonts w:ascii="Calibri" w:hAnsi="Calibri" w:cs="Calibri"/>
          <w:color w:val="002060"/>
          <w:sz w:val="22"/>
          <w:szCs w:val="22"/>
        </w:rPr>
      </w:pPr>
      <w:r>
        <w:rPr>
          <w:b/>
          <w:bCs/>
          <w:i/>
          <w:iCs/>
          <w:color w:val="000000"/>
          <w:shd w:val="clear" w:color="auto" w:fill="FFFFFF"/>
        </w:rPr>
        <w:t>Tālr. 67036937</w:t>
      </w:r>
      <w:r>
        <w:rPr>
          <w:i/>
          <w:iCs/>
          <w:color w:val="000000"/>
          <w:sz w:val="20"/>
          <w:szCs w:val="20"/>
        </w:rPr>
        <w:br/>
      </w:r>
      <w:r>
        <w:rPr>
          <w:b/>
          <w:bCs/>
          <w:i/>
          <w:iCs/>
          <w:color w:val="000000"/>
        </w:rPr>
        <w:t>E-pasts: </w:t>
      </w:r>
      <w:hyperlink r:id="rId8" w:tgtFrame="_blank" w:history="1">
        <w:r>
          <w:rPr>
            <w:rStyle w:val="Hyperlink"/>
            <w:b/>
            <w:bCs/>
            <w:i/>
            <w:iCs/>
          </w:rPr>
          <w:t>Juta.Kupe@tm.gov.lv</w:t>
        </w:r>
      </w:hyperlink>
    </w:p>
    <w:p w:rsidR="002F0D40" w:rsidRPr="00A31382" w:rsidRDefault="002F0D40" w:rsidP="00A31382">
      <w:pPr>
        <w:spacing w:after="0"/>
      </w:pPr>
    </w:p>
    <w:sectPr w:rsidR="002F0D40" w:rsidRPr="00A3138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959" w:rsidRDefault="001D2959" w:rsidP="0045063A">
      <w:pPr>
        <w:spacing w:after="0" w:line="240" w:lineRule="auto"/>
      </w:pPr>
      <w:r>
        <w:separator/>
      </w:r>
    </w:p>
  </w:endnote>
  <w:endnote w:type="continuationSeparator" w:id="0">
    <w:p w:rsidR="001D2959" w:rsidRDefault="001D2959"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959" w:rsidRDefault="001D2959" w:rsidP="0045063A">
      <w:pPr>
        <w:spacing w:after="0" w:line="240" w:lineRule="auto"/>
      </w:pPr>
      <w:r>
        <w:separator/>
      </w:r>
    </w:p>
  </w:footnote>
  <w:footnote w:type="continuationSeparator" w:id="0">
    <w:p w:rsidR="001D2959" w:rsidRDefault="001D2959" w:rsidP="0045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1D2959"/>
    <w:rsid w:val="00283BD0"/>
    <w:rsid w:val="002D6F4C"/>
    <w:rsid w:val="002F0D40"/>
    <w:rsid w:val="00353FDA"/>
    <w:rsid w:val="00397677"/>
    <w:rsid w:val="0041742A"/>
    <w:rsid w:val="0045063A"/>
    <w:rsid w:val="005105FE"/>
    <w:rsid w:val="007522D5"/>
    <w:rsid w:val="007B2B4C"/>
    <w:rsid w:val="00A31382"/>
    <w:rsid w:val="00CB03DA"/>
    <w:rsid w:val="00E97D7E"/>
    <w:rsid w:val="00F13048"/>
    <w:rsid w:val="00FA1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semiHidden/>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enija.Vitola@tm.gov.lv" TargetMode="External"/><Relationship Id="rId3" Type="http://schemas.openxmlformats.org/officeDocument/2006/relationships/webSettings" Target="webSettings.xml"/><Relationship Id="rId7" Type="http://schemas.openxmlformats.org/officeDocument/2006/relationships/hyperlink" Target="mailto:Juta.Kupe@tm.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e.sutugina@dvi.gov.l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5201</Words>
  <Characters>2965</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2021-10-13T13:33:00Z</dcterms:created>
  <dcterms:modified xsi:type="dcterms:W3CDTF">2021-10-13T13:33:00Z</dcterms:modified>
</cp:coreProperties>
</file>