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217"/>
        <w:gridCol w:w="6630"/>
        <w:gridCol w:w="1214"/>
      </w:tblGrid>
      <w:tr w:rsidR="0052564C" w:rsidTr="00255074">
        <w:trPr>
          <w:trHeight w:val="1832"/>
        </w:trPr>
        <w:tc>
          <w:tcPr>
            <w:tcW w:w="1242" w:type="dxa"/>
            <w:tcBorders>
              <w:top w:val="single" w:sz="4" w:space="0" w:color="FFFFFF" w:themeColor="background1"/>
              <w:left w:val="single" w:sz="4" w:space="0" w:color="FFFFFF" w:themeColor="background1"/>
              <w:bottom w:val="dashed" w:sz="4" w:space="0" w:color="auto"/>
              <w:right w:val="single" w:sz="4" w:space="0" w:color="FFFFFF" w:themeColor="background1"/>
            </w:tcBorders>
          </w:tcPr>
          <w:p w:rsidR="00255074" w:rsidRPr="00D04C96" w:rsidRDefault="00255074" w:rsidP="00FE70A0">
            <w:pPr>
              <w:jc w:val="both"/>
              <w:rPr>
                <w:szCs w:val="28"/>
              </w:rPr>
            </w:pPr>
            <w:bookmarkStart w:id="0" w:name="_GoBack"/>
            <w:bookmarkEnd w:id="0"/>
          </w:p>
        </w:tc>
        <w:tc>
          <w:tcPr>
            <w:tcW w:w="680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F49E4" w:rsidRPr="00D04C96" w:rsidRDefault="00931138" w:rsidP="000E429F">
            <w:pPr>
              <w:jc w:val="center"/>
              <w:rPr>
                <w:szCs w:val="28"/>
              </w:rPr>
            </w:pPr>
            <w:r w:rsidRPr="00D04C96">
              <w:rPr>
                <w:noProof/>
                <w:szCs w:val="28"/>
                <w:lang w:eastAsia="lv-LV"/>
              </w:rPr>
              <w:drawing>
                <wp:anchor distT="0" distB="0" distL="114300" distR="114300" simplePos="0" relativeHeight="251658240" behindDoc="0" locked="0" layoutInCell="1" allowOverlap="1">
                  <wp:simplePos x="0" y="0"/>
                  <wp:positionH relativeFrom="column">
                    <wp:posOffset>1188085</wp:posOffset>
                  </wp:positionH>
                  <wp:positionV relativeFrom="page">
                    <wp:posOffset>-521970</wp:posOffset>
                  </wp:positionV>
                  <wp:extent cx="1800000" cy="1800000"/>
                  <wp:effectExtent l="0" t="0" r="0" b="0"/>
                  <wp:wrapNone/>
                  <wp:docPr id="3" name="Picture 2" descr="bez_laukuma_rgb-LV_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_laukuma_rgb-LV_81.png"/>
                          <pic:cNvPicPr/>
                        </pic:nvPicPr>
                        <pic:blipFill>
                          <a:blip r:embed="rId8" cstate="print"/>
                          <a:stretch>
                            <a:fillRect/>
                          </a:stretch>
                        </pic:blipFill>
                        <pic:spPr>
                          <a:xfrm>
                            <a:off x="0" y="0"/>
                            <a:ext cx="1800000" cy="1800000"/>
                          </a:xfrm>
                          <a:prstGeom prst="rect">
                            <a:avLst/>
                          </a:prstGeom>
                        </pic:spPr>
                      </pic:pic>
                    </a:graphicData>
                  </a:graphic>
                </wp:anchor>
              </w:drawing>
            </w:r>
          </w:p>
        </w:tc>
        <w:tc>
          <w:tcPr>
            <w:tcW w:w="1241" w:type="dxa"/>
            <w:tcBorders>
              <w:top w:val="single" w:sz="4" w:space="0" w:color="FFFFFF" w:themeColor="background1"/>
              <w:left w:val="single" w:sz="4" w:space="0" w:color="FFFFFF" w:themeColor="background1"/>
              <w:bottom w:val="dashed" w:sz="4" w:space="0" w:color="auto"/>
              <w:right w:val="single" w:sz="4" w:space="0" w:color="FFFFFF" w:themeColor="background1"/>
            </w:tcBorders>
          </w:tcPr>
          <w:p w:rsidR="00255074" w:rsidRPr="00D04C96" w:rsidRDefault="00255074" w:rsidP="00255074">
            <w:pPr>
              <w:jc w:val="center"/>
              <w:rPr>
                <w:szCs w:val="28"/>
              </w:rPr>
            </w:pPr>
          </w:p>
        </w:tc>
      </w:tr>
      <w:tr w:rsidR="0052564C" w:rsidTr="00255074">
        <w:trPr>
          <w:trHeight w:val="553"/>
        </w:trPr>
        <w:tc>
          <w:tcPr>
            <w:tcW w:w="9287" w:type="dxa"/>
            <w:gridSpan w:val="3"/>
            <w:tcBorders>
              <w:top w:val="single" w:sz="4" w:space="0" w:color="FFFFFF" w:themeColor="background1"/>
              <w:left w:val="single" w:sz="4" w:space="0" w:color="FFFFFF" w:themeColor="background1"/>
              <w:bottom w:val="dashed" w:sz="4" w:space="0" w:color="auto"/>
              <w:right w:val="single" w:sz="4" w:space="0" w:color="FFFFFF" w:themeColor="background1"/>
            </w:tcBorders>
            <w:vAlign w:val="center"/>
          </w:tcPr>
          <w:p w:rsidR="00255074" w:rsidRPr="00311C99" w:rsidRDefault="00931138" w:rsidP="00255074">
            <w:pPr>
              <w:jc w:val="center"/>
              <w:rPr>
                <w:sz w:val="16"/>
                <w:szCs w:val="16"/>
              </w:rPr>
            </w:pPr>
            <w:r w:rsidRPr="005A3EEC">
              <w:rPr>
                <w:rFonts w:eastAsia="Times New Roman"/>
                <w:color w:val="231F20"/>
                <w:sz w:val="17"/>
                <w:szCs w:val="17"/>
              </w:rPr>
              <w:t>Brīvības iela 72, Rīga, LV-1011, tālr. 67876000, fakss 67876002, e-pasts vm@vm.gov.lv, www.vm.gov.lv</w:t>
            </w:r>
          </w:p>
        </w:tc>
      </w:tr>
      <w:tr w:rsidR="0052564C" w:rsidTr="00255074">
        <w:tblPrEx>
          <w:tblLook w:val="0000" w:firstRow="0" w:lastRow="0" w:firstColumn="0" w:lastColumn="0" w:noHBand="0" w:noVBand="0"/>
        </w:tblPrEx>
        <w:trPr>
          <w:trHeight w:val="561"/>
        </w:trPr>
        <w:tc>
          <w:tcPr>
            <w:tcW w:w="928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55074" w:rsidRPr="00D04C96" w:rsidRDefault="00931138" w:rsidP="00255074">
            <w:pPr>
              <w:jc w:val="center"/>
              <w:rPr>
                <w:szCs w:val="28"/>
              </w:rPr>
            </w:pPr>
            <w:r w:rsidRPr="00D04C96">
              <w:rPr>
                <w:szCs w:val="28"/>
              </w:rPr>
              <w:t>Rīgā</w:t>
            </w:r>
          </w:p>
        </w:tc>
      </w:tr>
    </w:tbl>
    <w:p w:rsidR="00255074" w:rsidRPr="00D04C96" w:rsidRDefault="00255074" w:rsidP="00BD73D9">
      <w:pPr>
        <w:tabs>
          <w:tab w:val="left" w:pos="0"/>
          <w:tab w:val="right" w:pos="4678"/>
        </w:tabs>
        <w:spacing w:after="0" w:line="240" w:lineRule="auto"/>
        <w:rPr>
          <w:szCs w:val="28"/>
        </w:rPr>
      </w:pPr>
    </w:p>
    <w:p w:rsidR="008616C4" w:rsidRPr="00D04C96" w:rsidRDefault="00931138" w:rsidP="008616C4">
      <w:pPr>
        <w:pStyle w:val="pamattekststabul"/>
        <w:spacing w:before="0" w:beforeAutospacing="0" w:after="0" w:afterAutospacing="0"/>
        <w:rPr>
          <w:sz w:val="28"/>
          <w:szCs w:val="28"/>
          <w:lang w:val="lv-LV"/>
        </w:rPr>
      </w:pPr>
      <w:r w:rsidRPr="00311C99">
        <w:rPr>
          <w:sz w:val="20"/>
          <w:szCs w:val="20"/>
          <w:lang w:val="lv-LV"/>
        </w:rPr>
        <w:t>Datums skatāms laika zīmogā</w:t>
      </w:r>
      <w:r w:rsidRPr="00D04C96">
        <w:rPr>
          <w:sz w:val="28"/>
          <w:szCs w:val="28"/>
          <w:lang w:val="lv-LV"/>
        </w:rPr>
        <w:tab/>
        <w:t>Nr</w:t>
      </w:r>
      <w:r w:rsidR="0025235E" w:rsidRPr="00D04C96">
        <w:rPr>
          <w:sz w:val="28"/>
          <w:szCs w:val="28"/>
          <w:lang w:val="lv-LV"/>
        </w:rPr>
        <w:t xml:space="preserve">. </w:t>
      </w:r>
      <w:r w:rsidR="00BE191A" w:rsidRPr="00D04C96">
        <w:rPr>
          <w:noProof/>
          <w:sz w:val="28"/>
          <w:szCs w:val="28"/>
          <w:lang w:val="lv-LV"/>
        </w:rPr>
        <w:t>01-09/2950</w:t>
      </w:r>
    </w:p>
    <w:tbl>
      <w:tblPr>
        <w:tblStyle w:val="TableGrid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
        <w:gridCol w:w="1584"/>
        <w:gridCol w:w="582"/>
        <w:gridCol w:w="3387"/>
        <w:gridCol w:w="283"/>
      </w:tblGrid>
      <w:tr w:rsidR="0052564C" w:rsidTr="00E5769A">
        <w:trPr>
          <w:trHeight w:val="269"/>
        </w:trPr>
        <w:tc>
          <w:tcPr>
            <w:tcW w:w="543" w:type="dxa"/>
          </w:tcPr>
          <w:p w:rsidR="00A47C5D" w:rsidRPr="00D04C96" w:rsidRDefault="00931138" w:rsidP="008D18D6">
            <w:pPr>
              <w:pStyle w:val="pamattekststabul"/>
              <w:spacing w:before="0" w:beforeAutospacing="0" w:after="0" w:afterAutospacing="0"/>
              <w:rPr>
                <w:sz w:val="28"/>
                <w:szCs w:val="28"/>
                <w:lang w:val="lv-LV"/>
              </w:rPr>
            </w:pPr>
            <w:r w:rsidRPr="00D04C96">
              <w:rPr>
                <w:sz w:val="28"/>
                <w:szCs w:val="28"/>
                <w:lang w:val="lv-LV"/>
              </w:rPr>
              <w:t>Uz</w:t>
            </w:r>
          </w:p>
        </w:tc>
        <w:tc>
          <w:tcPr>
            <w:tcW w:w="1584" w:type="dxa"/>
            <w:tcBorders>
              <w:bottom w:val="single" w:sz="4" w:space="0" w:color="auto"/>
            </w:tcBorders>
          </w:tcPr>
          <w:p w:rsidR="00A47C5D" w:rsidRPr="00D04C96" w:rsidRDefault="00931138" w:rsidP="008D18D6">
            <w:pPr>
              <w:pStyle w:val="pamattekststabul"/>
              <w:spacing w:before="0" w:beforeAutospacing="0" w:after="0" w:afterAutospacing="0"/>
              <w:rPr>
                <w:sz w:val="28"/>
                <w:szCs w:val="28"/>
                <w:lang w:val="lv-LV"/>
              </w:rPr>
            </w:pPr>
            <w:r w:rsidRPr="00D04C96">
              <w:rPr>
                <w:sz w:val="28"/>
                <w:szCs w:val="28"/>
              </w:rPr>
              <w:t xml:space="preserve">13.05.2021. </w:t>
            </w:r>
          </w:p>
        </w:tc>
        <w:tc>
          <w:tcPr>
            <w:tcW w:w="582" w:type="dxa"/>
          </w:tcPr>
          <w:p w:rsidR="00A47C5D" w:rsidRPr="00D04C96" w:rsidRDefault="00931138" w:rsidP="008D18D6">
            <w:pPr>
              <w:pStyle w:val="pamattekststabul"/>
              <w:spacing w:before="0" w:beforeAutospacing="0" w:after="0" w:afterAutospacing="0"/>
              <w:rPr>
                <w:sz w:val="28"/>
                <w:szCs w:val="28"/>
                <w:lang w:val="lv-LV"/>
              </w:rPr>
            </w:pPr>
            <w:r w:rsidRPr="00D04C96">
              <w:rPr>
                <w:sz w:val="28"/>
                <w:szCs w:val="28"/>
                <w:lang w:val="lv-LV"/>
              </w:rPr>
              <w:t>Nr.</w:t>
            </w:r>
          </w:p>
        </w:tc>
        <w:tc>
          <w:tcPr>
            <w:tcW w:w="3387" w:type="dxa"/>
            <w:tcBorders>
              <w:bottom w:val="single" w:sz="4" w:space="0" w:color="auto"/>
            </w:tcBorders>
          </w:tcPr>
          <w:p w:rsidR="00A47C5D" w:rsidRPr="00D04C96" w:rsidRDefault="00931138" w:rsidP="008D18D6">
            <w:pPr>
              <w:pStyle w:val="pamattekststabul"/>
              <w:spacing w:before="0" w:beforeAutospacing="0" w:after="0" w:afterAutospacing="0"/>
              <w:rPr>
                <w:sz w:val="28"/>
                <w:szCs w:val="28"/>
                <w:lang w:val="lv-LV"/>
              </w:rPr>
            </w:pPr>
            <w:r w:rsidRPr="00D04C96">
              <w:rPr>
                <w:sz w:val="28"/>
                <w:szCs w:val="28"/>
                <w:lang w:val="lv-LV"/>
              </w:rPr>
              <w:t xml:space="preserve">VSS-413 (prot. Nr.18 </w:t>
            </w:r>
            <w:r w:rsidR="006E5861" w:rsidRPr="00D04C96">
              <w:rPr>
                <w:sz w:val="28"/>
                <w:szCs w:val="28"/>
                <w:lang w:val="lv-LV"/>
              </w:rPr>
              <w:t>38</w:t>
            </w:r>
            <w:r w:rsidRPr="00D04C96">
              <w:rPr>
                <w:sz w:val="28"/>
                <w:szCs w:val="28"/>
                <w:lang w:val="lv-LV"/>
              </w:rPr>
              <w:t>.§)</w:t>
            </w:r>
          </w:p>
        </w:tc>
        <w:tc>
          <w:tcPr>
            <w:tcW w:w="283" w:type="dxa"/>
          </w:tcPr>
          <w:p w:rsidR="00A47C5D" w:rsidRPr="00D04C96" w:rsidRDefault="00A47C5D" w:rsidP="008D18D6">
            <w:pPr>
              <w:pStyle w:val="pamattekststabul"/>
              <w:spacing w:before="0" w:beforeAutospacing="0" w:after="0" w:afterAutospacing="0"/>
              <w:rPr>
                <w:sz w:val="28"/>
                <w:szCs w:val="28"/>
                <w:lang w:val="lv-LV"/>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52564C" w:rsidTr="0041608F">
        <w:tc>
          <w:tcPr>
            <w:tcW w:w="4530" w:type="dxa"/>
          </w:tcPr>
          <w:p w:rsidR="00EA1868" w:rsidRPr="00D04C96" w:rsidRDefault="00EA1868" w:rsidP="0041608F">
            <w:pPr>
              <w:rPr>
                <w:i/>
                <w:szCs w:val="28"/>
              </w:rPr>
            </w:pPr>
            <w:bookmarkStart w:id="1" w:name="_Hlk505799474"/>
          </w:p>
        </w:tc>
        <w:tc>
          <w:tcPr>
            <w:tcW w:w="4531" w:type="dxa"/>
          </w:tcPr>
          <w:p w:rsidR="00DD5F14" w:rsidRPr="00D04C96" w:rsidRDefault="00DD5F14" w:rsidP="00FE70A0">
            <w:pPr>
              <w:jc w:val="right"/>
              <w:rPr>
                <w:rFonts w:eastAsia="Times New Roman"/>
                <w:szCs w:val="28"/>
              </w:rPr>
            </w:pPr>
          </w:p>
          <w:p w:rsidR="00EA1868" w:rsidRPr="00D04C96" w:rsidRDefault="00931138" w:rsidP="00FE70A0">
            <w:pPr>
              <w:jc w:val="right"/>
              <w:rPr>
                <w:rFonts w:eastAsia="Times New Roman"/>
                <w:szCs w:val="28"/>
              </w:rPr>
            </w:pPr>
            <w:r w:rsidRPr="00D04C96">
              <w:rPr>
                <w:rFonts w:eastAsia="Times New Roman"/>
                <w:noProof/>
                <w:szCs w:val="28"/>
              </w:rPr>
              <w:t xml:space="preserve">Latvijas Republikas Vides aizsardzības un </w:t>
            </w:r>
            <w:r w:rsidRPr="00D04C96">
              <w:rPr>
                <w:rFonts w:eastAsia="Times New Roman"/>
                <w:noProof/>
                <w:szCs w:val="28"/>
              </w:rPr>
              <w:t>reģionālās attīstības ministrija</w:t>
            </w:r>
            <w:r w:rsidR="00E5769A" w:rsidRPr="00D04C96">
              <w:rPr>
                <w:rFonts w:eastAsia="Times New Roman"/>
                <w:noProof/>
                <w:szCs w:val="28"/>
              </w:rPr>
              <w:t xml:space="preserve">i </w:t>
            </w:r>
          </w:p>
          <w:p w:rsidR="008155FB" w:rsidRPr="00D04C96" w:rsidRDefault="008155FB" w:rsidP="00FE70A0">
            <w:pPr>
              <w:jc w:val="right"/>
              <w:rPr>
                <w:szCs w:val="28"/>
              </w:rPr>
            </w:pPr>
          </w:p>
        </w:tc>
      </w:tr>
      <w:tr w:rsidR="0052564C" w:rsidTr="0041608F">
        <w:tc>
          <w:tcPr>
            <w:tcW w:w="4530" w:type="dxa"/>
          </w:tcPr>
          <w:p w:rsidR="00EA1868" w:rsidRPr="00D04C96" w:rsidRDefault="00931138" w:rsidP="0041608F">
            <w:pPr>
              <w:rPr>
                <w:szCs w:val="28"/>
              </w:rPr>
            </w:pPr>
            <w:bookmarkStart w:id="2" w:name="_Hlk505798417"/>
            <w:r w:rsidRPr="00D04C96">
              <w:rPr>
                <w:i/>
                <w:noProof/>
                <w:szCs w:val="28"/>
              </w:rPr>
              <w:t>Atzinums par likumprojektu “</w:t>
            </w:r>
            <w:bookmarkStart w:id="3" w:name="_Hlk73094290"/>
            <w:r w:rsidRPr="00D04C96">
              <w:rPr>
                <w:i/>
                <w:noProof/>
                <w:szCs w:val="28"/>
              </w:rPr>
              <w:t>Grozījumi Valsts informācijas sistēmu likumā</w:t>
            </w:r>
            <w:bookmarkEnd w:id="3"/>
            <w:r w:rsidRPr="00D04C96">
              <w:rPr>
                <w:i/>
                <w:noProof/>
                <w:szCs w:val="28"/>
              </w:rPr>
              <w:t>" (VSS-413)</w:t>
            </w:r>
            <w:bookmarkEnd w:id="2"/>
            <w:r w:rsidR="00E5769A" w:rsidRPr="00D04C96">
              <w:rPr>
                <w:i/>
                <w:noProof/>
                <w:szCs w:val="28"/>
              </w:rPr>
              <w:t xml:space="preserve"> </w:t>
            </w:r>
          </w:p>
        </w:tc>
        <w:tc>
          <w:tcPr>
            <w:tcW w:w="4531" w:type="dxa"/>
          </w:tcPr>
          <w:p w:rsidR="00EA1868" w:rsidRPr="00D04C96" w:rsidRDefault="00EA1868" w:rsidP="0041608F">
            <w:pPr>
              <w:jc w:val="right"/>
              <w:rPr>
                <w:szCs w:val="28"/>
              </w:rPr>
            </w:pPr>
          </w:p>
        </w:tc>
      </w:tr>
      <w:bookmarkEnd w:id="1"/>
    </w:tbl>
    <w:p w:rsidR="00BE191A" w:rsidRPr="00D04C96" w:rsidRDefault="00BE191A" w:rsidP="00962685">
      <w:pPr>
        <w:spacing w:after="0" w:line="240" w:lineRule="auto"/>
        <w:ind w:firstLine="720"/>
        <w:jc w:val="both"/>
        <w:rPr>
          <w:szCs w:val="28"/>
        </w:rPr>
      </w:pPr>
    </w:p>
    <w:p w:rsidR="006541D3" w:rsidRPr="00D04C96" w:rsidRDefault="006541D3" w:rsidP="00962685">
      <w:pPr>
        <w:spacing w:after="0" w:line="240" w:lineRule="auto"/>
        <w:ind w:firstLine="720"/>
        <w:rPr>
          <w:szCs w:val="28"/>
        </w:rPr>
      </w:pPr>
    </w:p>
    <w:p w:rsidR="00B131B2" w:rsidRDefault="00931138" w:rsidP="00B43E46">
      <w:pPr>
        <w:widowControl/>
        <w:spacing w:after="0" w:line="240" w:lineRule="auto"/>
        <w:ind w:firstLine="720"/>
        <w:jc w:val="both"/>
        <w:textAlignment w:val="baseline"/>
        <w:rPr>
          <w:szCs w:val="28"/>
        </w:rPr>
      </w:pPr>
      <w:r w:rsidRPr="00847DAE">
        <w:rPr>
          <w:szCs w:val="28"/>
        </w:rPr>
        <w:t>Veselības ministrija saskaņā ar Valsts sekretāru 2021.gada 13.maija sanāksmes protokola Nr.18 38.§ (VSS</w:t>
      </w:r>
      <w:r w:rsidR="00837973">
        <w:rPr>
          <w:szCs w:val="28"/>
        </w:rPr>
        <w:t xml:space="preserve"> – </w:t>
      </w:r>
      <w:r w:rsidRPr="00847DAE">
        <w:rPr>
          <w:szCs w:val="28"/>
        </w:rPr>
        <w:t>413) savas kompetences ietvaros ir izskatījusi Vides aizsardzības un reģionālās attīstības ministrijas izstrādāto likumprojektu „ Grozījumi Valsts informācijas sistēmu likumā" (turpmāk – likumprojekts) un atbalsta tā tālāku virzību, vienlaikus izsakot šādu</w:t>
      </w:r>
      <w:r w:rsidRPr="00847DAE">
        <w:rPr>
          <w:szCs w:val="28"/>
        </w:rPr>
        <w:t xml:space="preserve">s iebildumus un priekšlikumus: </w:t>
      </w:r>
    </w:p>
    <w:p w:rsidR="00B131B2" w:rsidRPr="00D04C96" w:rsidRDefault="00931138" w:rsidP="00B43E46">
      <w:pPr>
        <w:widowControl/>
        <w:spacing w:after="0" w:line="240" w:lineRule="auto"/>
        <w:ind w:firstLine="720"/>
        <w:jc w:val="both"/>
        <w:textAlignment w:val="baseline"/>
        <w:rPr>
          <w:szCs w:val="28"/>
        </w:rPr>
      </w:pPr>
      <w:r>
        <w:rPr>
          <w:szCs w:val="28"/>
        </w:rPr>
        <w:t>1.</w:t>
      </w:r>
      <w:r w:rsidR="001D1EFA">
        <w:rPr>
          <w:szCs w:val="28"/>
        </w:rPr>
        <w:t> </w:t>
      </w:r>
      <w:r w:rsidRPr="00D04C96">
        <w:rPr>
          <w:szCs w:val="28"/>
        </w:rPr>
        <w:t>Lūdzam labot termina “valsts informācijas sistēma” skaidrojumu. Nepiekrītam, ka jebkuras, piemēram, privātpersonas jeb institūcijas, kura “nodrošina institūcijai noteikto funkciju vai deleģēto uzdevumu izpildei nepiecieša</w:t>
      </w:r>
      <w:r w:rsidRPr="00D04C96">
        <w:rPr>
          <w:szCs w:val="28"/>
        </w:rPr>
        <w:t>mās informācijas ierosināšanu, radīšanu, apkopošanu, uzkrāšanu, apstrādāšanu, izmantošanu un iznīcināšanu (turpmāk — informācijas aprite)”, jebkurš IKT resurss, kura darbību šī privātpersona jeb institūcijas nodrošina</w:t>
      </w:r>
      <w:r>
        <w:rPr>
          <w:szCs w:val="28"/>
        </w:rPr>
        <w:t>,</w:t>
      </w:r>
      <w:r w:rsidRPr="00D04C96">
        <w:rPr>
          <w:szCs w:val="28"/>
        </w:rPr>
        <w:t xml:space="preserve"> ir valsts informācijas sistēma. </w:t>
      </w:r>
    </w:p>
    <w:p w:rsidR="00B131B2" w:rsidRPr="00D04C96" w:rsidRDefault="00931138" w:rsidP="00B43E46">
      <w:pPr>
        <w:widowControl/>
        <w:spacing w:after="0" w:line="240" w:lineRule="auto"/>
        <w:ind w:firstLine="720"/>
        <w:jc w:val="both"/>
        <w:textAlignment w:val="baseline"/>
        <w:rPr>
          <w:szCs w:val="28"/>
        </w:rPr>
      </w:pPr>
      <w:r>
        <w:rPr>
          <w:szCs w:val="28"/>
        </w:rPr>
        <w:t>2.</w:t>
      </w:r>
      <w:r w:rsidR="001D1EFA">
        <w:rPr>
          <w:szCs w:val="28"/>
        </w:rPr>
        <w:t> </w:t>
      </w:r>
      <w:r w:rsidRPr="00D04C96">
        <w:rPr>
          <w:szCs w:val="28"/>
        </w:rPr>
        <w:t>L</w:t>
      </w:r>
      <w:r w:rsidRPr="00D04C96">
        <w:rPr>
          <w:szCs w:val="28"/>
        </w:rPr>
        <w:t>ūdzam precizēt</w:t>
      </w:r>
      <w:r>
        <w:rPr>
          <w:szCs w:val="28"/>
        </w:rPr>
        <w:t>, kā arī</w:t>
      </w:r>
      <w:r w:rsidRPr="00D04C96">
        <w:rPr>
          <w:szCs w:val="28"/>
        </w:rPr>
        <w:t xml:space="preserve"> skaidrot terminu “valsts informācijas sistēmas turētājs”, k</w:t>
      </w:r>
      <w:r>
        <w:rPr>
          <w:szCs w:val="28"/>
        </w:rPr>
        <w:t>ā</w:t>
      </w:r>
      <w:r w:rsidRPr="00D04C96">
        <w:rPr>
          <w:szCs w:val="28"/>
        </w:rPr>
        <w:t>d</w:t>
      </w:r>
      <w:r>
        <w:rPr>
          <w:szCs w:val="28"/>
        </w:rPr>
        <w:t>os gadījumos</w:t>
      </w:r>
      <w:r w:rsidRPr="00D04C96">
        <w:rPr>
          <w:szCs w:val="28"/>
        </w:rPr>
        <w:t xml:space="preserve"> šādu terminu iecerēts lietot un uz ko attiecināt</w:t>
      </w:r>
      <w:r>
        <w:rPr>
          <w:szCs w:val="28"/>
        </w:rPr>
        <w:t>, ņemot vērā to, ka šo terminu var attiecināt uz dažādām institūcijas lomām IKT resursu uzturēšanā</w:t>
      </w:r>
      <w:r w:rsidRPr="00D04C96">
        <w:rPr>
          <w:szCs w:val="28"/>
        </w:rPr>
        <w:t>. Nav saprota</w:t>
      </w:r>
      <w:r w:rsidRPr="00D04C96">
        <w:rPr>
          <w:szCs w:val="28"/>
        </w:rPr>
        <w:t>ms, gadījumā, ja valsts IS (turpmāk – IS) tehniskie resursi ir izvietoti ārpus institūcijas, tie tiek nomāti no IKT infrastruktūras koplietošanas datu centra pakalpojumu sniedzēja, bet IS tehnisko resurs</w:t>
      </w:r>
      <w:r w:rsidR="004E5DB9">
        <w:rPr>
          <w:szCs w:val="28"/>
        </w:rPr>
        <w:t>u</w:t>
      </w:r>
      <w:r w:rsidRPr="00D04C96">
        <w:rPr>
          <w:szCs w:val="28"/>
        </w:rPr>
        <w:t xml:space="preserve"> administrēšanu nodrošina institūcijas darbinieki va</w:t>
      </w:r>
      <w:r w:rsidRPr="00D04C96">
        <w:rPr>
          <w:szCs w:val="28"/>
        </w:rPr>
        <w:t xml:space="preserve">i citā gadījumā – institūcija šī darba nodrošināšanai izmanto citu ārpakalpojuma sniedzēju, uz ko ir attiecināms šis </w:t>
      </w:r>
      <w:r w:rsidRPr="00D04C96">
        <w:rPr>
          <w:szCs w:val="28"/>
        </w:rPr>
        <w:lastRenderedPageBreak/>
        <w:t>termins.</w:t>
      </w:r>
      <w:r>
        <w:rPr>
          <w:szCs w:val="28"/>
        </w:rPr>
        <w:t xml:space="preserve"> Mūsuprāt ar šo terminu var apzīmēt visas trīs atšķirīgās lomas – gan </w:t>
      </w:r>
      <w:r w:rsidRPr="00D04C96">
        <w:rPr>
          <w:szCs w:val="28"/>
        </w:rPr>
        <w:t>IKT infrastruktūras koplietošanas datu centra pakalpojumu sni</w:t>
      </w:r>
      <w:r w:rsidRPr="00D04C96">
        <w:rPr>
          <w:szCs w:val="28"/>
        </w:rPr>
        <w:t>edzēj</w:t>
      </w:r>
      <w:r>
        <w:rPr>
          <w:szCs w:val="28"/>
        </w:rPr>
        <w:t>u, gan pašas institūcijas veikto IS tehnisko resursu administrēšanu, gan ārpakalpojuma sniedzēju.</w:t>
      </w:r>
      <w:r w:rsidRPr="00D04C96">
        <w:rPr>
          <w:szCs w:val="28"/>
        </w:rPr>
        <w:t xml:space="preserve"> </w:t>
      </w:r>
      <w:r>
        <w:rPr>
          <w:szCs w:val="28"/>
        </w:rPr>
        <w:t>Papildus tam</w:t>
      </w:r>
      <w:r w:rsidRPr="00D04C96">
        <w:rPr>
          <w:szCs w:val="28"/>
        </w:rPr>
        <w:t xml:space="preserve"> vēršam uzmanību, ka mūsu ieskatā termina skaidrojumu ir nepieciešams izvērst, jo “IKT resursu uzturēšana” ir plašs jēdziens, kas sevī ietver</w:t>
      </w:r>
      <w:r>
        <w:rPr>
          <w:szCs w:val="28"/>
        </w:rPr>
        <w:t xml:space="preserve"> ne tikai</w:t>
      </w:r>
      <w:r w:rsidRPr="00D04C96">
        <w:rPr>
          <w:szCs w:val="28"/>
        </w:rPr>
        <w:t xml:space="preserve"> IS tehnisko resursu (IKT infrastruktūras komponenšu) uzturēšanu</w:t>
      </w:r>
      <w:r>
        <w:rPr>
          <w:szCs w:val="28"/>
        </w:rPr>
        <w:t xml:space="preserve">, bet arī </w:t>
      </w:r>
      <w:r w:rsidRPr="00D04C96">
        <w:rPr>
          <w:szCs w:val="28"/>
        </w:rPr>
        <w:t xml:space="preserve">kļūdu novēršanu IS programmatūrā (programmēšana). </w:t>
      </w:r>
    </w:p>
    <w:p w:rsidR="00B131B2" w:rsidRPr="00D04C96" w:rsidRDefault="00931138" w:rsidP="00B43E46">
      <w:pPr>
        <w:spacing w:after="0" w:line="240" w:lineRule="auto"/>
        <w:ind w:firstLine="720"/>
        <w:jc w:val="both"/>
        <w:rPr>
          <w:szCs w:val="28"/>
        </w:rPr>
      </w:pPr>
      <w:r>
        <w:rPr>
          <w:szCs w:val="28"/>
        </w:rPr>
        <w:t>3.</w:t>
      </w:r>
      <w:r w:rsidR="00EA577B">
        <w:rPr>
          <w:szCs w:val="28"/>
        </w:rPr>
        <w:t> </w:t>
      </w:r>
      <w:r>
        <w:rPr>
          <w:szCs w:val="28"/>
        </w:rPr>
        <w:t>Ar l</w:t>
      </w:r>
      <w:r w:rsidRPr="00D04C96">
        <w:rPr>
          <w:szCs w:val="28"/>
        </w:rPr>
        <w:t>ikumprojekt</w:t>
      </w:r>
      <w:r>
        <w:rPr>
          <w:szCs w:val="28"/>
        </w:rPr>
        <w:t>u</w:t>
      </w:r>
      <w:r w:rsidRPr="00D04C96">
        <w:rPr>
          <w:szCs w:val="28"/>
        </w:rPr>
        <w:t xml:space="preserve"> tiek ieviests jauns termins – “valsts platforma”. Vadoties no likumprojektā sniegto terminu skaidrojum</w:t>
      </w:r>
      <w:r w:rsidRPr="00D04C96">
        <w:rPr>
          <w:szCs w:val="28"/>
        </w:rPr>
        <w:t>a (skat. arī IKT resurss), ar šo terminu turpmāk apzīmēs jebkuru IKT resursu (arī tehnoloģisko risinājumu), ja vien to izmantos vismaz divas (jebkuras) institūcijas (t.sk. arī vismaz divas privātpersonas, kurām deleģēti valsts pārvaldes uzdevumi) savu funk</w:t>
      </w:r>
      <w:r w:rsidRPr="00D04C96">
        <w:rPr>
          <w:szCs w:val="28"/>
        </w:rPr>
        <w:t xml:space="preserve">ciju un uzdevumu izpildei. Piemēram, ugunsmūris, interneta resurss, tīkls utt., ko kopīgi izmanto institūcijas, t.sk. arī vismaz divas privātpersonas, tiks uzskatīts par “valsts platformu”. Tajā skaitā resorā ieviesta vienota dokumentu vadības sistēma, ko </w:t>
      </w:r>
      <w:r w:rsidRPr="00D04C96">
        <w:rPr>
          <w:szCs w:val="28"/>
        </w:rPr>
        <w:t xml:space="preserve">lieto vairākas iestādes arī atbilst termina “valsts platforma” aprakstam. Šāda termina ieviešanai un pielietojumam nesaskatām jēgu, lūdzam veikt atbilstošas izmaiņas, lai šī termina ieviešanai būtu kāda saturiskā nozīme, vai svītrot to, veicot atbilstošas </w:t>
      </w:r>
      <w:r w:rsidRPr="00D04C96">
        <w:rPr>
          <w:szCs w:val="28"/>
        </w:rPr>
        <w:t xml:space="preserve">izmaiņas likumprojektā. </w:t>
      </w:r>
    </w:p>
    <w:p w:rsidR="00B131B2" w:rsidRDefault="00931138" w:rsidP="00B43E46">
      <w:pPr>
        <w:widowControl/>
        <w:spacing w:after="0" w:line="240" w:lineRule="auto"/>
        <w:ind w:firstLine="720"/>
        <w:jc w:val="both"/>
        <w:textAlignment w:val="baseline"/>
        <w:rPr>
          <w:szCs w:val="28"/>
        </w:rPr>
      </w:pPr>
      <w:r>
        <w:rPr>
          <w:szCs w:val="28"/>
        </w:rPr>
        <w:t>4.</w:t>
      </w:r>
      <w:r w:rsidR="00EA577B">
        <w:rPr>
          <w:szCs w:val="28"/>
        </w:rPr>
        <w:t> </w:t>
      </w:r>
      <w:r>
        <w:rPr>
          <w:szCs w:val="28"/>
        </w:rPr>
        <w:t xml:space="preserve">Nav viennozīmīgi saprotams, </w:t>
      </w:r>
      <w:r w:rsidRPr="00D04C96">
        <w:rPr>
          <w:szCs w:val="28"/>
        </w:rPr>
        <w:t>ar ko “valsts platforma” atšķiras no termina “valsts IS savietotājs”, kad kurš no terminiem ir lietojams. Vadoties no terminiem</w:t>
      </w:r>
      <w:r>
        <w:rPr>
          <w:szCs w:val="28"/>
        </w:rPr>
        <w:t>,</w:t>
      </w:r>
      <w:r w:rsidRPr="00D04C96">
        <w:rPr>
          <w:szCs w:val="28"/>
        </w:rPr>
        <w:t xml:space="preserve"> izriet, ka valsts IS savietotājs ir valsts platforma. Lūdzam precizēt</w:t>
      </w:r>
      <w:r>
        <w:rPr>
          <w:szCs w:val="28"/>
        </w:rPr>
        <w:t xml:space="preserve"> terminu skaidrojumus. </w:t>
      </w:r>
    </w:p>
    <w:p w:rsidR="00B131B2" w:rsidRPr="00D04C96" w:rsidRDefault="00931138" w:rsidP="00B43E46">
      <w:pPr>
        <w:widowControl/>
        <w:spacing w:after="0" w:line="240" w:lineRule="auto"/>
        <w:ind w:firstLine="720"/>
        <w:jc w:val="both"/>
        <w:textAlignment w:val="baseline"/>
        <w:rPr>
          <w:szCs w:val="28"/>
        </w:rPr>
      </w:pPr>
      <w:r>
        <w:rPr>
          <w:szCs w:val="28"/>
        </w:rPr>
        <w:t>5.</w:t>
      </w:r>
      <w:r w:rsidR="00EA577B">
        <w:rPr>
          <w:szCs w:val="28"/>
        </w:rPr>
        <w:t> </w:t>
      </w:r>
      <w:r>
        <w:rPr>
          <w:szCs w:val="28"/>
        </w:rPr>
        <w:t>I</w:t>
      </w:r>
      <w:r w:rsidRPr="00D04C96">
        <w:rPr>
          <w:szCs w:val="28"/>
        </w:rPr>
        <w:t>zsak</w:t>
      </w:r>
      <w:r>
        <w:rPr>
          <w:szCs w:val="28"/>
        </w:rPr>
        <w:t>ām</w:t>
      </w:r>
      <w:r w:rsidRPr="00D04C96">
        <w:rPr>
          <w:szCs w:val="28"/>
        </w:rPr>
        <w:t xml:space="preserve"> priekšlikumu pārskatīt un saskaņot Ministru kabineta 2019.gada 5.novembra noteikumos Nr.523 “Valsts informācijas resursu, sistēmu un sadarbspējas informācijas sistēmas noteikumi” (turpmāk </w:t>
      </w:r>
      <w:r>
        <w:rPr>
          <w:szCs w:val="28"/>
        </w:rPr>
        <w:t>–</w:t>
      </w:r>
      <w:r w:rsidRPr="00D04C96">
        <w:rPr>
          <w:szCs w:val="28"/>
        </w:rPr>
        <w:t xml:space="preserve"> Noteikumi</w:t>
      </w:r>
      <w:r>
        <w:rPr>
          <w:szCs w:val="28"/>
        </w:rPr>
        <w:t xml:space="preserve"> </w:t>
      </w:r>
      <w:r w:rsidRPr="00D04C96">
        <w:rPr>
          <w:szCs w:val="28"/>
        </w:rPr>
        <w:t>Nr.523) lietoto termi</w:t>
      </w:r>
      <w:r w:rsidRPr="00D04C96">
        <w:rPr>
          <w:szCs w:val="28"/>
        </w:rPr>
        <w:t>noloģiju</w:t>
      </w:r>
      <w:r>
        <w:rPr>
          <w:szCs w:val="28"/>
        </w:rPr>
        <w:t xml:space="preserve"> ar likumprojekta un VISL terminoloģiju, vai otrādāk</w:t>
      </w:r>
      <w:r w:rsidRPr="00D04C96">
        <w:rPr>
          <w:szCs w:val="28"/>
        </w:rPr>
        <w:t xml:space="preserve">. Gan </w:t>
      </w:r>
      <w:r>
        <w:rPr>
          <w:szCs w:val="28"/>
        </w:rPr>
        <w:t>l</w:t>
      </w:r>
      <w:r w:rsidRPr="00D04C96">
        <w:rPr>
          <w:szCs w:val="28"/>
        </w:rPr>
        <w:t>ikumprojektā, gan Noteikumos Nr.523 ir ietverti identiski</w:t>
      </w:r>
      <w:r>
        <w:rPr>
          <w:szCs w:val="28"/>
        </w:rPr>
        <w:t xml:space="preserve">, kā arī </w:t>
      </w:r>
      <w:r w:rsidRPr="00D04C96">
        <w:rPr>
          <w:szCs w:val="28"/>
        </w:rPr>
        <w:t xml:space="preserve">līdzīgi termini un </w:t>
      </w:r>
      <w:r>
        <w:rPr>
          <w:szCs w:val="28"/>
        </w:rPr>
        <w:t xml:space="preserve">sniegti </w:t>
      </w:r>
      <w:r w:rsidRPr="00D04C96">
        <w:rPr>
          <w:szCs w:val="28"/>
        </w:rPr>
        <w:t xml:space="preserve">to skaidrojumi, </w:t>
      </w:r>
      <w:r>
        <w:rPr>
          <w:szCs w:val="28"/>
        </w:rPr>
        <w:t xml:space="preserve">kas ir atšķirīgi </w:t>
      </w:r>
      <w:r w:rsidR="00EA577B">
        <w:rPr>
          <w:szCs w:val="28"/>
        </w:rPr>
        <w:t>–</w:t>
      </w:r>
      <w:r>
        <w:rPr>
          <w:szCs w:val="28"/>
        </w:rPr>
        <w:t xml:space="preserve"> nav</w:t>
      </w:r>
      <w:r w:rsidR="00EA577B">
        <w:rPr>
          <w:szCs w:val="28"/>
        </w:rPr>
        <w:t xml:space="preserve"> </w:t>
      </w:r>
      <w:r>
        <w:rPr>
          <w:szCs w:val="28"/>
        </w:rPr>
        <w:t>identiski. P</w:t>
      </w:r>
      <w:r w:rsidRPr="00D04C96">
        <w:rPr>
          <w:szCs w:val="28"/>
        </w:rPr>
        <w:t>iemēram, “IKT resurss”, “informācijas sistēma</w:t>
      </w:r>
      <w:r w:rsidRPr="00D04C96">
        <w:rPr>
          <w:szCs w:val="28"/>
        </w:rPr>
        <w:t>”, “platforma”</w:t>
      </w:r>
      <w:r>
        <w:rPr>
          <w:szCs w:val="28"/>
        </w:rPr>
        <w:t>, “tehnoloģiskais resurss”</w:t>
      </w:r>
      <w:r w:rsidRPr="00D04C96">
        <w:rPr>
          <w:szCs w:val="28"/>
        </w:rPr>
        <w:t>.</w:t>
      </w:r>
      <w:r w:rsidR="00EA577B">
        <w:rPr>
          <w:szCs w:val="28"/>
        </w:rPr>
        <w:t xml:space="preserve"> </w:t>
      </w:r>
    </w:p>
    <w:p w:rsidR="00B131B2" w:rsidRDefault="00931138" w:rsidP="00B43E46">
      <w:pPr>
        <w:widowControl/>
        <w:spacing w:after="0" w:line="240" w:lineRule="auto"/>
        <w:ind w:firstLine="720"/>
        <w:jc w:val="both"/>
        <w:textAlignment w:val="baseline"/>
        <w:rPr>
          <w:rFonts w:eastAsia="Times New Roman"/>
          <w:szCs w:val="28"/>
          <w:lang w:eastAsia="zh-TW"/>
        </w:rPr>
      </w:pPr>
      <w:r>
        <w:rPr>
          <w:szCs w:val="28"/>
        </w:rPr>
        <w:t>6.</w:t>
      </w:r>
      <w:r w:rsidR="00EA577B">
        <w:rPr>
          <w:szCs w:val="28"/>
        </w:rPr>
        <w:t> </w:t>
      </w:r>
      <w:r w:rsidRPr="00D04C96">
        <w:rPr>
          <w:szCs w:val="28"/>
        </w:rPr>
        <w:t xml:space="preserve">Ņemot vērā, ka valsts IS savietotāja pārziņi ir dažādas institūcijas, ierosinām papildināt pārejas noteikumus, paredzot, ka </w:t>
      </w:r>
      <w:r w:rsidRPr="00D04C96">
        <w:rPr>
          <w:rFonts w:eastAsia="Times New Roman"/>
          <w:szCs w:val="28"/>
          <w:lang w:eastAsia="zh-TW"/>
        </w:rPr>
        <w:t xml:space="preserve">likuma </w:t>
      </w:r>
      <w:r>
        <w:rPr>
          <w:rFonts w:eastAsia="Times New Roman"/>
          <w:szCs w:val="28"/>
          <w:lang w:eastAsia="zh-TW"/>
        </w:rPr>
        <w:t xml:space="preserve">“Valsts informācijas sistēmu likums” </w:t>
      </w:r>
      <w:r w:rsidRPr="00D04C96">
        <w:rPr>
          <w:rFonts w:eastAsia="Times New Roman"/>
          <w:szCs w:val="28"/>
          <w:lang w:eastAsia="zh-TW"/>
        </w:rPr>
        <w:t xml:space="preserve">17.panta </w:t>
      </w:r>
      <w:r w:rsidRPr="00D04C96">
        <w:rPr>
          <w:szCs w:val="28"/>
        </w:rPr>
        <w:t>5.</w:t>
      </w:r>
      <w:r w:rsidRPr="00D04C96">
        <w:rPr>
          <w:szCs w:val="28"/>
          <w:vertAlign w:val="superscript"/>
        </w:rPr>
        <w:t>1</w:t>
      </w:r>
      <w:r w:rsidRPr="00D04C96">
        <w:rPr>
          <w:szCs w:val="28"/>
        </w:rPr>
        <w:t>daļa obligāti jāpiemēro no</w:t>
      </w:r>
      <w:r w:rsidRPr="00D04C96">
        <w:rPr>
          <w:rFonts w:eastAsia="Times New Roman"/>
          <w:szCs w:val="28"/>
          <w:lang w:eastAsia="zh-TW"/>
        </w:rPr>
        <w:t xml:space="preserve"> 202</w:t>
      </w:r>
      <w:r w:rsidRPr="00D04C96">
        <w:rPr>
          <w:rFonts w:eastAsia="Times New Roman"/>
          <w:szCs w:val="28"/>
          <w:lang w:eastAsia="zh-TW"/>
        </w:rPr>
        <w:t xml:space="preserve">2.gada 1.jūnija. </w:t>
      </w:r>
    </w:p>
    <w:p w:rsidR="00B131B2" w:rsidRPr="00D04C96" w:rsidRDefault="00931138" w:rsidP="00B43E46">
      <w:pPr>
        <w:widowControl/>
        <w:spacing w:after="0" w:line="240" w:lineRule="auto"/>
        <w:ind w:firstLine="720"/>
        <w:jc w:val="both"/>
        <w:textAlignment w:val="baseline"/>
        <w:rPr>
          <w:szCs w:val="28"/>
        </w:rPr>
      </w:pPr>
      <w:r>
        <w:rPr>
          <w:rFonts w:eastAsia="Times New Roman"/>
          <w:szCs w:val="28"/>
          <w:lang w:eastAsia="zh-TW"/>
        </w:rPr>
        <w:t>7.</w:t>
      </w:r>
      <w:r w:rsidR="00EA577B">
        <w:rPr>
          <w:rFonts w:eastAsia="Times New Roman"/>
          <w:szCs w:val="28"/>
          <w:lang w:eastAsia="zh-TW"/>
        </w:rPr>
        <w:t> </w:t>
      </w:r>
      <w:r w:rsidRPr="00D04C96">
        <w:rPr>
          <w:rFonts w:eastAsia="Times New Roman"/>
          <w:szCs w:val="28"/>
          <w:lang w:eastAsia="zh-TW"/>
        </w:rPr>
        <w:t xml:space="preserve">Norādām, ka, lai gan </w:t>
      </w:r>
      <w:r>
        <w:rPr>
          <w:rFonts w:eastAsia="Times New Roman"/>
          <w:szCs w:val="28"/>
          <w:lang w:eastAsia="zh-TW"/>
        </w:rPr>
        <w:t>“L</w:t>
      </w:r>
      <w:r w:rsidRPr="000C6ADD">
        <w:rPr>
          <w:rFonts w:eastAsia="Times New Roman"/>
          <w:szCs w:val="28"/>
          <w:lang w:eastAsia="zh-TW"/>
        </w:rPr>
        <w:t>ikumprojekta “Grozījumi Valsts informācijas sistēmu likumā” sākotnējās ietekmes novērtējuma ziņojum</w:t>
      </w:r>
      <w:r w:rsidR="004E5DB9">
        <w:rPr>
          <w:rFonts w:eastAsia="Times New Roman"/>
          <w:szCs w:val="28"/>
          <w:lang w:eastAsia="zh-TW"/>
        </w:rPr>
        <w:t>ā</w:t>
      </w:r>
      <w:r w:rsidRPr="000C6ADD">
        <w:rPr>
          <w:rFonts w:eastAsia="Times New Roman"/>
          <w:szCs w:val="28"/>
          <w:lang w:eastAsia="zh-TW"/>
        </w:rPr>
        <w:t xml:space="preserve"> (anotācij</w:t>
      </w:r>
      <w:r>
        <w:rPr>
          <w:rFonts w:eastAsia="Times New Roman"/>
          <w:szCs w:val="28"/>
          <w:lang w:eastAsia="zh-TW"/>
        </w:rPr>
        <w:t>a)”</w:t>
      </w:r>
      <w:r w:rsidRPr="000C6ADD">
        <w:rPr>
          <w:rFonts w:eastAsia="Times New Roman"/>
          <w:szCs w:val="28"/>
          <w:lang w:eastAsia="zh-TW"/>
        </w:rPr>
        <w:t xml:space="preserve"> </w:t>
      </w:r>
      <w:r>
        <w:rPr>
          <w:rFonts w:eastAsia="Times New Roman"/>
          <w:szCs w:val="28"/>
          <w:lang w:eastAsia="zh-TW"/>
        </w:rPr>
        <w:t>(turpmāk – A</w:t>
      </w:r>
      <w:r w:rsidRPr="00D04C96">
        <w:rPr>
          <w:rFonts w:eastAsia="Times New Roman"/>
          <w:szCs w:val="28"/>
          <w:lang w:eastAsia="zh-TW"/>
        </w:rPr>
        <w:t>notācijā</w:t>
      </w:r>
      <w:r>
        <w:rPr>
          <w:rFonts w:eastAsia="Times New Roman"/>
          <w:szCs w:val="28"/>
          <w:lang w:eastAsia="zh-TW"/>
        </w:rPr>
        <w:t>)</w:t>
      </w:r>
      <w:r w:rsidRPr="00D04C96">
        <w:rPr>
          <w:rFonts w:eastAsia="Times New Roman"/>
          <w:szCs w:val="28"/>
          <w:lang w:eastAsia="zh-TW"/>
        </w:rPr>
        <w:t xml:space="preserve"> tiek apgalvots, ka “nepieciešams </w:t>
      </w:r>
      <w:r w:rsidRPr="00D04C96">
        <w:rPr>
          <w:szCs w:val="28"/>
        </w:rPr>
        <w:t>pilnveidot tiesisko regulējumu attiecībā uz valsts pārvaldes koplietošanas IKT resursiem nosakot kārtību un kritērijus šo resursu atvēršanai privātajam sektoram”, likumprojektā termins “valsts pārvaldes koplietošanas IKT resursi” netiek lietots. Tādējādi n</w:t>
      </w:r>
      <w:r w:rsidRPr="00D04C96">
        <w:rPr>
          <w:szCs w:val="28"/>
        </w:rPr>
        <w:t xml:space="preserve">av saprotams, vai izvirzītais mērķis, kas norādīts Anotācijā, tiek sasniegts. Lūdzam lietot vienotu terminoloģiju gan Anotācijā, gan likumprojektā. </w:t>
      </w:r>
    </w:p>
    <w:p w:rsidR="00B131B2" w:rsidRDefault="00931138" w:rsidP="00B43E46">
      <w:pPr>
        <w:widowControl/>
        <w:spacing w:after="0" w:line="240" w:lineRule="auto"/>
        <w:ind w:firstLine="720"/>
        <w:jc w:val="both"/>
        <w:textAlignment w:val="baseline"/>
        <w:rPr>
          <w:szCs w:val="28"/>
        </w:rPr>
      </w:pPr>
      <w:r>
        <w:rPr>
          <w:rFonts w:eastAsia="Times New Roman"/>
          <w:bCs/>
          <w:szCs w:val="28"/>
        </w:rPr>
        <w:t>8.</w:t>
      </w:r>
      <w:r w:rsidR="00EA577B">
        <w:rPr>
          <w:rFonts w:eastAsia="Times New Roman"/>
          <w:bCs/>
          <w:szCs w:val="28"/>
        </w:rPr>
        <w:t> </w:t>
      </w:r>
      <w:r w:rsidRPr="00D04C96">
        <w:rPr>
          <w:rFonts w:eastAsia="Times New Roman"/>
          <w:bCs/>
          <w:szCs w:val="28"/>
        </w:rPr>
        <w:t xml:space="preserve">Lai gan Anotācijā tiek norādīts, ka likumprojektā </w:t>
      </w:r>
      <w:r w:rsidRPr="00D04C96">
        <w:rPr>
          <w:szCs w:val="28"/>
        </w:rPr>
        <w:t>paredzētie grozījumi ietver termina “valsts informācij</w:t>
      </w:r>
      <w:r w:rsidRPr="00D04C96">
        <w:rPr>
          <w:szCs w:val="28"/>
        </w:rPr>
        <w:t xml:space="preserve">as sistēma” (turpmāk – VIS) tvēruma </w:t>
      </w:r>
      <w:r w:rsidRPr="00D04C96">
        <w:rPr>
          <w:szCs w:val="28"/>
        </w:rPr>
        <w:lastRenderedPageBreak/>
        <w:t xml:space="preserve">paplašināšanu, nav sniegts skaidrojums, kāpēc tiek svītrota norma, ka Valsts informācijas sistēmu likums (turpmāk – VISL) </w:t>
      </w:r>
      <w:r w:rsidRPr="00D04C96">
        <w:rPr>
          <w:szCs w:val="28"/>
          <w:u w:val="single"/>
        </w:rPr>
        <w:t>neattiecas uz informācijas sistēmām, kuras nodrošina iekšējās lietošanas informācijas apriti</w:t>
      </w:r>
      <w:r w:rsidRPr="00D04C96">
        <w:rPr>
          <w:szCs w:val="28"/>
        </w:rPr>
        <w:t xml:space="preserve">. </w:t>
      </w:r>
      <w:r>
        <w:rPr>
          <w:szCs w:val="28"/>
        </w:rPr>
        <w:t>Lūdz</w:t>
      </w:r>
      <w:r>
        <w:rPr>
          <w:szCs w:val="28"/>
        </w:rPr>
        <w:t>am papildināt Anotāciju.</w:t>
      </w:r>
      <w:r w:rsidR="00EA577B">
        <w:rPr>
          <w:szCs w:val="28"/>
        </w:rPr>
        <w:t xml:space="preserve"> </w:t>
      </w:r>
    </w:p>
    <w:p w:rsidR="00B131B2" w:rsidRPr="00D04C96" w:rsidRDefault="00931138" w:rsidP="00B43E46">
      <w:pPr>
        <w:widowControl/>
        <w:spacing w:after="0" w:line="240" w:lineRule="auto"/>
        <w:ind w:firstLine="720"/>
        <w:jc w:val="both"/>
        <w:textAlignment w:val="baseline"/>
        <w:rPr>
          <w:szCs w:val="28"/>
        </w:rPr>
      </w:pPr>
      <w:r>
        <w:rPr>
          <w:szCs w:val="28"/>
        </w:rPr>
        <w:t>9.</w:t>
      </w:r>
      <w:r w:rsidR="00EA577B">
        <w:rPr>
          <w:szCs w:val="28"/>
        </w:rPr>
        <w:t> </w:t>
      </w:r>
      <w:r>
        <w:rPr>
          <w:szCs w:val="28"/>
        </w:rPr>
        <w:t>Ņ</w:t>
      </w:r>
      <w:r w:rsidRPr="00D04C96">
        <w:rPr>
          <w:szCs w:val="28"/>
        </w:rPr>
        <w:t>emot vērā VARAM virzītās izmaiņas citos ar valsts IS prasībām saistītajos normatīvajos aktos</w:t>
      </w:r>
      <w:r>
        <w:rPr>
          <w:rStyle w:val="FootnoteReference"/>
          <w:szCs w:val="28"/>
        </w:rPr>
        <w:footnoteReference w:id="1"/>
      </w:r>
      <w:r w:rsidRPr="00D04C96">
        <w:rPr>
          <w:szCs w:val="28"/>
        </w:rPr>
        <w:t xml:space="preserve"> (VSS-1005, VSS-1088), VISL izmaiņas ir jāskata un jāvērtē kopskatā</w:t>
      </w:r>
      <w:r>
        <w:rPr>
          <w:szCs w:val="28"/>
        </w:rPr>
        <w:t xml:space="preserve"> ar tām</w:t>
      </w:r>
      <w:r w:rsidRPr="00D04C96">
        <w:rPr>
          <w:szCs w:val="28"/>
        </w:rPr>
        <w:t>. Tād</w:t>
      </w:r>
      <w:r w:rsidR="004E5DB9">
        <w:rPr>
          <w:szCs w:val="28"/>
        </w:rPr>
        <w:t>ē</w:t>
      </w:r>
      <w:r w:rsidRPr="00D04C96">
        <w:rPr>
          <w:szCs w:val="28"/>
        </w:rPr>
        <w:t>jādi faktiski tiek radīta situācij</w:t>
      </w:r>
      <w:r w:rsidR="004E5DB9">
        <w:rPr>
          <w:szCs w:val="28"/>
        </w:rPr>
        <w:t>a</w:t>
      </w:r>
      <w:r w:rsidRPr="00D04C96">
        <w:rPr>
          <w:szCs w:val="28"/>
        </w:rPr>
        <w:t>, ka institūcija b</w:t>
      </w:r>
      <w:r w:rsidRPr="00D04C96">
        <w:rPr>
          <w:szCs w:val="28"/>
        </w:rPr>
        <w:t>ez saskaņojuma gan ar IKT koplietošanas pakalpojumu sniedzējiem, gan vismaz 6 citām institūcijām, gan VARAM, nevarēs veikt izmaiņas iekšējās IS (jo tās būs valsts IS). Lai uzsāktu izmaiņas iekšējās IS būs vismaz 3 mēnešu saskaņošanas etaps (pirms tam dokum</w:t>
      </w:r>
      <w:r w:rsidRPr="00D04C96">
        <w:rPr>
          <w:szCs w:val="28"/>
        </w:rPr>
        <w:t xml:space="preserve">entācijas sagatavošanas etaps). </w:t>
      </w:r>
      <w:r>
        <w:rPr>
          <w:szCs w:val="28"/>
        </w:rPr>
        <w:t>Tād</w:t>
      </w:r>
      <w:r w:rsidR="004E5DB9">
        <w:rPr>
          <w:szCs w:val="28"/>
        </w:rPr>
        <w:t>ē</w:t>
      </w:r>
      <w:r>
        <w:rPr>
          <w:szCs w:val="28"/>
        </w:rPr>
        <w:t xml:space="preserve">jādi </w:t>
      </w:r>
      <w:r w:rsidRPr="00C0222A">
        <w:rPr>
          <w:b/>
          <w:bCs/>
          <w:szCs w:val="28"/>
        </w:rPr>
        <w:t>n</w:t>
      </w:r>
      <w:r w:rsidRPr="00D04C96">
        <w:rPr>
          <w:b/>
          <w:bCs/>
          <w:szCs w:val="28"/>
        </w:rPr>
        <w:t>epiekrītam normai, ka Valsts informācijas sistēmu likums (turpmāk – VISL) attiecas uz informācijas sistēmām, kuras nodrošina institūciju iekšējās lietošanas informācijas apriti.</w:t>
      </w:r>
      <w:r w:rsidRPr="00D04C96">
        <w:rPr>
          <w:szCs w:val="28"/>
        </w:rPr>
        <w:t xml:space="preserve"> </w:t>
      </w:r>
      <w:r w:rsidRPr="00D04C96">
        <w:rPr>
          <w:b/>
          <w:bCs/>
          <w:szCs w:val="28"/>
        </w:rPr>
        <w:t xml:space="preserve">Lūdzam to svītrot. </w:t>
      </w:r>
    </w:p>
    <w:p w:rsidR="00B131B2" w:rsidRPr="00D04C96" w:rsidRDefault="00931138" w:rsidP="00B43E46">
      <w:pPr>
        <w:widowControl/>
        <w:spacing w:after="0" w:line="240" w:lineRule="auto"/>
        <w:ind w:firstLine="720"/>
        <w:jc w:val="both"/>
        <w:textAlignment w:val="baseline"/>
        <w:rPr>
          <w:szCs w:val="28"/>
        </w:rPr>
      </w:pPr>
      <w:r w:rsidRPr="00D04C96">
        <w:rPr>
          <w:szCs w:val="28"/>
        </w:rPr>
        <w:t>Veselības minist</w:t>
      </w:r>
      <w:r w:rsidRPr="00D04C96">
        <w:rPr>
          <w:szCs w:val="28"/>
        </w:rPr>
        <w:t>rija jau iepriekš, sniedzot atzinumus par VARAM virzītajām izmaiņām Ministru kabineta noteikumos par valsts IS</w:t>
      </w:r>
      <w:r w:rsidRPr="00D04C96">
        <w:rPr>
          <w:szCs w:val="28"/>
          <w:vertAlign w:val="superscript"/>
        </w:rPr>
        <w:t>1</w:t>
      </w:r>
      <w:r w:rsidRPr="00D04C96">
        <w:rPr>
          <w:szCs w:val="28"/>
        </w:rPr>
        <w:t xml:space="preserve"> (VSS-1005, VSS-1088), ir paudusi savu viedokli, ka šādu prasību izvirzīšana, dokumentu iesniegšana un saskaņošana palielina birokrātiju un ir pr</w:t>
      </w:r>
      <w:r w:rsidRPr="00D04C96">
        <w:rPr>
          <w:szCs w:val="28"/>
        </w:rPr>
        <w:t>etrunā ar Deklarācijā par Artura Krišjāņa Kariņa vadītā Ministru kabineta iecerēto darbību iekļautajam pasākumam Nr. 236</w:t>
      </w:r>
      <w:r>
        <w:rPr>
          <w:rStyle w:val="FootnoteReference"/>
          <w:szCs w:val="28"/>
        </w:rPr>
        <w:footnoteReference w:id="2"/>
      </w:r>
      <w:r w:rsidRPr="00D04C96">
        <w:rPr>
          <w:szCs w:val="28"/>
        </w:rPr>
        <w:t>, Valsts pārvaldes reformas pamatprincipiem, kurā viens no būtiskākajiem sasniedzamajiem mērķiem ir procesu optimizācija un birokrātija</w:t>
      </w:r>
      <w:r w:rsidRPr="00D04C96">
        <w:rPr>
          <w:szCs w:val="28"/>
        </w:rPr>
        <w:t>s mazināšana. Turklāt, papildus iecerētajiem</w:t>
      </w:r>
      <w:r w:rsidRPr="00D04C96">
        <w:rPr>
          <w:szCs w:val="28"/>
          <w:vertAlign w:val="superscript"/>
        </w:rPr>
        <w:t>1</w:t>
      </w:r>
      <w:r w:rsidRPr="00D04C96">
        <w:rPr>
          <w:szCs w:val="28"/>
        </w:rPr>
        <w:t xml:space="preserve"> MK noteikumu grozījumiem, grozot VIS</w:t>
      </w:r>
      <w:r>
        <w:rPr>
          <w:szCs w:val="28"/>
        </w:rPr>
        <w:t>L</w:t>
      </w:r>
      <w:r w:rsidRPr="00D04C96">
        <w:rPr>
          <w:szCs w:val="28"/>
        </w:rPr>
        <w:t xml:space="preserve"> normas un nosakot, ka visas iestāžu iekšējās IS ir valsts IS, birokrātija un augstāk uzskaitītā pretrunas tikai palielināsies. </w:t>
      </w:r>
    </w:p>
    <w:p w:rsidR="00B131B2" w:rsidRPr="00D04C96" w:rsidRDefault="00931138" w:rsidP="00B43E46">
      <w:pPr>
        <w:widowControl/>
        <w:spacing w:after="0" w:line="240" w:lineRule="auto"/>
        <w:ind w:firstLine="720"/>
        <w:jc w:val="both"/>
        <w:textAlignment w:val="baseline"/>
        <w:rPr>
          <w:szCs w:val="28"/>
        </w:rPr>
      </w:pPr>
      <w:r w:rsidRPr="00D04C96">
        <w:rPr>
          <w:szCs w:val="28"/>
        </w:rPr>
        <w:t xml:space="preserve">Papildu norādām uz risku, ka tādējādi </w:t>
      </w:r>
      <w:r w:rsidRPr="00D04C96">
        <w:rPr>
          <w:szCs w:val="28"/>
        </w:rPr>
        <w:t>iestāžu rīcībā esošie IKT speciālisti un resursi tiks novirzīti dokumentu sagatavošanai un skaņošanai ar šīm ārējam institūcijām ne vairs tikai par esošajām valsts IS, bet arī par institūcijas rīcībā esošajām iekšējām IS, tādējādi radot ievērojamu birokrāt</w:t>
      </w:r>
      <w:r w:rsidRPr="00D04C96">
        <w:rPr>
          <w:szCs w:val="28"/>
        </w:rPr>
        <w:t>isko slogu un resursu patēriņu, turklāt apstākļos, kad valsts pārvaldē trūkst IKT darbinieku</w:t>
      </w:r>
      <w:r>
        <w:rPr>
          <w:rStyle w:val="FootnoteReference"/>
          <w:szCs w:val="28"/>
        </w:rPr>
        <w:footnoteReference w:id="3"/>
      </w:r>
      <w:r w:rsidRPr="00D04C96">
        <w:rPr>
          <w:szCs w:val="28"/>
        </w:rPr>
        <w:t>. Turklāt šāda darba specifika – nemitīga dokumentācijas sagatavošana par katru izmaiņu jebkurā IS vai IKT tehnoloģiskajā resursā, saskaņošana sākotnēji ar IKT inf</w:t>
      </w:r>
      <w:r w:rsidRPr="00D04C96">
        <w:rPr>
          <w:szCs w:val="28"/>
        </w:rPr>
        <w:t xml:space="preserve">rastruktūras pakalpojuma sniedzēju (-iem), pēc tam ar vismaz 6 institūcijām, pēc tam – ar VARAM, nebūs motivējoša (būs degradējoša) IKT specialistiem darbam valsts pārvaldē. </w:t>
      </w:r>
    </w:p>
    <w:p w:rsidR="00B131B2" w:rsidRPr="00D04C96" w:rsidRDefault="00931138" w:rsidP="00B43E46">
      <w:pPr>
        <w:widowControl/>
        <w:spacing w:after="0" w:line="240" w:lineRule="auto"/>
        <w:ind w:firstLine="720"/>
        <w:jc w:val="both"/>
        <w:textAlignment w:val="baseline"/>
        <w:rPr>
          <w:szCs w:val="28"/>
        </w:rPr>
      </w:pPr>
      <w:r>
        <w:rPr>
          <w:szCs w:val="28"/>
        </w:rPr>
        <w:t>10.</w:t>
      </w:r>
      <w:r w:rsidR="00847DAE">
        <w:rPr>
          <w:szCs w:val="28"/>
        </w:rPr>
        <w:t> </w:t>
      </w:r>
      <w:r w:rsidRPr="00D04C96">
        <w:rPr>
          <w:szCs w:val="28"/>
        </w:rPr>
        <w:t xml:space="preserve">Ņemot vērā, ka likumprojektā tiek svītrota norma, ka VISL </w:t>
      </w:r>
      <w:r w:rsidRPr="000C6ADD">
        <w:rPr>
          <w:szCs w:val="28"/>
        </w:rPr>
        <w:t>neattiecas uz infor</w:t>
      </w:r>
      <w:r w:rsidRPr="000C6ADD">
        <w:rPr>
          <w:szCs w:val="28"/>
        </w:rPr>
        <w:t>mācijas sistēmām, kuras nodrošina iekšējās lietošanas informācijas apriti</w:t>
      </w:r>
      <w:r w:rsidRPr="00D04C96">
        <w:rPr>
          <w:szCs w:val="28"/>
        </w:rPr>
        <w:t xml:space="preserve">, nepiekrītam Anotācijas sadaļā </w:t>
      </w:r>
      <w:r w:rsidRPr="00D04C96">
        <w:rPr>
          <w:i/>
          <w:iCs/>
          <w:szCs w:val="28"/>
        </w:rPr>
        <w:t>II. Tiesību akta projekta ietekme uz sabiedrību, tautsaimniecības attīstību un administratīvo slogu</w:t>
      </w:r>
      <w:r w:rsidRPr="00D04C96">
        <w:rPr>
          <w:szCs w:val="28"/>
        </w:rPr>
        <w:t xml:space="preserve"> norādītājam apgalvojumam, ka </w:t>
      </w:r>
      <w:r w:rsidRPr="00D04C96">
        <w:rPr>
          <w:szCs w:val="28"/>
        </w:rPr>
        <w:lastRenderedPageBreak/>
        <w:t>Likumprojekts nerada A</w:t>
      </w:r>
      <w:r w:rsidRPr="00D04C96">
        <w:rPr>
          <w:szCs w:val="28"/>
        </w:rPr>
        <w:t xml:space="preserve">dministratīvās izmaksas. Institūcijām ir jārēķinās ar papildus izdevumiem, izmaksas rodas: </w:t>
      </w:r>
    </w:p>
    <w:p w:rsidR="00B131B2" w:rsidRPr="00847DAE" w:rsidRDefault="00931138" w:rsidP="00B43E46">
      <w:pPr>
        <w:pStyle w:val="ListParagraph"/>
        <w:widowControl/>
        <w:numPr>
          <w:ilvl w:val="0"/>
          <w:numId w:val="3"/>
        </w:numPr>
        <w:spacing w:after="0" w:line="240" w:lineRule="auto"/>
        <w:jc w:val="both"/>
        <w:textAlignment w:val="baseline"/>
        <w:rPr>
          <w:szCs w:val="28"/>
        </w:rPr>
      </w:pPr>
      <w:r w:rsidRPr="00847DAE">
        <w:rPr>
          <w:szCs w:val="28"/>
        </w:rPr>
        <w:t xml:space="preserve">gan uzliekot papildu pienākumus institūciju darbiniekiem, </w:t>
      </w:r>
    </w:p>
    <w:p w:rsidR="00B131B2" w:rsidRPr="00D04C96" w:rsidRDefault="00931138" w:rsidP="00B43E46">
      <w:pPr>
        <w:pStyle w:val="ListParagraph"/>
        <w:widowControl/>
        <w:numPr>
          <w:ilvl w:val="0"/>
          <w:numId w:val="3"/>
        </w:numPr>
        <w:spacing w:after="0" w:line="240" w:lineRule="auto"/>
        <w:jc w:val="both"/>
        <w:textAlignment w:val="baseline"/>
        <w:rPr>
          <w:szCs w:val="28"/>
        </w:rPr>
      </w:pPr>
      <w:r w:rsidRPr="00D04C96">
        <w:rPr>
          <w:szCs w:val="28"/>
        </w:rPr>
        <w:t xml:space="preserve">gan uz </w:t>
      </w:r>
      <w:r w:rsidRPr="000A4F99">
        <w:rPr>
          <w:szCs w:val="28"/>
        </w:rPr>
        <w:t>visām iekšējās lietošanas IS attiecinot</w:t>
      </w:r>
      <w:r w:rsidRPr="00D04C96">
        <w:rPr>
          <w:szCs w:val="28"/>
        </w:rPr>
        <w:t xml:space="preserve"> Ministru kabineta 2015.gada 28.jūlija noteikumus Nr.442 “K</w:t>
      </w:r>
      <w:r w:rsidRPr="00D04C96">
        <w:rPr>
          <w:szCs w:val="28"/>
        </w:rPr>
        <w:t>ārtība, kādā tiek nodrošināta informācijas un komunikācijas tehnoloģiju sistēmu atbilstība minimālajām drošības prasībām”, piemēram, tād</w:t>
      </w:r>
      <w:r w:rsidR="004E5DB9">
        <w:rPr>
          <w:szCs w:val="28"/>
        </w:rPr>
        <w:t>ē</w:t>
      </w:r>
      <w:r w:rsidRPr="00D04C96">
        <w:rPr>
          <w:szCs w:val="28"/>
        </w:rPr>
        <w:t>jādi nosakot, ka iestādēm daudz plašākā apmērā ir jāveic ielaušanās testi, IS drošības pārbaudes, jāuzkrāj, jāanalizē u</w:t>
      </w:r>
      <w:r w:rsidRPr="00D04C96">
        <w:rPr>
          <w:szCs w:val="28"/>
        </w:rPr>
        <w:t xml:space="preserve">n jāsaglabā IS auditācijas pieraksti, utt. </w:t>
      </w:r>
    </w:p>
    <w:p w:rsidR="00B131B2" w:rsidRPr="00D04C96" w:rsidRDefault="00931138" w:rsidP="00B43E46">
      <w:pPr>
        <w:pStyle w:val="ListParagraph"/>
        <w:widowControl/>
        <w:numPr>
          <w:ilvl w:val="0"/>
          <w:numId w:val="3"/>
        </w:numPr>
        <w:spacing w:after="0" w:line="240" w:lineRule="auto"/>
        <w:jc w:val="both"/>
        <w:textAlignment w:val="baseline"/>
        <w:rPr>
          <w:szCs w:val="28"/>
        </w:rPr>
      </w:pPr>
      <w:r w:rsidRPr="00D04C96">
        <w:rPr>
          <w:szCs w:val="28"/>
        </w:rPr>
        <w:t xml:space="preserve">gan uz visām </w:t>
      </w:r>
      <w:r w:rsidRPr="000A4F99">
        <w:rPr>
          <w:szCs w:val="28"/>
        </w:rPr>
        <w:t>iekšējās lietošanas IS attiecinot</w:t>
      </w:r>
      <w:r w:rsidRPr="00D04C96">
        <w:rPr>
          <w:szCs w:val="28"/>
        </w:rPr>
        <w:t xml:space="preserve"> 2005.gada 11.oktobra noteikumus Nr.764 “Valsts informācijas sistēmu vispārējās tehniskās prasības”, kuros šobrīd arī tiek veiktas izmaiņas, tād</w:t>
      </w:r>
      <w:r w:rsidR="004E5DB9">
        <w:rPr>
          <w:szCs w:val="28"/>
        </w:rPr>
        <w:t>ē</w:t>
      </w:r>
      <w:r w:rsidRPr="00D04C96">
        <w:rPr>
          <w:szCs w:val="28"/>
        </w:rPr>
        <w:t>jādi bez jebkāda pama</w:t>
      </w:r>
      <w:r w:rsidRPr="00D04C96">
        <w:rPr>
          <w:szCs w:val="28"/>
        </w:rPr>
        <w:t xml:space="preserve">tojuma paredzot visām </w:t>
      </w:r>
      <w:r w:rsidRPr="00D04C96">
        <w:rPr>
          <w:szCs w:val="28"/>
          <w:u w:val="single"/>
        </w:rPr>
        <w:t>iekšējās lietošanas IS</w:t>
      </w:r>
      <w:r w:rsidRPr="00D04C96">
        <w:rPr>
          <w:szCs w:val="28"/>
        </w:rPr>
        <w:t xml:space="preserve">: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 xml:space="preserve">datu atvēršanas prasības – visus datus publicēt atvērto datu portālā, pilnībā automatizētā viedā,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 xml:space="preserve">ka obligāti jāveido saskarnes, kas funkcionē gan datoros, gan mobilo iekārtu pārlūkos;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 xml:space="preserve">nosakot par pienākumu </w:t>
      </w:r>
      <w:r w:rsidRPr="000A4F99">
        <w:rPr>
          <w:szCs w:val="28"/>
        </w:rPr>
        <w:t xml:space="preserve">IS darbināšanai izmantot IKT infrastruktūras koplietošanas pakalpojumus (maksas pakalpojumus);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 xml:space="preserve">veikt lietotāju autentifikāciju – izvairoties no paroļu kā autentifikācijas izmantošanas,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ievērot lietojumprogrammatūras koplietošanas un arhitektūras prasības</w:t>
      </w:r>
      <w:r w:rsidRPr="000A4F99">
        <w:rPr>
          <w:szCs w:val="28"/>
        </w:rPr>
        <w:t xml:space="preserve">, kas cita starpā nosaka tās veidot modulāras, sadarbspējīgas, mūsdienīgu arhitektūru;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 xml:space="preserve">skaņot projektējumus un izmantotās platformas, to atbalsta un licencēšanas prasības ar IKT infrastruktūras pakalpojumu sniedzēju; </w:t>
      </w:r>
    </w:p>
    <w:p w:rsidR="00B131B2" w:rsidRPr="000A4F99" w:rsidRDefault="00931138" w:rsidP="00B43E46">
      <w:pPr>
        <w:pStyle w:val="ListParagraph"/>
        <w:widowControl/>
        <w:numPr>
          <w:ilvl w:val="1"/>
          <w:numId w:val="3"/>
        </w:numPr>
        <w:spacing w:after="0" w:line="240" w:lineRule="auto"/>
        <w:jc w:val="both"/>
        <w:textAlignment w:val="baseline"/>
        <w:rPr>
          <w:szCs w:val="28"/>
        </w:rPr>
      </w:pPr>
      <w:r w:rsidRPr="000A4F99">
        <w:rPr>
          <w:szCs w:val="28"/>
        </w:rPr>
        <w:t>skaitļošanas infrastruktūras jaudu mē</w:t>
      </w:r>
      <w:r w:rsidRPr="000A4F99">
        <w:rPr>
          <w:szCs w:val="28"/>
        </w:rPr>
        <w:t xml:space="preserve">rogojamību, noslodzes sadalīšanu, rezervēšanu, augstas pievienotās vērtības skaitļošanas infrastruktūras pakalpojumu izmantošanu, programmatūras vienumu pārvaldības automatizāciju, testēšanas automatizāciju, utt. </w:t>
      </w:r>
    </w:p>
    <w:p w:rsidR="00B131B2" w:rsidRPr="00D04C96" w:rsidRDefault="00931138" w:rsidP="00B43E46">
      <w:pPr>
        <w:pStyle w:val="ListParagraph"/>
        <w:widowControl/>
        <w:numPr>
          <w:ilvl w:val="0"/>
          <w:numId w:val="3"/>
        </w:numPr>
        <w:spacing w:after="0" w:line="240" w:lineRule="auto"/>
        <w:jc w:val="both"/>
        <w:textAlignment w:val="baseline"/>
        <w:rPr>
          <w:szCs w:val="28"/>
        </w:rPr>
      </w:pPr>
      <w:r w:rsidRPr="00D04C96">
        <w:rPr>
          <w:szCs w:val="28"/>
        </w:rPr>
        <w:t xml:space="preserve">gan uz visām </w:t>
      </w:r>
      <w:r w:rsidRPr="000A4F99">
        <w:rPr>
          <w:szCs w:val="28"/>
        </w:rPr>
        <w:t>iekšējās lietošanas IS attiec</w:t>
      </w:r>
      <w:r w:rsidRPr="000A4F99">
        <w:rPr>
          <w:szCs w:val="28"/>
        </w:rPr>
        <w:t>inot</w:t>
      </w:r>
      <w:r w:rsidRPr="00D04C96">
        <w:rPr>
          <w:szCs w:val="28"/>
        </w:rPr>
        <w:t xml:space="preserve"> Ministru kabineta 2006.gada 24.janvāra noteikumu Nr.71 “Valsts informācijas sistēmu attīstības projektu uzraudzības kārtība” prasības, kurās šobrīd tiek veiktas izmaiņas, paredzot </w:t>
      </w:r>
      <w:r w:rsidRPr="00D04C96">
        <w:rPr>
          <w:szCs w:val="28"/>
          <w:u w:val="single"/>
        </w:rPr>
        <w:t>jebkādu izmaiņu</w:t>
      </w:r>
      <w:r w:rsidRPr="00D04C96">
        <w:rPr>
          <w:szCs w:val="28"/>
        </w:rPr>
        <w:t xml:space="preserve"> valsts IS un IKT resursos nevarēs veikt bez saskaņošana</w:t>
      </w:r>
      <w:r w:rsidRPr="00D04C96">
        <w:rPr>
          <w:szCs w:val="28"/>
        </w:rPr>
        <w:t xml:space="preserve">s ar vismaz 7 dažādām institūcijām, bez apjomīgu veidlapu aizpildīšanas, bez atskaitīšanās par paveikto 10 dienu laikā, utt. </w:t>
      </w:r>
    </w:p>
    <w:p w:rsidR="006541D3" w:rsidRDefault="006541D3" w:rsidP="00962685">
      <w:pPr>
        <w:tabs>
          <w:tab w:val="center" w:pos="4678"/>
          <w:tab w:val="right" w:pos="9072"/>
        </w:tabs>
        <w:spacing w:after="0" w:line="240" w:lineRule="auto"/>
        <w:ind w:firstLine="720"/>
        <w:rPr>
          <w:szCs w:val="28"/>
        </w:rPr>
      </w:pPr>
    </w:p>
    <w:p w:rsidR="00311C99" w:rsidRPr="00D04C96" w:rsidRDefault="00311C99" w:rsidP="00962685">
      <w:pPr>
        <w:tabs>
          <w:tab w:val="center" w:pos="4678"/>
          <w:tab w:val="right" w:pos="9072"/>
        </w:tabs>
        <w:spacing w:after="0" w:line="240" w:lineRule="auto"/>
        <w:ind w:firstLine="720"/>
        <w:rPr>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1559"/>
        <w:gridCol w:w="3117"/>
      </w:tblGrid>
      <w:tr w:rsidR="0052564C" w:rsidTr="002A52FD">
        <w:tc>
          <w:tcPr>
            <w:tcW w:w="4395" w:type="dxa"/>
          </w:tcPr>
          <w:p w:rsidR="00BE191A" w:rsidRPr="00D04C96" w:rsidRDefault="00931138" w:rsidP="0041608F">
            <w:pPr>
              <w:pStyle w:val="pamattekststabul"/>
              <w:tabs>
                <w:tab w:val="left" w:pos="3969"/>
                <w:tab w:val="left" w:pos="6379"/>
              </w:tabs>
              <w:rPr>
                <w:rFonts w:eastAsia="Calibri"/>
                <w:sz w:val="28"/>
                <w:szCs w:val="28"/>
                <w:lang w:val="lv-LV"/>
              </w:rPr>
            </w:pPr>
            <w:r w:rsidRPr="002A52FD">
              <w:rPr>
                <w:rFonts w:eastAsia="Calibri"/>
                <w:noProof/>
                <w:sz w:val="28"/>
                <w:szCs w:val="28"/>
                <w:lang w:val="lv-LV"/>
              </w:rPr>
              <w:t>Valsts sekretāra vietniece resursu un pārmaiņu vadības jautājumos</w:t>
            </w:r>
          </w:p>
        </w:tc>
        <w:tc>
          <w:tcPr>
            <w:tcW w:w="1559" w:type="dxa"/>
          </w:tcPr>
          <w:p w:rsidR="00BE191A" w:rsidRPr="00311C99" w:rsidRDefault="00931138" w:rsidP="0041608F">
            <w:pPr>
              <w:pStyle w:val="pamattekststabul"/>
              <w:tabs>
                <w:tab w:val="left" w:pos="3969"/>
                <w:tab w:val="left" w:pos="6379"/>
              </w:tabs>
              <w:jc w:val="center"/>
              <w:rPr>
                <w:rFonts w:eastAsia="Calibri"/>
                <w:sz w:val="20"/>
                <w:szCs w:val="20"/>
                <w:lang w:val="lv-LV"/>
              </w:rPr>
            </w:pPr>
            <w:r w:rsidRPr="00311C99">
              <w:rPr>
                <w:sz w:val="20"/>
                <w:szCs w:val="20"/>
                <w:lang w:val="lv-LV"/>
              </w:rPr>
              <w:t>(paraksts*)</w:t>
            </w:r>
          </w:p>
        </w:tc>
        <w:tc>
          <w:tcPr>
            <w:tcW w:w="3117" w:type="dxa"/>
          </w:tcPr>
          <w:p w:rsidR="00BE191A" w:rsidRPr="00D04C96" w:rsidRDefault="00931138" w:rsidP="00847DAE">
            <w:pPr>
              <w:pStyle w:val="pamattekststabul"/>
              <w:tabs>
                <w:tab w:val="left" w:pos="3969"/>
                <w:tab w:val="left" w:pos="6379"/>
              </w:tabs>
              <w:jc w:val="right"/>
              <w:rPr>
                <w:rFonts w:eastAsia="Calibri"/>
                <w:sz w:val="28"/>
                <w:szCs w:val="28"/>
                <w:lang w:val="lv-LV"/>
              </w:rPr>
            </w:pPr>
            <w:r w:rsidRPr="00847DAE">
              <w:rPr>
                <w:rFonts w:eastAsia="Calibri"/>
                <w:noProof/>
                <w:sz w:val="28"/>
                <w:szCs w:val="28"/>
                <w:lang w:val="lv-LV"/>
              </w:rPr>
              <w:t>Agnese Vaļuliene</w:t>
            </w:r>
          </w:p>
        </w:tc>
      </w:tr>
    </w:tbl>
    <w:p w:rsidR="00BE191A" w:rsidRDefault="00BE191A" w:rsidP="00BE191A">
      <w:pPr>
        <w:spacing w:after="0"/>
        <w:rPr>
          <w:szCs w:val="28"/>
        </w:rPr>
      </w:pPr>
    </w:p>
    <w:p w:rsidR="00311C99" w:rsidRDefault="00311C99" w:rsidP="00BE191A">
      <w:pPr>
        <w:spacing w:after="0"/>
        <w:rPr>
          <w:szCs w:val="28"/>
        </w:rPr>
      </w:pPr>
    </w:p>
    <w:p w:rsidR="00311C99" w:rsidRPr="00D04C96" w:rsidRDefault="00311C99" w:rsidP="00BE191A">
      <w:pPr>
        <w:spacing w:after="0"/>
        <w:rPr>
          <w:szCs w:val="28"/>
        </w:rPr>
      </w:pPr>
    </w:p>
    <w:p w:rsidR="00311C99" w:rsidRDefault="00931138" w:rsidP="00311C99">
      <w:pPr>
        <w:widowControl/>
        <w:spacing w:after="0" w:line="240" w:lineRule="auto"/>
        <w:rPr>
          <w:color w:val="212529"/>
          <w:sz w:val="24"/>
          <w:szCs w:val="24"/>
        </w:rPr>
      </w:pPr>
      <w:r w:rsidRPr="00311C99">
        <w:rPr>
          <w:color w:val="212529"/>
          <w:sz w:val="24"/>
          <w:szCs w:val="24"/>
        </w:rPr>
        <w:lastRenderedPageBreak/>
        <w:t xml:space="preserve">Informācijas un komunikācijas </w:t>
      </w:r>
    </w:p>
    <w:p w:rsidR="00311C99" w:rsidRPr="00311C99" w:rsidRDefault="00931138" w:rsidP="00311C99">
      <w:pPr>
        <w:widowControl/>
        <w:spacing w:after="0" w:line="240" w:lineRule="auto"/>
        <w:rPr>
          <w:sz w:val="24"/>
          <w:szCs w:val="24"/>
        </w:rPr>
      </w:pPr>
      <w:r w:rsidRPr="00311C99">
        <w:rPr>
          <w:color w:val="212529"/>
          <w:sz w:val="24"/>
          <w:szCs w:val="24"/>
        </w:rPr>
        <w:t>tehnoloģiju projektu vadītāja</w:t>
      </w:r>
      <w:r w:rsidRPr="00311C99">
        <w:rPr>
          <w:sz w:val="24"/>
          <w:szCs w:val="24"/>
        </w:rPr>
        <w:t xml:space="preserve"> </w:t>
      </w:r>
    </w:p>
    <w:p w:rsidR="00311C99" w:rsidRDefault="00931138" w:rsidP="00311C99">
      <w:pPr>
        <w:widowControl/>
        <w:spacing w:after="0" w:line="240" w:lineRule="auto"/>
        <w:rPr>
          <w:sz w:val="24"/>
          <w:szCs w:val="24"/>
        </w:rPr>
      </w:pPr>
      <w:r w:rsidRPr="00311C99">
        <w:rPr>
          <w:sz w:val="24"/>
          <w:szCs w:val="24"/>
        </w:rPr>
        <w:t>Iveta Bērtulsone</w:t>
      </w:r>
    </w:p>
    <w:p w:rsidR="00F610B8" w:rsidRPr="00311C99" w:rsidRDefault="00931138" w:rsidP="00311C99">
      <w:pPr>
        <w:widowControl/>
        <w:spacing w:after="0" w:line="240" w:lineRule="auto"/>
        <w:rPr>
          <w:sz w:val="24"/>
          <w:szCs w:val="24"/>
        </w:rPr>
      </w:pPr>
      <w:r>
        <w:rPr>
          <w:sz w:val="24"/>
          <w:szCs w:val="24"/>
        </w:rPr>
        <w:t>tālr.</w:t>
      </w:r>
      <w:r w:rsidR="00B131B2" w:rsidRPr="00311C99">
        <w:rPr>
          <w:sz w:val="24"/>
          <w:szCs w:val="24"/>
        </w:rPr>
        <w:t xml:space="preserve"> 60008321 </w:t>
      </w:r>
    </w:p>
    <w:p w:rsidR="00F610B8" w:rsidRPr="00311C99" w:rsidRDefault="00931138" w:rsidP="00311C99">
      <w:pPr>
        <w:widowControl/>
        <w:spacing w:after="0" w:line="240" w:lineRule="auto"/>
        <w:rPr>
          <w:sz w:val="24"/>
          <w:szCs w:val="24"/>
        </w:rPr>
      </w:pPr>
      <w:r>
        <w:rPr>
          <w:sz w:val="24"/>
          <w:szCs w:val="24"/>
        </w:rPr>
        <w:t xml:space="preserve">e-pasts: </w:t>
      </w:r>
      <w:hyperlink r:id="rId9" w:history="1">
        <w:r w:rsidRPr="00560D38">
          <w:rPr>
            <w:rStyle w:val="Hyperlink"/>
            <w:sz w:val="24"/>
            <w:szCs w:val="24"/>
          </w:rPr>
          <w:t>iveta.bertulsone@vm.gov.lv</w:t>
        </w:r>
      </w:hyperlink>
      <w:r w:rsidR="00B131B2" w:rsidRPr="00311C99">
        <w:rPr>
          <w:sz w:val="24"/>
          <w:szCs w:val="24"/>
        </w:rPr>
        <w:t xml:space="preserve"> </w:t>
      </w:r>
    </w:p>
    <w:p w:rsidR="00BE191A" w:rsidRPr="00311C99" w:rsidRDefault="00BE191A" w:rsidP="00EA1868">
      <w:pPr>
        <w:spacing w:after="0"/>
        <w:rPr>
          <w:sz w:val="24"/>
          <w:szCs w:val="24"/>
        </w:rPr>
      </w:pPr>
    </w:p>
    <w:p w:rsidR="00311C99" w:rsidRPr="00311C99" w:rsidRDefault="00931138" w:rsidP="00311C99">
      <w:pPr>
        <w:pStyle w:val="pamattekststabul"/>
        <w:spacing w:before="0" w:beforeAutospacing="0" w:after="0" w:afterAutospacing="0"/>
        <w:rPr>
          <w:noProof/>
          <w:lang w:val="lv-LV"/>
        </w:rPr>
      </w:pPr>
      <w:r w:rsidRPr="00311C99">
        <w:rPr>
          <w:color w:val="212529"/>
          <w:lang w:val="lv-LV"/>
        </w:rPr>
        <w:t>Informācijas tehnoloģiju nodaļas vadītājs</w:t>
      </w:r>
    </w:p>
    <w:p w:rsidR="00311C99" w:rsidRDefault="00931138" w:rsidP="00311C99">
      <w:pPr>
        <w:pStyle w:val="pamattekststabul"/>
        <w:spacing w:before="0" w:beforeAutospacing="0" w:after="0" w:afterAutospacing="0"/>
        <w:rPr>
          <w:lang w:val="lv-LV"/>
        </w:rPr>
      </w:pPr>
      <w:r w:rsidRPr="00311C99">
        <w:rPr>
          <w:noProof/>
          <w:lang w:val="lv-LV"/>
        </w:rPr>
        <w:t>Guntis Ieviņš</w:t>
      </w:r>
      <w:r w:rsidRPr="00311C99">
        <w:rPr>
          <w:lang w:val="lv-LV"/>
        </w:rPr>
        <w:t xml:space="preserve"> </w:t>
      </w:r>
    </w:p>
    <w:p w:rsidR="00BE191A" w:rsidRPr="00311C99" w:rsidRDefault="00931138" w:rsidP="00311C99">
      <w:pPr>
        <w:pStyle w:val="pamattekststabul"/>
        <w:spacing w:before="0" w:beforeAutospacing="0" w:after="0" w:afterAutospacing="0"/>
        <w:rPr>
          <w:lang w:val="lv-LV"/>
        </w:rPr>
      </w:pPr>
      <w:r>
        <w:rPr>
          <w:lang w:val="lv-LV"/>
        </w:rPr>
        <w:t>tālr.</w:t>
      </w:r>
      <w:r w:rsidR="00D04C96" w:rsidRPr="00311C99">
        <w:rPr>
          <w:lang w:val="lv-LV"/>
        </w:rPr>
        <w:t xml:space="preserve"> </w:t>
      </w:r>
      <w:r w:rsidR="00D04C96" w:rsidRPr="00311C99">
        <w:rPr>
          <w:noProof/>
          <w:lang w:val="lv-LV"/>
        </w:rPr>
        <w:t>67876054</w:t>
      </w:r>
      <w:r w:rsidR="00E56940" w:rsidRPr="00311C99">
        <w:rPr>
          <w:noProof/>
          <w:lang w:val="lv-LV"/>
        </w:rPr>
        <w:t xml:space="preserve"> </w:t>
      </w:r>
    </w:p>
    <w:p w:rsidR="009A146B" w:rsidRPr="00311C99" w:rsidRDefault="00931138" w:rsidP="00311C99">
      <w:pPr>
        <w:tabs>
          <w:tab w:val="right" w:pos="9356"/>
        </w:tabs>
        <w:spacing w:after="0" w:line="240" w:lineRule="auto"/>
        <w:rPr>
          <w:sz w:val="24"/>
          <w:szCs w:val="24"/>
        </w:rPr>
      </w:pPr>
      <w:r>
        <w:rPr>
          <w:sz w:val="24"/>
          <w:szCs w:val="24"/>
        </w:rPr>
        <w:t xml:space="preserve">e-pasts: </w:t>
      </w:r>
      <w:hyperlink r:id="rId10" w:history="1">
        <w:r w:rsidRPr="00560D38">
          <w:rPr>
            <w:rStyle w:val="Hyperlink"/>
            <w:noProof/>
            <w:sz w:val="24"/>
            <w:szCs w:val="24"/>
          </w:rPr>
          <w:t>guntis.ievins@vm.gov.lv</w:t>
        </w:r>
      </w:hyperlink>
      <w:r w:rsidR="00E56940" w:rsidRPr="00311C99">
        <w:rPr>
          <w:noProof/>
          <w:sz w:val="24"/>
          <w:szCs w:val="24"/>
        </w:rPr>
        <w:t xml:space="preserve"> </w:t>
      </w:r>
    </w:p>
    <w:sectPr w:rsidR="009A146B" w:rsidRPr="00311C99" w:rsidSect="005862AD">
      <w:headerReference w:type="default" r:id="rId11"/>
      <w:footerReference w:type="default" r:id="rId12"/>
      <w:headerReference w:type="first" r:id="rId13"/>
      <w:footerReference w:type="first" r:id="rId14"/>
      <w:pgSz w:w="11906" w:h="16838" w:code="9"/>
      <w:pgMar w:top="1418" w:right="1134" w:bottom="1134"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138" w:rsidRDefault="00931138">
      <w:pPr>
        <w:spacing w:after="0" w:line="240" w:lineRule="auto"/>
      </w:pPr>
      <w:r>
        <w:separator/>
      </w:r>
    </w:p>
  </w:endnote>
  <w:endnote w:type="continuationSeparator" w:id="0">
    <w:p w:rsidR="00931138" w:rsidRDefault="00931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C99" w:rsidRDefault="00931138" w:rsidP="00311C99">
    <w:pPr>
      <w:pStyle w:val="Footer"/>
      <w:rPr>
        <w:sz w:val="22"/>
      </w:rPr>
    </w:pPr>
    <w:r w:rsidRPr="00311C99">
      <w:rPr>
        <w:sz w:val="22"/>
      </w:rPr>
      <w:t>VMatz_270521_VSS_413</w:t>
    </w:r>
  </w:p>
  <w:p w:rsidR="005E06C4" w:rsidRPr="00311C99" w:rsidRDefault="00931138" w:rsidP="00F24F7D">
    <w:pPr>
      <w:pStyle w:val="Footer"/>
      <w:jc w:val="center"/>
      <w:rPr>
        <w:sz w:val="22"/>
      </w:rPr>
    </w:pPr>
    <w:r w:rsidRPr="00311C99">
      <w:rPr>
        <w:sz w:val="22"/>
      </w:rPr>
      <w:t xml:space="preserve">*Dokuments ir parakstīts ar drošu elektronisko </w:t>
    </w:r>
    <w:r w:rsidRPr="00311C99">
      <w:rPr>
        <w:sz w:val="22"/>
      </w:rPr>
      <w:t>parakstu un satur laika zīmog</w:t>
    </w:r>
    <w:r w:rsidR="00F24F7D" w:rsidRPr="00311C99">
      <w:rPr>
        <w:sz w:val="22"/>
      </w:rPr>
      <w:t>u</w:t>
    </w:r>
  </w:p>
  <w:p w:rsidR="00F24F7D" w:rsidRPr="00311C99" w:rsidRDefault="00F24F7D">
    <w:pPr>
      <w:pStyle w:val="Footer"/>
      <w:rPr>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C99" w:rsidRDefault="00931138" w:rsidP="00311C99">
    <w:pPr>
      <w:pStyle w:val="Footer"/>
      <w:rPr>
        <w:sz w:val="22"/>
      </w:rPr>
    </w:pPr>
    <w:r w:rsidRPr="00311C99">
      <w:rPr>
        <w:sz w:val="22"/>
      </w:rPr>
      <w:t>VMatz_270521_VSS_413</w:t>
    </w:r>
  </w:p>
  <w:p w:rsidR="005E06C4" w:rsidRPr="00311C99" w:rsidRDefault="00931138" w:rsidP="00BE191A">
    <w:pPr>
      <w:pStyle w:val="Footer"/>
      <w:jc w:val="center"/>
      <w:rPr>
        <w:sz w:val="22"/>
      </w:rPr>
    </w:pPr>
    <w:r w:rsidRPr="00311C99">
      <w:rPr>
        <w:sz w:val="22"/>
      </w:rPr>
      <w:t>*Dokuments ir parakstīts ar drošu elektronisko parakstu un satur laika zīmogu</w:t>
    </w:r>
  </w:p>
  <w:p w:rsidR="00EA1868" w:rsidRPr="00311C99" w:rsidRDefault="00EA1868" w:rsidP="00BE191A">
    <w:pPr>
      <w:pStyle w:val="Footer"/>
      <w:jc w:val="center"/>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138" w:rsidRDefault="00931138">
      <w:pPr>
        <w:spacing w:after="0" w:line="240" w:lineRule="auto"/>
      </w:pPr>
      <w:r>
        <w:separator/>
      </w:r>
    </w:p>
  </w:footnote>
  <w:footnote w:type="continuationSeparator" w:id="0">
    <w:p w:rsidR="00931138" w:rsidRDefault="00931138">
      <w:pPr>
        <w:spacing w:after="0" w:line="240" w:lineRule="auto"/>
      </w:pPr>
      <w:r>
        <w:continuationSeparator/>
      </w:r>
    </w:p>
  </w:footnote>
  <w:footnote w:id="1">
    <w:p w:rsidR="00B131B2" w:rsidRPr="006E5861" w:rsidRDefault="00931138" w:rsidP="00B131B2">
      <w:pPr>
        <w:pStyle w:val="FootnoteText"/>
        <w:rPr>
          <w:rFonts w:ascii="Times New Roman" w:hAnsi="Times New Roman" w:cs="Times New Roman"/>
        </w:rPr>
      </w:pPr>
      <w:r w:rsidRPr="006E5861">
        <w:rPr>
          <w:rStyle w:val="FootnoteReference"/>
          <w:rFonts w:ascii="Times New Roman" w:hAnsi="Times New Roman" w:cs="Times New Roman"/>
        </w:rPr>
        <w:footnoteRef/>
      </w:r>
      <w:r w:rsidRPr="006E5861">
        <w:rPr>
          <w:rFonts w:ascii="Times New Roman" w:hAnsi="Times New Roman" w:cs="Times New Roman"/>
        </w:rPr>
        <w:t xml:space="preserve"> 2005. gada 11. oktobra noteikumus Nr. 764 “Valsts informācijas sistēmu vispārējās tehniskās prasības”, Ministru kabin</w:t>
      </w:r>
      <w:r w:rsidRPr="006E5861">
        <w:rPr>
          <w:rFonts w:ascii="Times New Roman" w:hAnsi="Times New Roman" w:cs="Times New Roman"/>
        </w:rPr>
        <w:t xml:space="preserve">eta 2006. gada 24. janvāra noteikumu Nr. 71 “Valsts informācijas sistēmu attīstības projektu uzraudzības kārtība”. </w:t>
      </w:r>
    </w:p>
  </w:footnote>
  <w:footnote w:id="2">
    <w:p w:rsidR="00B131B2" w:rsidRPr="006E5861" w:rsidRDefault="00931138" w:rsidP="00B131B2">
      <w:pPr>
        <w:pStyle w:val="FootnoteText"/>
        <w:rPr>
          <w:rFonts w:ascii="Times New Roman" w:hAnsi="Times New Roman" w:cs="Times New Roman"/>
        </w:rPr>
      </w:pPr>
      <w:r w:rsidRPr="006E5861">
        <w:rPr>
          <w:rStyle w:val="FootnoteReference"/>
          <w:rFonts w:ascii="Times New Roman" w:hAnsi="Times New Roman" w:cs="Times New Roman"/>
        </w:rPr>
        <w:footnoteRef/>
      </w:r>
      <w:r w:rsidRPr="006E5861">
        <w:rPr>
          <w:rFonts w:ascii="Times New Roman" w:hAnsi="Times New Roman" w:cs="Times New Roman"/>
        </w:rPr>
        <w:t xml:space="preserve"> 236. Turpināsim Valsts pārvaldes reformu plāna īstenošanu, </w:t>
      </w:r>
      <w:r w:rsidRPr="006E5861">
        <w:rPr>
          <w:rFonts w:ascii="Times New Roman" w:hAnsi="Times New Roman" w:cs="Times New Roman"/>
          <w:u w:val="single"/>
        </w:rPr>
        <w:t>īpašu uzmanību veltot</w:t>
      </w:r>
      <w:r w:rsidRPr="006E5861">
        <w:rPr>
          <w:rFonts w:ascii="Times New Roman" w:hAnsi="Times New Roman" w:cs="Times New Roman"/>
        </w:rPr>
        <w:t xml:space="preserve"> valsts pārvaldes funkciju centralizācijai un </w:t>
      </w:r>
      <w:r w:rsidRPr="006E5861">
        <w:rPr>
          <w:rFonts w:ascii="Times New Roman" w:hAnsi="Times New Roman" w:cs="Times New Roman"/>
          <w:u w:val="single"/>
        </w:rPr>
        <w:t>birokrātijas</w:t>
      </w:r>
      <w:r w:rsidRPr="006E5861">
        <w:rPr>
          <w:rFonts w:ascii="Times New Roman" w:hAnsi="Times New Roman" w:cs="Times New Roman"/>
          <w:u w:val="single"/>
        </w:rPr>
        <w:t xml:space="preserve"> mazināšanai</w:t>
      </w:r>
      <w:r w:rsidRPr="006E5861">
        <w:rPr>
          <w:rFonts w:ascii="Times New Roman" w:hAnsi="Times New Roman" w:cs="Times New Roman"/>
        </w:rPr>
        <w:t xml:space="preserve">. Nodrošināsim, ka publiskā pārvalde ir efektīvākā Baltijas valstīs.” </w:t>
      </w:r>
    </w:p>
  </w:footnote>
  <w:footnote w:id="3">
    <w:p w:rsidR="00F220FF" w:rsidRPr="00F220FF" w:rsidRDefault="00931138" w:rsidP="00F220FF">
      <w:pPr>
        <w:pStyle w:val="FootnoteText"/>
        <w:rPr>
          <w:rFonts w:ascii="Times New Roman" w:hAnsi="Times New Roman" w:cs="Times New Roman"/>
        </w:rPr>
      </w:pPr>
      <w:r>
        <w:rPr>
          <w:rStyle w:val="FootnoteReference"/>
        </w:rPr>
        <w:footnoteRef/>
      </w:r>
      <w:r w:rsidRPr="00F220FF">
        <w:rPr>
          <w:rFonts w:ascii="Times New Roman" w:hAnsi="Times New Roman" w:cs="Times New Roman"/>
        </w:rPr>
        <w:t xml:space="preserve"> 24.05.2021. Nr.1-132/4982 VARAM</w:t>
      </w:r>
      <w:r w:rsidRPr="00F220FF">
        <w:t xml:space="preserve"> </w:t>
      </w:r>
      <w:r w:rsidRPr="00F220FF">
        <w:rPr>
          <w:rFonts w:ascii="Times New Roman" w:hAnsi="Times New Roman" w:cs="Times New Roman"/>
        </w:rPr>
        <w:t>Informatīv</w:t>
      </w:r>
      <w:r>
        <w:rPr>
          <w:rFonts w:ascii="Times New Roman" w:hAnsi="Times New Roman" w:cs="Times New Roman"/>
        </w:rPr>
        <w:t>ā</w:t>
      </w:r>
      <w:r w:rsidRPr="00F220FF">
        <w:rPr>
          <w:rFonts w:ascii="Times New Roman" w:hAnsi="Times New Roman" w:cs="Times New Roman"/>
        </w:rPr>
        <w:t xml:space="preserve"> ziņojum</w:t>
      </w:r>
      <w:r>
        <w:rPr>
          <w:rFonts w:ascii="Times New Roman" w:hAnsi="Times New Roman" w:cs="Times New Roman"/>
        </w:rPr>
        <w:t xml:space="preserve">a projekts </w:t>
      </w:r>
      <w:r w:rsidRPr="00F220FF">
        <w:rPr>
          <w:rFonts w:ascii="Times New Roman" w:hAnsi="Times New Roman" w:cs="Times New Roman"/>
        </w:rPr>
        <w:t>„Par valsts informācijas un komunikācijas tehnoloģiju resursu un kompetenču konsolidāciju”</w:t>
      </w:r>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509061987"/>
      <w:docPartObj>
        <w:docPartGallery w:val="Page Numbers (Top of Page)"/>
        <w:docPartUnique/>
      </w:docPartObj>
    </w:sdtPr>
    <w:sdtEndPr/>
    <w:sdtContent>
      <w:p w:rsidR="005E06C4" w:rsidRPr="00126258" w:rsidRDefault="00931138">
        <w:pPr>
          <w:pStyle w:val="Header"/>
          <w:jc w:val="center"/>
          <w:rPr>
            <w:sz w:val="24"/>
            <w:szCs w:val="24"/>
          </w:rPr>
        </w:pPr>
        <w:r w:rsidRPr="00126258">
          <w:rPr>
            <w:sz w:val="24"/>
            <w:szCs w:val="24"/>
          </w:rPr>
          <w:fldChar w:fldCharType="begin"/>
        </w:r>
        <w:r w:rsidRPr="00126258">
          <w:rPr>
            <w:sz w:val="24"/>
            <w:szCs w:val="24"/>
          </w:rPr>
          <w:instrText xml:space="preserve"> PAGE   \* MERGEFORMAT </w:instrText>
        </w:r>
        <w:r w:rsidRPr="00126258">
          <w:rPr>
            <w:sz w:val="24"/>
            <w:szCs w:val="24"/>
          </w:rPr>
          <w:fldChar w:fldCharType="separate"/>
        </w:r>
        <w:r w:rsidR="00D35249">
          <w:rPr>
            <w:noProof/>
            <w:sz w:val="24"/>
            <w:szCs w:val="24"/>
          </w:rPr>
          <w:t>3</w:t>
        </w:r>
        <w:r w:rsidRPr="00126258">
          <w:rPr>
            <w:sz w:val="24"/>
            <w:szCs w:val="24"/>
          </w:rPr>
          <w:fldChar w:fldCharType="end"/>
        </w:r>
      </w:p>
    </w:sdtContent>
  </w:sdt>
  <w:p w:rsidR="005E06C4" w:rsidRDefault="005E0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FB" w:rsidRPr="007261FB" w:rsidRDefault="007261FB" w:rsidP="007261FB">
    <w:pPr>
      <w:pStyle w:val="Header"/>
      <w:tabs>
        <w:tab w:val="clear" w:pos="4153"/>
        <w:tab w:val="clear" w:pos="8306"/>
        <w:tab w:val="left" w:pos="8145"/>
      </w:tabs>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64B0EAE"/>
    <w:multiLevelType w:val="hybridMultilevel"/>
    <w:tmpl w:val="CA801E44"/>
    <w:lvl w:ilvl="0" w:tplc="B85E706C">
      <w:start w:val="1"/>
      <w:numFmt w:val="bullet"/>
      <w:lvlText w:val=""/>
      <w:lvlJc w:val="left"/>
      <w:pPr>
        <w:ind w:left="2160" w:hanging="360"/>
      </w:pPr>
      <w:rPr>
        <w:rFonts w:ascii="Symbol" w:hAnsi="Symbol" w:hint="default"/>
      </w:rPr>
    </w:lvl>
    <w:lvl w:ilvl="1" w:tplc="3EC47964" w:tentative="1">
      <w:start w:val="1"/>
      <w:numFmt w:val="bullet"/>
      <w:lvlText w:val="o"/>
      <w:lvlJc w:val="left"/>
      <w:pPr>
        <w:ind w:left="2880" w:hanging="360"/>
      </w:pPr>
      <w:rPr>
        <w:rFonts w:ascii="Courier New" w:hAnsi="Courier New" w:cs="Courier New" w:hint="default"/>
      </w:rPr>
    </w:lvl>
    <w:lvl w:ilvl="2" w:tplc="810AEDAA" w:tentative="1">
      <w:start w:val="1"/>
      <w:numFmt w:val="bullet"/>
      <w:lvlText w:val=""/>
      <w:lvlJc w:val="left"/>
      <w:pPr>
        <w:ind w:left="3600" w:hanging="360"/>
      </w:pPr>
      <w:rPr>
        <w:rFonts w:ascii="Wingdings" w:hAnsi="Wingdings" w:hint="default"/>
      </w:rPr>
    </w:lvl>
    <w:lvl w:ilvl="3" w:tplc="511AE3B8" w:tentative="1">
      <w:start w:val="1"/>
      <w:numFmt w:val="bullet"/>
      <w:lvlText w:val=""/>
      <w:lvlJc w:val="left"/>
      <w:pPr>
        <w:ind w:left="4320" w:hanging="360"/>
      </w:pPr>
      <w:rPr>
        <w:rFonts w:ascii="Symbol" w:hAnsi="Symbol" w:hint="default"/>
      </w:rPr>
    </w:lvl>
    <w:lvl w:ilvl="4" w:tplc="90E2D1A6" w:tentative="1">
      <w:start w:val="1"/>
      <w:numFmt w:val="bullet"/>
      <w:lvlText w:val="o"/>
      <w:lvlJc w:val="left"/>
      <w:pPr>
        <w:ind w:left="5040" w:hanging="360"/>
      </w:pPr>
      <w:rPr>
        <w:rFonts w:ascii="Courier New" w:hAnsi="Courier New" w:cs="Courier New" w:hint="default"/>
      </w:rPr>
    </w:lvl>
    <w:lvl w:ilvl="5" w:tplc="73C84B68" w:tentative="1">
      <w:start w:val="1"/>
      <w:numFmt w:val="bullet"/>
      <w:lvlText w:val=""/>
      <w:lvlJc w:val="left"/>
      <w:pPr>
        <w:ind w:left="5760" w:hanging="360"/>
      </w:pPr>
      <w:rPr>
        <w:rFonts w:ascii="Wingdings" w:hAnsi="Wingdings" w:hint="default"/>
      </w:rPr>
    </w:lvl>
    <w:lvl w:ilvl="6" w:tplc="5ED8FEA4" w:tentative="1">
      <w:start w:val="1"/>
      <w:numFmt w:val="bullet"/>
      <w:lvlText w:val=""/>
      <w:lvlJc w:val="left"/>
      <w:pPr>
        <w:ind w:left="6480" w:hanging="360"/>
      </w:pPr>
      <w:rPr>
        <w:rFonts w:ascii="Symbol" w:hAnsi="Symbol" w:hint="default"/>
      </w:rPr>
    </w:lvl>
    <w:lvl w:ilvl="7" w:tplc="90EE8590" w:tentative="1">
      <w:start w:val="1"/>
      <w:numFmt w:val="bullet"/>
      <w:lvlText w:val="o"/>
      <w:lvlJc w:val="left"/>
      <w:pPr>
        <w:ind w:left="7200" w:hanging="360"/>
      </w:pPr>
      <w:rPr>
        <w:rFonts w:ascii="Courier New" w:hAnsi="Courier New" w:cs="Courier New" w:hint="default"/>
      </w:rPr>
    </w:lvl>
    <w:lvl w:ilvl="8" w:tplc="8B6638D0" w:tentative="1">
      <w:start w:val="1"/>
      <w:numFmt w:val="bullet"/>
      <w:lvlText w:val=""/>
      <w:lvlJc w:val="left"/>
      <w:pPr>
        <w:ind w:left="7920" w:hanging="360"/>
      </w:pPr>
      <w:rPr>
        <w:rFonts w:ascii="Wingdings" w:hAnsi="Wingdings" w:hint="default"/>
      </w:rPr>
    </w:lvl>
  </w:abstractNum>
  <w:abstractNum w:abstractNumId="1" w15:restartNumberingAfterBreak="1">
    <w:nsid w:val="57617B3B"/>
    <w:multiLevelType w:val="hybridMultilevel"/>
    <w:tmpl w:val="B1522B6C"/>
    <w:lvl w:ilvl="0" w:tplc="8DE0582A">
      <w:start w:val="1"/>
      <w:numFmt w:val="bullet"/>
      <w:lvlText w:val=""/>
      <w:lvlJc w:val="left"/>
      <w:pPr>
        <w:ind w:left="1440" w:hanging="360"/>
      </w:pPr>
      <w:rPr>
        <w:rFonts w:ascii="Symbol" w:hAnsi="Symbol" w:hint="default"/>
      </w:rPr>
    </w:lvl>
    <w:lvl w:ilvl="1" w:tplc="99A246EA" w:tentative="1">
      <w:start w:val="1"/>
      <w:numFmt w:val="bullet"/>
      <w:lvlText w:val="o"/>
      <w:lvlJc w:val="left"/>
      <w:pPr>
        <w:ind w:left="2160" w:hanging="360"/>
      </w:pPr>
      <w:rPr>
        <w:rFonts w:ascii="Courier New" w:hAnsi="Courier New" w:cs="Courier New" w:hint="default"/>
      </w:rPr>
    </w:lvl>
    <w:lvl w:ilvl="2" w:tplc="F524245C" w:tentative="1">
      <w:start w:val="1"/>
      <w:numFmt w:val="bullet"/>
      <w:lvlText w:val=""/>
      <w:lvlJc w:val="left"/>
      <w:pPr>
        <w:ind w:left="2880" w:hanging="360"/>
      </w:pPr>
      <w:rPr>
        <w:rFonts w:ascii="Wingdings" w:hAnsi="Wingdings" w:hint="default"/>
      </w:rPr>
    </w:lvl>
    <w:lvl w:ilvl="3" w:tplc="3D16E2FA" w:tentative="1">
      <w:start w:val="1"/>
      <w:numFmt w:val="bullet"/>
      <w:lvlText w:val=""/>
      <w:lvlJc w:val="left"/>
      <w:pPr>
        <w:ind w:left="3600" w:hanging="360"/>
      </w:pPr>
      <w:rPr>
        <w:rFonts w:ascii="Symbol" w:hAnsi="Symbol" w:hint="default"/>
      </w:rPr>
    </w:lvl>
    <w:lvl w:ilvl="4" w:tplc="184A20D4" w:tentative="1">
      <w:start w:val="1"/>
      <w:numFmt w:val="bullet"/>
      <w:lvlText w:val="o"/>
      <w:lvlJc w:val="left"/>
      <w:pPr>
        <w:ind w:left="4320" w:hanging="360"/>
      </w:pPr>
      <w:rPr>
        <w:rFonts w:ascii="Courier New" w:hAnsi="Courier New" w:cs="Courier New" w:hint="default"/>
      </w:rPr>
    </w:lvl>
    <w:lvl w:ilvl="5" w:tplc="C1209670" w:tentative="1">
      <w:start w:val="1"/>
      <w:numFmt w:val="bullet"/>
      <w:lvlText w:val=""/>
      <w:lvlJc w:val="left"/>
      <w:pPr>
        <w:ind w:left="5040" w:hanging="360"/>
      </w:pPr>
      <w:rPr>
        <w:rFonts w:ascii="Wingdings" w:hAnsi="Wingdings" w:hint="default"/>
      </w:rPr>
    </w:lvl>
    <w:lvl w:ilvl="6" w:tplc="BC48866E" w:tentative="1">
      <w:start w:val="1"/>
      <w:numFmt w:val="bullet"/>
      <w:lvlText w:val=""/>
      <w:lvlJc w:val="left"/>
      <w:pPr>
        <w:ind w:left="5760" w:hanging="360"/>
      </w:pPr>
      <w:rPr>
        <w:rFonts w:ascii="Symbol" w:hAnsi="Symbol" w:hint="default"/>
      </w:rPr>
    </w:lvl>
    <w:lvl w:ilvl="7" w:tplc="9AC4E994" w:tentative="1">
      <w:start w:val="1"/>
      <w:numFmt w:val="bullet"/>
      <w:lvlText w:val="o"/>
      <w:lvlJc w:val="left"/>
      <w:pPr>
        <w:ind w:left="6480" w:hanging="360"/>
      </w:pPr>
      <w:rPr>
        <w:rFonts w:ascii="Courier New" w:hAnsi="Courier New" w:cs="Courier New" w:hint="default"/>
      </w:rPr>
    </w:lvl>
    <w:lvl w:ilvl="8" w:tplc="875088D4" w:tentative="1">
      <w:start w:val="1"/>
      <w:numFmt w:val="bullet"/>
      <w:lvlText w:val=""/>
      <w:lvlJc w:val="left"/>
      <w:pPr>
        <w:ind w:left="7200" w:hanging="360"/>
      </w:pPr>
      <w:rPr>
        <w:rFonts w:ascii="Wingdings" w:hAnsi="Wingdings" w:hint="default"/>
      </w:rPr>
    </w:lvl>
  </w:abstractNum>
  <w:abstractNum w:abstractNumId="2" w15:restartNumberingAfterBreak="1">
    <w:nsid w:val="7D335F9F"/>
    <w:multiLevelType w:val="hybridMultilevel"/>
    <w:tmpl w:val="9F6C67AE"/>
    <w:lvl w:ilvl="0" w:tplc="670A5424">
      <w:numFmt w:val="bullet"/>
      <w:lvlText w:val="-"/>
      <w:lvlJc w:val="left"/>
      <w:pPr>
        <w:ind w:left="360" w:hanging="360"/>
      </w:pPr>
      <w:rPr>
        <w:rFonts w:ascii="Times New Roman" w:eastAsia="Calibri" w:hAnsi="Times New Roman" w:cs="Times New Roman" w:hint="default"/>
      </w:rPr>
    </w:lvl>
    <w:lvl w:ilvl="1" w:tplc="56569678">
      <w:start w:val="1"/>
      <w:numFmt w:val="bullet"/>
      <w:lvlText w:val="o"/>
      <w:lvlJc w:val="left"/>
      <w:pPr>
        <w:ind w:left="1080" w:hanging="360"/>
      </w:pPr>
      <w:rPr>
        <w:rFonts w:ascii="Courier New" w:hAnsi="Courier New" w:cs="Courier New" w:hint="default"/>
      </w:rPr>
    </w:lvl>
    <w:lvl w:ilvl="2" w:tplc="EC5C2B38">
      <w:start w:val="1"/>
      <w:numFmt w:val="bullet"/>
      <w:lvlText w:val=""/>
      <w:lvlJc w:val="left"/>
      <w:pPr>
        <w:ind w:left="1800" w:hanging="360"/>
      </w:pPr>
      <w:rPr>
        <w:rFonts w:ascii="Wingdings" w:hAnsi="Wingdings" w:hint="default"/>
      </w:rPr>
    </w:lvl>
    <w:lvl w:ilvl="3" w:tplc="69207254" w:tentative="1">
      <w:start w:val="1"/>
      <w:numFmt w:val="bullet"/>
      <w:lvlText w:val=""/>
      <w:lvlJc w:val="left"/>
      <w:pPr>
        <w:ind w:left="2520" w:hanging="360"/>
      </w:pPr>
      <w:rPr>
        <w:rFonts w:ascii="Symbol" w:hAnsi="Symbol" w:hint="default"/>
      </w:rPr>
    </w:lvl>
    <w:lvl w:ilvl="4" w:tplc="69741482" w:tentative="1">
      <w:start w:val="1"/>
      <w:numFmt w:val="bullet"/>
      <w:lvlText w:val="o"/>
      <w:lvlJc w:val="left"/>
      <w:pPr>
        <w:ind w:left="3240" w:hanging="360"/>
      </w:pPr>
      <w:rPr>
        <w:rFonts w:ascii="Courier New" w:hAnsi="Courier New" w:cs="Courier New" w:hint="default"/>
      </w:rPr>
    </w:lvl>
    <w:lvl w:ilvl="5" w:tplc="36664F82" w:tentative="1">
      <w:start w:val="1"/>
      <w:numFmt w:val="bullet"/>
      <w:lvlText w:val=""/>
      <w:lvlJc w:val="left"/>
      <w:pPr>
        <w:ind w:left="3960" w:hanging="360"/>
      </w:pPr>
      <w:rPr>
        <w:rFonts w:ascii="Wingdings" w:hAnsi="Wingdings" w:hint="default"/>
      </w:rPr>
    </w:lvl>
    <w:lvl w:ilvl="6" w:tplc="975ADE5C" w:tentative="1">
      <w:start w:val="1"/>
      <w:numFmt w:val="bullet"/>
      <w:lvlText w:val=""/>
      <w:lvlJc w:val="left"/>
      <w:pPr>
        <w:ind w:left="4680" w:hanging="360"/>
      </w:pPr>
      <w:rPr>
        <w:rFonts w:ascii="Symbol" w:hAnsi="Symbol" w:hint="default"/>
      </w:rPr>
    </w:lvl>
    <w:lvl w:ilvl="7" w:tplc="F7FE8168" w:tentative="1">
      <w:start w:val="1"/>
      <w:numFmt w:val="bullet"/>
      <w:lvlText w:val="o"/>
      <w:lvlJc w:val="left"/>
      <w:pPr>
        <w:ind w:left="5400" w:hanging="360"/>
      </w:pPr>
      <w:rPr>
        <w:rFonts w:ascii="Courier New" w:hAnsi="Courier New" w:cs="Courier New" w:hint="default"/>
      </w:rPr>
    </w:lvl>
    <w:lvl w:ilvl="8" w:tplc="D8F0EBEE"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0DE"/>
    <w:rsid w:val="0000527F"/>
    <w:rsid w:val="000115D2"/>
    <w:rsid w:val="000256CA"/>
    <w:rsid w:val="00026358"/>
    <w:rsid w:val="00026646"/>
    <w:rsid w:val="00031D93"/>
    <w:rsid w:val="00032602"/>
    <w:rsid w:val="0004599D"/>
    <w:rsid w:val="00050A7F"/>
    <w:rsid w:val="00056D94"/>
    <w:rsid w:val="00071EA6"/>
    <w:rsid w:val="000726A8"/>
    <w:rsid w:val="00076969"/>
    <w:rsid w:val="00076AA3"/>
    <w:rsid w:val="00084361"/>
    <w:rsid w:val="00091DD9"/>
    <w:rsid w:val="00097F9D"/>
    <w:rsid w:val="000A1011"/>
    <w:rsid w:val="000A4F99"/>
    <w:rsid w:val="000A61F3"/>
    <w:rsid w:val="000B12AC"/>
    <w:rsid w:val="000B7899"/>
    <w:rsid w:val="000C6ADD"/>
    <w:rsid w:val="000D2AB9"/>
    <w:rsid w:val="000D3DF7"/>
    <w:rsid w:val="000D49B5"/>
    <w:rsid w:val="000D54E3"/>
    <w:rsid w:val="000E1E20"/>
    <w:rsid w:val="000E429F"/>
    <w:rsid w:val="000F377C"/>
    <w:rsid w:val="000F4E7C"/>
    <w:rsid w:val="00104654"/>
    <w:rsid w:val="00110E85"/>
    <w:rsid w:val="00123CBF"/>
    <w:rsid w:val="00126258"/>
    <w:rsid w:val="00127A26"/>
    <w:rsid w:val="001321DF"/>
    <w:rsid w:val="00134E5B"/>
    <w:rsid w:val="001545B7"/>
    <w:rsid w:val="001553D6"/>
    <w:rsid w:val="00160DFB"/>
    <w:rsid w:val="001632CE"/>
    <w:rsid w:val="00166EC1"/>
    <w:rsid w:val="00172A3B"/>
    <w:rsid w:val="001753BE"/>
    <w:rsid w:val="00177683"/>
    <w:rsid w:val="00177E78"/>
    <w:rsid w:val="00184599"/>
    <w:rsid w:val="00191A1D"/>
    <w:rsid w:val="00196A44"/>
    <w:rsid w:val="001A31B8"/>
    <w:rsid w:val="001B16E2"/>
    <w:rsid w:val="001B554A"/>
    <w:rsid w:val="001B59E0"/>
    <w:rsid w:val="001C43FE"/>
    <w:rsid w:val="001C517B"/>
    <w:rsid w:val="001D0AF0"/>
    <w:rsid w:val="001D1EFA"/>
    <w:rsid w:val="001D4BC8"/>
    <w:rsid w:val="001D5B70"/>
    <w:rsid w:val="001D5D10"/>
    <w:rsid w:val="001E50A0"/>
    <w:rsid w:val="001E51DF"/>
    <w:rsid w:val="00201BF0"/>
    <w:rsid w:val="0020352E"/>
    <w:rsid w:val="002057F9"/>
    <w:rsid w:val="00212DB7"/>
    <w:rsid w:val="00225057"/>
    <w:rsid w:val="00225EB8"/>
    <w:rsid w:val="00233A18"/>
    <w:rsid w:val="002409C9"/>
    <w:rsid w:val="0025235E"/>
    <w:rsid w:val="00255074"/>
    <w:rsid w:val="00256676"/>
    <w:rsid w:val="002778B0"/>
    <w:rsid w:val="002930BF"/>
    <w:rsid w:val="00293BD5"/>
    <w:rsid w:val="002A3540"/>
    <w:rsid w:val="002A3C03"/>
    <w:rsid w:val="002A4619"/>
    <w:rsid w:val="002A52FD"/>
    <w:rsid w:val="002A661C"/>
    <w:rsid w:val="002B6E80"/>
    <w:rsid w:val="002E23D6"/>
    <w:rsid w:val="002F0CCC"/>
    <w:rsid w:val="00303965"/>
    <w:rsid w:val="00307E7B"/>
    <w:rsid w:val="00311C99"/>
    <w:rsid w:val="003163B8"/>
    <w:rsid w:val="00317BBE"/>
    <w:rsid w:val="00322443"/>
    <w:rsid w:val="00326486"/>
    <w:rsid w:val="003271D6"/>
    <w:rsid w:val="00332AA5"/>
    <w:rsid w:val="00332AB1"/>
    <w:rsid w:val="00334306"/>
    <w:rsid w:val="00340405"/>
    <w:rsid w:val="00342A9B"/>
    <w:rsid w:val="00346B65"/>
    <w:rsid w:val="003472C9"/>
    <w:rsid w:val="003504D7"/>
    <w:rsid w:val="00352325"/>
    <w:rsid w:val="00355797"/>
    <w:rsid w:val="00364BC5"/>
    <w:rsid w:val="00370D43"/>
    <w:rsid w:val="00373E81"/>
    <w:rsid w:val="003756FE"/>
    <w:rsid w:val="003768FB"/>
    <w:rsid w:val="00377916"/>
    <w:rsid w:val="00380B22"/>
    <w:rsid w:val="00383773"/>
    <w:rsid w:val="0038672B"/>
    <w:rsid w:val="00392DA3"/>
    <w:rsid w:val="003966CF"/>
    <w:rsid w:val="003A335B"/>
    <w:rsid w:val="003A5A3B"/>
    <w:rsid w:val="003B5DA1"/>
    <w:rsid w:val="003C1784"/>
    <w:rsid w:val="003C5F22"/>
    <w:rsid w:val="003D1F57"/>
    <w:rsid w:val="003D7430"/>
    <w:rsid w:val="003E29F0"/>
    <w:rsid w:val="003E6052"/>
    <w:rsid w:val="003F169F"/>
    <w:rsid w:val="004022F1"/>
    <w:rsid w:val="00415AAA"/>
    <w:rsid w:val="0041608F"/>
    <w:rsid w:val="00424025"/>
    <w:rsid w:val="0043271F"/>
    <w:rsid w:val="0043336C"/>
    <w:rsid w:val="004458A7"/>
    <w:rsid w:val="00445D62"/>
    <w:rsid w:val="00453587"/>
    <w:rsid w:val="00461490"/>
    <w:rsid w:val="00466BEC"/>
    <w:rsid w:val="004818CE"/>
    <w:rsid w:val="00485F41"/>
    <w:rsid w:val="004918FE"/>
    <w:rsid w:val="0049705D"/>
    <w:rsid w:val="004A0A94"/>
    <w:rsid w:val="004A4D7F"/>
    <w:rsid w:val="004A6461"/>
    <w:rsid w:val="004A6D08"/>
    <w:rsid w:val="004A7518"/>
    <w:rsid w:val="004C2657"/>
    <w:rsid w:val="004C2BA4"/>
    <w:rsid w:val="004C6F24"/>
    <w:rsid w:val="004C7FBA"/>
    <w:rsid w:val="004D6F51"/>
    <w:rsid w:val="004E0D7A"/>
    <w:rsid w:val="004E4165"/>
    <w:rsid w:val="004E5DB9"/>
    <w:rsid w:val="004E77A8"/>
    <w:rsid w:val="004F4A94"/>
    <w:rsid w:val="00501CD6"/>
    <w:rsid w:val="005071F0"/>
    <w:rsid w:val="005072B3"/>
    <w:rsid w:val="00511A94"/>
    <w:rsid w:val="00512AD5"/>
    <w:rsid w:val="005135F3"/>
    <w:rsid w:val="005145DF"/>
    <w:rsid w:val="00517361"/>
    <w:rsid w:val="00520536"/>
    <w:rsid w:val="005220EB"/>
    <w:rsid w:val="005237B9"/>
    <w:rsid w:val="0052564C"/>
    <w:rsid w:val="00530A31"/>
    <w:rsid w:val="00536C2A"/>
    <w:rsid w:val="0054393D"/>
    <w:rsid w:val="00544557"/>
    <w:rsid w:val="00546AE2"/>
    <w:rsid w:val="005521B6"/>
    <w:rsid w:val="0055335A"/>
    <w:rsid w:val="00556D5B"/>
    <w:rsid w:val="00560D38"/>
    <w:rsid w:val="00564153"/>
    <w:rsid w:val="0056510C"/>
    <w:rsid w:val="00580FC9"/>
    <w:rsid w:val="00583B09"/>
    <w:rsid w:val="005862AD"/>
    <w:rsid w:val="005A2340"/>
    <w:rsid w:val="005A3DE9"/>
    <w:rsid w:val="005A3EEC"/>
    <w:rsid w:val="005A7FDF"/>
    <w:rsid w:val="005B325A"/>
    <w:rsid w:val="005C0AF2"/>
    <w:rsid w:val="005C6E0E"/>
    <w:rsid w:val="005D2A31"/>
    <w:rsid w:val="005D64BA"/>
    <w:rsid w:val="005D7801"/>
    <w:rsid w:val="005E06C4"/>
    <w:rsid w:val="005F6F12"/>
    <w:rsid w:val="005F7A3C"/>
    <w:rsid w:val="00610F9D"/>
    <w:rsid w:val="00611A31"/>
    <w:rsid w:val="006151E9"/>
    <w:rsid w:val="006158EA"/>
    <w:rsid w:val="006160EE"/>
    <w:rsid w:val="0063099E"/>
    <w:rsid w:val="00631F9E"/>
    <w:rsid w:val="00633C31"/>
    <w:rsid w:val="00636828"/>
    <w:rsid w:val="00637F05"/>
    <w:rsid w:val="0064257D"/>
    <w:rsid w:val="00647792"/>
    <w:rsid w:val="00654156"/>
    <w:rsid w:val="006541D3"/>
    <w:rsid w:val="00655257"/>
    <w:rsid w:val="006646EB"/>
    <w:rsid w:val="00664930"/>
    <w:rsid w:val="00665EF9"/>
    <w:rsid w:val="006662DA"/>
    <w:rsid w:val="00672174"/>
    <w:rsid w:val="00673A0C"/>
    <w:rsid w:val="00676CA5"/>
    <w:rsid w:val="00683073"/>
    <w:rsid w:val="00686BB9"/>
    <w:rsid w:val="0069282A"/>
    <w:rsid w:val="00694243"/>
    <w:rsid w:val="006A488B"/>
    <w:rsid w:val="006B30C2"/>
    <w:rsid w:val="006C1779"/>
    <w:rsid w:val="006E1E5C"/>
    <w:rsid w:val="006E490F"/>
    <w:rsid w:val="006E53D9"/>
    <w:rsid w:val="006E5861"/>
    <w:rsid w:val="006E7DC0"/>
    <w:rsid w:val="006F49E4"/>
    <w:rsid w:val="006F5C7C"/>
    <w:rsid w:val="006F7FAF"/>
    <w:rsid w:val="00701264"/>
    <w:rsid w:val="00707D30"/>
    <w:rsid w:val="00711948"/>
    <w:rsid w:val="00713E4E"/>
    <w:rsid w:val="00721E7C"/>
    <w:rsid w:val="007261FB"/>
    <w:rsid w:val="00726A56"/>
    <w:rsid w:val="007342C6"/>
    <w:rsid w:val="00741042"/>
    <w:rsid w:val="00742194"/>
    <w:rsid w:val="00751683"/>
    <w:rsid w:val="007519B1"/>
    <w:rsid w:val="00757DC8"/>
    <w:rsid w:val="007607FC"/>
    <w:rsid w:val="00761795"/>
    <w:rsid w:val="00761C34"/>
    <w:rsid w:val="00762185"/>
    <w:rsid w:val="0077604D"/>
    <w:rsid w:val="00781538"/>
    <w:rsid w:val="00783304"/>
    <w:rsid w:val="00783CF8"/>
    <w:rsid w:val="00784403"/>
    <w:rsid w:val="0078454E"/>
    <w:rsid w:val="0079117E"/>
    <w:rsid w:val="00791445"/>
    <w:rsid w:val="00797AD2"/>
    <w:rsid w:val="007B2188"/>
    <w:rsid w:val="007B5B7D"/>
    <w:rsid w:val="007B7359"/>
    <w:rsid w:val="007C3ABF"/>
    <w:rsid w:val="007E0116"/>
    <w:rsid w:val="007E0F58"/>
    <w:rsid w:val="007E35F2"/>
    <w:rsid w:val="007E457B"/>
    <w:rsid w:val="007E5138"/>
    <w:rsid w:val="007E5494"/>
    <w:rsid w:val="007F0C07"/>
    <w:rsid w:val="007F0CE1"/>
    <w:rsid w:val="007F126F"/>
    <w:rsid w:val="007F57F9"/>
    <w:rsid w:val="00801980"/>
    <w:rsid w:val="00801B88"/>
    <w:rsid w:val="008038EE"/>
    <w:rsid w:val="008140DE"/>
    <w:rsid w:val="008155FB"/>
    <w:rsid w:val="00821385"/>
    <w:rsid w:val="0082465B"/>
    <w:rsid w:val="008321A4"/>
    <w:rsid w:val="00837973"/>
    <w:rsid w:val="0084694B"/>
    <w:rsid w:val="008471C1"/>
    <w:rsid w:val="00847DAE"/>
    <w:rsid w:val="00851B24"/>
    <w:rsid w:val="00854FF6"/>
    <w:rsid w:val="008616C4"/>
    <w:rsid w:val="008674A1"/>
    <w:rsid w:val="00873D99"/>
    <w:rsid w:val="00876647"/>
    <w:rsid w:val="00880F53"/>
    <w:rsid w:val="00883CBA"/>
    <w:rsid w:val="00884273"/>
    <w:rsid w:val="008878F9"/>
    <w:rsid w:val="00890F13"/>
    <w:rsid w:val="00896C39"/>
    <w:rsid w:val="008A04D0"/>
    <w:rsid w:val="008A671E"/>
    <w:rsid w:val="008B259C"/>
    <w:rsid w:val="008B47BA"/>
    <w:rsid w:val="008B53DC"/>
    <w:rsid w:val="008C5F6C"/>
    <w:rsid w:val="008C7292"/>
    <w:rsid w:val="008D0193"/>
    <w:rsid w:val="008D18D6"/>
    <w:rsid w:val="008E3A8E"/>
    <w:rsid w:val="008F3E94"/>
    <w:rsid w:val="008F70C3"/>
    <w:rsid w:val="00902CA9"/>
    <w:rsid w:val="0091364A"/>
    <w:rsid w:val="009202C1"/>
    <w:rsid w:val="00923055"/>
    <w:rsid w:val="00925A9A"/>
    <w:rsid w:val="00926F46"/>
    <w:rsid w:val="00927820"/>
    <w:rsid w:val="00931138"/>
    <w:rsid w:val="0095437C"/>
    <w:rsid w:val="00960B85"/>
    <w:rsid w:val="00962685"/>
    <w:rsid w:val="00964904"/>
    <w:rsid w:val="00966689"/>
    <w:rsid w:val="00970D6E"/>
    <w:rsid w:val="00971791"/>
    <w:rsid w:val="00972621"/>
    <w:rsid w:val="009757DD"/>
    <w:rsid w:val="009767E8"/>
    <w:rsid w:val="00977201"/>
    <w:rsid w:val="00977886"/>
    <w:rsid w:val="00996D43"/>
    <w:rsid w:val="0099716F"/>
    <w:rsid w:val="009A030D"/>
    <w:rsid w:val="009A146B"/>
    <w:rsid w:val="009A4F10"/>
    <w:rsid w:val="009A4FFF"/>
    <w:rsid w:val="009A76CE"/>
    <w:rsid w:val="009B0FA0"/>
    <w:rsid w:val="009B17E7"/>
    <w:rsid w:val="009B47B9"/>
    <w:rsid w:val="009B5445"/>
    <w:rsid w:val="009B5CA7"/>
    <w:rsid w:val="009C01B8"/>
    <w:rsid w:val="009C68F1"/>
    <w:rsid w:val="009D36CB"/>
    <w:rsid w:val="009D48DA"/>
    <w:rsid w:val="009D5CA0"/>
    <w:rsid w:val="009E4D02"/>
    <w:rsid w:val="009F02C5"/>
    <w:rsid w:val="009F194F"/>
    <w:rsid w:val="00A04A07"/>
    <w:rsid w:val="00A06E6A"/>
    <w:rsid w:val="00A11284"/>
    <w:rsid w:val="00A20BAF"/>
    <w:rsid w:val="00A23784"/>
    <w:rsid w:val="00A35B7B"/>
    <w:rsid w:val="00A36317"/>
    <w:rsid w:val="00A3728B"/>
    <w:rsid w:val="00A477D6"/>
    <w:rsid w:val="00A47AB2"/>
    <w:rsid w:val="00A47C5D"/>
    <w:rsid w:val="00A64F41"/>
    <w:rsid w:val="00A673E6"/>
    <w:rsid w:val="00A72C84"/>
    <w:rsid w:val="00A74B06"/>
    <w:rsid w:val="00A756E7"/>
    <w:rsid w:val="00A757DC"/>
    <w:rsid w:val="00A9636F"/>
    <w:rsid w:val="00A9639A"/>
    <w:rsid w:val="00AA4C3C"/>
    <w:rsid w:val="00AB124F"/>
    <w:rsid w:val="00AB350C"/>
    <w:rsid w:val="00AB7C19"/>
    <w:rsid w:val="00AC0627"/>
    <w:rsid w:val="00AE0974"/>
    <w:rsid w:val="00AE4FFA"/>
    <w:rsid w:val="00AE642B"/>
    <w:rsid w:val="00AF0347"/>
    <w:rsid w:val="00AF6D7C"/>
    <w:rsid w:val="00B0037C"/>
    <w:rsid w:val="00B131B2"/>
    <w:rsid w:val="00B14D75"/>
    <w:rsid w:val="00B20901"/>
    <w:rsid w:val="00B37546"/>
    <w:rsid w:val="00B41855"/>
    <w:rsid w:val="00B43E46"/>
    <w:rsid w:val="00B45FF9"/>
    <w:rsid w:val="00B61591"/>
    <w:rsid w:val="00B7320B"/>
    <w:rsid w:val="00B7575D"/>
    <w:rsid w:val="00B77AB5"/>
    <w:rsid w:val="00B8084E"/>
    <w:rsid w:val="00B8104F"/>
    <w:rsid w:val="00B853A6"/>
    <w:rsid w:val="00B92DD6"/>
    <w:rsid w:val="00B9342E"/>
    <w:rsid w:val="00BA0CEF"/>
    <w:rsid w:val="00BA5A8A"/>
    <w:rsid w:val="00BB120E"/>
    <w:rsid w:val="00BB16EA"/>
    <w:rsid w:val="00BB18EA"/>
    <w:rsid w:val="00BB2022"/>
    <w:rsid w:val="00BD73D9"/>
    <w:rsid w:val="00BE191A"/>
    <w:rsid w:val="00BE3EB8"/>
    <w:rsid w:val="00BE5647"/>
    <w:rsid w:val="00BF781D"/>
    <w:rsid w:val="00C01B12"/>
    <w:rsid w:val="00C0222A"/>
    <w:rsid w:val="00C03EE4"/>
    <w:rsid w:val="00C05679"/>
    <w:rsid w:val="00C36C93"/>
    <w:rsid w:val="00C40E72"/>
    <w:rsid w:val="00C43A00"/>
    <w:rsid w:val="00C67C69"/>
    <w:rsid w:val="00C86E4C"/>
    <w:rsid w:val="00C870DA"/>
    <w:rsid w:val="00C9274C"/>
    <w:rsid w:val="00C94355"/>
    <w:rsid w:val="00C9789F"/>
    <w:rsid w:val="00CA0787"/>
    <w:rsid w:val="00CA6EE9"/>
    <w:rsid w:val="00CB110D"/>
    <w:rsid w:val="00CC344E"/>
    <w:rsid w:val="00CC4FD3"/>
    <w:rsid w:val="00CC51FE"/>
    <w:rsid w:val="00CD4D6D"/>
    <w:rsid w:val="00CD6AD2"/>
    <w:rsid w:val="00CE112B"/>
    <w:rsid w:val="00CE3CC5"/>
    <w:rsid w:val="00CF1EB0"/>
    <w:rsid w:val="00CF4425"/>
    <w:rsid w:val="00D04C96"/>
    <w:rsid w:val="00D0758B"/>
    <w:rsid w:val="00D10C6B"/>
    <w:rsid w:val="00D12888"/>
    <w:rsid w:val="00D13CC5"/>
    <w:rsid w:val="00D14571"/>
    <w:rsid w:val="00D15161"/>
    <w:rsid w:val="00D20E32"/>
    <w:rsid w:val="00D25D57"/>
    <w:rsid w:val="00D34B6E"/>
    <w:rsid w:val="00D35249"/>
    <w:rsid w:val="00D45F38"/>
    <w:rsid w:val="00D54D31"/>
    <w:rsid w:val="00D63A87"/>
    <w:rsid w:val="00D63CBB"/>
    <w:rsid w:val="00D63D80"/>
    <w:rsid w:val="00D64340"/>
    <w:rsid w:val="00D658A2"/>
    <w:rsid w:val="00D677D1"/>
    <w:rsid w:val="00D74FD3"/>
    <w:rsid w:val="00D824C3"/>
    <w:rsid w:val="00D86BA7"/>
    <w:rsid w:val="00D92B69"/>
    <w:rsid w:val="00D93B6A"/>
    <w:rsid w:val="00D94A5D"/>
    <w:rsid w:val="00D96676"/>
    <w:rsid w:val="00DA0538"/>
    <w:rsid w:val="00DB0190"/>
    <w:rsid w:val="00DB6B7A"/>
    <w:rsid w:val="00DB6E26"/>
    <w:rsid w:val="00DC00FB"/>
    <w:rsid w:val="00DC1BBD"/>
    <w:rsid w:val="00DC3F42"/>
    <w:rsid w:val="00DD276E"/>
    <w:rsid w:val="00DD57E5"/>
    <w:rsid w:val="00DD5F14"/>
    <w:rsid w:val="00DE11DF"/>
    <w:rsid w:val="00DE496B"/>
    <w:rsid w:val="00DE4E02"/>
    <w:rsid w:val="00DE6296"/>
    <w:rsid w:val="00DE6DEE"/>
    <w:rsid w:val="00DF4E96"/>
    <w:rsid w:val="00DF5B66"/>
    <w:rsid w:val="00DF6F03"/>
    <w:rsid w:val="00DF7751"/>
    <w:rsid w:val="00E07D7B"/>
    <w:rsid w:val="00E25B43"/>
    <w:rsid w:val="00E26658"/>
    <w:rsid w:val="00E31FFF"/>
    <w:rsid w:val="00E36D8E"/>
    <w:rsid w:val="00E37AC7"/>
    <w:rsid w:val="00E4412B"/>
    <w:rsid w:val="00E56940"/>
    <w:rsid w:val="00E5769A"/>
    <w:rsid w:val="00E649F6"/>
    <w:rsid w:val="00E65763"/>
    <w:rsid w:val="00E71132"/>
    <w:rsid w:val="00E72448"/>
    <w:rsid w:val="00E74099"/>
    <w:rsid w:val="00E76981"/>
    <w:rsid w:val="00E8323E"/>
    <w:rsid w:val="00E861B9"/>
    <w:rsid w:val="00E90EB5"/>
    <w:rsid w:val="00E93E37"/>
    <w:rsid w:val="00E9757D"/>
    <w:rsid w:val="00EA15BA"/>
    <w:rsid w:val="00EA1868"/>
    <w:rsid w:val="00EA2882"/>
    <w:rsid w:val="00EA364B"/>
    <w:rsid w:val="00EA4B3C"/>
    <w:rsid w:val="00EA577B"/>
    <w:rsid w:val="00EA65E2"/>
    <w:rsid w:val="00EA6699"/>
    <w:rsid w:val="00EB061B"/>
    <w:rsid w:val="00EB2F06"/>
    <w:rsid w:val="00EB30CE"/>
    <w:rsid w:val="00EC1FE8"/>
    <w:rsid w:val="00EC7B25"/>
    <w:rsid w:val="00EF48C5"/>
    <w:rsid w:val="00F03BB7"/>
    <w:rsid w:val="00F06569"/>
    <w:rsid w:val="00F13BE8"/>
    <w:rsid w:val="00F14F1B"/>
    <w:rsid w:val="00F159C3"/>
    <w:rsid w:val="00F17D57"/>
    <w:rsid w:val="00F220FF"/>
    <w:rsid w:val="00F24F7D"/>
    <w:rsid w:val="00F25050"/>
    <w:rsid w:val="00F307A9"/>
    <w:rsid w:val="00F3205F"/>
    <w:rsid w:val="00F36027"/>
    <w:rsid w:val="00F4177F"/>
    <w:rsid w:val="00F4362A"/>
    <w:rsid w:val="00F43E2E"/>
    <w:rsid w:val="00F44532"/>
    <w:rsid w:val="00F51D14"/>
    <w:rsid w:val="00F569C1"/>
    <w:rsid w:val="00F60B50"/>
    <w:rsid w:val="00F610B8"/>
    <w:rsid w:val="00F62555"/>
    <w:rsid w:val="00F644A3"/>
    <w:rsid w:val="00F648B0"/>
    <w:rsid w:val="00F70880"/>
    <w:rsid w:val="00F76CC5"/>
    <w:rsid w:val="00F82D03"/>
    <w:rsid w:val="00F85938"/>
    <w:rsid w:val="00FB10D0"/>
    <w:rsid w:val="00FB355D"/>
    <w:rsid w:val="00FB4F1A"/>
    <w:rsid w:val="00FB50D3"/>
    <w:rsid w:val="00FC0EFF"/>
    <w:rsid w:val="00FC1D1C"/>
    <w:rsid w:val="00FC24BD"/>
    <w:rsid w:val="00FD465D"/>
    <w:rsid w:val="00FD6B28"/>
    <w:rsid w:val="00FD7FAD"/>
    <w:rsid w:val="00FE697D"/>
    <w:rsid w:val="00FE70A0"/>
    <w:rsid w:val="00FF0F76"/>
    <w:rsid w:val="00FF65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06CF34-F9DA-44B0-958D-F5A83FA8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36C"/>
    <w:pPr>
      <w:widowControl w:val="0"/>
    </w:pPr>
    <w:rPr>
      <w:rFonts w:ascii="Times New Roman" w:eastAsia="Calibri" w:hAnsi="Times New Roman" w:cs="Times New Roman"/>
      <w:sz w:val="28"/>
    </w:rPr>
  </w:style>
  <w:style w:type="paragraph" w:styleId="Heading1">
    <w:name w:val="heading 1"/>
    <w:basedOn w:val="Normal"/>
    <w:next w:val="Normal"/>
    <w:link w:val="Heading1Char"/>
    <w:uiPriority w:val="9"/>
    <w:qFormat/>
    <w:rsid w:val="00751683"/>
    <w:pPr>
      <w:keepNext/>
      <w:keepLines/>
      <w:widowControl/>
      <w:spacing w:before="480" w:after="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uiPriority w:val="9"/>
    <w:unhideWhenUsed/>
    <w:qFormat/>
    <w:rsid w:val="00751683"/>
    <w:pPr>
      <w:keepNext/>
      <w:keepLines/>
      <w:widowControl/>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53A6"/>
    <w:pPr>
      <w:spacing w:after="0" w:line="240" w:lineRule="auto"/>
    </w:pPr>
  </w:style>
  <w:style w:type="character" w:customStyle="1" w:styleId="Heading1Char">
    <w:name w:val="Heading 1 Char"/>
    <w:basedOn w:val="DefaultParagraphFont"/>
    <w:link w:val="Heading1"/>
    <w:uiPriority w:val="9"/>
    <w:rsid w:val="007516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5168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55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50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074"/>
    <w:rPr>
      <w:rFonts w:ascii="Tahoma" w:eastAsia="Calibri" w:hAnsi="Tahoma" w:cs="Tahoma"/>
      <w:sz w:val="16"/>
      <w:szCs w:val="16"/>
    </w:rPr>
  </w:style>
  <w:style w:type="paragraph" w:styleId="Header">
    <w:name w:val="header"/>
    <w:basedOn w:val="Normal"/>
    <w:link w:val="HeaderChar"/>
    <w:uiPriority w:val="99"/>
    <w:unhideWhenUsed/>
    <w:rsid w:val="00F708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F70880"/>
    <w:rPr>
      <w:rFonts w:ascii="Calibri" w:eastAsia="Calibri" w:hAnsi="Calibri" w:cs="Times New Roman"/>
    </w:rPr>
  </w:style>
  <w:style w:type="paragraph" w:styleId="Footer">
    <w:name w:val="footer"/>
    <w:basedOn w:val="Normal"/>
    <w:link w:val="FooterChar"/>
    <w:uiPriority w:val="99"/>
    <w:unhideWhenUsed/>
    <w:rsid w:val="00F708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70880"/>
    <w:rPr>
      <w:rFonts w:ascii="Calibri" w:eastAsia="Calibri" w:hAnsi="Calibri" w:cs="Times New Roman"/>
    </w:rPr>
  </w:style>
  <w:style w:type="paragraph" w:customStyle="1" w:styleId="pamattekststabul">
    <w:name w:val="pamattekststabul"/>
    <w:basedOn w:val="Normal"/>
    <w:rsid w:val="0025235E"/>
    <w:pPr>
      <w:widowControl/>
      <w:spacing w:before="100" w:beforeAutospacing="1" w:after="100" w:afterAutospacing="1" w:line="240" w:lineRule="auto"/>
    </w:pPr>
    <w:rPr>
      <w:rFonts w:eastAsia="Times New Roman"/>
      <w:sz w:val="24"/>
      <w:szCs w:val="24"/>
      <w:lang w:val="en-US"/>
    </w:rPr>
  </w:style>
  <w:style w:type="table" w:customStyle="1" w:styleId="TableGrid1">
    <w:name w:val="Table Grid1"/>
    <w:basedOn w:val="TableNormal"/>
    <w:next w:val="TableGrid"/>
    <w:uiPriority w:val="59"/>
    <w:rsid w:val="00DD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1,Char10,FT,Footnote,Footnote Text Char Char,Footnote Text Char Char Char Char,Footnote Text Char Char Char Char Char Char,Footnote Text Char1 Char Char,Footnote Text Char1 Char Char1 Char,Footnote Text Char1 Char Char1 Char Char,f,fn"/>
    <w:basedOn w:val="Normal"/>
    <w:link w:val="FootnoteTextChar"/>
    <w:uiPriority w:val="99"/>
    <w:unhideWhenUsed/>
    <w:rsid w:val="006E5861"/>
    <w:pPr>
      <w:widowControl/>
      <w:spacing w:after="0" w:line="240" w:lineRule="auto"/>
    </w:pPr>
    <w:rPr>
      <w:rFonts w:asciiTheme="minorHAnsi" w:eastAsiaTheme="minorHAnsi" w:hAnsiTheme="minorHAnsi" w:cstheme="minorBidi"/>
      <w:sz w:val="20"/>
      <w:szCs w:val="20"/>
    </w:rPr>
  </w:style>
  <w:style w:type="character" w:customStyle="1" w:styleId="FootnoteTextChar">
    <w:name w:val="Footnote Text Char"/>
    <w:aliases w:val="Char1 Char,Char10 Char,FT Char,Footnote Char,Footnote Text Char Char Char,Footnote Text Char Char Char Char Char,Footnote Text Char Char Char Char Char Char Char,Footnote Text Char1 Char Char Char,f Char,fn Char"/>
    <w:basedOn w:val="DefaultParagraphFont"/>
    <w:link w:val="FootnoteText"/>
    <w:uiPriority w:val="99"/>
    <w:rsid w:val="006E5861"/>
    <w:rPr>
      <w:sz w:val="20"/>
      <w:szCs w:val="20"/>
    </w:rPr>
  </w:style>
  <w:style w:type="character" w:styleId="FootnoteReference">
    <w:name w:val="footnote reference"/>
    <w:aliases w:val="-E Fußnotenzeichen,BVI fnr,E,E FNZ,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6E5861"/>
    <w:rPr>
      <w:vertAlign w:val="superscript"/>
    </w:rPr>
  </w:style>
  <w:style w:type="paragraph" w:customStyle="1" w:styleId="CharCharCharChar">
    <w:name w:val="Char Char Char Char"/>
    <w:aliases w:val="Char2"/>
    <w:basedOn w:val="Normal"/>
    <w:link w:val="FootnoteReference"/>
    <w:uiPriority w:val="99"/>
    <w:rsid w:val="006E5861"/>
    <w:pPr>
      <w:widowControl/>
      <w:spacing w:after="160" w:line="240" w:lineRule="exact"/>
      <w:jc w:val="both"/>
    </w:pPr>
    <w:rPr>
      <w:rFonts w:asciiTheme="minorHAnsi" w:eastAsiaTheme="minorHAnsi" w:hAnsiTheme="minorHAnsi" w:cstheme="minorBidi"/>
      <w:vertAlign w:val="superscript"/>
    </w:rPr>
  </w:style>
  <w:style w:type="character" w:styleId="Hyperlink">
    <w:name w:val="Hyperlink"/>
    <w:basedOn w:val="DefaultParagraphFont"/>
    <w:uiPriority w:val="99"/>
    <w:unhideWhenUsed/>
    <w:rsid w:val="00E56940"/>
    <w:rPr>
      <w:color w:val="0000FF" w:themeColor="hyperlink"/>
      <w:u w:val="single"/>
    </w:rPr>
  </w:style>
  <w:style w:type="character" w:customStyle="1" w:styleId="UnresolvedMention">
    <w:name w:val="Unresolved Mention"/>
    <w:basedOn w:val="DefaultParagraphFont"/>
    <w:uiPriority w:val="99"/>
    <w:rsid w:val="00E56940"/>
    <w:rPr>
      <w:color w:val="605E5C"/>
      <w:shd w:val="clear" w:color="auto" w:fill="E1DFDD"/>
    </w:rPr>
  </w:style>
  <w:style w:type="character" w:styleId="CommentReference">
    <w:name w:val="annotation reference"/>
    <w:basedOn w:val="DefaultParagraphFont"/>
    <w:uiPriority w:val="99"/>
    <w:semiHidden/>
    <w:unhideWhenUsed/>
    <w:rsid w:val="00D04C96"/>
    <w:rPr>
      <w:sz w:val="16"/>
      <w:szCs w:val="16"/>
    </w:rPr>
  </w:style>
  <w:style w:type="paragraph" w:styleId="CommentText">
    <w:name w:val="annotation text"/>
    <w:basedOn w:val="Normal"/>
    <w:link w:val="CommentTextChar"/>
    <w:uiPriority w:val="99"/>
    <w:semiHidden/>
    <w:unhideWhenUsed/>
    <w:rsid w:val="00D04C96"/>
    <w:pPr>
      <w:spacing w:line="240" w:lineRule="auto"/>
    </w:pPr>
    <w:rPr>
      <w:sz w:val="20"/>
      <w:szCs w:val="20"/>
    </w:rPr>
  </w:style>
  <w:style w:type="character" w:customStyle="1" w:styleId="CommentTextChar">
    <w:name w:val="Comment Text Char"/>
    <w:basedOn w:val="DefaultParagraphFont"/>
    <w:link w:val="CommentText"/>
    <w:uiPriority w:val="99"/>
    <w:semiHidden/>
    <w:rsid w:val="00D04C9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04C96"/>
    <w:rPr>
      <w:b/>
      <w:bCs/>
    </w:rPr>
  </w:style>
  <w:style w:type="character" w:customStyle="1" w:styleId="CommentSubjectChar">
    <w:name w:val="Comment Subject Char"/>
    <w:basedOn w:val="CommentTextChar"/>
    <w:link w:val="CommentSubject"/>
    <w:uiPriority w:val="99"/>
    <w:semiHidden/>
    <w:rsid w:val="00D04C96"/>
    <w:rPr>
      <w:rFonts w:ascii="Times New Roman" w:eastAsia="Calibri" w:hAnsi="Times New Roman" w:cs="Times New Roman"/>
      <w:b/>
      <w:bCs/>
      <w:sz w:val="20"/>
      <w:szCs w:val="20"/>
    </w:rPr>
  </w:style>
  <w:style w:type="paragraph" w:styleId="ListParagraph">
    <w:name w:val="List Paragraph"/>
    <w:basedOn w:val="Normal"/>
    <w:uiPriority w:val="34"/>
    <w:qFormat/>
    <w:rsid w:val="00B13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untis.ievins@vm.gov.lv" TargetMode="External"/><Relationship Id="rId4" Type="http://schemas.openxmlformats.org/officeDocument/2006/relationships/settings" Target="settings.xml"/><Relationship Id="rId9" Type="http://schemas.openxmlformats.org/officeDocument/2006/relationships/hyperlink" Target="mailto:iveta.bertulsone@v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08ED9-DABD-42F5-BE00-F15AB624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6666</Words>
  <Characters>3801</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Veselības ministrija</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outsource</dc:creator>
  <cp:lastModifiedBy>Rihards Guds</cp:lastModifiedBy>
  <cp:revision>2</cp:revision>
  <cp:lastPrinted>2015-07-10T08:13:00Z</cp:lastPrinted>
  <dcterms:created xsi:type="dcterms:W3CDTF">2021-05-31T06:30:00Z</dcterms:created>
  <dcterms:modified xsi:type="dcterms:W3CDTF">2021-05-31T06:30:00Z</dcterms:modified>
</cp:coreProperties>
</file>